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B3C" w:rsidRPr="00025B3C" w:rsidTr="0043378A">
        <w:tc>
          <w:tcPr>
            <w:tcW w:w="4513" w:type="dxa"/>
            <w:tcBorders>
              <w:bottom w:val="single" w:sz="4" w:space="0" w:color="auto"/>
            </w:tcBorders>
            <w:tcMar>
              <w:bottom w:w="170" w:type="dxa"/>
            </w:tcMar>
          </w:tcPr>
          <w:p w:rsidR="005B1378" w:rsidRPr="00025B3C" w:rsidRDefault="005B1378" w:rsidP="00025B3C">
            <w:pPr>
              <w:rPr>
                <w:lang w:val="fr-FR"/>
              </w:rPr>
            </w:pPr>
          </w:p>
        </w:tc>
        <w:tc>
          <w:tcPr>
            <w:tcW w:w="4337" w:type="dxa"/>
            <w:tcBorders>
              <w:bottom w:val="single" w:sz="4" w:space="0" w:color="auto"/>
            </w:tcBorders>
            <w:tcMar>
              <w:left w:w="0" w:type="dxa"/>
              <w:right w:w="0" w:type="dxa"/>
            </w:tcMar>
          </w:tcPr>
          <w:p w:rsidR="005B1378" w:rsidRPr="00025B3C" w:rsidRDefault="005B1378" w:rsidP="00025B3C">
            <w:pPr>
              <w:rPr>
                <w:lang w:val="fr-FR"/>
              </w:rPr>
            </w:pPr>
            <w:r w:rsidRPr="00025B3C">
              <w:rPr>
                <w:noProof/>
                <w:lang w:eastAsia="en-US"/>
              </w:rPr>
              <w:drawing>
                <wp:inline distT="0" distB="0" distL="0" distR="0" wp14:anchorId="65170A56" wp14:editId="3FF47316">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5B1378" w:rsidRPr="00025B3C" w:rsidRDefault="005B1378" w:rsidP="00025B3C">
            <w:pPr>
              <w:jc w:val="right"/>
              <w:rPr>
                <w:lang w:val="fr-FR"/>
              </w:rPr>
            </w:pPr>
            <w:r w:rsidRPr="00025B3C">
              <w:rPr>
                <w:b/>
                <w:sz w:val="40"/>
                <w:szCs w:val="40"/>
                <w:lang w:val="fr-FR"/>
              </w:rPr>
              <w:t>F</w:t>
            </w:r>
          </w:p>
        </w:tc>
      </w:tr>
      <w:tr w:rsidR="00025B3C" w:rsidRPr="00025B3C" w:rsidTr="0043378A">
        <w:trPr>
          <w:trHeight w:hRule="exact" w:val="357"/>
        </w:trPr>
        <w:tc>
          <w:tcPr>
            <w:tcW w:w="9356" w:type="dxa"/>
            <w:gridSpan w:val="3"/>
            <w:tcBorders>
              <w:top w:val="single" w:sz="4" w:space="0" w:color="auto"/>
            </w:tcBorders>
            <w:tcMar>
              <w:top w:w="170" w:type="dxa"/>
              <w:left w:w="0" w:type="dxa"/>
              <w:right w:w="0" w:type="dxa"/>
            </w:tcMar>
            <w:vAlign w:val="bottom"/>
          </w:tcPr>
          <w:p w:rsidR="005B1378" w:rsidRPr="00025B3C" w:rsidRDefault="005B1378" w:rsidP="00025B3C">
            <w:pPr>
              <w:jc w:val="right"/>
              <w:rPr>
                <w:rFonts w:ascii="Arial Black" w:hAnsi="Arial Black"/>
                <w:caps/>
                <w:sz w:val="15"/>
                <w:lang w:val="fr-FR"/>
              </w:rPr>
            </w:pPr>
            <w:r w:rsidRPr="00025B3C">
              <w:rPr>
                <w:rFonts w:ascii="Arial Black" w:hAnsi="Arial Black"/>
                <w:caps/>
                <w:sz w:val="15"/>
                <w:lang w:val="fr-FR"/>
              </w:rPr>
              <w:t>WO/PBC/26/</w:t>
            </w:r>
            <w:bookmarkStart w:id="0" w:name="Code"/>
            <w:bookmarkEnd w:id="0"/>
            <w:r w:rsidRPr="00025B3C">
              <w:rPr>
                <w:rFonts w:ascii="Arial Black" w:hAnsi="Arial Black"/>
                <w:caps/>
                <w:sz w:val="15"/>
                <w:lang w:val="fr-FR"/>
              </w:rPr>
              <w:t>6</w:t>
            </w:r>
          </w:p>
        </w:tc>
      </w:tr>
      <w:tr w:rsidR="00025B3C" w:rsidRPr="00025B3C" w:rsidTr="0043378A">
        <w:trPr>
          <w:trHeight w:hRule="exact" w:val="170"/>
        </w:trPr>
        <w:tc>
          <w:tcPr>
            <w:tcW w:w="9356" w:type="dxa"/>
            <w:gridSpan w:val="3"/>
            <w:noWrap/>
            <w:tcMar>
              <w:left w:w="0" w:type="dxa"/>
              <w:right w:w="0" w:type="dxa"/>
            </w:tcMar>
            <w:vAlign w:val="bottom"/>
          </w:tcPr>
          <w:p w:rsidR="005B1378" w:rsidRPr="00025B3C" w:rsidRDefault="005B1378" w:rsidP="00025B3C">
            <w:pPr>
              <w:jc w:val="right"/>
              <w:rPr>
                <w:rFonts w:ascii="Arial Black" w:hAnsi="Arial Black"/>
                <w:caps/>
                <w:sz w:val="15"/>
                <w:lang w:val="fr-FR"/>
              </w:rPr>
            </w:pPr>
            <w:r w:rsidRPr="00025B3C">
              <w:rPr>
                <w:rFonts w:ascii="Arial Black" w:hAnsi="Arial Black"/>
                <w:caps/>
                <w:sz w:val="15"/>
                <w:lang w:val="fr-FR"/>
              </w:rPr>
              <w:t>ORIGINAL</w:t>
            </w:r>
            <w:r w:rsidR="006551E8">
              <w:rPr>
                <w:rFonts w:ascii="Arial Black" w:hAnsi="Arial Black"/>
                <w:caps/>
                <w:sz w:val="15"/>
                <w:lang w:val="fr-FR"/>
              </w:rPr>
              <w:t> :</w:t>
            </w:r>
            <w:r w:rsidRPr="00025B3C">
              <w:rPr>
                <w:rFonts w:ascii="Arial Black" w:hAnsi="Arial Black"/>
                <w:caps/>
                <w:sz w:val="15"/>
                <w:lang w:val="fr-FR"/>
              </w:rPr>
              <w:t xml:space="preserve"> </w:t>
            </w:r>
            <w:bookmarkStart w:id="1" w:name="Original"/>
            <w:bookmarkEnd w:id="1"/>
            <w:r w:rsidRPr="00025B3C">
              <w:rPr>
                <w:rFonts w:ascii="Arial Black" w:hAnsi="Arial Black"/>
                <w:caps/>
                <w:sz w:val="15"/>
                <w:lang w:val="fr-FR"/>
              </w:rPr>
              <w:t xml:space="preserve">anglais </w:t>
            </w:r>
          </w:p>
        </w:tc>
      </w:tr>
      <w:tr w:rsidR="005B1378" w:rsidRPr="00025B3C" w:rsidTr="0043378A">
        <w:trPr>
          <w:trHeight w:hRule="exact" w:val="198"/>
        </w:trPr>
        <w:tc>
          <w:tcPr>
            <w:tcW w:w="9356" w:type="dxa"/>
            <w:gridSpan w:val="3"/>
            <w:tcMar>
              <w:left w:w="0" w:type="dxa"/>
              <w:right w:w="0" w:type="dxa"/>
            </w:tcMar>
            <w:vAlign w:val="bottom"/>
          </w:tcPr>
          <w:p w:rsidR="005B1378" w:rsidRPr="00025B3C" w:rsidRDefault="005B1378" w:rsidP="00704AD8">
            <w:pPr>
              <w:jc w:val="right"/>
              <w:rPr>
                <w:rFonts w:ascii="Arial Black" w:hAnsi="Arial Black"/>
                <w:caps/>
                <w:sz w:val="15"/>
                <w:lang w:val="fr-FR"/>
              </w:rPr>
            </w:pPr>
            <w:r w:rsidRPr="00025B3C">
              <w:rPr>
                <w:rFonts w:ascii="Arial Black" w:hAnsi="Arial Black"/>
                <w:caps/>
                <w:sz w:val="15"/>
                <w:lang w:val="fr-FR"/>
              </w:rPr>
              <w:t>DATE</w:t>
            </w:r>
            <w:r w:rsidR="006551E8">
              <w:rPr>
                <w:rFonts w:ascii="Arial Black" w:hAnsi="Arial Black"/>
                <w:caps/>
                <w:sz w:val="15"/>
                <w:lang w:val="fr-FR"/>
              </w:rPr>
              <w:t> :</w:t>
            </w:r>
            <w:r w:rsidRPr="00025B3C">
              <w:rPr>
                <w:rFonts w:ascii="Arial Black" w:hAnsi="Arial Black"/>
                <w:caps/>
                <w:sz w:val="15"/>
                <w:lang w:val="fr-FR"/>
              </w:rPr>
              <w:t xml:space="preserve"> </w:t>
            </w:r>
            <w:bookmarkStart w:id="2" w:name="Date"/>
            <w:bookmarkEnd w:id="2"/>
            <w:r w:rsidRPr="00025B3C">
              <w:rPr>
                <w:rFonts w:ascii="Arial Black" w:hAnsi="Arial Black"/>
                <w:caps/>
                <w:sz w:val="15"/>
                <w:lang w:val="fr-FR"/>
              </w:rPr>
              <w:t>1</w:t>
            </w:r>
            <w:r w:rsidR="00704AD8">
              <w:rPr>
                <w:rFonts w:ascii="Arial Black" w:hAnsi="Arial Black"/>
                <w:caps/>
                <w:sz w:val="15"/>
                <w:lang w:val="fr-FR"/>
              </w:rPr>
              <w:t>6</w:t>
            </w:r>
            <w:r w:rsidRPr="00025B3C">
              <w:rPr>
                <w:rFonts w:ascii="Arial Black" w:hAnsi="Arial Black"/>
                <w:caps/>
                <w:sz w:val="15"/>
                <w:lang w:val="fr-FR"/>
              </w:rPr>
              <w:t> </w:t>
            </w:r>
            <w:r w:rsidR="00704AD8">
              <w:rPr>
                <w:rFonts w:ascii="Arial Black" w:hAnsi="Arial Black"/>
                <w:caps/>
                <w:sz w:val="15"/>
                <w:lang w:val="fr-FR"/>
              </w:rPr>
              <w:t>JUIN</w:t>
            </w:r>
            <w:r w:rsidRPr="00025B3C">
              <w:rPr>
                <w:rFonts w:ascii="Arial Black" w:hAnsi="Arial Black"/>
                <w:caps/>
                <w:sz w:val="15"/>
                <w:lang w:val="fr-FR"/>
              </w:rPr>
              <w:t xml:space="preserve"> 2017 </w:t>
            </w:r>
          </w:p>
        </w:tc>
      </w:tr>
    </w:tbl>
    <w:p w:rsidR="005B1378" w:rsidRPr="00025B3C" w:rsidRDefault="005B1378" w:rsidP="00025B3C">
      <w:pPr>
        <w:rPr>
          <w:lang w:val="fr-FR"/>
        </w:rPr>
      </w:pPr>
    </w:p>
    <w:p w:rsidR="005B1378" w:rsidRPr="00025B3C" w:rsidRDefault="005B1378" w:rsidP="00025B3C">
      <w:pPr>
        <w:rPr>
          <w:lang w:val="fr-FR"/>
        </w:rPr>
      </w:pPr>
    </w:p>
    <w:p w:rsidR="005B1378" w:rsidRPr="00025B3C" w:rsidRDefault="005B1378" w:rsidP="00025B3C">
      <w:pPr>
        <w:rPr>
          <w:lang w:val="fr-FR"/>
        </w:rPr>
      </w:pPr>
    </w:p>
    <w:p w:rsidR="005B1378" w:rsidRPr="00025B3C" w:rsidRDefault="005B1378" w:rsidP="00025B3C">
      <w:pPr>
        <w:rPr>
          <w:lang w:val="fr-FR"/>
        </w:rPr>
      </w:pPr>
    </w:p>
    <w:p w:rsidR="005B1378" w:rsidRPr="00025B3C" w:rsidRDefault="005B1378" w:rsidP="00025B3C">
      <w:pPr>
        <w:rPr>
          <w:lang w:val="fr-FR"/>
        </w:rPr>
      </w:pPr>
    </w:p>
    <w:p w:rsidR="005B1378" w:rsidRPr="00025B3C" w:rsidRDefault="005B1378" w:rsidP="00025B3C">
      <w:pPr>
        <w:rPr>
          <w:b/>
          <w:sz w:val="28"/>
          <w:szCs w:val="28"/>
          <w:lang w:val="fr-FR"/>
        </w:rPr>
      </w:pPr>
      <w:r w:rsidRPr="00025B3C">
        <w:rPr>
          <w:b/>
          <w:sz w:val="28"/>
          <w:szCs w:val="28"/>
          <w:lang w:val="fr-FR"/>
        </w:rPr>
        <w:t>Comité du programme et budget</w:t>
      </w:r>
    </w:p>
    <w:p w:rsidR="005B1378" w:rsidRPr="00025B3C" w:rsidRDefault="005B1378" w:rsidP="00025B3C">
      <w:pPr>
        <w:rPr>
          <w:lang w:val="fr-FR"/>
        </w:rPr>
      </w:pPr>
    </w:p>
    <w:p w:rsidR="005B1378" w:rsidRPr="00025B3C" w:rsidRDefault="005B1378" w:rsidP="00025B3C">
      <w:pPr>
        <w:rPr>
          <w:lang w:val="fr-FR"/>
        </w:rPr>
      </w:pPr>
    </w:p>
    <w:p w:rsidR="005B1378" w:rsidRPr="00025B3C" w:rsidRDefault="005B1378" w:rsidP="00025B3C">
      <w:pPr>
        <w:rPr>
          <w:b/>
          <w:sz w:val="24"/>
          <w:szCs w:val="24"/>
          <w:lang w:val="fr-FR"/>
        </w:rPr>
      </w:pPr>
      <w:r w:rsidRPr="00025B3C">
        <w:rPr>
          <w:b/>
          <w:sz w:val="24"/>
          <w:szCs w:val="24"/>
          <w:lang w:val="fr-FR"/>
        </w:rPr>
        <w:t>Vingt</w:t>
      </w:r>
      <w:r w:rsidR="0077342A">
        <w:rPr>
          <w:b/>
          <w:sz w:val="24"/>
          <w:szCs w:val="24"/>
          <w:lang w:val="fr-FR"/>
        </w:rPr>
        <w:noBreakHyphen/>
      </w:r>
      <w:r w:rsidRPr="00025B3C">
        <w:rPr>
          <w:b/>
          <w:sz w:val="24"/>
          <w:szCs w:val="24"/>
          <w:lang w:val="fr-FR"/>
        </w:rPr>
        <w:t>six</w:t>
      </w:r>
      <w:r w:rsidR="006551E8">
        <w:rPr>
          <w:b/>
          <w:sz w:val="24"/>
          <w:szCs w:val="24"/>
          <w:lang w:val="fr-FR"/>
        </w:rPr>
        <w:t>ième session</w:t>
      </w:r>
    </w:p>
    <w:p w:rsidR="005B1378" w:rsidRPr="00025B3C" w:rsidRDefault="005B1378" w:rsidP="00025B3C">
      <w:pPr>
        <w:rPr>
          <w:b/>
          <w:sz w:val="24"/>
          <w:szCs w:val="24"/>
          <w:lang w:val="fr-FR"/>
        </w:rPr>
      </w:pPr>
      <w:r w:rsidRPr="00025B3C">
        <w:rPr>
          <w:b/>
          <w:sz w:val="24"/>
          <w:szCs w:val="24"/>
          <w:lang w:val="fr-FR"/>
        </w:rPr>
        <w:t>Genève, 10 – 14 juillet 2017</w:t>
      </w:r>
    </w:p>
    <w:p w:rsidR="005B1378" w:rsidRPr="00025B3C" w:rsidRDefault="005B1378" w:rsidP="00025B3C">
      <w:pPr>
        <w:rPr>
          <w:lang w:val="fr-FR"/>
        </w:rPr>
      </w:pPr>
    </w:p>
    <w:p w:rsidR="005B1378" w:rsidRPr="00025B3C" w:rsidRDefault="005B1378" w:rsidP="00025B3C">
      <w:pPr>
        <w:rPr>
          <w:lang w:val="fr-FR"/>
        </w:rPr>
      </w:pPr>
    </w:p>
    <w:p w:rsidR="005B1378" w:rsidRPr="00025B3C" w:rsidRDefault="005B1378" w:rsidP="00025B3C">
      <w:pPr>
        <w:rPr>
          <w:lang w:val="fr-FR"/>
        </w:rPr>
      </w:pPr>
    </w:p>
    <w:p w:rsidR="005B1378" w:rsidRPr="00025B3C" w:rsidRDefault="00095EBB" w:rsidP="00025B3C">
      <w:pPr>
        <w:rPr>
          <w:rFonts w:eastAsia="SimSun"/>
          <w:caps/>
          <w:sz w:val="24"/>
          <w:szCs w:val="24"/>
          <w:lang w:val="fr-FR" w:eastAsia="zh-CN"/>
        </w:rPr>
      </w:pPr>
      <w:r w:rsidRPr="00025B3C">
        <w:rPr>
          <w:rFonts w:eastAsia="SimSun"/>
          <w:caps/>
          <w:sz w:val="24"/>
          <w:szCs w:val="24"/>
          <w:lang w:val="fr-FR" w:eastAsia="zh-CN"/>
        </w:rPr>
        <w:t>engagements au titre de l</w:t>
      </w:r>
      <w:r w:rsidR="006551E8">
        <w:rPr>
          <w:rFonts w:eastAsia="SimSun"/>
          <w:caps/>
          <w:sz w:val="24"/>
          <w:szCs w:val="24"/>
          <w:lang w:val="fr-FR" w:eastAsia="zh-CN"/>
        </w:rPr>
        <w:t>’</w:t>
      </w:r>
      <w:r w:rsidRPr="00025B3C">
        <w:rPr>
          <w:rFonts w:eastAsia="SimSun"/>
          <w:caps/>
          <w:sz w:val="24"/>
          <w:szCs w:val="24"/>
          <w:lang w:val="fr-FR" w:eastAsia="zh-CN"/>
        </w:rPr>
        <w:t>assurance maladie après la cessation de service (AMCS)</w:t>
      </w:r>
    </w:p>
    <w:p w:rsidR="00605E8F" w:rsidRPr="00025B3C" w:rsidRDefault="00605E8F" w:rsidP="00025B3C">
      <w:pPr>
        <w:rPr>
          <w:rFonts w:eastAsia="SimSun"/>
          <w:lang w:val="fr-FR" w:eastAsia="zh-CN"/>
        </w:rPr>
      </w:pPr>
    </w:p>
    <w:p w:rsidR="00605E8F" w:rsidRPr="00025B3C" w:rsidRDefault="00095EBB" w:rsidP="00025B3C">
      <w:pPr>
        <w:rPr>
          <w:rFonts w:eastAsia="SimSun"/>
          <w:i/>
          <w:lang w:val="fr-FR" w:eastAsia="zh-CN"/>
        </w:rPr>
      </w:pPr>
      <w:r w:rsidRPr="00025B3C">
        <w:rPr>
          <w:rFonts w:eastAsia="SimSun"/>
          <w:i/>
          <w:lang w:val="fr-FR" w:eastAsia="zh-CN"/>
        </w:rPr>
        <w:t>Document établi par le Secrétariat</w:t>
      </w:r>
    </w:p>
    <w:p w:rsidR="00605E8F" w:rsidRPr="00025B3C" w:rsidRDefault="00605E8F" w:rsidP="00025B3C">
      <w:pPr>
        <w:rPr>
          <w:rFonts w:eastAsia="SimSun"/>
          <w:lang w:val="fr-FR" w:eastAsia="zh-CN"/>
        </w:rPr>
      </w:pPr>
    </w:p>
    <w:p w:rsidR="00605E8F" w:rsidRPr="00025B3C" w:rsidRDefault="00605E8F" w:rsidP="00025B3C">
      <w:pPr>
        <w:rPr>
          <w:rFonts w:eastAsia="SimSun"/>
          <w:lang w:val="fr-FR" w:eastAsia="zh-CN"/>
        </w:rPr>
      </w:pPr>
    </w:p>
    <w:p w:rsidR="00605E8F" w:rsidRPr="00025B3C" w:rsidRDefault="00605E8F" w:rsidP="00025B3C">
      <w:pPr>
        <w:rPr>
          <w:rFonts w:eastAsia="SimSun"/>
          <w:lang w:val="fr-FR" w:eastAsia="zh-CN"/>
        </w:rPr>
      </w:pPr>
    </w:p>
    <w:p w:rsidR="00605E8F" w:rsidRPr="00025B3C" w:rsidRDefault="00605E8F" w:rsidP="00025B3C">
      <w:pPr>
        <w:rPr>
          <w:rFonts w:eastAsia="SimSun"/>
          <w:lang w:val="fr-FR" w:eastAsia="zh-CN"/>
        </w:rPr>
      </w:pPr>
    </w:p>
    <w:p w:rsidR="005B1378" w:rsidRPr="00025B3C" w:rsidRDefault="00BD08DA" w:rsidP="00025B3C">
      <w:pPr>
        <w:keepNext/>
        <w:spacing w:before="240" w:after="60"/>
        <w:outlineLvl w:val="2"/>
        <w:rPr>
          <w:rFonts w:eastAsia="SimSun"/>
          <w:bCs/>
          <w:szCs w:val="26"/>
          <w:u w:val="single"/>
          <w:lang w:val="fr-FR" w:eastAsia="zh-CN"/>
        </w:rPr>
      </w:pPr>
      <w:r w:rsidRPr="00025B3C">
        <w:rPr>
          <w:rFonts w:eastAsia="SimSun"/>
          <w:bCs/>
          <w:szCs w:val="26"/>
          <w:u w:val="single"/>
          <w:lang w:val="fr-FR" w:eastAsia="zh-CN"/>
        </w:rPr>
        <w:t>Informations générales</w:t>
      </w:r>
    </w:p>
    <w:p w:rsidR="00605E8F" w:rsidRPr="00025B3C" w:rsidRDefault="00605E8F" w:rsidP="00025B3C">
      <w:pPr>
        <w:rPr>
          <w:rFonts w:eastAsia="SimSun"/>
          <w:szCs w:val="22"/>
          <w:lang w:val="fr-FR" w:eastAsia="zh-CN"/>
        </w:rPr>
      </w:pPr>
    </w:p>
    <w:p w:rsidR="005B1378" w:rsidRPr="00025B3C" w:rsidRDefault="00095EBB" w:rsidP="00025B3C">
      <w:pPr>
        <w:pStyle w:val="ONUMFS"/>
        <w:rPr>
          <w:lang w:val="fr-FR" w:eastAsia="zh-CN"/>
        </w:rPr>
      </w:pPr>
      <w:r w:rsidRPr="00025B3C">
        <w:rPr>
          <w:lang w:val="fr-FR" w:eastAsia="zh-CN"/>
        </w:rPr>
        <w:t xml:space="preserve">Suite aux délibérations relatives au </w:t>
      </w:r>
      <w:r w:rsidR="005B1378" w:rsidRPr="00025B3C">
        <w:rPr>
          <w:lang w:val="fr-FR" w:eastAsia="zh-CN"/>
        </w:rPr>
        <w:t>point 1</w:t>
      </w:r>
      <w:r w:rsidRPr="00025B3C">
        <w:rPr>
          <w:lang w:val="fr-FR" w:eastAsia="zh-CN"/>
        </w:rPr>
        <w:t>5 de l</w:t>
      </w:r>
      <w:r w:rsidR="006551E8">
        <w:rPr>
          <w:lang w:val="fr-FR" w:eastAsia="zh-CN"/>
        </w:rPr>
        <w:t>’</w:t>
      </w:r>
      <w:r w:rsidRPr="00025B3C">
        <w:rPr>
          <w:lang w:val="fr-FR" w:eastAsia="zh-CN"/>
        </w:rPr>
        <w:t>ordre du jour, consacré à l</w:t>
      </w:r>
      <w:r w:rsidR="006551E8">
        <w:rPr>
          <w:lang w:val="fr-FR" w:eastAsia="zh-CN"/>
        </w:rPr>
        <w:t>’</w:t>
      </w:r>
      <w:r w:rsidRPr="00025B3C">
        <w:rPr>
          <w:lang w:val="fr-FR" w:eastAsia="zh-CN"/>
        </w:rPr>
        <w:t>assurance maladie après la cessation de service (AMCS) (document WO/PBC/25/15), durant la session d</w:t>
      </w:r>
      <w:r w:rsidR="006551E8">
        <w:rPr>
          <w:lang w:val="fr-FR" w:eastAsia="zh-CN"/>
        </w:rPr>
        <w:t>’</w:t>
      </w:r>
      <w:r w:rsidRPr="00025B3C">
        <w:rPr>
          <w:lang w:val="fr-FR" w:eastAsia="zh-CN"/>
        </w:rPr>
        <w:t>août 2016 du Comité du programme et budget (PBC),</w:t>
      </w:r>
      <w:r w:rsidR="005B1378" w:rsidRPr="00025B3C">
        <w:rPr>
          <w:lang w:val="fr-FR" w:eastAsia="zh-CN"/>
        </w:rPr>
        <w:t xml:space="preserve"> le PBC</w:t>
      </w:r>
      <w:r w:rsidRPr="00025B3C">
        <w:rPr>
          <w:lang w:val="fr-FR" w:eastAsia="zh-CN"/>
        </w:rPr>
        <w:t xml:space="preserve"> est parvenu à la décision suivante sur ce point</w:t>
      </w:r>
      <w:r w:rsidR="006551E8">
        <w:rPr>
          <w:lang w:val="fr-FR" w:eastAsia="zh-CN"/>
        </w:rPr>
        <w:t> :</w:t>
      </w:r>
    </w:p>
    <w:p w:rsidR="001C47DA" w:rsidRPr="00025B3C" w:rsidRDefault="008800C1" w:rsidP="00025B3C">
      <w:pPr>
        <w:pStyle w:val="ONUMFS"/>
        <w:numPr>
          <w:ilvl w:val="0"/>
          <w:numId w:val="0"/>
        </w:numPr>
        <w:ind w:left="567"/>
        <w:rPr>
          <w:i/>
          <w:lang w:val="fr-FR" w:eastAsia="zh-CN"/>
        </w:rPr>
      </w:pPr>
      <w:r>
        <w:rPr>
          <w:i/>
          <w:lang w:val="fr-FR" w:eastAsia="zh-CN"/>
        </w:rPr>
        <w:t>“</w:t>
      </w:r>
      <w:r w:rsidR="00095EBB" w:rsidRPr="00025B3C">
        <w:rPr>
          <w:i/>
          <w:lang w:val="fr-FR" w:eastAsia="zh-CN"/>
        </w:rPr>
        <w:t>Le Comité du programme et budget (PBC) a recommandé aux assemblées des États membres de l</w:t>
      </w:r>
      <w:r w:rsidR="006551E8">
        <w:rPr>
          <w:i/>
          <w:lang w:val="fr-FR" w:eastAsia="zh-CN"/>
        </w:rPr>
        <w:t>’</w:t>
      </w:r>
      <w:r w:rsidR="00095EBB" w:rsidRPr="00025B3C">
        <w:rPr>
          <w:i/>
          <w:lang w:val="fr-FR" w:eastAsia="zh-CN"/>
        </w:rPr>
        <w:t>OMPI et aux unions, chacune pour ce qui la concerne, de prier le Secrétariat</w:t>
      </w:r>
    </w:p>
    <w:p w:rsidR="001C47DA" w:rsidRPr="00025B3C" w:rsidRDefault="008800C1" w:rsidP="00025B3C">
      <w:pPr>
        <w:pStyle w:val="ONUMFS"/>
        <w:numPr>
          <w:ilvl w:val="0"/>
          <w:numId w:val="0"/>
        </w:numPr>
        <w:ind w:left="567"/>
        <w:rPr>
          <w:i/>
          <w:lang w:val="fr-FR" w:eastAsia="zh-CN"/>
        </w:rPr>
      </w:pPr>
      <w:r>
        <w:rPr>
          <w:i/>
          <w:lang w:val="fr-FR" w:eastAsia="zh-CN"/>
        </w:rPr>
        <w:t>“</w:t>
      </w:r>
      <w:r w:rsidR="00095EBB" w:rsidRPr="00025B3C">
        <w:rPr>
          <w:i/>
          <w:lang w:val="fr-FR" w:eastAsia="zh-CN"/>
        </w:rPr>
        <w:t>i)</w:t>
      </w:r>
      <w:r w:rsidR="00095EBB" w:rsidRPr="00025B3C">
        <w:rPr>
          <w:i/>
          <w:lang w:val="fr-FR" w:eastAsia="zh-CN"/>
        </w:rPr>
        <w:tab/>
        <w:t>de continuer à participer au groupe de travail sur l</w:t>
      </w:r>
      <w:r w:rsidR="006551E8">
        <w:rPr>
          <w:i/>
          <w:lang w:val="fr-FR" w:eastAsia="zh-CN"/>
        </w:rPr>
        <w:t>’</w:t>
      </w:r>
      <w:r w:rsidR="00095EBB" w:rsidRPr="00025B3C">
        <w:rPr>
          <w:i/>
          <w:lang w:val="fr-FR" w:eastAsia="zh-CN"/>
        </w:rPr>
        <w:t>assurance maladie après la cessation de service du Réseau Finances et Budget, et</w:t>
      </w:r>
    </w:p>
    <w:p w:rsidR="001C47DA" w:rsidRPr="00025B3C" w:rsidRDefault="008800C1" w:rsidP="00025B3C">
      <w:pPr>
        <w:pStyle w:val="ONUMFS"/>
        <w:numPr>
          <w:ilvl w:val="0"/>
          <w:numId w:val="0"/>
        </w:numPr>
        <w:ind w:left="567"/>
        <w:rPr>
          <w:i/>
          <w:lang w:val="fr-FR" w:eastAsia="zh-CN"/>
        </w:rPr>
      </w:pPr>
      <w:r>
        <w:rPr>
          <w:i/>
          <w:lang w:val="fr-FR" w:eastAsia="zh-CN"/>
        </w:rPr>
        <w:t>“</w:t>
      </w:r>
      <w:r w:rsidR="00095EBB" w:rsidRPr="00025B3C">
        <w:rPr>
          <w:i/>
          <w:lang w:val="fr-FR" w:eastAsia="zh-CN"/>
        </w:rPr>
        <w:t>ii)</w:t>
      </w:r>
      <w:r w:rsidR="00095EBB" w:rsidRPr="00025B3C">
        <w:rPr>
          <w:i/>
          <w:lang w:val="fr-FR" w:eastAsia="zh-CN"/>
        </w:rPr>
        <w:tab/>
        <w:t>d</w:t>
      </w:r>
      <w:r w:rsidR="006551E8">
        <w:rPr>
          <w:i/>
          <w:lang w:val="fr-FR" w:eastAsia="zh-CN"/>
        </w:rPr>
        <w:t>’</w:t>
      </w:r>
      <w:r w:rsidR="00095EBB" w:rsidRPr="00025B3C">
        <w:rPr>
          <w:i/>
          <w:lang w:val="fr-FR" w:eastAsia="zh-CN"/>
        </w:rPr>
        <w:t>assurer le suivi des propositions spécifiques qui seront présentées par le Secrétaire général à l</w:t>
      </w:r>
      <w:r w:rsidR="006551E8">
        <w:rPr>
          <w:i/>
          <w:lang w:val="fr-FR" w:eastAsia="zh-CN"/>
        </w:rPr>
        <w:t>’</w:t>
      </w:r>
      <w:r w:rsidR="00095EBB" w:rsidRPr="00025B3C">
        <w:rPr>
          <w:i/>
          <w:lang w:val="fr-FR" w:eastAsia="zh-CN"/>
        </w:rPr>
        <w:t xml:space="preserve">Assemblée générale des </w:t>
      </w:r>
      <w:r w:rsidR="006551E8">
        <w:rPr>
          <w:i/>
          <w:lang w:val="fr-FR" w:eastAsia="zh-CN"/>
        </w:rPr>
        <w:t>Nations Unies</w:t>
      </w:r>
      <w:r w:rsidR="00095EBB" w:rsidRPr="00025B3C">
        <w:rPr>
          <w:i/>
          <w:lang w:val="fr-FR" w:eastAsia="zh-CN"/>
        </w:rPr>
        <w:t xml:space="preserve"> à sa soixante</w:t>
      </w:r>
      <w:r w:rsidR="006551E8">
        <w:rPr>
          <w:i/>
          <w:lang w:val="fr-FR" w:eastAsia="zh-CN"/>
        </w:rPr>
        <w:t> et onzième session</w:t>
      </w:r>
      <w:r w:rsidR="00095EBB" w:rsidRPr="00025B3C">
        <w:rPr>
          <w:i/>
          <w:lang w:val="fr-FR" w:eastAsia="zh-CN"/>
        </w:rPr>
        <w:t xml:space="preserve"> et, sur la base de ces propositions, de présenter</w:t>
      </w:r>
      <w:r w:rsidR="005B1378" w:rsidRPr="00025B3C">
        <w:rPr>
          <w:i/>
          <w:lang w:val="fr-FR" w:eastAsia="zh-CN"/>
        </w:rPr>
        <w:t xml:space="preserve"> au PBC</w:t>
      </w:r>
      <w:r w:rsidR="00095EBB" w:rsidRPr="00025B3C">
        <w:rPr>
          <w:i/>
          <w:lang w:val="fr-FR" w:eastAsia="zh-CN"/>
        </w:rPr>
        <w:t xml:space="preserve"> à sa vingt</w:t>
      </w:r>
      <w:r w:rsidR="0077342A">
        <w:rPr>
          <w:i/>
          <w:lang w:val="fr-FR" w:eastAsia="zh-CN"/>
        </w:rPr>
        <w:noBreakHyphen/>
      </w:r>
      <w:r w:rsidR="00095EBB" w:rsidRPr="00025B3C">
        <w:rPr>
          <w:i/>
          <w:lang w:val="fr-FR" w:eastAsia="zh-CN"/>
        </w:rPr>
        <w:t>six</w:t>
      </w:r>
      <w:r w:rsidR="006551E8">
        <w:rPr>
          <w:i/>
          <w:lang w:val="fr-FR" w:eastAsia="zh-CN"/>
        </w:rPr>
        <w:t>ième session</w:t>
      </w:r>
      <w:r w:rsidR="00095EBB" w:rsidRPr="00025B3C">
        <w:rPr>
          <w:i/>
          <w:lang w:val="fr-FR" w:eastAsia="zh-CN"/>
        </w:rPr>
        <w:t xml:space="preserve"> des mesures concrètes, considérant que l</w:t>
      </w:r>
      <w:r w:rsidR="006551E8">
        <w:rPr>
          <w:i/>
          <w:lang w:val="fr-FR" w:eastAsia="zh-CN"/>
        </w:rPr>
        <w:t>’</w:t>
      </w:r>
      <w:r w:rsidR="00095EBB" w:rsidRPr="00025B3C">
        <w:rPr>
          <w:i/>
          <w:lang w:val="fr-FR" w:eastAsia="zh-CN"/>
        </w:rPr>
        <w:t xml:space="preserve">OMPI applique le régime commun des </w:t>
      </w:r>
      <w:r w:rsidR="006551E8">
        <w:rPr>
          <w:i/>
          <w:lang w:val="fr-FR" w:eastAsia="zh-CN"/>
        </w:rPr>
        <w:t>Nations Unies</w:t>
      </w:r>
      <w:r w:rsidR="00095EBB" w:rsidRPr="00025B3C">
        <w:rPr>
          <w:i/>
          <w:lang w:val="fr-FR" w:eastAsia="zh-CN"/>
        </w:rPr>
        <w:t>.</w:t>
      </w:r>
      <w:r>
        <w:rPr>
          <w:i/>
          <w:lang w:val="fr-FR" w:eastAsia="zh-CN"/>
        </w:rPr>
        <w:t>”</w:t>
      </w:r>
    </w:p>
    <w:p w:rsidR="00605E8F" w:rsidRPr="00025B3C" w:rsidRDefault="00095EBB" w:rsidP="00025B3C">
      <w:pPr>
        <w:pStyle w:val="Heading3"/>
        <w:rPr>
          <w:lang w:val="fr-FR" w:eastAsia="zh-CN"/>
        </w:rPr>
      </w:pPr>
      <w:r w:rsidRPr="00025B3C">
        <w:rPr>
          <w:lang w:val="fr-FR" w:eastAsia="zh-CN"/>
        </w:rPr>
        <w:t>Progrès accomplis par le Groupe de travail sur l</w:t>
      </w:r>
      <w:r w:rsidR="006551E8">
        <w:rPr>
          <w:lang w:val="fr-FR" w:eastAsia="zh-CN"/>
        </w:rPr>
        <w:t>’</w:t>
      </w:r>
      <w:r w:rsidRPr="00025B3C">
        <w:rPr>
          <w:lang w:val="fr-FR" w:eastAsia="zh-CN"/>
        </w:rPr>
        <w:t>AMCS</w:t>
      </w:r>
    </w:p>
    <w:p w:rsidR="00605E8F" w:rsidRPr="00025B3C" w:rsidRDefault="00605E8F" w:rsidP="00025B3C">
      <w:pPr>
        <w:keepNext/>
        <w:rPr>
          <w:rFonts w:eastAsia="SimSun"/>
          <w:szCs w:val="22"/>
          <w:lang w:val="fr-FR" w:eastAsia="zh-CN"/>
        </w:rPr>
      </w:pPr>
    </w:p>
    <w:p w:rsidR="00605E8F" w:rsidRPr="00025B3C" w:rsidRDefault="00BD08DA" w:rsidP="00025B3C">
      <w:pPr>
        <w:pStyle w:val="ONUMFS"/>
        <w:rPr>
          <w:lang w:val="fr-FR" w:eastAsia="zh-CN"/>
        </w:rPr>
      </w:pPr>
      <w:r w:rsidRPr="00025B3C">
        <w:rPr>
          <w:lang w:val="fr-FR" w:eastAsia="zh-CN"/>
        </w:rPr>
        <w:t>Dans l</w:t>
      </w:r>
      <w:r w:rsidR="00095EBB" w:rsidRPr="00025B3C">
        <w:rPr>
          <w:lang w:val="fr-FR" w:eastAsia="zh-CN"/>
        </w:rPr>
        <w:t>a résolution de l</w:t>
      </w:r>
      <w:r w:rsidR="006551E8">
        <w:rPr>
          <w:lang w:val="fr-FR" w:eastAsia="zh-CN"/>
        </w:rPr>
        <w:t>’</w:t>
      </w:r>
      <w:r w:rsidR="00095EBB" w:rsidRPr="00025B3C">
        <w:rPr>
          <w:lang w:val="fr-FR" w:eastAsia="zh-CN"/>
        </w:rPr>
        <w:t xml:space="preserve">Assemblée générale A/RES/68/244, adoptée en </w:t>
      </w:r>
      <w:r w:rsidR="005B1378" w:rsidRPr="00025B3C">
        <w:rPr>
          <w:lang w:val="fr-FR" w:eastAsia="zh-CN"/>
        </w:rPr>
        <w:t>décembre 20</w:t>
      </w:r>
      <w:r w:rsidR="00095EBB" w:rsidRPr="00025B3C">
        <w:rPr>
          <w:lang w:val="fr-FR" w:eastAsia="zh-CN"/>
        </w:rPr>
        <w:t xml:space="preserve">13, </w:t>
      </w:r>
      <w:r w:rsidRPr="00025B3C">
        <w:rPr>
          <w:lang w:val="fr-FR" w:eastAsia="zh-CN"/>
        </w:rPr>
        <w:t>il était demandé</w:t>
      </w:r>
      <w:r w:rsidR="00095EBB" w:rsidRPr="00025B3C">
        <w:rPr>
          <w:lang w:val="fr-FR" w:eastAsia="zh-CN"/>
        </w:rPr>
        <w:t xml:space="preserve"> au Secrétaire général de réaliser une étude sur les régimes d</w:t>
      </w:r>
      <w:r w:rsidR="006551E8">
        <w:rPr>
          <w:lang w:val="fr-FR" w:eastAsia="zh-CN"/>
        </w:rPr>
        <w:t>’</w:t>
      </w:r>
      <w:r w:rsidR="00095EBB" w:rsidRPr="00025B3C">
        <w:rPr>
          <w:lang w:val="fr-FR" w:eastAsia="zh-CN"/>
        </w:rPr>
        <w:t xml:space="preserve">assurance maladie </w:t>
      </w:r>
      <w:r w:rsidR="00095EBB" w:rsidRPr="00025B3C">
        <w:rPr>
          <w:lang w:val="fr-FR" w:eastAsia="zh-CN"/>
        </w:rPr>
        <w:lastRenderedPageBreak/>
        <w:t xml:space="preserve">en vigueur dans le système des </w:t>
      </w:r>
      <w:r w:rsidR="006551E8">
        <w:rPr>
          <w:lang w:val="fr-FR" w:eastAsia="zh-CN"/>
        </w:rPr>
        <w:t>Nations Unies</w:t>
      </w:r>
      <w:r w:rsidR="00095EBB" w:rsidRPr="00025B3C">
        <w:rPr>
          <w:lang w:val="fr-FR" w:eastAsia="zh-CN"/>
        </w:rPr>
        <w:t xml:space="preserve"> afin d</w:t>
      </w:r>
      <w:r w:rsidR="006551E8">
        <w:rPr>
          <w:lang w:val="fr-FR" w:eastAsia="zh-CN"/>
        </w:rPr>
        <w:t>’</w:t>
      </w:r>
      <w:r w:rsidR="00095EBB" w:rsidRPr="00025B3C">
        <w:rPr>
          <w:lang w:val="fr-FR" w:eastAsia="zh-CN"/>
        </w:rPr>
        <w:t>explorer toutes les possibilités d</w:t>
      </w:r>
      <w:r w:rsidR="006551E8">
        <w:rPr>
          <w:lang w:val="fr-FR" w:eastAsia="zh-CN"/>
        </w:rPr>
        <w:t>’</w:t>
      </w:r>
      <w:r w:rsidR="00095EBB" w:rsidRPr="00025B3C">
        <w:rPr>
          <w:lang w:val="fr-FR" w:eastAsia="zh-CN"/>
        </w:rPr>
        <w:t>accroître l</w:t>
      </w:r>
      <w:r w:rsidR="006551E8">
        <w:rPr>
          <w:lang w:val="fr-FR" w:eastAsia="zh-CN"/>
        </w:rPr>
        <w:t>’</w:t>
      </w:r>
      <w:r w:rsidR="00095EBB" w:rsidRPr="00025B3C">
        <w:rPr>
          <w:lang w:val="fr-FR" w:eastAsia="zh-CN"/>
        </w:rPr>
        <w:t>efficacité et de maîtriser les coûts, et d</w:t>
      </w:r>
      <w:r w:rsidR="006551E8">
        <w:rPr>
          <w:lang w:val="fr-FR" w:eastAsia="zh-CN"/>
        </w:rPr>
        <w:t>’</w:t>
      </w:r>
      <w:r w:rsidR="00095EBB" w:rsidRPr="00025B3C">
        <w:rPr>
          <w:lang w:val="fr-FR" w:eastAsia="zh-CN"/>
        </w:rPr>
        <w:t>examiner la possibilité d</w:t>
      </w:r>
      <w:r w:rsidR="006551E8">
        <w:rPr>
          <w:lang w:val="fr-FR" w:eastAsia="zh-CN"/>
        </w:rPr>
        <w:t>’</w:t>
      </w:r>
      <w:r w:rsidR="00095EBB" w:rsidRPr="00025B3C">
        <w:rPr>
          <w:lang w:val="fr-FR" w:eastAsia="zh-CN"/>
        </w:rPr>
        <w:t xml:space="preserve">élargir le mandat de la Caisse commune des pensions du personnel des </w:t>
      </w:r>
      <w:r w:rsidR="006551E8">
        <w:rPr>
          <w:lang w:val="fr-FR" w:eastAsia="zh-CN"/>
        </w:rPr>
        <w:t>Nations Unies</w:t>
      </w:r>
      <w:r w:rsidR="00095EBB" w:rsidRPr="00025B3C">
        <w:rPr>
          <w:lang w:val="fr-FR" w:eastAsia="zh-CN"/>
        </w:rPr>
        <w:t xml:space="preserve"> (CCPPNU) pour y inclure l</w:t>
      </w:r>
      <w:r w:rsidR="006551E8">
        <w:rPr>
          <w:lang w:val="fr-FR" w:eastAsia="zh-CN"/>
        </w:rPr>
        <w:t>’</w:t>
      </w:r>
      <w:r w:rsidR="00095EBB" w:rsidRPr="00025B3C">
        <w:rPr>
          <w:lang w:val="fr-FR" w:eastAsia="zh-CN"/>
        </w:rPr>
        <w:t>administration des prestations au titre de l</w:t>
      </w:r>
      <w:r w:rsidR="006551E8">
        <w:rPr>
          <w:lang w:val="fr-FR" w:eastAsia="zh-CN"/>
        </w:rPr>
        <w:t>’</w:t>
      </w:r>
      <w:r w:rsidR="00095EBB" w:rsidRPr="00025B3C">
        <w:rPr>
          <w:lang w:val="fr-FR" w:eastAsia="zh-CN"/>
        </w:rPr>
        <w:t>assurance maladie après la cessation de service, et de faire rapport à ce sujet à la soixante</w:t>
      </w:r>
      <w:r w:rsidR="0077342A">
        <w:rPr>
          <w:lang w:val="fr-FR" w:eastAsia="zh-CN"/>
        </w:rPr>
        <w:noBreakHyphen/>
      </w:r>
      <w:r w:rsidR="00095EBB" w:rsidRPr="00025B3C">
        <w:rPr>
          <w:lang w:val="fr-FR" w:eastAsia="zh-CN"/>
        </w:rPr>
        <w:t>dix</w:t>
      </w:r>
      <w:r w:rsidR="006551E8">
        <w:rPr>
          <w:lang w:val="fr-FR" w:eastAsia="zh-CN"/>
        </w:rPr>
        <w:t>ième session</w:t>
      </w:r>
      <w:r w:rsidR="00095EBB" w:rsidRPr="00025B3C">
        <w:rPr>
          <w:lang w:val="fr-FR" w:eastAsia="zh-CN"/>
        </w:rPr>
        <w:t xml:space="preserve"> de l</w:t>
      </w:r>
      <w:r w:rsidR="006551E8">
        <w:rPr>
          <w:lang w:val="fr-FR" w:eastAsia="zh-CN"/>
        </w:rPr>
        <w:t>’</w:t>
      </w:r>
      <w:r w:rsidR="00095EBB" w:rsidRPr="00025B3C">
        <w:rPr>
          <w:lang w:val="fr-FR" w:eastAsia="zh-CN"/>
        </w:rPr>
        <w:t>Assemblée généra</w:t>
      </w:r>
      <w:r w:rsidR="00BD2EDD" w:rsidRPr="00025B3C">
        <w:rPr>
          <w:lang w:val="fr-FR" w:eastAsia="zh-CN"/>
        </w:rPr>
        <w:t>le</w:t>
      </w:r>
      <w:r w:rsidR="00BD2EDD">
        <w:rPr>
          <w:lang w:val="fr-FR" w:eastAsia="zh-CN"/>
        </w:rPr>
        <w:t xml:space="preserve">.  </w:t>
      </w:r>
      <w:r w:rsidR="00BD2EDD" w:rsidRPr="00025B3C">
        <w:rPr>
          <w:lang w:val="fr-FR" w:eastAsia="zh-CN"/>
        </w:rPr>
        <w:t>Da</w:t>
      </w:r>
      <w:r w:rsidR="00095EBB" w:rsidRPr="00025B3C">
        <w:rPr>
          <w:lang w:val="fr-FR" w:eastAsia="zh-CN"/>
        </w:rPr>
        <w:t>ns cette optique, le Réseau Finances et Budget a créé un groupe de travail sur l</w:t>
      </w:r>
      <w:r w:rsidR="006551E8">
        <w:rPr>
          <w:lang w:val="fr-FR" w:eastAsia="zh-CN"/>
        </w:rPr>
        <w:t>’</w:t>
      </w:r>
      <w:r w:rsidR="00095EBB" w:rsidRPr="00025B3C">
        <w:rPr>
          <w:lang w:val="fr-FR" w:eastAsia="zh-CN"/>
        </w:rPr>
        <w:t xml:space="preserve">assurance maladie après la cessation de service, chargé de réaliser une étude de vaste portée sur cette question dans le cadre du système des </w:t>
      </w:r>
      <w:r w:rsidR="006551E8">
        <w:rPr>
          <w:lang w:val="fr-FR" w:eastAsia="zh-CN"/>
        </w:rPr>
        <w:t>Nations Unies</w:t>
      </w:r>
      <w:r w:rsidR="00095EBB" w:rsidRPr="00025B3C">
        <w:rPr>
          <w:lang w:val="fr-FR" w:eastAsia="zh-CN"/>
        </w:rPr>
        <w:t>.</w:t>
      </w:r>
    </w:p>
    <w:p w:rsidR="005B1378" w:rsidRPr="00025B3C" w:rsidRDefault="00095EBB" w:rsidP="00025B3C">
      <w:pPr>
        <w:pStyle w:val="ONUMFS"/>
        <w:rPr>
          <w:lang w:val="fr-FR"/>
        </w:rPr>
      </w:pPr>
      <w:r w:rsidRPr="00025B3C">
        <w:rPr>
          <w:lang w:val="fr-FR"/>
        </w:rPr>
        <w:t>Le groupe de travail a recensé les quatre</w:t>
      </w:r>
      <w:r w:rsidR="00FB4BFC" w:rsidRPr="00025B3C">
        <w:rPr>
          <w:lang w:val="fr-FR"/>
        </w:rPr>
        <w:t> </w:t>
      </w:r>
      <w:r w:rsidRPr="00025B3C">
        <w:rPr>
          <w:lang w:val="fr-FR"/>
        </w:rPr>
        <w:t>principaux domaines (ou piliers) à étudier ci</w:t>
      </w:r>
      <w:r w:rsidR="0077342A">
        <w:rPr>
          <w:lang w:val="fr-FR"/>
        </w:rPr>
        <w:noBreakHyphen/>
      </w:r>
      <w:r w:rsidRPr="00025B3C">
        <w:rPr>
          <w:lang w:val="fr-FR"/>
        </w:rPr>
        <w:t>après</w:t>
      </w:r>
      <w:r w:rsidR="006551E8">
        <w:rPr>
          <w:lang w:val="fr-FR"/>
        </w:rPr>
        <w:t> :</w:t>
      </w:r>
    </w:p>
    <w:p w:rsidR="005B1378" w:rsidRPr="00025B3C" w:rsidRDefault="00095EBB" w:rsidP="00025B3C">
      <w:pPr>
        <w:pStyle w:val="ONUMFS"/>
        <w:numPr>
          <w:ilvl w:val="0"/>
          <w:numId w:val="0"/>
        </w:numPr>
        <w:ind w:left="567"/>
        <w:rPr>
          <w:lang w:val="fr-FR"/>
        </w:rPr>
      </w:pPr>
      <w:r w:rsidRPr="00025B3C">
        <w:rPr>
          <w:lang w:val="fr-FR"/>
        </w:rPr>
        <w:t>Pilier A – Analyse des coûts et arrangements administratifs;</w:t>
      </w:r>
    </w:p>
    <w:p w:rsidR="005B1378" w:rsidRPr="00025B3C" w:rsidRDefault="00095EBB" w:rsidP="00025B3C">
      <w:pPr>
        <w:pStyle w:val="ONUMFS"/>
        <w:numPr>
          <w:ilvl w:val="0"/>
          <w:numId w:val="0"/>
        </w:numPr>
        <w:ind w:left="567"/>
        <w:rPr>
          <w:lang w:val="fr-FR"/>
        </w:rPr>
      </w:pPr>
      <w:r w:rsidRPr="00025B3C">
        <w:rPr>
          <w:lang w:val="fr-FR"/>
        </w:rPr>
        <w:t>Pilier B – Examen du cadre relatif à l</w:t>
      </w:r>
      <w:r w:rsidR="006551E8">
        <w:rPr>
          <w:lang w:val="fr-FR"/>
        </w:rPr>
        <w:t>’</w:t>
      </w:r>
      <w:r w:rsidRPr="00025B3C">
        <w:rPr>
          <w:lang w:val="fr-FR"/>
        </w:rPr>
        <w:t xml:space="preserve">assurance maladie après la cessation de service dans le système des </w:t>
      </w:r>
      <w:r w:rsidR="006551E8">
        <w:rPr>
          <w:lang w:val="fr-FR"/>
        </w:rPr>
        <w:t>Nations Unies</w:t>
      </w:r>
      <w:r w:rsidRPr="00025B3C">
        <w:rPr>
          <w:lang w:val="fr-FR"/>
        </w:rPr>
        <w:t>;</w:t>
      </w:r>
    </w:p>
    <w:p w:rsidR="00605E8F" w:rsidRPr="00025B3C" w:rsidRDefault="00095EBB" w:rsidP="00025B3C">
      <w:pPr>
        <w:pStyle w:val="ONUMFS"/>
        <w:numPr>
          <w:ilvl w:val="0"/>
          <w:numId w:val="0"/>
        </w:numPr>
        <w:ind w:left="567"/>
        <w:rPr>
          <w:lang w:val="fr-FR"/>
        </w:rPr>
      </w:pPr>
      <w:r w:rsidRPr="00025B3C">
        <w:rPr>
          <w:lang w:val="fr-FR"/>
        </w:rPr>
        <w:t>Pilier C – Détermination et déclaration du montant des engagements;  et</w:t>
      </w:r>
    </w:p>
    <w:p w:rsidR="00605E8F" w:rsidRPr="00025B3C" w:rsidRDefault="00095EBB" w:rsidP="00025B3C">
      <w:pPr>
        <w:pStyle w:val="ONUMFS"/>
        <w:numPr>
          <w:ilvl w:val="0"/>
          <w:numId w:val="0"/>
        </w:numPr>
        <w:ind w:left="567"/>
        <w:rPr>
          <w:lang w:val="fr-FR"/>
        </w:rPr>
      </w:pPr>
      <w:r w:rsidRPr="00025B3C">
        <w:rPr>
          <w:lang w:val="fr-FR"/>
        </w:rPr>
        <w:t>Pilier D – Stratégie de financement des engagements.</w:t>
      </w:r>
    </w:p>
    <w:p w:rsidR="00605E8F" w:rsidRPr="00025B3C" w:rsidRDefault="00095EBB" w:rsidP="00025B3C">
      <w:pPr>
        <w:pStyle w:val="ONUMFS"/>
        <w:rPr>
          <w:rFonts w:eastAsia="SimSun"/>
          <w:lang w:val="fr-FR" w:eastAsia="zh-CN"/>
        </w:rPr>
      </w:pPr>
      <w:r w:rsidRPr="00025B3C">
        <w:rPr>
          <w:lang w:val="fr-FR"/>
        </w:rPr>
        <w:t>L</w:t>
      </w:r>
      <w:r w:rsidR="006551E8">
        <w:rPr>
          <w:lang w:val="fr-FR"/>
        </w:rPr>
        <w:t>’</w:t>
      </w:r>
      <w:r w:rsidRPr="00025B3C">
        <w:rPr>
          <w:lang w:val="fr-FR"/>
        </w:rPr>
        <w:t>étude a donné un aperçu très complet de la situation actuelle des régimes d</w:t>
      </w:r>
      <w:r w:rsidR="006551E8">
        <w:rPr>
          <w:lang w:val="fr-FR"/>
        </w:rPr>
        <w:t>’</w:t>
      </w:r>
      <w:r w:rsidRPr="00025B3C">
        <w:rPr>
          <w:lang w:val="fr-FR"/>
        </w:rPr>
        <w:t>assurance maladie ainsi que des fonds et des obligations de chaque agence, fournissant le fondement pour un examen plus approfondi des possibilités d</w:t>
      </w:r>
      <w:r w:rsidR="006551E8">
        <w:rPr>
          <w:lang w:val="fr-FR"/>
        </w:rPr>
        <w:t>’</w:t>
      </w:r>
      <w:r w:rsidRPr="00025B3C">
        <w:rPr>
          <w:lang w:val="fr-FR"/>
        </w:rPr>
        <w:t>accroître l</w:t>
      </w:r>
      <w:r w:rsidR="006551E8">
        <w:rPr>
          <w:lang w:val="fr-FR"/>
        </w:rPr>
        <w:t>’</w:t>
      </w:r>
      <w:r w:rsidRPr="00025B3C">
        <w:rPr>
          <w:lang w:val="fr-FR"/>
        </w:rPr>
        <w:t>efficacité et de maîtriser les coû</w:t>
      </w:r>
      <w:r w:rsidR="00BD2EDD" w:rsidRPr="00025B3C">
        <w:rPr>
          <w:lang w:val="fr-FR"/>
        </w:rPr>
        <w:t>ts</w:t>
      </w:r>
      <w:r w:rsidR="00BD2EDD">
        <w:rPr>
          <w:lang w:val="fr-FR"/>
        </w:rPr>
        <w:t xml:space="preserve">.  </w:t>
      </w:r>
      <w:r w:rsidR="00BD2EDD" w:rsidRPr="00025B3C">
        <w:rPr>
          <w:lang w:val="fr-FR"/>
        </w:rPr>
        <w:t>Un</w:t>
      </w:r>
      <w:r w:rsidRPr="00025B3C">
        <w:rPr>
          <w:lang w:val="fr-FR"/>
        </w:rPr>
        <w:t xml:space="preserve"> rapport sur le résultat de l</w:t>
      </w:r>
      <w:r w:rsidR="006551E8">
        <w:rPr>
          <w:lang w:val="fr-FR"/>
        </w:rPr>
        <w:t>’</w:t>
      </w:r>
      <w:r w:rsidRPr="00025B3C">
        <w:rPr>
          <w:lang w:val="fr-FR"/>
        </w:rPr>
        <w:t>étude a été établi par le groupe de travail et soumis à la soixante</w:t>
      </w:r>
      <w:r w:rsidR="0077342A">
        <w:rPr>
          <w:lang w:val="fr-FR"/>
        </w:rPr>
        <w:noBreakHyphen/>
      </w:r>
      <w:r w:rsidRPr="00025B3C">
        <w:rPr>
          <w:lang w:val="fr-FR"/>
        </w:rPr>
        <w:t>dix</w:t>
      </w:r>
      <w:r w:rsidR="006551E8">
        <w:rPr>
          <w:lang w:val="fr-FR"/>
        </w:rPr>
        <w:t>ième session</w:t>
      </w:r>
      <w:r w:rsidRPr="00025B3C">
        <w:rPr>
          <w:lang w:val="fr-FR"/>
        </w:rPr>
        <w:t xml:space="preserve"> de l</w:t>
      </w:r>
      <w:r w:rsidR="006551E8">
        <w:rPr>
          <w:lang w:val="fr-FR"/>
        </w:rPr>
        <w:t>’</w:t>
      </w:r>
      <w:r w:rsidRPr="00025B3C">
        <w:rPr>
          <w:lang w:val="fr-FR"/>
        </w:rPr>
        <w:t>Assemblée générale sous la forme d</w:t>
      </w:r>
      <w:r w:rsidR="006551E8">
        <w:rPr>
          <w:lang w:val="fr-FR"/>
        </w:rPr>
        <w:t>’</w:t>
      </w:r>
      <w:r w:rsidRPr="00025B3C">
        <w:rPr>
          <w:lang w:val="fr-FR"/>
        </w:rPr>
        <w:t>un rapport du Secrétaire général (A/70/590).</w:t>
      </w:r>
    </w:p>
    <w:p w:rsidR="005B1378" w:rsidRPr="00025B3C" w:rsidRDefault="00095EBB" w:rsidP="00025B3C">
      <w:pPr>
        <w:pStyle w:val="ONUMFS"/>
        <w:rPr>
          <w:lang w:val="fr-FR"/>
        </w:rPr>
      </w:pPr>
      <w:r w:rsidRPr="00025B3C">
        <w:rPr>
          <w:lang w:val="fr-FR"/>
        </w:rPr>
        <w:t>Le rapport a donné un aperçu et une analyse des éléments clés des régimes d</w:t>
      </w:r>
      <w:r w:rsidR="006551E8">
        <w:rPr>
          <w:lang w:val="fr-FR"/>
        </w:rPr>
        <w:t>’</w:t>
      </w:r>
      <w:r w:rsidRPr="00025B3C">
        <w:rPr>
          <w:lang w:val="fr-FR"/>
        </w:rPr>
        <w:t xml:space="preserve">assurance maladie appliqués dans tout le système des </w:t>
      </w:r>
      <w:r w:rsidR="006551E8">
        <w:rPr>
          <w:lang w:val="fr-FR"/>
        </w:rPr>
        <w:t>Nations Unies</w:t>
      </w:r>
      <w:r w:rsidRPr="00025B3C">
        <w:rPr>
          <w:lang w:val="fr-FR"/>
        </w:rPr>
        <w:t>, mettant l</w:t>
      </w:r>
      <w:r w:rsidR="006551E8">
        <w:rPr>
          <w:lang w:val="fr-FR"/>
        </w:rPr>
        <w:t>’</w:t>
      </w:r>
      <w:r w:rsidRPr="00025B3C">
        <w:rPr>
          <w:lang w:val="fr-FR"/>
        </w:rPr>
        <w:t>accent sur la gestion et l</w:t>
      </w:r>
      <w:r w:rsidR="006551E8">
        <w:rPr>
          <w:lang w:val="fr-FR"/>
        </w:rPr>
        <w:t>’</w:t>
      </w:r>
      <w:r w:rsidRPr="00025B3C">
        <w:rPr>
          <w:lang w:val="fr-FR"/>
        </w:rPr>
        <w:t>actualisation du montant des engagements au titre de l</w:t>
      </w:r>
      <w:r w:rsidR="006551E8">
        <w:rPr>
          <w:lang w:val="fr-FR"/>
        </w:rPr>
        <w:t>’</w:t>
      </w:r>
      <w:r w:rsidRPr="00025B3C">
        <w:rPr>
          <w:lang w:val="fr-FR"/>
        </w:rPr>
        <w:t>AMCS, et a présenté huit</w:t>
      </w:r>
      <w:r w:rsidR="00FB4BFC" w:rsidRPr="00025B3C">
        <w:rPr>
          <w:lang w:val="fr-FR"/>
        </w:rPr>
        <w:t> </w:t>
      </w:r>
      <w:r w:rsidRPr="00025B3C">
        <w:rPr>
          <w:lang w:val="fr-FR"/>
        </w:rPr>
        <w:t>recommandatio</w:t>
      </w:r>
      <w:r w:rsidR="00BD2EDD" w:rsidRPr="00025B3C">
        <w:rPr>
          <w:lang w:val="fr-FR"/>
        </w:rPr>
        <w:t>ns</w:t>
      </w:r>
      <w:r w:rsidR="00BD2EDD">
        <w:rPr>
          <w:lang w:val="fr-FR"/>
        </w:rPr>
        <w:t xml:space="preserve">.  </w:t>
      </w:r>
      <w:r w:rsidR="00BD2EDD" w:rsidRPr="00025B3C">
        <w:rPr>
          <w:lang w:val="fr-FR"/>
        </w:rPr>
        <w:t>Le</w:t>
      </w:r>
      <w:r w:rsidRPr="00025B3C">
        <w:rPr>
          <w:lang w:val="fr-FR"/>
        </w:rPr>
        <w:t xml:space="preserve"> rapport a d</w:t>
      </w:r>
      <w:r w:rsidR="006551E8">
        <w:rPr>
          <w:lang w:val="fr-FR"/>
        </w:rPr>
        <w:t>’</w:t>
      </w:r>
      <w:r w:rsidRPr="00025B3C">
        <w:rPr>
          <w:lang w:val="fr-FR"/>
        </w:rPr>
        <w:t>abord été examiné par le Comité consultatif pour les questions administratives et budgétaires (CCQAB).</w:t>
      </w:r>
      <w:r w:rsidR="00F97996" w:rsidRPr="00025B3C">
        <w:rPr>
          <w:lang w:val="fr-FR"/>
        </w:rPr>
        <w:t xml:space="preserve"> </w:t>
      </w:r>
      <w:r w:rsidR="00FB4BFC" w:rsidRPr="00025B3C">
        <w:rPr>
          <w:lang w:val="fr-FR"/>
        </w:rPr>
        <w:t xml:space="preserve"> </w:t>
      </w:r>
      <w:r w:rsidRPr="00025B3C">
        <w:rPr>
          <w:lang w:val="fr-FR"/>
        </w:rPr>
        <w:t>Les huit</w:t>
      </w:r>
      <w:r w:rsidR="00FB4BFC" w:rsidRPr="00025B3C">
        <w:rPr>
          <w:lang w:val="fr-FR"/>
        </w:rPr>
        <w:t> </w:t>
      </w:r>
      <w:r w:rsidRPr="00025B3C">
        <w:rPr>
          <w:lang w:val="fr-FR"/>
        </w:rPr>
        <w:t xml:space="preserve">recommandations, ainsi que les conclusions et recommandations </w:t>
      </w:r>
      <w:r w:rsidR="00B0190F" w:rsidRPr="00025B3C">
        <w:rPr>
          <w:lang w:val="fr-FR"/>
        </w:rPr>
        <w:t>correspondantes</w:t>
      </w:r>
      <w:r w:rsidR="005B1378" w:rsidRPr="00025B3C">
        <w:rPr>
          <w:lang w:val="fr-FR"/>
        </w:rPr>
        <w:t xml:space="preserve"> du CCQ</w:t>
      </w:r>
      <w:r w:rsidRPr="00025B3C">
        <w:rPr>
          <w:lang w:val="fr-FR"/>
        </w:rPr>
        <w:t xml:space="preserve">AB, </w:t>
      </w:r>
      <w:r w:rsidR="00B0190F" w:rsidRPr="00025B3C">
        <w:rPr>
          <w:lang w:val="fr-FR"/>
        </w:rPr>
        <w:t>sont reproduites</w:t>
      </w:r>
      <w:r w:rsidRPr="00025B3C">
        <w:rPr>
          <w:lang w:val="fr-FR"/>
        </w:rPr>
        <w:t xml:space="preserve"> </w:t>
      </w:r>
      <w:r w:rsidR="00B0190F" w:rsidRPr="00025B3C">
        <w:rPr>
          <w:lang w:val="fr-FR"/>
        </w:rPr>
        <w:t>dans</w:t>
      </w:r>
      <w:r w:rsidRPr="00025B3C">
        <w:rPr>
          <w:lang w:val="fr-FR"/>
        </w:rPr>
        <w:t xml:space="preserve"> l</w:t>
      </w:r>
      <w:r w:rsidR="006551E8">
        <w:rPr>
          <w:lang w:val="fr-FR"/>
        </w:rPr>
        <w:t>’</w:t>
      </w:r>
      <w:r w:rsidRPr="00025B3C">
        <w:rPr>
          <w:lang w:val="fr-FR"/>
        </w:rPr>
        <w:t>annexe I.</w:t>
      </w:r>
      <w:r w:rsidR="00704AD8">
        <w:rPr>
          <w:lang w:val="fr-FR"/>
        </w:rPr>
        <w:t xml:space="preserve">  </w:t>
      </w:r>
      <w:r w:rsidR="005B1378" w:rsidRPr="00025B3C">
        <w:rPr>
          <w:lang w:val="fr-FR"/>
        </w:rPr>
        <w:t>Le CCQ</w:t>
      </w:r>
      <w:r w:rsidRPr="00025B3C">
        <w:rPr>
          <w:lang w:val="fr-FR"/>
        </w:rPr>
        <w:t>AB a également recommandé que l</w:t>
      </w:r>
      <w:r w:rsidR="006551E8">
        <w:rPr>
          <w:lang w:val="fr-FR"/>
        </w:rPr>
        <w:t>’</w:t>
      </w:r>
      <w:r w:rsidRPr="00025B3C">
        <w:rPr>
          <w:lang w:val="fr-FR"/>
        </w:rPr>
        <w:t>Assemblée générale demande au Secrétaire général de maintenir le groupe de travail afin d</w:t>
      </w:r>
      <w:r w:rsidR="006551E8">
        <w:rPr>
          <w:lang w:val="fr-FR"/>
        </w:rPr>
        <w:t>’</w:t>
      </w:r>
      <w:r w:rsidRPr="00025B3C">
        <w:rPr>
          <w:lang w:val="fr-FR"/>
        </w:rPr>
        <w:t>étudier d</w:t>
      </w:r>
      <w:r w:rsidR="006551E8">
        <w:rPr>
          <w:lang w:val="fr-FR"/>
        </w:rPr>
        <w:t>’</w:t>
      </w:r>
      <w:r w:rsidRPr="00025B3C">
        <w:rPr>
          <w:lang w:val="fr-FR"/>
        </w:rPr>
        <w:t>autres possibilités d</w:t>
      </w:r>
      <w:r w:rsidR="006551E8">
        <w:rPr>
          <w:lang w:val="fr-FR"/>
        </w:rPr>
        <w:t>’</w:t>
      </w:r>
      <w:r w:rsidRPr="00025B3C">
        <w:rPr>
          <w:lang w:val="fr-FR"/>
        </w:rPr>
        <w:t>accroître l</w:t>
      </w:r>
      <w:r w:rsidR="006551E8">
        <w:rPr>
          <w:lang w:val="fr-FR"/>
        </w:rPr>
        <w:t>’</w:t>
      </w:r>
      <w:r w:rsidRPr="00025B3C">
        <w:rPr>
          <w:lang w:val="fr-FR"/>
        </w:rPr>
        <w:t>efficacité et de maîtriser les coûts.</w:t>
      </w:r>
    </w:p>
    <w:p w:rsidR="00605E8F" w:rsidRPr="00025B3C" w:rsidRDefault="00095EBB" w:rsidP="00025B3C">
      <w:pPr>
        <w:pStyle w:val="ONUMFS"/>
        <w:rPr>
          <w:rFonts w:eastAsia="SimSun"/>
          <w:lang w:val="fr-FR" w:eastAsia="zh-CN"/>
        </w:rPr>
      </w:pPr>
      <w:r w:rsidRPr="00025B3C">
        <w:rPr>
          <w:lang w:val="fr-FR"/>
        </w:rPr>
        <w:t>Le rapport du Secrétaire général, ainsi que le rapport</w:t>
      </w:r>
      <w:r w:rsidR="00B0190F" w:rsidRPr="00025B3C">
        <w:rPr>
          <w:lang w:val="fr-FR"/>
        </w:rPr>
        <w:t xml:space="preserve"> connexe</w:t>
      </w:r>
      <w:r w:rsidR="005B1378" w:rsidRPr="00025B3C">
        <w:rPr>
          <w:lang w:val="fr-FR"/>
        </w:rPr>
        <w:t xml:space="preserve"> du CCQ</w:t>
      </w:r>
      <w:r w:rsidRPr="00025B3C">
        <w:rPr>
          <w:lang w:val="fr-FR"/>
        </w:rPr>
        <w:t>AB (A/70/7/Add.42), ont été examinés par l</w:t>
      </w:r>
      <w:r w:rsidR="006551E8">
        <w:rPr>
          <w:lang w:val="fr-FR"/>
        </w:rPr>
        <w:t>’</w:t>
      </w:r>
      <w:r w:rsidRPr="00025B3C">
        <w:rPr>
          <w:lang w:val="fr-FR"/>
        </w:rPr>
        <w:t>Assemblée générale en mars 2016.</w:t>
      </w:r>
      <w:r w:rsidR="00F43D51" w:rsidRPr="00025B3C">
        <w:rPr>
          <w:lang w:val="fr-FR"/>
        </w:rPr>
        <w:t xml:space="preserve"> </w:t>
      </w:r>
      <w:r w:rsidR="00FB4BFC" w:rsidRPr="00025B3C">
        <w:rPr>
          <w:lang w:val="fr-FR"/>
        </w:rPr>
        <w:t xml:space="preserve"> </w:t>
      </w:r>
      <w:r w:rsidRPr="00025B3C">
        <w:rPr>
          <w:lang w:val="fr-FR"/>
        </w:rPr>
        <w:t>L</w:t>
      </w:r>
      <w:r w:rsidR="006551E8">
        <w:rPr>
          <w:lang w:val="fr-FR"/>
        </w:rPr>
        <w:t>’</w:t>
      </w:r>
      <w:r w:rsidRPr="00025B3C">
        <w:rPr>
          <w:lang w:val="fr-FR"/>
        </w:rPr>
        <w:t>Assemblée générale a pris note du rapport du Secrétaire général et a fait siennes les conclusions et recommandations que</w:t>
      </w:r>
      <w:r w:rsidR="005B1378" w:rsidRPr="00025B3C">
        <w:rPr>
          <w:lang w:val="fr-FR"/>
        </w:rPr>
        <w:t xml:space="preserve"> le CCQ</w:t>
      </w:r>
      <w:r w:rsidRPr="00025B3C">
        <w:rPr>
          <w:lang w:val="fr-FR"/>
        </w:rPr>
        <w:t>AB avait formulées dans son rappo</w:t>
      </w:r>
      <w:r w:rsidR="00BD2EDD" w:rsidRPr="00025B3C">
        <w:rPr>
          <w:lang w:val="fr-FR"/>
        </w:rPr>
        <w:t>rt</w:t>
      </w:r>
      <w:r w:rsidR="00BD2EDD">
        <w:rPr>
          <w:lang w:val="fr-FR"/>
        </w:rPr>
        <w:t xml:space="preserve">.  </w:t>
      </w:r>
      <w:r w:rsidR="00BD2EDD" w:rsidRPr="00025B3C">
        <w:rPr>
          <w:lang w:val="fr-FR"/>
        </w:rPr>
        <w:t>En</w:t>
      </w:r>
      <w:r w:rsidRPr="00025B3C">
        <w:rPr>
          <w:lang w:val="fr-FR"/>
        </w:rPr>
        <w:t xml:space="preserve"> conséquence, le groupe de travail a poursuivi ses activités et, pour le reste de l</w:t>
      </w:r>
      <w:r w:rsidR="006551E8">
        <w:rPr>
          <w:lang w:val="fr-FR"/>
        </w:rPr>
        <w:t>’</w:t>
      </w:r>
      <w:r w:rsidRPr="00025B3C">
        <w:rPr>
          <w:lang w:val="fr-FR"/>
        </w:rPr>
        <w:t>année 2016, a fait en sorte d</w:t>
      </w:r>
      <w:r w:rsidR="006551E8">
        <w:rPr>
          <w:lang w:val="fr-FR"/>
        </w:rPr>
        <w:t>’</w:t>
      </w:r>
      <w:r w:rsidRPr="00025B3C">
        <w:rPr>
          <w:lang w:val="fr-FR"/>
        </w:rPr>
        <w:t>approfondir ses travaux sur chacune des huit recommandations existantes.</w:t>
      </w:r>
    </w:p>
    <w:p w:rsidR="005B1378" w:rsidRPr="00025B3C" w:rsidRDefault="00842AF0" w:rsidP="00025B3C">
      <w:pPr>
        <w:pStyle w:val="ONUMFS"/>
        <w:rPr>
          <w:rFonts w:eastAsia="SimSun"/>
          <w:lang w:val="fr-FR" w:eastAsia="zh-CN"/>
        </w:rPr>
      </w:pPr>
      <w:r w:rsidRPr="00025B3C">
        <w:rPr>
          <w:rFonts w:eastAsia="SimSun"/>
          <w:lang w:val="fr-FR" w:eastAsia="zh-CN"/>
        </w:rPr>
        <w:t>Un rapport sur ces nouveaux travaux a été établi par le groupe de travail et présenté par le Secrétaire général à la soixante</w:t>
      </w:r>
      <w:r w:rsidR="006551E8">
        <w:rPr>
          <w:rFonts w:eastAsia="SimSun"/>
          <w:lang w:val="fr-FR" w:eastAsia="zh-CN"/>
        </w:rPr>
        <w:t> et onzième session</w:t>
      </w:r>
      <w:r w:rsidRPr="00025B3C">
        <w:rPr>
          <w:rFonts w:eastAsia="SimSun"/>
          <w:lang w:val="fr-FR" w:eastAsia="zh-CN"/>
        </w:rPr>
        <w:t xml:space="preserve"> de l</w:t>
      </w:r>
      <w:r w:rsidR="006551E8">
        <w:rPr>
          <w:rFonts w:eastAsia="SimSun"/>
          <w:lang w:val="fr-FR" w:eastAsia="zh-CN"/>
        </w:rPr>
        <w:t>’</w:t>
      </w:r>
      <w:r w:rsidRPr="00025B3C">
        <w:rPr>
          <w:rFonts w:eastAsia="SimSun"/>
          <w:lang w:val="fr-FR" w:eastAsia="zh-CN"/>
        </w:rPr>
        <w:t>Assemblée générale (A/71/698).</w:t>
      </w:r>
      <w:r w:rsidR="006948E1" w:rsidRPr="00025B3C">
        <w:rPr>
          <w:rFonts w:eastAsia="SimSun"/>
          <w:lang w:val="fr-FR" w:eastAsia="zh-CN"/>
        </w:rPr>
        <w:t xml:space="preserve">  </w:t>
      </w:r>
      <w:r w:rsidRPr="00025B3C">
        <w:rPr>
          <w:rFonts w:eastAsia="SimSun"/>
          <w:lang w:val="fr-FR" w:eastAsia="zh-CN"/>
        </w:rPr>
        <w:t xml:space="preserve">Le rapport contenait à la fois une mise à jour de </w:t>
      </w:r>
      <w:r w:rsidR="001C47DA" w:rsidRPr="00025B3C">
        <w:rPr>
          <w:rFonts w:eastAsia="SimSun"/>
          <w:lang w:val="fr-FR" w:eastAsia="zh-CN"/>
        </w:rPr>
        <w:t>l</w:t>
      </w:r>
      <w:r w:rsidR="006551E8">
        <w:rPr>
          <w:rFonts w:eastAsia="SimSun"/>
          <w:lang w:val="fr-FR" w:eastAsia="zh-CN"/>
        </w:rPr>
        <w:t>’</w:t>
      </w:r>
      <w:r w:rsidR="001C47DA" w:rsidRPr="00025B3C">
        <w:rPr>
          <w:rFonts w:eastAsia="SimSun"/>
          <w:lang w:val="fr-FR" w:eastAsia="zh-CN"/>
        </w:rPr>
        <w:t>état</w:t>
      </w:r>
      <w:r w:rsidRPr="00025B3C">
        <w:rPr>
          <w:rFonts w:eastAsia="SimSun"/>
          <w:lang w:val="fr-FR" w:eastAsia="zh-CN"/>
        </w:rPr>
        <w:t xml:space="preserve"> d</w:t>
      </w:r>
      <w:r w:rsidR="006551E8">
        <w:rPr>
          <w:rFonts w:eastAsia="SimSun"/>
          <w:lang w:val="fr-FR" w:eastAsia="zh-CN"/>
        </w:rPr>
        <w:t>’</w:t>
      </w:r>
      <w:r w:rsidRPr="00025B3C">
        <w:rPr>
          <w:rFonts w:eastAsia="SimSun"/>
          <w:lang w:val="fr-FR" w:eastAsia="zh-CN"/>
        </w:rPr>
        <w:t>avancement des travaux et sept</w:t>
      </w:r>
      <w:r w:rsidR="00FB4BFC" w:rsidRPr="00025B3C">
        <w:rPr>
          <w:rFonts w:eastAsia="SimSun"/>
          <w:lang w:val="fr-FR" w:eastAsia="zh-CN"/>
        </w:rPr>
        <w:t> </w:t>
      </w:r>
      <w:r w:rsidRPr="00025B3C">
        <w:rPr>
          <w:rFonts w:eastAsia="SimSun"/>
          <w:lang w:val="fr-FR" w:eastAsia="zh-CN"/>
        </w:rPr>
        <w:t>nouvelles recommandations (</w:t>
      </w:r>
      <w:r w:rsidR="00B0190F" w:rsidRPr="00025B3C">
        <w:rPr>
          <w:rFonts w:eastAsia="SimSun"/>
          <w:lang w:val="fr-FR" w:eastAsia="zh-CN"/>
        </w:rPr>
        <w:t>de </w:t>
      </w:r>
      <w:r w:rsidRPr="00025B3C">
        <w:rPr>
          <w:rFonts w:eastAsia="SimSun"/>
          <w:lang w:val="fr-FR" w:eastAsia="zh-CN"/>
        </w:rPr>
        <w:t>A</w:t>
      </w:r>
      <w:r w:rsidR="00B0190F" w:rsidRPr="00025B3C">
        <w:rPr>
          <w:rFonts w:eastAsia="SimSun"/>
          <w:lang w:val="fr-FR" w:eastAsia="zh-CN"/>
        </w:rPr>
        <w:t xml:space="preserve"> à </w:t>
      </w:r>
      <w:r w:rsidRPr="00025B3C">
        <w:rPr>
          <w:rFonts w:eastAsia="SimSun"/>
          <w:lang w:val="fr-FR" w:eastAsia="zh-CN"/>
        </w:rPr>
        <w:t>G) relatives aux huit recommandations existantes faites une année auparava</w:t>
      </w:r>
      <w:r w:rsidR="00BD2EDD" w:rsidRPr="00025B3C">
        <w:rPr>
          <w:rFonts w:eastAsia="SimSun"/>
          <w:lang w:val="fr-FR" w:eastAsia="zh-CN"/>
        </w:rPr>
        <w:t>nt</w:t>
      </w:r>
      <w:r w:rsidR="00BD2EDD">
        <w:rPr>
          <w:rFonts w:eastAsia="SimSun"/>
          <w:lang w:val="fr-FR" w:eastAsia="zh-CN"/>
        </w:rPr>
        <w:t xml:space="preserve">.  </w:t>
      </w:r>
      <w:r w:rsidR="00BD2EDD" w:rsidRPr="00025B3C">
        <w:rPr>
          <w:rFonts w:eastAsia="SimSun"/>
          <w:lang w:val="fr-FR" w:eastAsia="zh-CN"/>
        </w:rPr>
        <w:t>Ce</w:t>
      </w:r>
      <w:r w:rsidR="00B0190F" w:rsidRPr="00025B3C">
        <w:rPr>
          <w:rFonts w:eastAsia="SimSun"/>
          <w:lang w:val="fr-FR" w:eastAsia="zh-CN"/>
        </w:rPr>
        <w:t>tt</w:t>
      </w:r>
      <w:r w:rsidR="0000772C" w:rsidRPr="00025B3C">
        <w:rPr>
          <w:rFonts w:eastAsia="SimSun"/>
          <w:lang w:val="fr-FR" w:eastAsia="zh-CN"/>
        </w:rPr>
        <w:t xml:space="preserve">e </w:t>
      </w:r>
      <w:r w:rsidR="00B0190F" w:rsidRPr="00025B3C">
        <w:rPr>
          <w:rFonts w:eastAsia="SimSun"/>
          <w:lang w:val="fr-FR" w:eastAsia="zh-CN"/>
        </w:rPr>
        <w:t>fois encore</w:t>
      </w:r>
      <w:r w:rsidR="0000772C" w:rsidRPr="00025B3C">
        <w:rPr>
          <w:rFonts w:eastAsia="SimSun"/>
          <w:lang w:val="fr-FR" w:eastAsia="zh-CN"/>
        </w:rPr>
        <w:t xml:space="preserve">, le rapport a </w:t>
      </w:r>
      <w:r w:rsidR="00B0190F" w:rsidRPr="00025B3C">
        <w:rPr>
          <w:rFonts w:eastAsia="SimSun"/>
          <w:lang w:val="fr-FR" w:eastAsia="zh-CN"/>
        </w:rPr>
        <w:t>d</w:t>
      </w:r>
      <w:r w:rsidR="006551E8">
        <w:rPr>
          <w:rFonts w:eastAsia="SimSun"/>
          <w:lang w:val="fr-FR" w:eastAsia="zh-CN"/>
        </w:rPr>
        <w:t>’</w:t>
      </w:r>
      <w:r w:rsidR="00B0190F" w:rsidRPr="00025B3C">
        <w:rPr>
          <w:rFonts w:eastAsia="SimSun"/>
          <w:lang w:val="fr-FR" w:eastAsia="zh-CN"/>
        </w:rPr>
        <w:t xml:space="preserve">abord </w:t>
      </w:r>
      <w:r w:rsidR="0000772C" w:rsidRPr="00025B3C">
        <w:rPr>
          <w:rFonts w:eastAsia="SimSun"/>
          <w:lang w:val="fr-FR" w:eastAsia="zh-CN"/>
        </w:rPr>
        <w:t>été examiné par</w:t>
      </w:r>
      <w:r w:rsidR="005B1378" w:rsidRPr="00025B3C">
        <w:rPr>
          <w:rFonts w:eastAsia="SimSun"/>
          <w:lang w:val="fr-FR" w:eastAsia="zh-CN"/>
        </w:rPr>
        <w:t xml:space="preserve"> le CC</w:t>
      </w:r>
      <w:r w:rsidR="00BD2EDD" w:rsidRPr="00025B3C">
        <w:rPr>
          <w:rFonts w:eastAsia="SimSun"/>
          <w:lang w:val="fr-FR" w:eastAsia="zh-CN"/>
        </w:rPr>
        <w:t>QAB</w:t>
      </w:r>
      <w:r w:rsidR="00BD2EDD">
        <w:rPr>
          <w:rFonts w:eastAsia="SimSun"/>
          <w:lang w:val="fr-FR" w:eastAsia="zh-CN"/>
        </w:rPr>
        <w:t xml:space="preserve">.  </w:t>
      </w:r>
      <w:r w:rsidR="00BD2EDD" w:rsidRPr="00025B3C">
        <w:rPr>
          <w:rFonts w:eastAsia="SimSun"/>
          <w:lang w:val="fr-FR" w:eastAsia="zh-CN"/>
        </w:rPr>
        <w:t>Le</w:t>
      </w:r>
      <w:r w:rsidR="0000772C" w:rsidRPr="00025B3C">
        <w:rPr>
          <w:rFonts w:eastAsia="SimSun"/>
          <w:lang w:val="fr-FR" w:eastAsia="zh-CN"/>
        </w:rPr>
        <w:t>s nouvelles recommandations (à l</w:t>
      </w:r>
      <w:r w:rsidR="006551E8">
        <w:rPr>
          <w:rFonts w:eastAsia="SimSun"/>
          <w:lang w:val="fr-FR" w:eastAsia="zh-CN"/>
        </w:rPr>
        <w:t>’</w:t>
      </w:r>
      <w:r w:rsidR="0000772C" w:rsidRPr="00025B3C">
        <w:rPr>
          <w:rFonts w:eastAsia="SimSun"/>
          <w:lang w:val="fr-FR" w:eastAsia="zh-CN"/>
        </w:rPr>
        <w:t xml:space="preserve">exception de la recommandation F qui est propre aux </w:t>
      </w:r>
      <w:r w:rsidR="006551E8">
        <w:rPr>
          <w:rFonts w:eastAsia="SimSun"/>
          <w:lang w:val="fr-FR" w:eastAsia="zh-CN"/>
        </w:rPr>
        <w:t>Nations Unies</w:t>
      </w:r>
      <w:r w:rsidR="0000772C" w:rsidRPr="00025B3C">
        <w:rPr>
          <w:rFonts w:eastAsia="SimSun"/>
          <w:lang w:val="fr-FR" w:eastAsia="zh-CN"/>
        </w:rPr>
        <w:t>), ainsi que les conclusions et recommandations correspondantes</w:t>
      </w:r>
      <w:r w:rsidR="005B1378" w:rsidRPr="00025B3C">
        <w:rPr>
          <w:rFonts w:eastAsia="SimSun"/>
          <w:lang w:val="fr-FR" w:eastAsia="zh-CN"/>
        </w:rPr>
        <w:t xml:space="preserve"> du CCQ</w:t>
      </w:r>
      <w:r w:rsidR="0000772C" w:rsidRPr="00025B3C">
        <w:rPr>
          <w:rFonts w:eastAsia="SimSun"/>
          <w:lang w:val="fr-FR" w:eastAsia="zh-CN"/>
        </w:rPr>
        <w:t>AB, sont reproduites dans l</w:t>
      </w:r>
      <w:r w:rsidR="006551E8">
        <w:rPr>
          <w:rFonts w:eastAsia="SimSun"/>
          <w:lang w:val="fr-FR" w:eastAsia="zh-CN"/>
        </w:rPr>
        <w:t>’</w:t>
      </w:r>
      <w:r w:rsidR="0000772C" w:rsidRPr="00025B3C">
        <w:rPr>
          <w:rFonts w:eastAsia="SimSun"/>
          <w:lang w:val="fr-FR" w:eastAsia="zh-CN"/>
        </w:rPr>
        <w:t xml:space="preserve">annexe II. </w:t>
      </w:r>
      <w:r w:rsidR="005B1378" w:rsidRPr="00025B3C">
        <w:rPr>
          <w:rFonts w:eastAsia="SimSun"/>
          <w:lang w:val="fr-FR" w:eastAsia="zh-CN"/>
        </w:rPr>
        <w:t xml:space="preserve"> Le CCQ</w:t>
      </w:r>
      <w:r w:rsidR="0000772C" w:rsidRPr="00025B3C">
        <w:rPr>
          <w:rFonts w:eastAsia="SimSun"/>
          <w:lang w:val="fr-FR" w:eastAsia="zh-CN"/>
        </w:rPr>
        <w:t>AB a demandé une nouvelle fois que le Secrétaire général maintienne le groupe de travail et rende compte à l</w:t>
      </w:r>
      <w:r w:rsidR="006551E8">
        <w:rPr>
          <w:rFonts w:eastAsia="SimSun"/>
          <w:lang w:val="fr-FR" w:eastAsia="zh-CN"/>
        </w:rPr>
        <w:t>’</w:t>
      </w:r>
      <w:r w:rsidR="0000772C" w:rsidRPr="00025B3C">
        <w:rPr>
          <w:rFonts w:eastAsia="SimSun"/>
          <w:lang w:val="fr-FR" w:eastAsia="zh-CN"/>
        </w:rPr>
        <w:t>Assemblée générale à sa soixante</w:t>
      </w:r>
      <w:r w:rsidR="0077342A">
        <w:rPr>
          <w:rFonts w:eastAsia="SimSun"/>
          <w:lang w:val="fr-FR" w:eastAsia="zh-CN"/>
        </w:rPr>
        <w:noBreakHyphen/>
      </w:r>
      <w:r w:rsidR="0000772C" w:rsidRPr="00025B3C">
        <w:rPr>
          <w:rFonts w:eastAsia="SimSun"/>
          <w:lang w:val="fr-FR" w:eastAsia="zh-CN"/>
        </w:rPr>
        <w:t>treiz</w:t>
      </w:r>
      <w:r w:rsidR="006551E8">
        <w:rPr>
          <w:rFonts w:eastAsia="SimSun"/>
          <w:lang w:val="fr-FR" w:eastAsia="zh-CN"/>
        </w:rPr>
        <w:t>ième session</w:t>
      </w:r>
      <w:r w:rsidR="0000772C" w:rsidRPr="00025B3C">
        <w:rPr>
          <w:rFonts w:eastAsia="SimSun"/>
          <w:lang w:val="fr-FR" w:eastAsia="zh-CN"/>
        </w:rPr>
        <w:t>.</w:t>
      </w:r>
    </w:p>
    <w:p w:rsidR="00605E8F" w:rsidRPr="00025B3C" w:rsidRDefault="0000772C" w:rsidP="00025B3C">
      <w:pPr>
        <w:pStyle w:val="ONUMFS"/>
        <w:rPr>
          <w:rFonts w:eastAsia="SimSun"/>
          <w:lang w:val="fr-FR" w:eastAsia="zh-CN"/>
        </w:rPr>
      </w:pPr>
      <w:r w:rsidRPr="00025B3C">
        <w:rPr>
          <w:rFonts w:eastAsia="SimSun"/>
          <w:lang w:val="fr-FR" w:eastAsia="zh-CN"/>
        </w:rPr>
        <w:t>En mars 2017, l</w:t>
      </w:r>
      <w:r w:rsidR="006551E8">
        <w:rPr>
          <w:rFonts w:eastAsia="SimSun"/>
          <w:lang w:val="fr-FR" w:eastAsia="zh-CN"/>
        </w:rPr>
        <w:t>’</w:t>
      </w:r>
      <w:r w:rsidRPr="00025B3C">
        <w:rPr>
          <w:rFonts w:eastAsia="SimSun"/>
          <w:lang w:val="fr-FR" w:eastAsia="zh-CN"/>
        </w:rPr>
        <w:t>Assemblée générale a examiné ce deuxième rapport du Secrétaire général, ainsi que le rapport correspondant</w:t>
      </w:r>
      <w:r w:rsidR="005B1378" w:rsidRPr="00025B3C">
        <w:rPr>
          <w:rFonts w:eastAsia="SimSun"/>
          <w:lang w:val="fr-FR" w:eastAsia="zh-CN"/>
        </w:rPr>
        <w:t xml:space="preserve"> du CCQ</w:t>
      </w:r>
      <w:r w:rsidRPr="00025B3C">
        <w:rPr>
          <w:rFonts w:eastAsia="SimSun"/>
          <w:lang w:val="fr-FR" w:eastAsia="zh-CN"/>
        </w:rPr>
        <w:t>AB (A/71/815).</w:t>
      </w:r>
      <w:r w:rsidR="007461D1" w:rsidRPr="00025B3C">
        <w:rPr>
          <w:rFonts w:eastAsia="SimSun"/>
          <w:lang w:val="fr-FR" w:eastAsia="zh-CN"/>
        </w:rPr>
        <w:t xml:space="preserve"> </w:t>
      </w:r>
      <w:r w:rsidR="00FB4BFC" w:rsidRPr="00025B3C">
        <w:rPr>
          <w:rFonts w:eastAsia="SimSun"/>
          <w:lang w:val="fr-FR" w:eastAsia="zh-CN"/>
        </w:rPr>
        <w:t xml:space="preserve"> </w:t>
      </w:r>
      <w:r w:rsidRPr="00025B3C">
        <w:rPr>
          <w:rFonts w:eastAsia="SimSun"/>
          <w:lang w:val="fr-FR" w:eastAsia="zh-CN"/>
        </w:rPr>
        <w:t>Par la suite, l</w:t>
      </w:r>
      <w:r w:rsidR="006551E8">
        <w:rPr>
          <w:rFonts w:eastAsia="SimSun"/>
          <w:lang w:val="fr-FR" w:eastAsia="zh-CN"/>
        </w:rPr>
        <w:t>’</w:t>
      </w:r>
      <w:r w:rsidRPr="00025B3C">
        <w:rPr>
          <w:rFonts w:eastAsia="SimSun"/>
          <w:lang w:val="fr-FR" w:eastAsia="zh-CN"/>
        </w:rPr>
        <w:t xml:space="preserve">Assemblée </w:t>
      </w:r>
      <w:r w:rsidRPr="00025B3C">
        <w:rPr>
          <w:rFonts w:eastAsia="SimSun"/>
          <w:lang w:val="fr-FR" w:eastAsia="zh-CN"/>
        </w:rPr>
        <w:lastRenderedPageBreak/>
        <w:t>générale a pris acte du rapport du Secrétaire général et a fait siennes les conclusions et recommandations que</w:t>
      </w:r>
      <w:r w:rsidR="005B1378" w:rsidRPr="00025B3C">
        <w:rPr>
          <w:rFonts w:eastAsia="SimSun"/>
          <w:lang w:val="fr-FR" w:eastAsia="zh-CN"/>
        </w:rPr>
        <w:t xml:space="preserve"> le CCQ</w:t>
      </w:r>
      <w:r w:rsidRPr="00025B3C">
        <w:rPr>
          <w:rFonts w:eastAsia="SimSun"/>
          <w:lang w:val="fr-FR" w:eastAsia="zh-CN"/>
        </w:rPr>
        <w:t>AB avait formulées dans son rappo</w:t>
      </w:r>
      <w:r w:rsidR="00BD2EDD" w:rsidRPr="00025B3C">
        <w:rPr>
          <w:rFonts w:eastAsia="SimSun"/>
          <w:lang w:val="fr-FR" w:eastAsia="zh-CN"/>
        </w:rPr>
        <w:t>rt</w:t>
      </w:r>
      <w:r w:rsidR="00BD2EDD">
        <w:rPr>
          <w:rFonts w:eastAsia="SimSun"/>
          <w:lang w:val="fr-FR" w:eastAsia="zh-CN"/>
        </w:rPr>
        <w:t xml:space="preserve">.  </w:t>
      </w:r>
      <w:r w:rsidR="00BD2EDD" w:rsidRPr="00025B3C">
        <w:rPr>
          <w:rFonts w:eastAsia="SimSun"/>
          <w:lang w:val="fr-FR" w:eastAsia="zh-CN"/>
        </w:rPr>
        <w:t>Le</w:t>
      </w:r>
      <w:r w:rsidRPr="00025B3C">
        <w:rPr>
          <w:rFonts w:eastAsia="SimSun"/>
          <w:lang w:val="fr-FR" w:eastAsia="zh-CN"/>
        </w:rPr>
        <w:t xml:space="preserve"> groupe de travail a donc pour mandat de poursuive ses travaux pendant le reste de l</w:t>
      </w:r>
      <w:r w:rsidR="006551E8">
        <w:rPr>
          <w:rFonts w:eastAsia="SimSun"/>
          <w:lang w:val="fr-FR" w:eastAsia="zh-CN"/>
        </w:rPr>
        <w:t>’</w:t>
      </w:r>
      <w:r w:rsidRPr="00025B3C">
        <w:rPr>
          <w:rFonts w:eastAsia="SimSun"/>
          <w:lang w:val="fr-FR" w:eastAsia="zh-CN"/>
        </w:rPr>
        <w:t>année 2017 et en 2018, suite à quoi un rapport sera soumis par le Secrétaire général à la soixante</w:t>
      </w:r>
      <w:r w:rsidR="0077342A">
        <w:rPr>
          <w:rFonts w:eastAsia="SimSun"/>
          <w:lang w:val="fr-FR" w:eastAsia="zh-CN"/>
        </w:rPr>
        <w:noBreakHyphen/>
      </w:r>
      <w:r w:rsidRPr="00025B3C">
        <w:rPr>
          <w:rFonts w:eastAsia="SimSun"/>
          <w:lang w:val="fr-FR" w:eastAsia="zh-CN"/>
        </w:rPr>
        <w:t>treiz</w:t>
      </w:r>
      <w:r w:rsidR="006551E8">
        <w:rPr>
          <w:rFonts w:eastAsia="SimSun"/>
          <w:lang w:val="fr-FR" w:eastAsia="zh-CN"/>
        </w:rPr>
        <w:t>ième session</w:t>
      </w:r>
      <w:r w:rsidRPr="00025B3C">
        <w:rPr>
          <w:rFonts w:eastAsia="SimSun"/>
          <w:lang w:val="fr-FR" w:eastAsia="zh-CN"/>
        </w:rPr>
        <w:t xml:space="preserve"> de l</w:t>
      </w:r>
      <w:r w:rsidR="006551E8">
        <w:rPr>
          <w:rFonts w:eastAsia="SimSun"/>
          <w:lang w:val="fr-FR" w:eastAsia="zh-CN"/>
        </w:rPr>
        <w:t>’</w:t>
      </w:r>
      <w:r w:rsidRPr="00025B3C">
        <w:rPr>
          <w:rFonts w:eastAsia="SimSun"/>
          <w:lang w:val="fr-FR" w:eastAsia="zh-CN"/>
        </w:rPr>
        <w:t>Assemblée générale.</w:t>
      </w:r>
    </w:p>
    <w:p w:rsidR="005B1378" w:rsidRPr="00F631C7" w:rsidRDefault="0000772C" w:rsidP="00025B3C">
      <w:pPr>
        <w:pStyle w:val="ONUMFS"/>
        <w:rPr>
          <w:lang w:val="fr-FR"/>
        </w:rPr>
      </w:pPr>
      <w:r w:rsidRPr="00025B3C">
        <w:rPr>
          <w:rFonts w:eastAsia="SimSun"/>
          <w:lang w:val="fr-FR" w:eastAsia="zh-CN"/>
        </w:rPr>
        <w:t>Le groupe de travail a établi un programme de travail provisoire pour le reste de son mandat jusqu</w:t>
      </w:r>
      <w:r w:rsidR="006551E8">
        <w:rPr>
          <w:rFonts w:eastAsia="SimSun"/>
          <w:lang w:val="fr-FR" w:eastAsia="zh-CN"/>
        </w:rPr>
        <w:t>’</w:t>
      </w:r>
      <w:r w:rsidRPr="00025B3C">
        <w:rPr>
          <w:rFonts w:eastAsia="SimSun"/>
          <w:lang w:val="fr-FR" w:eastAsia="zh-CN"/>
        </w:rPr>
        <w:t>en 2018.</w:t>
      </w:r>
      <w:r w:rsidR="007461D1" w:rsidRPr="00025B3C">
        <w:rPr>
          <w:rFonts w:eastAsia="SimSun"/>
          <w:lang w:val="fr-FR" w:eastAsia="zh-CN"/>
        </w:rPr>
        <w:t xml:space="preserve"> </w:t>
      </w:r>
      <w:r w:rsidR="00FB4BFC" w:rsidRPr="00025B3C">
        <w:rPr>
          <w:rFonts w:eastAsia="SimSun"/>
          <w:lang w:val="fr-FR" w:eastAsia="zh-CN"/>
        </w:rPr>
        <w:t xml:space="preserve"> </w:t>
      </w:r>
      <w:r w:rsidRPr="00025B3C">
        <w:rPr>
          <w:rFonts w:eastAsia="SimSun"/>
          <w:lang w:val="fr-FR" w:eastAsia="zh-CN"/>
        </w:rPr>
        <w:t>Le groupe de travail axera ses efforts sur les domaines suivants</w:t>
      </w:r>
      <w:r w:rsidR="006551E8">
        <w:rPr>
          <w:rFonts w:eastAsia="SimSun"/>
          <w:lang w:val="fr-FR" w:eastAsia="zh-CN"/>
        </w:rPr>
        <w:t> :</w:t>
      </w:r>
      <w:r w:rsidRPr="00025B3C">
        <w:rPr>
          <w:rFonts w:eastAsia="SimSun"/>
          <w:lang w:val="fr-FR" w:eastAsia="zh-CN"/>
        </w:rPr>
        <w:t xml:space="preserve"> poursuivre les négociations collectives avec des tiers administrateurs;  terminer le rassemblement et l</w:t>
      </w:r>
      <w:r w:rsidR="006551E8">
        <w:rPr>
          <w:rFonts w:eastAsia="SimSun"/>
          <w:lang w:val="fr-FR" w:eastAsia="zh-CN"/>
        </w:rPr>
        <w:t>’</w:t>
      </w:r>
      <w:r w:rsidRPr="00025B3C">
        <w:rPr>
          <w:rFonts w:eastAsia="SimSun"/>
          <w:lang w:val="fr-FR" w:eastAsia="zh-CN"/>
        </w:rPr>
        <w:t>analyse d</w:t>
      </w:r>
      <w:r w:rsidR="006551E8">
        <w:rPr>
          <w:rFonts w:eastAsia="SimSun"/>
          <w:lang w:val="fr-FR" w:eastAsia="zh-CN"/>
        </w:rPr>
        <w:t>’</w:t>
      </w:r>
      <w:r w:rsidRPr="00025B3C">
        <w:rPr>
          <w:rFonts w:eastAsia="SimSun"/>
          <w:lang w:val="fr-FR" w:eastAsia="zh-CN"/>
        </w:rPr>
        <w:t>informations relatives à l</w:t>
      </w:r>
      <w:r w:rsidR="006551E8">
        <w:rPr>
          <w:rFonts w:eastAsia="SimSun"/>
          <w:lang w:val="fr-FR" w:eastAsia="zh-CN"/>
        </w:rPr>
        <w:t>’</w:t>
      </w:r>
      <w:r w:rsidRPr="00025B3C">
        <w:rPr>
          <w:rFonts w:eastAsia="SimSun"/>
          <w:lang w:val="fr-FR" w:eastAsia="zh-CN"/>
        </w:rPr>
        <w:t>accès aux régimes nationaux d</w:t>
      </w:r>
      <w:r w:rsidR="006551E8">
        <w:rPr>
          <w:rFonts w:eastAsia="SimSun"/>
          <w:lang w:val="fr-FR" w:eastAsia="zh-CN"/>
        </w:rPr>
        <w:t>’</w:t>
      </w:r>
      <w:r w:rsidRPr="00025B3C">
        <w:rPr>
          <w:rFonts w:eastAsia="SimSun"/>
          <w:lang w:val="fr-FR" w:eastAsia="zh-CN"/>
        </w:rPr>
        <w:t>assurance maladie des États membres;  revoir la conception d</w:t>
      </w:r>
      <w:r w:rsidR="00B0190F" w:rsidRPr="00025B3C">
        <w:rPr>
          <w:rFonts w:eastAsia="SimSun"/>
          <w:lang w:val="fr-FR" w:eastAsia="zh-CN"/>
        </w:rPr>
        <w:t>u</w:t>
      </w:r>
      <w:r w:rsidRPr="00025B3C">
        <w:rPr>
          <w:rFonts w:eastAsia="SimSun"/>
          <w:lang w:val="fr-FR" w:eastAsia="zh-CN"/>
        </w:rPr>
        <w:t xml:space="preserve"> </w:t>
      </w:r>
      <w:r w:rsidR="00B0190F" w:rsidRPr="00025B3C">
        <w:rPr>
          <w:rFonts w:eastAsia="SimSun"/>
          <w:lang w:val="fr-FR" w:eastAsia="zh-CN"/>
        </w:rPr>
        <w:t>régime</w:t>
      </w:r>
      <w:r w:rsidRPr="00025B3C">
        <w:rPr>
          <w:rFonts w:eastAsia="SimSun"/>
          <w:lang w:val="fr-FR" w:eastAsia="zh-CN"/>
        </w:rPr>
        <w:t xml:space="preserve"> </w:t>
      </w:r>
      <w:r w:rsidR="00605E8F" w:rsidRPr="00025B3C">
        <w:rPr>
          <w:lang w:val="fr-FR"/>
        </w:rPr>
        <w:t>d</w:t>
      </w:r>
      <w:r w:rsidR="006551E8">
        <w:rPr>
          <w:lang w:val="fr-FR"/>
        </w:rPr>
        <w:t>’</w:t>
      </w:r>
      <w:r w:rsidR="00605E8F" w:rsidRPr="00025B3C">
        <w:rPr>
          <w:lang w:val="fr-FR"/>
        </w:rPr>
        <w:t xml:space="preserve">assurance maladie </w:t>
      </w:r>
      <w:r w:rsidRPr="00025B3C">
        <w:rPr>
          <w:rFonts w:eastAsia="SimSun"/>
          <w:lang w:val="fr-FR" w:eastAsia="zh-CN"/>
        </w:rPr>
        <w:t>et les critères d</w:t>
      </w:r>
      <w:r w:rsidR="006551E8">
        <w:rPr>
          <w:rFonts w:eastAsia="SimSun"/>
          <w:lang w:val="fr-FR" w:eastAsia="zh-CN"/>
        </w:rPr>
        <w:t>’</w:t>
      </w:r>
      <w:r w:rsidRPr="00025B3C">
        <w:rPr>
          <w:rFonts w:eastAsia="SimSun"/>
          <w:lang w:val="fr-FR" w:eastAsia="zh-CN"/>
        </w:rPr>
        <w:t>admissi</w:t>
      </w:r>
      <w:r w:rsidR="00B0190F" w:rsidRPr="00025B3C">
        <w:rPr>
          <w:rFonts w:eastAsia="SimSun"/>
          <w:lang w:val="fr-FR" w:eastAsia="zh-CN"/>
        </w:rPr>
        <w:t>bilité</w:t>
      </w:r>
      <w:r w:rsidRPr="00025B3C">
        <w:rPr>
          <w:rFonts w:eastAsia="SimSun"/>
          <w:lang w:val="fr-FR" w:eastAsia="zh-CN"/>
        </w:rPr>
        <w:t xml:space="preserve"> et étudier les options permettant </w:t>
      </w:r>
      <w:r w:rsidR="00605E8F" w:rsidRPr="00025B3C">
        <w:rPr>
          <w:rFonts w:eastAsia="SimSun"/>
          <w:lang w:val="fr-FR" w:eastAsia="zh-CN"/>
        </w:rPr>
        <w:t>de</w:t>
      </w:r>
      <w:r w:rsidR="0054336E" w:rsidRPr="00025B3C">
        <w:rPr>
          <w:rFonts w:eastAsia="SimSun"/>
          <w:lang w:val="fr-FR" w:eastAsia="zh-CN"/>
        </w:rPr>
        <w:t xml:space="preserve"> </w:t>
      </w:r>
      <w:r w:rsidR="00605E8F" w:rsidRPr="00025B3C">
        <w:rPr>
          <w:lang w:val="fr-FR"/>
        </w:rPr>
        <w:t xml:space="preserve">parvenir à </w:t>
      </w:r>
      <w:r w:rsidR="0054336E" w:rsidRPr="00025B3C">
        <w:rPr>
          <w:rFonts w:eastAsia="SimSun"/>
          <w:lang w:val="fr-FR" w:eastAsia="zh-CN"/>
        </w:rPr>
        <w:t>une taille critique</w:t>
      </w:r>
      <w:r w:rsidRPr="00025B3C">
        <w:rPr>
          <w:rFonts w:eastAsia="SimSun"/>
          <w:lang w:val="fr-FR" w:eastAsia="zh-CN"/>
        </w:rPr>
        <w:t>.</w:t>
      </w:r>
    </w:p>
    <w:p w:rsidR="00F631C7" w:rsidRPr="006551AD" w:rsidRDefault="006551AD" w:rsidP="006551AD">
      <w:pPr>
        <w:pStyle w:val="ONUMFS"/>
        <w:numPr>
          <w:ilvl w:val="0"/>
          <w:numId w:val="0"/>
        </w:numPr>
        <w:rPr>
          <w:u w:val="single"/>
          <w:lang w:val="fr-FR"/>
        </w:rPr>
      </w:pPr>
      <w:r w:rsidRPr="006551AD">
        <w:rPr>
          <w:u w:val="single"/>
          <w:lang w:val="fr-FR"/>
        </w:rPr>
        <w:t>Poursuite des travaux</w:t>
      </w:r>
    </w:p>
    <w:p w:rsidR="00605E8F" w:rsidRPr="00025B3C" w:rsidRDefault="006551AD" w:rsidP="00025B3C">
      <w:pPr>
        <w:pStyle w:val="ONUMFS"/>
        <w:rPr>
          <w:lang w:val="fr-FR" w:eastAsia="zh-CN"/>
        </w:rPr>
      </w:pPr>
      <w:r>
        <w:rPr>
          <w:lang w:val="fr-FR" w:eastAsia="zh-CN"/>
        </w:rPr>
        <w:t>L</w:t>
      </w:r>
      <w:r w:rsidR="006551E8">
        <w:rPr>
          <w:lang w:val="fr-FR" w:eastAsia="zh-CN"/>
        </w:rPr>
        <w:t>’</w:t>
      </w:r>
      <w:r>
        <w:rPr>
          <w:lang w:val="fr-FR" w:eastAsia="zh-CN"/>
        </w:rPr>
        <w:t>OMPI reste résolument engagée en faveur de la poursuite des travaux du groupe de travail et continuera d</w:t>
      </w:r>
      <w:r w:rsidR="006551E8">
        <w:rPr>
          <w:lang w:val="fr-FR" w:eastAsia="zh-CN"/>
        </w:rPr>
        <w:t>’</w:t>
      </w:r>
      <w:r>
        <w:rPr>
          <w:lang w:val="fr-FR" w:eastAsia="zh-CN"/>
        </w:rPr>
        <w:t>y participer activement jusqu</w:t>
      </w:r>
      <w:r w:rsidR="006551E8">
        <w:rPr>
          <w:lang w:val="fr-FR" w:eastAsia="zh-CN"/>
        </w:rPr>
        <w:t>’</w:t>
      </w:r>
      <w:r>
        <w:rPr>
          <w:lang w:val="fr-FR" w:eastAsia="zh-CN"/>
        </w:rPr>
        <w:t>à</w:t>
      </w:r>
      <w:r w:rsidR="00275367">
        <w:rPr>
          <w:lang w:val="fr-FR" w:eastAsia="zh-CN"/>
        </w:rPr>
        <w:t xml:space="preserve"> la fin de son mandat </w:t>
      </w:r>
      <w:r w:rsidR="006551E8">
        <w:rPr>
          <w:lang w:val="fr-FR" w:eastAsia="zh-CN"/>
        </w:rPr>
        <w:t>en 2018</w:t>
      </w:r>
      <w:r w:rsidR="00275367">
        <w:rPr>
          <w:lang w:val="fr-FR" w:eastAsia="zh-CN"/>
        </w:rPr>
        <w:t xml:space="preserve">. </w:t>
      </w:r>
      <w:r>
        <w:rPr>
          <w:lang w:val="fr-FR" w:eastAsia="zh-CN"/>
        </w:rPr>
        <w:t xml:space="preserve"> </w:t>
      </w:r>
      <w:r w:rsidR="00275367">
        <w:rPr>
          <w:lang w:val="fr-FR" w:eastAsia="zh-CN"/>
        </w:rPr>
        <w:t>Le groupe de travail a déjà accompli énormément de choses en termes de collecte et d</w:t>
      </w:r>
      <w:r w:rsidR="006551E8">
        <w:rPr>
          <w:lang w:val="fr-FR" w:eastAsia="zh-CN"/>
        </w:rPr>
        <w:t>’</w:t>
      </w:r>
      <w:r w:rsidR="00275367">
        <w:rPr>
          <w:lang w:val="fr-FR" w:eastAsia="zh-CN"/>
        </w:rPr>
        <w:t>analyse de données et d</w:t>
      </w:r>
      <w:r w:rsidR="006551E8">
        <w:rPr>
          <w:lang w:val="fr-FR" w:eastAsia="zh-CN"/>
        </w:rPr>
        <w:t>’</w:t>
      </w:r>
      <w:r w:rsidR="00275367">
        <w:rPr>
          <w:lang w:val="fr-FR" w:eastAsia="zh-CN"/>
        </w:rPr>
        <w:t>exploration des moyens de réduire les coûts liés à l</w:t>
      </w:r>
      <w:r w:rsidR="006551E8">
        <w:rPr>
          <w:lang w:val="fr-FR" w:eastAsia="zh-CN"/>
        </w:rPr>
        <w:t>’</w:t>
      </w:r>
      <w:r w:rsidR="00275367">
        <w:rPr>
          <w:lang w:val="fr-FR" w:eastAsia="zh-CN"/>
        </w:rPr>
        <w:t>AMCS.</w:t>
      </w:r>
    </w:p>
    <w:p w:rsidR="005B1378" w:rsidRPr="00025B3C" w:rsidRDefault="00F10551" w:rsidP="00025B3C">
      <w:pPr>
        <w:pStyle w:val="ONUMFS"/>
        <w:rPr>
          <w:lang w:val="fr-FR" w:eastAsia="zh-CN"/>
        </w:rPr>
      </w:pPr>
      <w:r>
        <w:rPr>
          <w:lang w:val="fr-FR" w:eastAsia="zh-CN"/>
        </w:rPr>
        <w:t>Les domaines de travail recensés pour le reste du mandat du groupe de travail devraient déboucher sur de nouvelles propositions concrètes pour la maîtrise future des coûts liés à l</w:t>
      </w:r>
      <w:r w:rsidR="006551E8">
        <w:rPr>
          <w:lang w:val="fr-FR" w:eastAsia="zh-CN"/>
        </w:rPr>
        <w:t>’</w:t>
      </w:r>
      <w:r>
        <w:rPr>
          <w:lang w:val="fr-FR" w:eastAsia="zh-CN"/>
        </w:rPr>
        <w:t>A</w:t>
      </w:r>
      <w:r w:rsidR="00BD2EDD">
        <w:rPr>
          <w:lang w:val="fr-FR" w:eastAsia="zh-CN"/>
        </w:rPr>
        <w:t>MCS.  La</w:t>
      </w:r>
      <w:r>
        <w:rPr>
          <w:lang w:val="fr-FR" w:eastAsia="zh-CN"/>
        </w:rPr>
        <w:t xml:space="preserve"> couverture d</w:t>
      </w:r>
      <w:r w:rsidR="006551E8">
        <w:rPr>
          <w:lang w:val="fr-FR" w:eastAsia="zh-CN"/>
        </w:rPr>
        <w:t>’</w:t>
      </w:r>
      <w:r>
        <w:rPr>
          <w:lang w:val="fr-FR" w:eastAsia="zh-CN"/>
        </w:rPr>
        <w:t>assurance maladie après la cessation de service est considérée comme un élément essentiel des conditions d</w:t>
      </w:r>
      <w:r w:rsidR="006551E8">
        <w:rPr>
          <w:lang w:val="fr-FR" w:eastAsia="zh-CN"/>
        </w:rPr>
        <w:t>’</w:t>
      </w:r>
      <w:r>
        <w:rPr>
          <w:lang w:val="fr-FR" w:eastAsia="zh-CN"/>
        </w:rPr>
        <w:t>emploi dans la fonction publique internationa</w:t>
      </w:r>
      <w:r w:rsidR="00BD2EDD">
        <w:rPr>
          <w:lang w:val="fr-FR" w:eastAsia="zh-CN"/>
        </w:rPr>
        <w:t>le.  En</w:t>
      </w:r>
      <w:r>
        <w:rPr>
          <w:lang w:val="fr-FR" w:eastAsia="zh-CN"/>
        </w:rPr>
        <w:t xml:space="preserve"> conséquence, l</w:t>
      </w:r>
      <w:r w:rsidR="006551E8">
        <w:rPr>
          <w:lang w:val="fr-FR" w:eastAsia="zh-CN"/>
        </w:rPr>
        <w:t>’</w:t>
      </w:r>
      <w:r>
        <w:rPr>
          <w:lang w:val="fr-FR" w:eastAsia="zh-CN"/>
        </w:rPr>
        <w:t xml:space="preserve">introduction de </w:t>
      </w:r>
      <w:r w:rsidR="009B7BF2">
        <w:rPr>
          <w:lang w:val="fr-FR" w:eastAsia="zh-CN"/>
        </w:rPr>
        <w:t>toute mesure proposée en matière de maîtrise de coûts devra être examinée de manière précise et exhaustive avec le groupe de travail.</w:t>
      </w:r>
    </w:p>
    <w:p w:rsidR="005B1378" w:rsidRPr="00025B3C" w:rsidRDefault="00415A1B" w:rsidP="00025B3C">
      <w:pPr>
        <w:pStyle w:val="ONUMFS"/>
        <w:rPr>
          <w:lang w:val="fr-FR"/>
        </w:rPr>
      </w:pPr>
      <w:r w:rsidRPr="00025B3C">
        <w:rPr>
          <w:lang w:val="fr-FR"/>
        </w:rPr>
        <w:t>Le paragraphe de décision ci</w:t>
      </w:r>
      <w:r w:rsidR="0077342A">
        <w:rPr>
          <w:lang w:val="fr-FR"/>
        </w:rPr>
        <w:noBreakHyphen/>
      </w:r>
      <w:r w:rsidRPr="00025B3C">
        <w:rPr>
          <w:lang w:val="fr-FR"/>
        </w:rPr>
        <w:t>après est proposé.</w:t>
      </w:r>
    </w:p>
    <w:p w:rsidR="00605E8F" w:rsidRPr="00324C57" w:rsidRDefault="00415A1B" w:rsidP="00324C57">
      <w:pPr>
        <w:pStyle w:val="ONUME"/>
        <w:numPr>
          <w:ilvl w:val="0"/>
          <w:numId w:val="4"/>
        </w:numPr>
        <w:ind w:left="5533"/>
        <w:rPr>
          <w:i/>
        </w:rPr>
      </w:pPr>
      <w:r w:rsidRPr="00324C57">
        <w:rPr>
          <w:i/>
        </w:rPr>
        <w:t>Le Comité du programme et budget</w:t>
      </w:r>
      <w:r w:rsidR="009B7BF2" w:rsidRPr="00324C57">
        <w:rPr>
          <w:i/>
        </w:rPr>
        <w:t xml:space="preserve"> </w:t>
      </w:r>
      <w:r w:rsidRPr="00324C57">
        <w:rPr>
          <w:i/>
        </w:rPr>
        <w:t xml:space="preserve">a </w:t>
      </w:r>
      <w:r w:rsidR="009A0120" w:rsidRPr="00324C57">
        <w:rPr>
          <w:i/>
        </w:rPr>
        <w:t>recommand</w:t>
      </w:r>
      <w:r w:rsidRPr="00324C57">
        <w:rPr>
          <w:i/>
        </w:rPr>
        <w:t>é</w:t>
      </w:r>
      <w:r w:rsidR="009A0120" w:rsidRPr="00324C57">
        <w:rPr>
          <w:i/>
        </w:rPr>
        <w:t xml:space="preserve"> </w:t>
      </w:r>
      <w:r w:rsidRPr="00324C57">
        <w:rPr>
          <w:i/>
        </w:rPr>
        <w:t>aux assemblées des États membres de l</w:t>
      </w:r>
      <w:r w:rsidR="006551E8" w:rsidRPr="00324C57">
        <w:rPr>
          <w:i/>
        </w:rPr>
        <w:t>’</w:t>
      </w:r>
      <w:r w:rsidRPr="00324C57">
        <w:rPr>
          <w:i/>
        </w:rPr>
        <w:t>OMPI, chacune pour ce qui la concerne, de prier l</w:t>
      </w:r>
      <w:bookmarkStart w:id="3" w:name="_GoBack"/>
      <w:bookmarkEnd w:id="3"/>
      <w:r w:rsidRPr="00324C57">
        <w:rPr>
          <w:i/>
        </w:rPr>
        <w:t>e Secrétariat de continuer à participer au groupe de travail sur l</w:t>
      </w:r>
      <w:r w:rsidR="006551E8" w:rsidRPr="00324C57">
        <w:rPr>
          <w:i/>
        </w:rPr>
        <w:t>’</w:t>
      </w:r>
      <w:r w:rsidRPr="00324C57">
        <w:rPr>
          <w:i/>
        </w:rPr>
        <w:t>assurance maladie après la cessation de service du Réseau Finances et Budget et d</w:t>
      </w:r>
      <w:r w:rsidR="006551E8" w:rsidRPr="00324C57">
        <w:rPr>
          <w:i/>
        </w:rPr>
        <w:t>’</w:t>
      </w:r>
      <w:r w:rsidRPr="00324C57">
        <w:rPr>
          <w:i/>
        </w:rPr>
        <w:t>assurer le suivi des propositions spécifiques qui seront présentées par le Secrétaire général à l</w:t>
      </w:r>
      <w:r w:rsidR="006551E8" w:rsidRPr="00324C57">
        <w:rPr>
          <w:i/>
        </w:rPr>
        <w:t>’</w:t>
      </w:r>
      <w:r w:rsidRPr="00324C57">
        <w:rPr>
          <w:i/>
        </w:rPr>
        <w:t xml:space="preserve">Assemblée générale des </w:t>
      </w:r>
      <w:r w:rsidR="006551E8" w:rsidRPr="00324C57">
        <w:rPr>
          <w:i/>
        </w:rPr>
        <w:t>Nations Unies</w:t>
      </w:r>
      <w:r w:rsidRPr="00324C57">
        <w:rPr>
          <w:i/>
        </w:rPr>
        <w:t xml:space="preserve"> à sa soixante</w:t>
      </w:r>
      <w:r w:rsidR="0077342A" w:rsidRPr="00324C57">
        <w:rPr>
          <w:i/>
        </w:rPr>
        <w:noBreakHyphen/>
      </w:r>
      <w:r w:rsidRPr="00324C57">
        <w:rPr>
          <w:i/>
        </w:rPr>
        <w:t>treiz</w:t>
      </w:r>
      <w:r w:rsidR="006551E8" w:rsidRPr="00324C57">
        <w:rPr>
          <w:i/>
        </w:rPr>
        <w:t>ième session</w:t>
      </w:r>
      <w:r w:rsidRPr="00324C57">
        <w:rPr>
          <w:i/>
        </w:rPr>
        <w:t>.</w:t>
      </w:r>
    </w:p>
    <w:p w:rsidR="00605E8F" w:rsidRPr="00025B3C" w:rsidRDefault="00605E8F" w:rsidP="00025B3C">
      <w:pPr>
        <w:rPr>
          <w:lang w:val="fr-FR"/>
        </w:rPr>
      </w:pPr>
    </w:p>
    <w:p w:rsidR="00605E8F" w:rsidRPr="00025B3C" w:rsidRDefault="00605E8F" w:rsidP="00025B3C">
      <w:pPr>
        <w:rPr>
          <w:lang w:val="fr-FR"/>
        </w:rPr>
      </w:pPr>
    </w:p>
    <w:p w:rsidR="00605E8F" w:rsidRPr="00025B3C" w:rsidRDefault="00415A1B" w:rsidP="00025B3C">
      <w:pPr>
        <w:pStyle w:val="Endofdocument-Annex"/>
        <w:rPr>
          <w:szCs w:val="22"/>
          <w:lang w:val="fr-FR"/>
        </w:rPr>
      </w:pPr>
      <w:r w:rsidRPr="00025B3C">
        <w:rPr>
          <w:szCs w:val="22"/>
          <w:lang w:val="fr-FR"/>
        </w:rPr>
        <w:t>[Les annexes suivent]</w:t>
      </w:r>
    </w:p>
    <w:p w:rsidR="00605E8F" w:rsidRPr="00025B3C" w:rsidRDefault="00605E8F" w:rsidP="00025B3C">
      <w:pPr>
        <w:rPr>
          <w:lang w:val="fr-FR"/>
        </w:rPr>
      </w:pPr>
    </w:p>
    <w:p w:rsidR="00605E8F" w:rsidRPr="00025B3C" w:rsidRDefault="00605E8F" w:rsidP="00025B3C">
      <w:pPr>
        <w:rPr>
          <w:lang w:val="fr-FR"/>
        </w:rPr>
      </w:pPr>
    </w:p>
    <w:p w:rsidR="006948E1" w:rsidRPr="00025B3C" w:rsidRDefault="006948E1" w:rsidP="00025B3C">
      <w:pPr>
        <w:tabs>
          <w:tab w:val="left" w:pos="6840"/>
        </w:tabs>
        <w:ind w:left="6210"/>
        <w:rPr>
          <w:szCs w:val="22"/>
          <w:lang w:val="fr-FR"/>
        </w:rPr>
        <w:sectPr w:rsidR="006948E1" w:rsidRPr="00025B3C" w:rsidSect="00A3339B">
          <w:headerReference w:type="default" r:id="rId10"/>
          <w:endnotePr>
            <w:numFmt w:val="decimal"/>
          </w:endnotePr>
          <w:pgSz w:w="11907" w:h="16840" w:code="9"/>
          <w:pgMar w:top="567" w:right="1134" w:bottom="1417" w:left="1417" w:header="510" w:footer="1020" w:gutter="0"/>
          <w:cols w:space="720"/>
          <w:titlePg/>
          <w:docGrid w:linePitch="299"/>
        </w:sectPr>
      </w:pPr>
    </w:p>
    <w:p w:rsidR="00605E8F" w:rsidRPr="00025B3C" w:rsidRDefault="00415A1B" w:rsidP="00025B3C">
      <w:pPr>
        <w:jc w:val="center"/>
        <w:rPr>
          <w:b/>
          <w:lang w:val="fr-FR"/>
        </w:rPr>
      </w:pPr>
      <w:r w:rsidRPr="00025B3C">
        <w:rPr>
          <w:b/>
          <w:lang w:val="fr-FR"/>
        </w:rPr>
        <w:lastRenderedPageBreak/>
        <w:t>HUIT RECOMMANDATIONS FORMULÉES PAR LE GROUPE DE TRAVAIL SUR</w:t>
      </w:r>
      <w:r w:rsidR="0077342A">
        <w:rPr>
          <w:b/>
          <w:lang w:val="fr-FR"/>
        </w:rPr>
        <w:t> </w:t>
      </w:r>
      <w:r w:rsidRPr="00025B3C">
        <w:rPr>
          <w:b/>
          <w:lang w:val="fr-FR"/>
        </w:rPr>
        <w:t>L</w:t>
      </w:r>
      <w:r w:rsidR="006551E8">
        <w:rPr>
          <w:b/>
          <w:lang w:val="fr-FR"/>
        </w:rPr>
        <w:t>’</w:t>
      </w:r>
      <w:r w:rsidRPr="00025B3C">
        <w:rPr>
          <w:b/>
          <w:lang w:val="fr-FR"/>
        </w:rPr>
        <w:t>ASSURANCE MALADIE APRÈS LA CESSATION DE SERVICE, REGROUPÉES PAR</w:t>
      </w:r>
      <w:r w:rsidR="0077342A">
        <w:rPr>
          <w:b/>
          <w:lang w:val="fr-FR"/>
        </w:rPr>
        <w:t> </w:t>
      </w:r>
      <w:r w:rsidRPr="00025B3C">
        <w:rPr>
          <w:b/>
          <w:lang w:val="fr-FR"/>
        </w:rPr>
        <w:t>PILIER</w:t>
      </w:r>
    </w:p>
    <w:p w:rsidR="00605E8F" w:rsidRPr="00025B3C" w:rsidRDefault="00605E8F" w:rsidP="00025B3C">
      <w:pPr>
        <w:rPr>
          <w:b/>
          <w:lang w:val="fr-FR"/>
        </w:rPr>
      </w:pPr>
    </w:p>
    <w:p w:rsidR="00605E8F" w:rsidRPr="00025B3C" w:rsidRDefault="00605E8F" w:rsidP="00025B3C">
      <w:pPr>
        <w:jc w:val="both"/>
        <w:rPr>
          <w:lang w:val="fr-FR"/>
        </w:rPr>
      </w:pPr>
    </w:p>
    <w:p w:rsidR="00605E8F" w:rsidRPr="00025B3C" w:rsidRDefault="00415A1B" w:rsidP="00025B3C">
      <w:pPr>
        <w:tabs>
          <w:tab w:val="left" w:pos="1440"/>
        </w:tabs>
        <w:jc w:val="both"/>
        <w:rPr>
          <w:b/>
          <w:lang w:val="fr-FR"/>
        </w:rPr>
      </w:pPr>
      <w:r w:rsidRPr="00025B3C">
        <w:rPr>
          <w:b/>
          <w:lang w:val="fr-FR"/>
        </w:rPr>
        <w:t>PILIER A</w:t>
      </w:r>
      <w:r w:rsidRPr="00025B3C">
        <w:rPr>
          <w:lang w:val="fr-FR"/>
        </w:rPr>
        <w:tab/>
      </w:r>
      <w:r w:rsidRPr="00025B3C">
        <w:rPr>
          <w:b/>
          <w:lang w:val="fr-FR"/>
        </w:rPr>
        <w:t>Analyse des coûts et arrangements administratifs</w:t>
      </w:r>
    </w:p>
    <w:p w:rsidR="00605E8F" w:rsidRPr="00025B3C" w:rsidRDefault="00605E8F" w:rsidP="00025B3C">
      <w:pPr>
        <w:rPr>
          <w:lang w:val="fr-FR"/>
        </w:rPr>
      </w:pPr>
    </w:p>
    <w:p w:rsidR="00605E8F" w:rsidRPr="00025B3C" w:rsidRDefault="00415A1B" w:rsidP="00025B3C">
      <w:pPr>
        <w:tabs>
          <w:tab w:val="left" w:pos="2340"/>
        </w:tabs>
        <w:rPr>
          <w:lang w:val="fr-FR"/>
        </w:rPr>
      </w:pPr>
      <w:r w:rsidRPr="00025B3C">
        <w:rPr>
          <w:u w:val="single"/>
          <w:lang w:val="fr-FR"/>
        </w:rPr>
        <w:t>Recommandation n°</w:t>
      </w:r>
      <w:r w:rsidR="00FB4BFC" w:rsidRPr="00025B3C">
        <w:rPr>
          <w:u w:val="single"/>
          <w:lang w:val="fr-FR"/>
        </w:rPr>
        <w:t> </w:t>
      </w:r>
      <w:r w:rsidRPr="00025B3C">
        <w:rPr>
          <w:u w:val="single"/>
          <w:lang w:val="fr-FR"/>
        </w:rPr>
        <w:t>1</w:t>
      </w:r>
      <w:r w:rsidR="006551E8">
        <w:rPr>
          <w:lang w:val="fr-FR"/>
        </w:rPr>
        <w:t> :</w:t>
      </w:r>
      <w:r w:rsidR="00A3339B" w:rsidRPr="00025B3C">
        <w:rPr>
          <w:lang w:val="fr-FR"/>
        </w:rPr>
        <w:t xml:space="preserve"> </w:t>
      </w:r>
      <w:r w:rsidRPr="00025B3C">
        <w:rPr>
          <w:lang w:val="fr-FR"/>
        </w:rPr>
        <w:t>Négociations collectives avec des administrateurs tiers</w:t>
      </w:r>
    </w:p>
    <w:p w:rsidR="00605E8F" w:rsidRPr="00025B3C" w:rsidRDefault="00605E8F" w:rsidP="00025B3C">
      <w:pPr>
        <w:rPr>
          <w:lang w:val="fr-FR"/>
        </w:rPr>
      </w:pPr>
    </w:p>
    <w:p w:rsidR="00605E8F" w:rsidRPr="00025B3C" w:rsidRDefault="0054336E" w:rsidP="00025B3C">
      <w:pPr>
        <w:rPr>
          <w:lang w:val="fr-FR"/>
        </w:rPr>
      </w:pPr>
      <w:r w:rsidRPr="00025B3C">
        <w:rPr>
          <w:lang w:val="fr-FR"/>
        </w:rPr>
        <w:t>Les organisations devraient organiser des négociations collectives avec les tiers administrateurs afin d</w:t>
      </w:r>
      <w:r w:rsidR="006551E8">
        <w:rPr>
          <w:lang w:val="fr-FR"/>
        </w:rPr>
        <w:t>’</w:t>
      </w:r>
      <w:r w:rsidRPr="00025B3C">
        <w:rPr>
          <w:lang w:val="fr-FR"/>
        </w:rPr>
        <w:t>obtenir les meilleurs tarifs pour les services administratifs et l</w:t>
      </w:r>
      <w:r w:rsidR="006551E8">
        <w:rPr>
          <w:lang w:val="fr-FR"/>
        </w:rPr>
        <w:t>’</w:t>
      </w:r>
      <w:r w:rsidRPr="00025B3C">
        <w:rPr>
          <w:lang w:val="fr-FR"/>
        </w:rPr>
        <w:t>accès au réseau de prestatair</w:t>
      </w:r>
      <w:r w:rsidR="00BD2EDD" w:rsidRPr="00025B3C">
        <w:rPr>
          <w:lang w:val="fr-FR"/>
        </w:rPr>
        <w:t>es</w:t>
      </w:r>
      <w:r w:rsidR="00BD2EDD">
        <w:rPr>
          <w:lang w:val="fr-FR"/>
        </w:rPr>
        <w:t xml:space="preserve">.  </w:t>
      </w:r>
      <w:r w:rsidR="00BD2EDD" w:rsidRPr="00025B3C">
        <w:rPr>
          <w:lang w:val="fr-FR"/>
        </w:rPr>
        <w:t>Af</w:t>
      </w:r>
      <w:r w:rsidRPr="00025B3C">
        <w:rPr>
          <w:lang w:val="fr-FR"/>
        </w:rPr>
        <w:t>in de faciliter les négociations, elles devraient examiner la possibilité de créer et de gérer une base de données commune dans laquelle elles verseraient les données démographiques et des renseignements concernant les différents régimes, une synthèse des données concernant les demandes de remboursement, des renseignements concernant les dispositions des accords conclus avec les tiers administrateurs, les données relatives aux dépenses de personnel et une synthèse des informations relatives à la fraude</w:t>
      </w:r>
      <w:r w:rsidR="009A0120" w:rsidRPr="00025B3C">
        <w:rPr>
          <w:lang w:val="fr-FR"/>
        </w:rPr>
        <w:t>.</w:t>
      </w:r>
    </w:p>
    <w:p w:rsidR="00605E8F" w:rsidRPr="00025B3C" w:rsidRDefault="00605E8F" w:rsidP="00025B3C">
      <w:pPr>
        <w:rPr>
          <w:lang w:val="fr-FR"/>
        </w:rPr>
      </w:pPr>
    </w:p>
    <w:p w:rsidR="00605E8F" w:rsidRPr="00025B3C" w:rsidRDefault="009A0120" w:rsidP="00025B3C">
      <w:pPr>
        <w:tabs>
          <w:tab w:val="left" w:pos="2340"/>
        </w:tabs>
        <w:rPr>
          <w:lang w:val="fr-FR"/>
        </w:rPr>
      </w:pPr>
      <w:r w:rsidRPr="00025B3C">
        <w:rPr>
          <w:u w:val="single"/>
          <w:lang w:val="fr-FR"/>
        </w:rPr>
        <w:t>Recommandation n°</w:t>
      </w:r>
      <w:r w:rsidR="00FB4BFC" w:rsidRPr="00025B3C">
        <w:rPr>
          <w:u w:val="single"/>
          <w:lang w:val="fr-FR"/>
        </w:rPr>
        <w:t> </w:t>
      </w:r>
      <w:r w:rsidRPr="00025B3C">
        <w:rPr>
          <w:u w:val="single"/>
          <w:lang w:val="fr-FR"/>
        </w:rPr>
        <w:t>2</w:t>
      </w:r>
      <w:r w:rsidR="006551E8">
        <w:rPr>
          <w:lang w:val="fr-FR"/>
        </w:rPr>
        <w:t> :</w:t>
      </w:r>
      <w:r w:rsidR="00A3339B" w:rsidRPr="00025B3C">
        <w:rPr>
          <w:lang w:val="fr-FR"/>
        </w:rPr>
        <w:t xml:space="preserve"> </w:t>
      </w:r>
      <w:r w:rsidRPr="00025B3C">
        <w:rPr>
          <w:lang w:val="fr-FR"/>
        </w:rPr>
        <w:t>Négociations collectives avec les prestataires de services de santé</w:t>
      </w:r>
    </w:p>
    <w:p w:rsidR="00605E8F" w:rsidRPr="00025B3C" w:rsidRDefault="00605E8F" w:rsidP="00025B3C">
      <w:pPr>
        <w:rPr>
          <w:lang w:val="fr-FR"/>
        </w:rPr>
      </w:pPr>
    </w:p>
    <w:p w:rsidR="00605E8F" w:rsidRPr="00025B3C" w:rsidRDefault="00A30BAA" w:rsidP="00025B3C">
      <w:pPr>
        <w:rPr>
          <w:lang w:val="fr-FR"/>
        </w:rPr>
      </w:pPr>
      <w:r w:rsidRPr="00025B3C">
        <w:rPr>
          <w:lang w:val="fr-FR"/>
        </w:rPr>
        <w:t>Les négociations collectives menées avec les prestataires de soins de santé dans le cadre des régimes d</w:t>
      </w:r>
      <w:r w:rsidR="006551E8">
        <w:rPr>
          <w:lang w:val="fr-FR"/>
        </w:rPr>
        <w:t>’</w:t>
      </w:r>
      <w:r w:rsidRPr="00025B3C">
        <w:rPr>
          <w:lang w:val="fr-FR"/>
        </w:rPr>
        <w:t xml:space="preserve">assurance autonomes dans la région de Genève (Bureau international du Travail, Organisation mondiale de la Santé et Assurance mutuelle du personnel des </w:t>
      </w:r>
      <w:r w:rsidR="006551E8">
        <w:rPr>
          <w:lang w:val="fr-FR"/>
        </w:rPr>
        <w:t>Nations Unies</w:t>
      </w:r>
      <w:r w:rsidRPr="00025B3C">
        <w:rPr>
          <w:lang w:val="fr-FR"/>
        </w:rPr>
        <w:t>) ont donné de bons résulta</w:t>
      </w:r>
      <w:r w:rsidR="00BD2EDD" w:rsidRPr="00025B3C">
        <w:rPr>
          <w:lang w:val="fr-FR"/>
        </w:rPr>
        <w:t>ts</w:t>
      </w:r>
      <w:r w:rsidR="00BD2EDD">
        <w:rPr>
          <w:lang w:val="fr-FR"/>
        </w:rPr>
        <w:t xml:space="preserve">.  </w:t>
      </w:r>
      <w:r w:rsidR="00BD2EDD" w:rsidRPr="00025B3C">
        <w:rPr>
          <w:lang w:val="fr-FR"/>
        </w:rPr>
        <w:t>Il</w:t>
      </w:r>
      <w:r w:rsidRPr="00025B3C">
        <w:rPr>
          <w:lang w:val="fr-FR"/>
        </w:rPr>
        <w:t xml:space="preserve"> convient de continuer à recenser les domaines dans lesquels ce type de négociations pourrait déboucher sur des économies ou des améliorations concernant le fonctionnement des régim</w:t>
      </w:r>
      <w:r w:rsidR="00BD2EDD" w:rsidRPr="00025B3C">
        <w:rPr>
          <w:lang w:val="fr-FR"/>
        </w:rPr>
        <w:t>es</w:t>
      </w:r>
      <w:r w:rsidR="00BD2EDD">
        <w:rPr>
          <w:lang w:val="fr-FR"/>
        </w:rPr>
        <w:t xml:space="preserve">.  </w:t>
      </w:r>
      <w:r w:rsidR="00BD2EDD" w:rsidRPr="00025B3C">
        <w:rPr>
          <w:lang w:val="fr-FR"/>
        </w:rPr>
        <w:t>Le</w:t>
      </w:r>
      <w:r w:rsidRPr="00025B3C">
        <w:rPr>
          <w:lang w:val="fr-FR"/>
        </w:rPr>
        <w:t>s organisations devraient mettre au point des procédures communes qui leur permettraient de mener des négociations collectives avec les prestataires de soins de santé et les réseaux de prestataires afin d</w:t>
      </w:r>
      <w:r w:rsidR="006551E8">
        <w:rPr>
          <w:lang w:val="fr-FR"/>
        </w:rPr>
        <w:t>’</w:t>
      </w:r>
      <w:r w:rsidRPr="00025B3C">
        <w:rPr>
          <w:lang w:val="fr-FR"/>
        </w:rPr>
        <w:t>obtenir le meilleur accès à des soins de qualité et les meilleurs tarifs et de réduire la volatilité des coûts</w:t>
      </w:r>
      <w:r w:rsidR="009A0120" w:rsidRPr="00025B3C">
        <w:rPr>
          <w:lang w:val="fr-FR"/>
        </w:rPr>
        <w:t>.</w:t>
      </w:r>
    </w:p>
    <w:p w:rsidR="00605E8F" w:rsidRPr="00025B3C" w:rsidRDefault="00605E8F" w:rsidP="00025B3C">
      <w:pPr>
        <w:rPr>
          <w:lang w:val="fr-FR"/>
        </w:rPr>
      </w:pPr>
    </w:p>
    <w:p w:rsidR="00605E8F" w:rsidRPr="00025B3C" w:rsidRDefault="00A30BAA" w:rsidP="00025B3C">
      <w:pPr>
        <w:rPr>
          <w:lang w:val="fr-FR"/>
        </w:rPr>
      </w:pPr>
      <w:r w:rsidRPr="00025B3C">
        <w:rPr>
          <w:lang w:val="fr-FR"/>
        </w:rPr>
        <w:t>Les organisations devraient envisager de se doter d</w:t>
      </w:r>
      <w:r w:rsidR="006551E8">
        <w:rPr>
          <w:lang w:val="fr-FR"/>
        </w:rPr>
        <w:t>’</w:t>
      </w:r>
      <w:r w:rsidRPr="00025B3C">
        <w:rPr>
          <w:lang w:val="fr-FR"/>
        </w:rPr>
        <w:t>une base de données commune et d</w:t>
      </w:r>
      <w:r w:rsidR="006551E8">
        <w:rPr>
          <w:lang w:val="fr-FR"/>
        </w:rPr>
        <w:t>’</w:t>
      </w:r>
      <w:r w:rsidRPr="00025B3C">
        <w:rPr>
          <w:lang w:val="fr-FR"/>
        </w:rPr>
        <w:t>y réunir des renseignements sur les pratiques des prestataires de soins de santé, les dispositions des accords conclus, la fraude et les évaluations de la qualité des services fournis</w:t>
      </w:r>
      <w:r w:rsidR="009A0120" w:rsidRPr="00025B3C">
        <w:rPr>
          <w:lang w:val="fr-FR"/>
        </w:rPr>
        <w:t>.</w:t>
      </w:r>
    </w:p>
    <w:p w:rsidR="00605E8F" w:rsidRPr="00025B3C" w:rsidRDefault="00605E8F" w:rsidP="00025B3C">
      <w:pPr>
        <w:rPr>
          <w:lang w:val="fr-FR"/>
        </w:rPr>
      </w:pPr>
    </w:p>
    <w:p w:rsidR="00605E8F" w:rsidRPr="00025B3C" w:rsidRDefault="009A0120" w:rsidP="00025B3C">
      <w:pPr>
        <w:tabs>
          <w:tab w:val="left" w:pos="2340"/>
        </w:tabs>
        <w:rPr>
          <w:lang w:val="fr-FR"/>
        </w:rPr>
      </w:pPr>
      <w:r w:rsidRPr="00025B3C">
        <w:rPr>
          <w:u w:val="single"/>
          <w:lang w:val="fr-FR"/>
        </w:rPr>
        <w:t>Recommandation n°</w:t>
      </w:r>
      <w:r w:rsidR="00FB4BFC" w:rsidRPr="00025B3C">
        <w:rPr>
          <w:u w:val="single"/>
          <w:lang w:val="fr-FR"/>
        </w:rPr>
        <w:t> </w:t>
      </w:r>
      <w:r w:rsidRPr="00025B3C">
        <w:rPr>
          <w:u w:val="single"/>
          <w:lang w:val="fr-FR"/>
        </w:rPr>
        <w:t>3</w:t>
      </w:r>
      <w:r w:rsidR="006551E8">
        <w:rPr>
          <w:lang w:val="fr-FR"/>
        </w:rPr>
        <w:t> :</w:t>
      </w:r>
      <w:r w:rsidR="00A3339B" w:rsidRPr="00025B3C">
        <w:rPr>
          <w:lang w:val="fr-FR"/>
        </w:rPr>
        <w:t xml:space="preserve"> </w:t>
      </w:r>
      <w:r w:rsidRPr="00025B3C">
        <w:rPr>
          <w:lang w:val="fr-FR"/>
        </w:rPr>
        <w:t>Examen des conventions et négociations avec les assureurs</w:t>
      </w:r>
    </w:p>
    <w:p w:rsidR="00605E8F" w:rsidRPr="00025B3C" w:rsidRDefault="00605E8F" w:rsidP="00025B3C">
      <w:pPr>
        <w:rPr>
          <w:lang w:val="fr-FR"/>
        </w:rPr>
      </w:pPr>
    </w:p>
    <w:p w:rsidR="00605E8F" w:rsidRPr="00025B3C" w:rsidRDefault="00A30BAA" w:rsidP="00025B3C">
      <w:pPr>
        <w:rPr>
          <w:lang w:val="fr-FR"/>
        </w:rPr>
      </w:pPr>
      <w:r w:rsidRPr="00025B3C">
        <w:rPr>
          <w:lang w:val="fr-FR"/>
        </w:rPr>
        <w:t>Pour disposer d</w:t>
      </w:r>
      <w:r w:rsidR="006551E8">
        <w:rPr>
          <w:lang w:val="fr-FR"/>
        </w:rPr>
        <w:t>’</w:t>
      </w:r>
      <w:r w:rsidRPr="00025B3C">
        <w:rPr>
          <w:lang w:val="fr-FR"/>
        </w:rPr>
        <w:t>une base solide sur laquelle asseoir les négociations concernant les dispositions des contrats qui les lient aux compagnies d</w:t>
      </w:r>
      <w:r w:rsidR="006551E8">
        <w:rPr>
          <w:lang w:val="fr-FR"/>
        </w:rPr>
        <w:t>’</w:t>
      </w:r>
      <w:r w:rsidRPr="00025B3C">
        <w:rPr>
          <w:lang w:val="fr-FR"/>
        </w:rPr>
        <w:t>assurance, les organisations dotées de régimes d</w:t>
      </w:r>
      <w:r w:rsidR="006551E8">
        <w:rPr>
          <w:lang w:val="fr-FR"/>
        </w:rPr>
        <w:t>’</w:t>
      </w:r>
      <w:r w:rsidRPr="00025B3C">
        <w:rPr>
          <w:lang w:val="fr-FR"/>
        </w:rPr>
        <w:t xml:space="preserve">assurance externes devraient procéder à des examens périodiques des conditions proposées par les assureurs et en partager les résultats avec les autres entités des </w:t>
      </w:r>
      <w:r w:rsidR="006551E8">
        <w:rPr>
          <w:lang w:val="fr-FR"/>
        </w:rPr>
        <w:t>Nations Unies</w:t>
      </w:r>
      <w:r w:rsidRPr="00025B3C">
        <w:rPr>
          <w:lang w:val="fr-FR"/>
        </w:rPr>
        <w:t xml:space="preserve"> à des fins de comparaison</w:t>
      </w:r>
      <w:r w:rsidR="009A0120" w:rsidRPr="00025B3C">
        <w:rPr>
          <w:lang w:val="fr-FR"/>
        </w:rPr>
        <w:t>.</w:t>
      </w:r>
    </w:p>
    <w:p w:rsidR="00605E8F" w:rsidRPr="00025B3C" w:rsidRDefault="00605E8F" w:rsidP="00025B3C">
      <w:pPr>
        <w:rPr>
          <w:lang w:val="fr-FR"/>
        </w:rPr>
      </w:pPr>
    </w:p>
    <w:p w:rsidR="00605E8F" w:rsidRPr="00025B3C" w:rsidRDefault="009A0120" w:rsidP="00025B3C">
      <w:pPr>
        <w:pStyle w:val="ListParagraph"/>
        <w:tabs>
          <w:tab w:val="left" w:pos="1440"/>
        </w:tabs>
        <w:spacing w:line="240" w:lineRule="auto"/>
        <w:ind w:left="0"/>
        <w:rPr>
          <w:sz w:val="22"/>
          <w:szCs w:val="22"/>
          <w:lang w:val="fr-FR"/>
        </w:rPr>
      </w:pPr>
      <w:r w:rsidRPr="00025B3C">
        <w:rPr>
          <w:sz w:val="22"/>
          <w:szCs w:val="22"/>
          <w:lang w:val="fr-FR"/>
        </w:rPr>
        <w:t>Le CCQAB a recommandé que l</w:t>
      </w:r>
      <w:r w:rsidR="006551E8">
        <w:rPr>
          <w:sz w:val="22"/>
          <w:szCs w:val="22"/>
          <w:lang w:val="fr-FR"/>
        </w:rPr>
        <w:t>’</w:t>
      </w:r>
      <w:r w:rsidRPr="00025B3C">
        <w:rPr>
          <w:sz w:val="22"/>
          <w:szCs w:val="22"/>
          <w:lang w:val="fr-FR"/>
        </w:rPr>
        <w:t>Assemblée générale approuve les recommandations n</w:t>
      </w:r>
      <w:r w:rsidRPr="00025B3C">
        <w:rPr>
          <w:sz w:val="22"/>
          <w:szCs w:val="22"/>
          <w:vertAlign w:val="superscript"/>
          <w:lang w:val="fr-FR"/>
        </w:rPr>
        <w:t>os</w:t>
      </w:r>
      <w:r w:rsidRPr="00025B3C">
        <w:rPr>
          <w:sz w:val="22"/>
          <w:szCs w:val="22"/>
          <w:lang w:val="fr-FR"/>
        </w:rPr>
        <w:t xml:space="preserve"> 1 à 3 du groupe de travail et a encouragé ce dernier à continuer d</w:t>
      </w:r>
      <w:r w:rsidR="006551E8">
        <w:rPr>
          <w:sz w:val="22"/>
          <w:szCs w:val="22"/>
          <w:lang w:val="fr-FR"/>
        </w:rPr>
        <w:t>’</w:t>
      </w:r>
      <w:r w:rsidRPr="00025B3C">
        <w:rPr>
          <w:sz w:val="22"/>
          <w:szCs w:val="22"/>
          <w:lang w:val="fr-FR"/>
        </w:rPr>
        <w:t>étudier les possibilités de consolidation des régimes d</w:t>
      </w:r>
      <w:r w:rsidR="006551E8">
        <w:rPr>
          <w:sz w:val="22"/>
          <w:szCs w:val="22"/>
          <w:lang w:val="fr-FR"/>
        </w:rPr>
        <w:t>’</w:t>
      </w:r>
      <w:r w:rsidRPr="00025B3C">
        <w:rPr>
          <w:sz w:val="22"/>
          <w:szCs w:val="22"/>
          <w:lang w:val="fr-FR"/>
        </w:rPr>
        <w:t>assurance maladie aux différents niveaux.</w:t>
      </w:r>
    </w:p>
    <w:p w:rsidR="00605E8F" w:rsidRPr="00025B3C" w:rsidRDefault="00605E8F" w:rsidP="00025B3C">
      <w:pPr>
        <w:pStyle w:val="ListParagraph"/>
        <w:tabs>
          <w:tab w:val="left" w:pos="1440"/>
        </w:tabs>
        <w:spacing w:line="240" w:lineRule="auto"/>
        <w:ind w:left="0"/>
        <w:rPr>
          <w:sz w:val="22"/>
          <w:szCs w:val="22"/>
          <w:lang w:val="fr-FR"/>
        </w:rPr>
      </w:pPr>
    </w:p>
    <w:p w:rsidR="005B1378" w:rsidRPr="00025B3C" w:rsidRDefault="009A0120" w:rsidP="00025B3C">
      <w:pPr>
        <w:tabs>
          <w:tab w:val="left" w:pos="1440"/>
        </w:tabs>
        <w:rPr>
          <w:b/>
          <w:lang w:val="fr-FR"/>
        </w:rPr>
      </w:pPr>
      <w:r w:rsidRPr="00025B3C">
        <w:rPr>
          <w:b/>
          <w:lang w:val="fr-FR"/>
        </w:rPr>
        <w:t>PILIER B</w:t>
      </w:r>
      <w:r w:rsidRPr="00025B3C">
        <w:rPr>
          <w:lang w:val="fr-FR"/>
        </w:rPr>
        <w:tab/>
      </w:r>
      <w:r w:rsidRPr="00025B3C">
        <w:rPr>
          <w:b/>
          <w:lang w:val="fr-FR"/>
        </w:rPr>
        <w:t>Examen du cadre relatif à l</w:t>
      </w:r>
      <w:r w:rsidR="006551E8">
        <w:rPr>
          <w:b/>
          <w:lang w:val="fr-FR"/>
        </w:rPr>
        <w:t>’</w:t>
      </w:r>
      <w:r w:rsidRPr="00025B3C">
        <w:rPr>
          <w:b/>
          <w:lang w:val="fr-FR"/>
        </w:rPr>
        <w:t xml:space="preserve">assurance maladie après la cessation de service dans le système des </w:t>
      </w:r>
      <w:r w:rsidR="006551E8">
        <w:rPr>
          <w:b/>
          <w:lang w:val="fr-FR"/>
        </w:rPr>
        <w:t>Nations Unies</w:t>
      </w:r>
    </w:p>
    <w:p w:rsidR="00605E8F" w:rsidRPr="00025B3C" w:rsidRDefault="00605E8F" w:rsidP="00025B3C">
      <w:pPr>
        <w:rPr>
          <w:lang w:val="fr-FR"/>
        </w:rPr>
      </w:pPr>
    </w:p>
    <w:p w:rsidR="00605E8F" w:rsidRPr="00025B3C" w:rsidRDefault="009A0120" w:rsidP="00025B3C">
      <w:pPr>
        <w:tabs>
          <w:tab w:val="left" w:pos="2340"/>
        </w:tabs>
        <w:rPr>
          <w:lang w:val="fr-FR"/>
        </w:rPr>
      </w:pPr>
      <w:r w:rsidRPr="00025B3C">
        <w:rPr>
          <w:u w:val="single"/>
          <w:lang w:val="fr-FR"/>
        </w:rPr>
        <w:t>Recommandation n°</w:t>
      </w:r>
      <w:r w:rsidR="00FB4BFC" w:rsidRPr="00025B3C">
        <w:rPr>
          <w:u w:val="single"/>
          <w:lang w:val="fr-FR"/>
        </w:rPr>
        <w:t> </w:t>
      </w:r>
      <w:r w:rsidRPr="00025B3C">
        <w:rPr>
          <w:u w:val="single"/>
          <w:lang w:val="fr-FR"/>
        </w:rPr>
        <w:t>4</w:t>
      </w:r>
      <w:r w:rsidR="006551E8">
        <w:rPr>
          <w:lang w:val="fr-FR"/>
        </w:rPr>
        <w:t> :</w:t>
      </w:r>
      <w:r w:rsidR="00A3339B" w:rsidRPr="00025B3C">
        <w:rPr>
          <w:lang w:val="fr-FR"/>
        </w:rPr>
        <w:t xml:space="preserve"> </w:t>
      </w:r>
      <w:r w:rsidR="00E5382F" w:rsidRPr="00025B3C">
        <w:rPr>
          <w:lang w:val="fr-FR"/>
        </w:rPr>
        <w:t>Le groupe de travail propose de continuer à apporter son concours aux organisations qui examineront plus avant la possibilité d</w:t>
      </w:r>
      <w:r w:rsidR="006551E8">
        <w:rPr>
          <w:lang w:val="fr-FR"/>
        </w:rPr>
        <w:t>’</w:t>
      </w:r>
      <w:r w:rsidR="00E5382F" w:rsidRPr="00025B3C">
        <w:rPr>
          <w:lang w:val="fr-FR"/>
        </w:rPr>
        <w:t>adosser leurs régimes d</w:t>
      </w:r>
      <w:r w:rsidR="006551E8">
        <w:rPr>
          <w:lang w:val="fr-FR"/>
        </w:rPr>
        <w:t>’</w:t>
      </w:r>
      <w:r w:rsidR="00E5382F" w:rsidRPr="00025B3C">
        <w:rPr>
          <w:lang w:val="fr-FR"/>
        </w:rPr>
        <w:t>assurance aux régimes d</w:t>
      </w:r>
      <w:r w:rsidR="006551E8">
        <w:rPr>
          <w:lang w:val="fr-FR"/>
        </w:rPr>
        <w:t>’</w:t>
      </w:r>
      <w:r w:rsidR="00E5382F" w:rsidRPr="00025B3C">
        <w:rPr>
          <w:lang w:val="fr-FR"/>
        </w:rPr>
        <w:t>assurance maladie nationaux et de transformer les premiers en régimes complémentaires, l</w:t>
      </w:r>
      <w:r w:rsidR="006551E8">
        <w:rPr>
          <w:lang w:val="fr-FR"/>
        </w:rPr>
        <w:t>’</w:t>
      </w:r>
      <w:r w:rsidR="00E5382F" w:rsidRPr="00025B3C">
        <w:rPr>
          <w:lang w:val="fr-FR"/>
        </w:rPr>
        <w:t>idée étant de faire bénéficier les fonctionnaires en activité ou à la retraite des meilleures prestations possib</w:t>
      </w:r>
      <w:r w:rsidR="00BD2EDD" w:rsidRPr="00025B3C">
        <w:rPr>
          <w:lang w:val="fr-FR"/>
        </w:rPr>
        <w:t>le</w:t>
      </w:r>
      <w:r w:rsidR="00BD2EDD">
        <w:rPr>
          <w:lang w:val="fr-FR"/>
        </w:rPr>
        <w:t xml:space="preserve">.  </w:t>
      </w:r>
      <w:r w:rsidR="00BD2EDD" w:rsidRPr="00025B3C">
        <w:rPr>
          <w:lang w:val="fr-FR"/>
        </w:rPr>
        <w:t>Il</w:t>
      </w:r>
      <w:r w:rsidR="00E5382F" w:rsidRPr="00025B3C">
        <w:rPr>
          <w:lang w:val="fr-FR"/>
        </w:rPr>
        <w:t xml:space="preserve"> propose que les organisations nouent des contacts avec les États </w:t>
      </w:r>
      <w:r w:rsidR="00FB4BFC" w:rsidRPr="00025B3C">
        <w:rPr>
          <w:lang w:val="fr-FR"/>
        </w:rPr>
        <w:t>membres</w:t>
      </w:r>
      <w:r w:rsidR="00E5382F" w:rsidRPr="00025B3C">
        <w:rPr>
          <w:lang w:val="fr-FR"/>
        </w:rPr>
        <w:t xml:space="preserve"> afin de déterminer si les fonctionnaires des </w:t>
      </w:r>
      <w:r w:rsidR="006551E8">
        <w:rPr>
          <w:lang w:val="fr-FR"/>
        </w:rPr>
        <w:t>Nations Unies</w:t>
      </w:r>
      <w:r w:rsidR="00E5382F" w:rsidRPr="00025B3C">
        <w:rPr>
          <w:lang w:val="fr-FR"/>
        </w:rPr>
        <w:t xml:space="preserve"> pourraient être </w:t>
      </w:r>
      <w:r w:rsidR="00E5382F" w:rsidRPr="00025B3C">
        <w:rPr>
          <w:lang w:val="fr-FR"/>
        </w:rPr>
        <w:lastRenderedPageBreak/>
        <w:t>admis au bénéfice du régime d</w:t>
      </w:r>
      <w:r w:rsidR="006551E8">
        <w:rPr>
          <w:lang w:val="fr-FR"/>
        </w:rPr>
        <w:t>’</w:t>
      </w:r>
      <w:r w:rsidR="00E5382F" w:rsidRPr="00025B3C">
        <w:rPr>
          <w:lang w:val="fr-FR"/>
        </w:rPr>
        <w:t>assurance maladie national et si l</w:t>
      </w:r>
      <w:r w:rsidR="006551E8">
        <w:rPr>
          <w:lang w:val="fr-FR"/>
        </w:rPr>
        <w:t>’</w:t>
      </w:r>
      <w:r w:rsidR="00E5382F" w:rsidRPr="00025B3C">
        <w:rPr>
          <w:lang w:val="fr-FR"/>
        </w:rPr>
        <w:t>on pourrait faire de celui</w:t>
      </w:r>
      <w:r w:rsidR="0077342A">
        <w:rPr>
          <w:lang w:val="fr-FR"/>
        </w:rPr>
        <w:noBreakHyphen/>
      </w:r>
      <w:r w:rsidR="00E5382F" w:rsidRPr="00025B3C">
        <w:rPr>
          <w:lang w:val="fr-FR"/>
        </w:rPr>
        <w:t>ci leur régime princip</w:t>
      </w:r>
      <w:r w:rsidR="00BD2EDD" w:rsidRPr="00025B3C">
        <w:rPr>
          <w:lang w:val="fr-FR"/>
        </w:rPr>
        <w:t>al</w:t>
      </w:r>
      <w:r w:rsidR="00BD2EDD">
        <w:rPr>
          <w:lang w:val="fr-FR"/>
        </w:rPr>
        <w:t xml:space="preserve">.  </w:t>
      </w:r>
      <w:r w:rsidR="00BD2EDD" w:rsidRPr="00025B3C">
        <w:rPr>
          <w:lang w:val="fr-FR"/>
        </w:rPr>
        <w:t>Ce</w:t>
      </w:r>
      <w:r w:rsidR="00E5382F" w:rsidRPr="00025B3C">
        <w:rPr>
          <w:lang w:val="fr-FR"/>
        </w:rPr>
        <w:t>la concerne principalement les retraités et les personnes à leur charge répondant aux conditions voulues, mais cela pourrait aussi être élargi, dans certaines situations, aux fonctionnaires en activité</w:t>
      </w:r>
      <w:r w:rsidRPr="00025B3C">
        <w:rPr>
          <w:lang w:val="fr-FR"/>
        </w:rPr>
        <w:t>.</w:t>
      </w:r>
    </w:p>
    <w:p w:rsidR="00605E8F" w:rsidRPr="00025B3C" w:rsidRDefault="00605E8F" w:rsidP="00025B3C">
      <w:pPr>
        <w:rPr>
          <w:lang w:val="fr-FR"/>
        </w:rPr>
      </w:pPr>
    </w:p>
    <w:p w:rsidR="00605E8F" w:rsidRPr="00025B3C" w:rsidRDefault="00E5382F" w:rsidP="00025B3C">
      <w:pPr>
        <w:rPr>
          <w:lang w:val="fr-FR"/>
        </w:rPr>
      </w:pPr>
      <w:r w:rsidRPr="00025B3C">
        <w:rPr>
          <w:lang w:val="fr-FR"/>
        </w:rPr>
        <w:t>Les organisations devraient évaluer, compte tenu des incidences financières, s</w:t>
      </w:r>
      <w:r w:rsidR="006551E8">
        <w:rPr>
          <w:lang w:val="fr-FR"/>
        </w:rPr>
        <w:t>’</w:t>
      </w:r>
      <w:r w:rsidRPr="00025B3C">
        <w:rPr>
          <w:lang w:val="fr-FR"/>
        </w:rPr>
        <w:t>il est fondé et faisable d</w:t>
      </w:r>
      <w:r w:rsidR="006551E8">
        <w:rPr>
          <w:lang w:val="fr-FR"/>
        </w:rPr>
        <w:t>’</w:t>
      </w:r>
      <w:r w:rsidRPr="00025B3C">
        <w:rPr>
          <w:lang w:val="fr-FR"/>
        </w:rPr>
        <w:t>incorporer dans leurs régimes d</w:t>
      </w:r>
      <w:r w:rsidR="006551E8">
        <w:rPr>
          <w:lang w:val="fr-FR"/>
        </w:rPr>
        <w:t>’</w:t>
      </w:r>
      <w:r w:rsidRPr="00025B3C">
        <w:rPr>
          <w:lang w:val="fr-FR"/>
        </w:rPr>
        <w:t>assurance maladie l</w:t>
      </w:r>
      <w:r w:rsidR="006551E8">
        <w:rPr>
          <w:lang w:val="fr-FR"/>
        </w:rPr>
        <w:t>’</w:t>
      </w:r>
      <w:r w:rsidRPr="00025B3C">
        <w:rPr>
          <w:lang w:val="fr-FR"/>
        </w:rPr>
        <w:t>obligation de s</w:t>
      </w:r>
      <w:r w:rsidR="006551E8">
        <w:rPr>
          <w:lang w:val="fr-FR"/>
        </w:rPr>
        <w:t>’</w:t>
      </w:r>
      <w:r w:rsidRPr="00025B3C">
        <w:rPr>
          <w:lang w:val="fr-FR"/>
        </w:rPr>
        <w:t>affilier à un régime d</w:t>
      </w:r>
      <w:r w:rsidR="006551E8">
        <w:rPr>
          <w:lang w:val="fr-FR"/>
        </w:rPr>
        <w:t>’</w:t>
      </w:r>
      <w:r w:rsidRPr="00025B3C">
        <w:rPr>
          <w:lang w:val="fr-FR"/>
        </w:rPr>
        <w:t>assurance national et de faire supporter le coût des cotisations à leurs régimes</w:t>
      </w:r>
      <w:r w:rsidR="009A0120" w:rsidRPr="00025B3C">
        <w:rPr>
          <w:lang w:val="fr-FR"/>
        </w:rPr>
        <w:t>.</w:t>
      </w:r>
    </w:p>
    <w:p w:rsidR="00605E8F" w:rsidRPr="00025B3C" w:rsidRDefault="00605E8F" w:rsidP="00025B3C">
      <w:pPr>
        <w:rPr>
          <w:lang w:val="fr-FR"/>
        </w:rPr>
      </w:pPr>
    </w:p>
    <w:p w:rsidR="00605E8F" w:rsidRPr="00025B3C" w:rsidRDefault="009A0120" w:rsidP="00025B3C">
      <w:pPr>
        <w:pStyle w:val="ListParagraph"/>
        <w:tabs>
          <w:tab w:val="left" w:pos="0"/>
          <w:tab w:val="left" w:pos="1260"/>
        </w:tabs>
        <w:spacing w:line="240" w:lineRule="auto"/>
        <w:ind w:left="0"/>
        <w:rPr>
          <w:sz w:val="22"/>
          <w:szCs w:val="22"/>
          <w:lang w:val="fr-FR"/>
        </w:rPr>
      </w:pPr>
      <w:r w:rsidRPr="00025B3C">
        <w:rPr>
          <w:sz w:val="22"/>
          <w:szCs w:val="22"/>
          <w:lang w:val="fr-FR"/>
        </w:rPr>
        <w:t>Dans l</w:t>
      </w:r>
      <w:r w:rsidR="006551E8">
        <w:rPr>
          <w:sz w:val="22"/>
          <w:szCs w:val="22"/>
          <w:lang w:val="fr-FR"/>
        </w:rPr>
        <w:t>’</w:t>
      </w:r>
      <w:r w:rsidRPr="00025B3C">
        <w:rPr>
          <w:sz w:val="22"/>
          <w:szCs w:val="22"/>
          <w:lang w:val="fr-FR"/>
        </w:rPr>
        <w:t>attente de recevoir des informations supplémentaires sur les régimes nationaux d</w:t>
      </w:r>
      <w:r w:rsidR="006551E8">
        <w:rPr>
          <w:sz w:val="22"/>
          <w:szCs w:val="22"/>
          <w:lang w:val="fr-FR"/>
        </w:rPr>
        <w:t>’</w:t>
      </w:r>
      <w:r w:rsidRPr="00025B3C">
        <w:rPr>
          <w:sz w:val="22"/>
          <w:szCs w:val="22"/>
          <w:lang w:val="fr-FR"/>
        </w:rPr>
        <w:t>assurance maladie,</w:t>
      </w:r>
      <w:r w:rsidR="005B1378" w:rsidRPr="00025B3C">
        <w:rPr>
          <w:sz w:val="22"/>
          <w:szCs w:val="22"/>
          <w:lang w:val="fr-FR"/>
        </w:rPr>
        <w:t xml:space="preserve"> le CCQ</w:t>
      </w:r>
      <w:r w:rsidRPr="00025B3C">
        <w:rPr>
          <w:sz w:val="22"/>
          <w:szCs w:val="22"/>
          <w:lang w:val="fr-FR"/>
        </w:rPr>
        <w:t>AB n</w:t>
      </w:r>
      <w:r w:rsidR="006551E8">
        <w:rPr>
          <w:sz w:val="22"/>
          <w:szCs w:val="22"/>
          <w:lang w:val="fr-FR"/>
        </w:rPr>
        <w:t>’</w:t>
      </w:r>
      <w:r w:rsidRPr="00025B3C">
        <w:rPr>
          <w:sz w:val="22"/>
          <w:szCs w:val="22"/>
          <w:lang w:val="fr-FR"/>
        </w:rPr>
        <w:t>a pas recommandé l</w:t>
      </w:r>
      <w:r w:rsidR="006551E8">
        <w:rPr>
          <w:sz w:val="22"/>
          <w:szCs w:val="22"/>
          <w:lang w:val="fr-FR"/>
        </w:rPr>
        <w:t>’</w:t>
      </w:r>
      <w:r w:rsidRPr="00025B3C">
        <w:rPr>
          <w:sz w:val="22"/>
          <w:szCs w:val="22"/>
          <w:lang w:val="fr-FR"/>
        </w:rPr>
        <w:t>approbation de la recommandation n°</w:t>
      </w:r>
      <w:r w:rsidR="00FB4BFC" w:rsidRPr="00025B3C">
        <w:rPr>
          <w:sz w:val="22"/>
          <w:szCs w:val="22"/>
          <w:lang w:val="fr-FR"/>
        </w:rPr>
        <w:t> </w:t>
      </w:r>
      <w:r w:rsidRPr="00025B3C">
        <w:rPr>
          <w:sz w:val="22"/>
          <w:szCs w:val="22"/>
          <w:lang w:val="fr-FR"/>
        </w:rPr>
        <w:t>4 du groupe de trava</w:t>
      </w:r>
      <w:r w:rsidR="00BD2EDD" w:rsidRPr="00025B3C">
        <w:rPr>
          <w:sz w:val="22"/>
          <w:szCs w:val="22"/>
          <w:lang w:val="fr-FR"/>
        </w:rPr>
        <w:t>il</w:t>
      </w:r>
      <w:r w:rsidR="00BD2EDD">
        <w:rPr>
          <w:sz w:val="22"/>
          <w:szCs w:val="22"/>
          <w:lang w:val="fr-FR"/>
        </w:rPr>
        <w:t xml:space="preserve">.  </w:t>
      </w:r>
      <w:r w:rsidR="00BD2EDD" w:rsidRPr="00025B3C">
        <w:rPr>
          <w:sz w:val="22"/>
          <w:szCs w:val="22"/>
          <w:lang w:val="fr-FR"/>
        </w:rPr>
        <w:t>Le</w:t>
      </w:r>
      <w:r w:rsidRPr="00025B3C">
        <w:rPr>
          <w:sz w:val="22"/>
          <w:szCs w:val="22"/>
          <w:lang w:val="fr-FR"/>
        </w:rPr>
        <w:t xml:space="preserve"> comité a toutefois reconnu le potentiel d</w:t>
      </w:r>
      <w:r w:rsidR="006551E8">
        <w:rPr>
          <w:sz w:val="22"/>
          <w:szCs w:val="22"/>
          <w:lang w:val="fr-FR"/>
        </w:rPr>
        <w:t>’</w:t>
      </w:r>
      <w:r w:rsidRPr="00025B3C">
        <w:rPr>
          <w:sz w:val="22"/>
          <w:szCs w:val="22"/>
          <w:lang w:val="fr-FR"/>
        </w:rPr>
        <w:t>économie en cas de mise en œuvre de la recommandation et a exprimé l</w:t>
      </w:r>
      <w:r w:rsidR="006551E8">
        <w:rPr>
          <w:sz w:val="22"/>
          <w:szCs w:val="22"/>
          <w:lang w:val="fr-FR"/>
        </w:rPr>
        <w:t>’</w:t>
      </w:r>
      <w:r w:rsidRPr="00025B3C">
        <w:rPr>
          <w:sz w:val="22"/>
          <w:szCs w:val="22"/>
          <w:lang w:val="fr-FR"/>
        </w:rPr>
        <w:t>espoir d</w:t>
      </w:r>
      <w:r w:rsidR="006551E8">
        <w:rPr>
          <w:sz w:val="22"/>
          <w:szCs w:val="22"/>
          <w:lang w:val="fr-FR"/>
        </w:rPr>
        <w:t>’</w:t>
      </w:r>
      <w:r w:rsidRPr="00025B3C">
        <w:rPr>
          <w:sz w:val="22"/>
          <w:szCs w:val="22"/>
          <w:lang w:val="fr-FR"/>
        </w:rPr>
        <w:t>obtenir les informations nécessaires lors de la prochaine étape de l</w:t>
      </w:r>
      <w:r w:rsidR="006551E8">
        <w:rPr>
          <w:sz w:val="22"/>
          <w:szCs w:val="22"/>
          <w:lang w:val="fr-FR"/>
        </w:rPr>
        <w:t>’</w:t>
      </w:r>
      <w:r w:rsidRPr="00025B3C">
        <w:rPr>
          <w:sz w:val="22"/>
          <w:szCs w:val="22"/>
          <w:lang w:val="fr-FR"/>
        </w:rPr>
        <w:t>étude du groupe de travail.</w:t>
      </w:r>
    </w:p>
    <w:p w:rsidR="00605E8F" w:rsidRPr="00025B3C" w:rsidRDefault="00605E8F" w:rsidP="00025B3C">
      <w:pPr>
        <w:rPr>
          <w:lang w:val="fr-FR"/>
        </w:rPr>
      </w:pPr>
    </w:p>
    <w:p w:rsidR="00605E8F" w:rsidRPr="00025B3C" w:rsidRDefault="009A0120" w:rsidP="00025B3C">
      <w:pPr>
        <w:keepNext/>
        <w:keepLines/>
        <w:tabs>
          <w:tab w:val="left" w:pos="2430"/>
        </w:tabs>
        <w:rPr>
          <w:lang w:val="fr-FR"/>
        </w:rPr>
      </w:pPr>
      <w:r w:rsidRPr="00025B3C">
        <w:rPr>
          <w:u w:val="single"/>
          <w:lang w:val="fr-FR"/>
        </w:rPr>
        <w:t>Recommandation n°</w:t>
      </w:r>
      <w:r w:rsidR="00FB4BFC" w:rsidRPr="00025B3C">
        <w:rPr>
          <w:u w:val="single"/>
          <w:lang w:val="fr-FR"/>
        </w:rPr>
        <w:t> </w:t>
      </w:r>
      <w:r w:rsidRPr="00025B3C">
        <w:rPr>
          <w:u w:val="single"/>
          <w:lang w:val="fr-FR"/>
        </w:rPr>
        <w:t>5</w:t>
      </w:r>
      <w:r w:rsidR="006551E8">
        <w:rPr>
          <w:lang w:val="fr-FR"/>
        </w:rPr>
        <w:t> :</w:t>
      </w:r>
      <w:r w:rsidR="00A3339B" w:rsidRPr="00025B3C">
        <w:rPr>
          <w:lang w:val="fr-FR"/>
        </w:rPr>
        <w:t xml:space="preserve"> </w:t>
      </w:r>
      <w:r w:rsidRPr="00025B3C">
        <w:rPr>
          <w:lang w:val="fr-FR"/>
        </w:rPr>
        <w:t xml:space="preserve">Élargir le mandat de la Caisse commune des pensions du personnel des </w:t>
      </w:r>
      <w:r w:rsidR="006551E8">
        <w:rPr>
          <w:lang w:val="fr-FR"/>
        </w:rPr>
        <w:t>Nations Unies</w:t>
      </w:r>
    </w:p>
    <w:p w:rsidR="00605E8F" w:rsidRPr="00025B3C" w:rsidRDefault="00605E8F" w:rsidP="00025B3C">
      <w:pPr>
        <w:keepNext/>
        <w:keepLines/>
        <w:rPr>
          <w:lang w:val="fr-FR"/>
        </w:rPr>
      </w:pPr>
    </w:p>
    <w:p w:rsidR="00605E8F" w:rsidRPr="00025B3C" w:rsidRDefault="00E5382F" w:rsidP="00025B3C">
      <w:pPr>
        <w:keepNext/>
        <w:keepLines/>
        <w:rPr>
          <w:lang w:val="fr-FR"/>
        </w:rPr>
      </w:pPr>
      <w:r w:rsidRPr="00025B3C">
        <w:rPr>
          <w:lang w:val="fr-FR"/>
        </w:rPr>
        <w:t>Même s</w:t>
      </w:r>
      <w:r w:rsidR="006551E8">
        <w:rPr>
          <w:lang w:val="fr-FR"/>
        </w:rPr>
        <w:t>’</w:t>
      </w:r>
      <w:r w:rsidRPr="00025B3C">
        <w:rPr>
          <w:lang w:val="fr-FR"/>
        </w:rPr>
        <w:t>il ne convient pas d</w:t>
      </w:r>
      <w:r w:rsidR="006551E8">
        <w:rPr>
          <w:lang w:val="fr-FR"/>
        </w:rPr>
        <w:t>’</w:t>
      </w:r>
      <w:r w:rsidRPr="00025B3C">
        <w:rPr>
          <w:lang w:val="fr-FR"/>
        </w:rPr>
        <w:t>élargir les fonctions de la Caisse commune des pensions et de la Division de la gestion des investissements, la Caisse pourrait être invitée, ainsi que</w:t>
      </w:r>
      <w:r w:rsidR="005B1378" w:rsidRPr="00025B3C">
        <w:rPr>
          <w:lang w:val="fr-FR"/>
        </w:rPr>
        <w:t xml:space="preserve"> le </w:t>
      </w:r>
      <w:r w:rsidR="005B1378" w:rsidRPr="00025B3C">
        <w:rPr>
          <w:szCs w:val="22"/>
          <w:lang w:val="fr-FR"/>
        </w:rPr>
        <w:t>CCQ</w:t>
      </w:r>
      <w:r w:rsidRPr="00025B3C">
        <w:rPr>
          <w:szCs w:val="22"/>
          <w:lang w:val="fr-FR"/>
        </w:rPr>
        <w:t xml:space="preserve">AB </w:t>
      </w:r>
      <w:r w:rsidRPr="00025B3C">
        <w:rPr>
          <w:lang w:val="fr-FR"/>
        </w:rPr>
        <w:t>l</w:t>
      </w:r>
      <w:r w:rsidR="006551E8">
        <w:rPr>
          <w:lang w:val="fr-FR"/>
        </w:rPr>
        <w:t>’</w:t>
      </w:r>
      <w:r w:rsidRPr="00025B3C">
        <w:rPr>
          <w:lang w:val="fr-FR"/>
        </w:rPr>
        <w:t>a recommandé, à faire connaître les méthodes et les pratiques de référence qu</w:t>
      </w:r>
      <w:r w:rsidR="006551E8">
        <w:rPr>
          <w:lang w:val="fr-FR"/>
        </w:rPr>
        <w:t>’</w:t>
      </w:r>
      <w:r w:rsidRPr="00025B3C">
        <w:rPr>
          <w:lang w:val="fr-FR"/>
        </w:rPr>
        <w:t>elle utilise aux fins de la centralisation et de l</w:t>
      </w:r>
      <w:r w:rsidR="006551E8">
        <w:rPr>
          <w:lang w:val="fr-FR"/>
        </w:rPr>
        <w:t>’</w:t>
      </w:r>
      <w:r w:rsidRPr="00025B3C">
        <w:rPr>
          <w:lang w:val="fr-FR"/>
        </w:rPr>
        <w:t>administration d</w:t>
      </w:r>
      <w:r w:rsidR="006551E8">
        <w:rPr>
          <w:lang w:val="fr-FR"/>
        </w:rPr>
        <w:t>’</w:t>
      </w:r>
      <w:r w:rsidRPr="00025B3C">
        <w:rPr>
          <w:lang w:val="fr-FR"/>
        </w:rPr>
        <w:t xml:space="preserve">un régime </w:t>
      </w:r>
      <w:proofErr w:type="spellStart"/>
      <w:r w:rsidRPr="00025B3C">
        <w:rPr>
          <w:lang w:val="fr-FR"/>
        </w:rPr>
        <w:t>multi</w:t>
      </w:r>
      <w:r w:rsidR="001C47DA" w:rsidRPr="00025B3C">
        <w:rPr>
          <w:lang w:val="fr-FR"/>
        </w:rPr>
        <w:t>employeur</w:t>
      </w:r>
      <w:proofErr w:type="spellEnd"/>
      <w:r w:rsidRPr="00025B3C">
        <w:rPr>
          <w:lang w:val="fr-FR"/>
        </w:rPr>
        <w:t xml:space="preserve"> complexe auprès des organisations qui choisissent de proposer une assurance maladie commune après la cessation de service</w:t>
      </w:r>
      <w:r w:rsidR="009A0120" w:rsidRPr="00025B3C">
        <w:rPr>
          <w:lang w:val="fr-FR"/>
        </w:rPr>
        <w:t>.</w:t>
      </w:r>
    </w:p>
    <w:p w:rsidR="00605E8F" w:rsidRPr="00025B3C" w:rsidRDefault="00605E8F" w:rsidP="00025B3C">
      <w:pPr>
        <w:pStyle w:val="ListParagraph"/>
        <w:tabs>
          <w:tab w:val="left" w:pos="0"/>
          <w:tab w:val="left" w:pos="1260"/>
        </w:tabs>
        <w:spacing w:line="240" w:lineRule="auto"/>
        <w:ind w:left="0" w:hanging="90"/>
        <w:rPr>
          <w:sz w:val="22"/>
          <w:szCs w:val="22"/>
          <w:lang w:val="fr-FR"/>
        </w:rPr>
      </w:pPr>
    </w:p>
    <w:p w:rsidR="00605E8F" w:rsidRPr="00025B3C" w:rsidRDefault="009A0120" w:rsidP="00025B3C">
      <w:pPr>
        <w:pStyle w:val="ListParagraph"/>
        <w:tabs>
          <w:tab w:val="left" w:pos="0"/>
          <w:tab w:val="left" w:pos="1260"/>
        </w:tabs>
        <w:spacing w:line="240" w:lineRule="auto"/>
        <w:ind w:left="0"/>
        <w:rPr>
          <w:sz w:val="22"/>
          <w:szCs w:val="22"/>
          <w:lang w:val="fr-FR"/>
        </w:rPr>
      </w:pPr>
      <w:r w:rsidRPr="00025B3C">
        <w:rPr>
          <w:sz w:val="22"/>
          <w:szCs w:val="22"/>
          <w:lang w:val="fr-FR"/>
        </w:rPr>
        <w:t>Concernant la recommandation n°</w:t>
      </w:r>
      <w:r w:rsidR="00FB4BFC" w:rsidRPr="00025B3C">
        <w:rPr>
          <w:sz w:val="22"/>
          <w:szCs w:val="22"/>
          <w:lang w:val="fr-FR"/>
        </w:rPr>
        <w:t> </w:t>
      </w:r>
      <w:r w:rsidRPr="00025B3C">
        <w:rPr>
          <w:sz w:val="22"/>
          <w:szCs w:val="22"/>
          <w:lang w:val="fr-FR"/>
        </w:rPr>
        <w:t>5,</w:t>
      </w:r>
      <w:r w:rsidR="005B1378" w:rsidRPr="00025B3C">
        <w:rPr>
          <w:sz w:val="22"/>
          <w:szCs w:val="22"/>
          <w:lang w:val="fr-FR"/>
        </w:rPr>
        <w:t xml:space="preserve"> le CCQ</w:t>
      </w:r>
      <w:r w:rsidRPr="00025B3C">
        <w:rPr>
          <w:sz w:val="22"/>
          <w:szCs w:val="22"/>
          <w:lang w:val="fr-FR"/>
        </w:rPr>
        <w:t>AB a recommandé que le groupe de travail continue d</w:t>
      </w:r>
      <w:r w:rsidR="006551E8">
        <w:rPr>
          <w:sz w:val="22"/>
          <w:szCs w:val="22"/>
          <w:lang w:val="fr-FR"/>
        </w:rPr>
        <w:t>’</w:t>
      </w:r>
      <w:r w:rsidRPr="00025B3C">
        <w:rPr>
          <w:sz w:val="22"/>
          <w:szCs w:val="22"/>
          <w:lang w:val="fr-FR"/>
        </w:rPr>
        <w:t>examiner les possibilités d</w:t>
      </w:r>
      <w:r w:rsidR="006551E8">
        <w:rPr>
          <w:sz w:val="22"/>
          <w:szCs w:val="22"/>
          <w:lang w:val="fr-FR"/>
        </w:rPr>
        <w:t>’</w:t>
      </w:r>
      <w:r w:rsidRPr="00025B3C">
        <w:rPr>
          <w:sz w:val="22"/>
          <w:szCs w:val="22"/>
          <w:lang w:val="fr-FR"/>
        </w:rPr>
        <w:t>une stratégie à l</w:t>
      </w:r>
      <w:r w:rsidR="006551E8">
        <w:rPr>
          <w:sz w:val="22"/>
          <w:szCs w:val="22"/>
          <w:lang w:val="fr-FR"/>
        </w:rPr>
        <w:t>’</w:t>
      </w:r>
      <w:r w:rsidRPr="00025B3C">
        <w:rPr>
          <w:sz w:val="22"/>
          <w:szCs w:val="22"/>
          <w:lang w:val="fr-FR"/>
        </w:rPr>
        <w:t>échelle du système pour gérer les prestations au titre de l</w:t>
      </w:r>
      <w:r w:rsidR="006551E8">
        <w:rPr>
          <w:sz w:val="22"/>
          <w:szCs w:val="22"/>
          <w:lang w:val="fr-FR"/>
        </w:rPr>
        <w:t>’</w:t>
      </w:r>
      <w:r w:rsidRPr="00025B3C">
        <w:rPr>
          <w:sz w:val="22"/>
          <w:szCs w:val="22"/>
          <w:lang w:val="fr-FR"/>
        </w:rPr>
        <w:t>AMCS, sans exclure que la Caisse de retraite de l</w:t>
      </w:r>
      <w:r w:rsidR="006551E8">
        <w:rPr>
          <w:sz w:val="22"/>
          <w:szCs w:val="22"/>
          <w:lang w:val="fr-FR"/>
        </w:rPr>
        <w:t>’</w:t>
      </w:r>
      <w:r w:rsidRPr="00025B3C">
        <w:rPr>
          <w:sz w:val="22"/>
          <w:szCs w:val="22"/>
          <w:lang w:val="fr-FR"/>
        </w:rPr>
        <w:t>OMPI y joue un rôle potentiel, notamment en partageant ses principes de bonne gestion et ses méthodes de travail.</w:t>
      </w:r>
    </w:p>
    <w:p w:rsidR="00605E8F" w:rsidRPr="00025B3C" w:rsidRDefault="00605E8F" w:rsidP="00025B3C">
      <w:pPr>
        <w:rPr>
          <w:lang w:val="fr-FR"/>
        </w:rPr>
      </w:pPr>
    </w:p>
    <w:p w:rsidR="005B1378" w:rsidRPr="00025B3C" w:rsidRDefault="009A0120" w:rsidP="00025B3C">
      <w:pPr>
        <w:tabs>
          <w:tab w:val="left" w:pos="1440"/>
        </w:tabs>
        <w:rPr>
          <w:b/>
          <w:lang w:val="fr-FR"/>
        </w:rPr>
      </w:pPr>
      <w:r w:rsidRPr="00025B3C">
        <w:rPr>
          <w:b/>
          <w:lang w:val="fr-FR"/>
        </w:rPr>
        <w:t>PILIER C</w:t>
      </w:r>
      <w:r w:rsidRPr="00025B3C">
        <w:rPr>
          <w:lang w:val="fr-FR"/>
        </w:rPr>
        <w:tab/>
      </w:r>
      <w:r w:rsidRPr="00025B3C">
        <w:rPr>
          <w:b/>
          <w:lang w:val="fr-FR"/>
        </w:rPr>
        <w:t>Détermination et déclaration du montant des engagements</w:t>
      </w:r>
    </w:p>
    <w:p w:rsidR="00605E8F" w:rsidRPr="00025B3C" w:rsidRDefault="00605E8F" w:rsidP="00025B3C">
      <w:pPr>
        <w:rPr>
          <w:lang w:val="fr-FR"/>
        </w:rPr>
      </w:pPr>
    </w:p>
    <w:p w:rsidR="00605E8F" w:rsidRPr="00025B3C" w:rsidRDefault="009A0120" w:rsidP="00025B3C">
      <w:pPr>
        <w:tabs>
          <w:tab w:val="left" w:pos="2410"/>
        </w:tabs>
        <w:rPr>
          <w:lang w:val="fr-FR"/>
        </w:rPr>
      </w:pPr>
      <w:r w:rsidRPr="00025B3C">
        <w:rPr>
          <w:u w:val="single"/>
          <w:lang w:val="fr-FR"/>
        </w:rPr>
        <w:t>Recommandation n°</w:t>
      </w:r>
      <w:r w:rsidR="00FB4BFC" w:rsidRPr="00025B3C">
        <w:rPr>
          <w:u w:val="single"/>
          <w:lang w:val="fr-FR"/>
        </w:rPr>
        <w:t> </w:t>
      </w:r>
      <w:r w:rsidRPr="00025B3C">
        <w:rPr>
          <w:u w:val="single"/>
          <w:lang w:val="fr-FR"/>
        </w:rPr>
        <w:t>6</w:t>
      </w:r>
      <w:r w:rsidR="006551E8">
        <w:rPr>
          <w:lang w:val="fr-FR"/>
        </w:rPr>
        <w:t> :</w:t>
      </w:r>
      <w:r w:rsidR="00A3339B" w:rsidRPr="00025B3C">
        <w:rPr>
          <w:lang w:val="fr-FR"/>
        </w:rPr>
        <w:t xml:space="preserve"> </w:t>
      </w:r>
      <w:r w:rsidRPr="00025B3C">
        <w:rPr>
          <w:lang w:val="fr-FR"/>
        </w:rPr>
        <w:t>Standardisation des méthodes générales d</w:t>
      </w:r>
      <w:r w:rsidR="006551E8">
        <w:rPr>
          <w:lang w:val="fr-FR"/>
        </w:rPr>
        <w:t>’</w:t>
      </w:r>
      <w:r w:rsidRPr="00025B3C">
        <w:rPr>
          <w:lang w:val="fr-FR"/>
        </w:rPr>
        <w:t>évaluation et établissement et application des facteurs clés d</w:t>
      </w:r>
      <w:r w:rsidR="006551E8">
        <w:rPr>
          <w:lang w:val="fr-FR"/>
        </w:rPr>
        <w:t>’</w:t>
      </w:r>
      <w:r w:rsidRPr="00025B3C">
        <w:rPr>
          <w:lang w:val="fr-FR"/>
        </w:rPr>
        <w:t>évaluation des engagements au titre de l</w:t>
      </w:r>
      <w:r w:rsidR="006551E8">
        <w:rPr>
          <w:lang w:val="fr-FR"/>
        </w:rPr>
        <w:t>’</w:t>
      </w:r>
      <w:r w:rsidRPr="00025B3C">
        <w:rPr>
          <w:lang w:val="fr-FR"/>
        </w:rPr>
        <w:t>AMCS.</w:t>
      </w:r>
    </w:p>
    <w:p w:rsidR="00605E8F" w:rsidRPr="00025B3C" w:rsidRDefault="00605E8F" w:rsidP="00025B3C">
      <w:pPr>
        <w:rPr>
          <w:lang w:val="fr-FR"/>
        </w:rPr>
      </w:pPr>
    </w:p>
    <w:p w:rsidR="00605E8F" w:rsidRPr="00025B3C" w:rsidRDefault="00E5382F" w:rsidP="00025B3C">
      <w:pPr>
        <w:rPr>
          <w:lang w:val="fr-FR"/>
        </w:rPr>
      </w:pPr>
      <w:r w:rsidRPr="00025B3C">
        <w:rPr>
          <w:lang w:val="fr-FR"/>
        </w:rPr>
        <w:t>Dans le cadre des travaux entrepris au titre du pilier C, le groupe de travail devrait coordonner ses efforts avec le Groupe de travail des normes comptables, lequel relève du Réseau Finances et budget du Comité de haut niveau sur la gestion, afin d</w:t>
      </w:r>
      <w:r w:rsidR="006551E8">
        <w:rPr>
          <w:lang w:val="fr-FR"/>
        </w:rPr>
        <w:t>’</w:t>
      </w:r>
      <w:r w:rsidRPr="00025B3C">
        <w:rPr>
          <w:lang w:val="fr-FR"/>
        </w:rPr>
        <w:t>harmoniser les principes généraux à appliquer aux engagements au titre de l</w:t>
      </w:r>
      <w:r w:rsidR="006551E8">
        <w:rPr>
          <w:lang w:val="fr-FR"/>
        </w:rPr>
        <w:t>’</w:t>
      </w:r>
      <w:r w:rsidRPr="00025B3C">
        <w:rPr>
          <w:lang w:val="fr-FR"/>
        </w:rPr>
        <w:t>assurance maladie après la cessation de service et d</w:t>
      </w:r>
      <w:r w:rsidR="006551E8">
        <w:rPr>
          <w:lang w:val="fr-FR"/>
        </w:rPr>
        <w:t>’</w:t>
      </w:r>
      <w:r w:rsidRPr="00025B3C">
        <w:rPr>
          <w:lang w:val="fr-FR"/>
        </w:rPr>
        <w:t xml:space="preserve">arrêter les facteurs et les hypothèses actuarielles avant la fin 2017, en vue de leur application aux évaluations actuarielles </w:t>
      </w:r>
      <w:r w:rsidR="005B1378" w:rsidRPr="00025B3C">
        <w:rPr>
          <w:lang w:val="fr-FR"/>
        </w:rPr>
        <w:t>de 2018</w:t>
      </w:r>
      <w:r w:rsidRPr="00025B3C">
        <w:rPr>
          <w:lang w:val="fr-FR"/>
        </w:rPr>
        <w:t>.</w:t>
      </w:r>
    </w:p>
    <w:p w:rsidR="00605E8F" w:rsidRPr="00025B3C" w:rsidRDefault="00605E8F" w:rsidP="00025B3C">
      <w:pPr>
        <w:rPr>
          <w:lang w:val="fr-FR"/>
        </w:rPr>
      </w:pPr>
    </w:p>
    <w:p w:rsidR="00605E8F" w:rsidRPr="00025B3C" w:rsidRDefault="009A0120" w:rsidP="00025B3C">
      <w:pPr>
        <w:pStyle w:val="ListParagraph"/>
        <w:tabs>
          <w:tab w:val="left" w:pos="0"/>
        </w:tabs>
        <w:spacing w:line="240" w:lineRule="auto"/>
        <w:ind w:left="0"/>
        <w:rPr>
          <w:sz w:val="22"/>
          <w:szCs w:val="22"/>
          <w:lang w:val="fr-FR"/>
        </w:rPr>
      </w:pPr>
      <w:r w:rsidRPr="00025B3C">
        <w:rPr>
          <w:sz w:val="22"/>
          <w:szCs w:val="22"/>
          <w:lang w:val="fr-FR"/>
        </w:rPr>
        <w:t>Le CCQAB a recommandé que l</w:t>
      </w:r>
      <w:r w:rsidR="006551E8">
        <w:rPr>
          <w:sz w:val="22"/>
          <w:szCs w:val="22"/>
          <w:lang w:val="fr-FR"/>
        </w:rPr>
        <w:t>’</w:t>
      </w:r>
      <w:r w:rsidRPr="00025B3C">
        <w:rPr>
          <w:sz w:val="22"/>
          <w:szCs w:val="22"/>
          <w:lang w:val="fr-FR"/>
        </w:rPr>
        <w:t>Assemblée générale approuve la recommandation n°</w:t>
      </w:r>
      <w:r w:rsidR="00FB4BFC" w:rsidRPr="00025B3C">
        <w:rPr>
          <w:sz w:val="22"/>
          <w:szCs w:val="22"/>
          <w:lang w:val="fr-FR"/>
        </w:rPr>
        <w:t> </w:t>
      </w:r>
      <w:r w:rsidRPr="00025B3C">
        <w:rPr>
          <w:sz w:val="22"/>
          <w:szCs w:val="22"/>
          <w:lang w:val="fr-FR"/>
        </w:rPr>
        <w:t>6 du groupe de travail, exprimant l</w:t>
      </w:r>
      <w:r w:rsidR="006551E8">
        <w:rPr>
          <w:sz w:val="22"/>
          <w:szCs w:val="22"/>
          <w:lang w:val="fr-FR"/>
        </w:rPr>
        <w:t>’</w:t>
      </w:r>
      <w:r w:rsidRPr="00025B3C">
        <w:rPr>
          <w:sz w:val="22"/>
          <w:szCs w:val="22"/>
          <w:lang w:val="fr-FR"/>
        </w:rPr>
        <w:t>espoir que des mesures soient prises, dans la mesure du possible, pour uniformiser la méthode d</w:t>
      </w:r>
      <w:r w:rsidR="006551E8">
        <w:rPr>
          <w:sz w:val="22"/>
          <w:szCs w:val="22"/>
          <w:lang w:val="fr-FR"/>
        </w:rPr>
        <w:t>’</w:t>
      </w:r>
      <w:r w:rsidRPr="00025B3C">
        <w:rPr>
          <w:sz w:val="22"/>
          <w:szCs w:val="22"/>
          <w:lang w:val="fr-FR"/>
        </w:rPr>
        <w:t>évaluation générale des engagements au titre de l</w:t>
      </w:r>
      <w:r w:rsidR="006551E8">
        <w:rPr>
          <w:sz w:val="22"/>
          <w:szCs w:val="22"/>
          <w:lang w:val="fr-FR"/>
        </w:rPr>
        <w:t>’</w:t>
      </w:r>
      <w:r w:rsidRPr="00025B3C">
        <w:rPr>
          <w:sz w:val="22"/>
          <w:szCs w:val="22"/>
          <w:lang w:val="fr-FR"/>
        </w:rPr>
        <w:t xml:space="preserve">AMCS dans toutes les organisations du système des </w:t>
      </w:r>
      <w:r w:rsidR="006551E8">
        <w:rPr>
          <w:sz w:val="22"/>
          <w:szCs w:val="22"/>
          <w:lang w:val="fr-FR"/>
        </w:rPr>
        <w:t>Nations Unies</w:t>
      </w:r>
      <w:r w:rsidRPr="00025B3C">
        <w:rPr>
          <w:sz w:val="22"/>
          <w:szCs w:val="22"/>
          <w:lang w:val="fr-FR"/>
        </w:rPr>
        <w:t>.</w:t>
      </w:r>
    </w:p>
    <w:p w:rsidR="00605E8F" w:rsidRPr="00025B3C" w:rsidRDefault="00605E8F" w:rsidP="00025B3C">
      <w:pPr>
        <w:pStyle w:val="ListParagraph"/>
        <w:tabs>
          <w:tab w:val="left" w:pos="0"/>
        </w:tabs>
        <w:spacing w:line="240" w:lineRule="auto"/>
        <w:ind w:left="0"/>
        <w:rPr>
          <w:sz w:val="22"/>
          <w:szCs w:val="22"/>
          <w:lang w:val="fr-FR"/>
        </w:rPr>
      </w:pPr>
    </w:p>
    <w:p w:rsidR="00605E8F" w:rsidRPr="00025B3C" w:rsidRDefault="009A0120" w:rsidP="00025B3C">
      <w:pPr>
        <w:tabs>
          <w:tab w:val="left" w:pos="1440"/>
        </w:tabs>
        <w:rPr>
          <w:b/>
          <w:lang w:val="fr-FR"/>
        </w:rPr>
      </w:pPr>
      <w:r w:rsidRPr="00025B3C">
        <w:rPr>
          <w:b/>
          <w:lang w:val="fr-FR"/>
        </w:rPr>
        <w:t>PILIER D</w:t>
      </w:r>
      <w:r w:rsidRPr="00025B3C">
        <w:rPr>
          <w:lang w:val="fr-FR"/>
        </w:rPr>
        <w:tab/>
      </w:r>
      <w:r w:rsidRPr="00025B3C">
        <w:rPr>
          <w:b/>
          <w:lang w:val="fr-FR"/>
        </w:rPr>
        <w:t>Stratégie de financement des engagements</w:t>
      </w:r>
    </w:p>
    <w:p w:rsidR="00605E8F" w:rsidRPr="00025B3C" w:rsidRDefault="00605E8F" w:rsidP="00025B3C">
      <w:pPr>
        <w:rPr>
          <w:lang w:val="fr-FR"/>
        </w:rPr>
      </w:pPr>
    </w:p>
    <w:p w:rsidR="00605E8F" w:rsidRPr="00025B3C" w:rsidRDefault="009A0120" w:rsidP="00025B3C">
      <w:pPr>
        <w:tabs>
          <w:tab w:val="left" w:pos="2340"/>
        </w:tabs>
        <w:rPr>
          <w:lang w:val="fr-FR"/>
        </w:rPr>
      </w:pPr>
      <w:r w:rsidRPr="00025B3C">
        <w:rPr>
          <w:u w:val="single"/>
          <w:lang w:val="fr-FR"/>
        </w:rPr>
        <w:t>Recommandation n°</w:t>
      </w:r>
      <w:r w:rsidR="00FB4BFC" w:rsidRPr="00025B3C">
        <w:rPr>
          <w:u w:val="single"/>
          <w:lang w:val="fr-FR"/>
        </w:rPr>
        <w:t> </w:t>
      </w:r>
      <w:r w:rsidRPr="00025B3C">
        <w:rPr>
          <w:u w:val="single"/>
          <w:lang w:val="fr-FR"/>
        </w:rPr>
        <w:t>7</w:t>
      </w:r>
      <w:r w:rsidR="006551E8">
        <w:rPr>
          <w:lang w:val="fr-FR"/>
        </w:rPr>
        <w:t> :</w:t>
      </w:r>
      <w:r w:rsidR="00A3339B" w:rsidRPr="00025B3C">
        <w:rPr>
          <w:lang w:val="fr-FR"/>
        </w:rPr>
        <w:t xml:space="preserve"> </w:t>
      </w:r>
      <w:r w:rsidRPr="00025B3C">
        <w:rPr>
          <w:lang w:val="fr-FR"/>
        </w:rPr>
        <w:t>Financement approprié des engagements au titre de l</w:t>
      </w:r>
      <w:r w:rsidR="006551E8">
        <w:rPr>
          <w:lang w:val="fr-FR"/>
        </w:rPr>
        <w:t>’</w:t>
      </w:r>
      <w:r w:rsidRPr="00025B3C">
        <w:rPr>
          <w:lang w:val="fr-FR"/>
        </w:rPr>
        <w:t>AMCS</w:t>
      </w:r>
    </w:p>
    <w:p w:rsidR="00605E8F" w:rsidRPr="00025B3C" w:rsidRDefault="00605E8F" w:rsidP="00025B3C">
      <w:pPr>
        <w:rPr>
          <w:lang w:val="fr-FR"/>
        </w:rPr>
      </w:pPr>
    </w:p>
    <w:p w:rsidR="00605E8F" w:rsidRPr="00025B3C" w:rsidRDefault="00C46284" w:rsidP="00025B3C">
      <w:pPr>
        <w:rPr>
          <w:lang w:val="fr-FR"/>
        </w:rPr>
      </w:pPr>
      <w:r w:rsidRPr="00025B3C">
        <w:rPr>
          <w:lang w:val="fr-FR"/>
        </w:rPr>
        <w:t>Le groupe de travail recommande que les organisations financent leurs engagements de façon adéquate et constituent des réserves qui leur permettent au moins de financer les engagements nés pendant les périodes actuelles, c</w:t>
      </w:r>
      <w:r w:rsidR="006551E8">
        <w:rPr>
          <w:lang w:val="fr-FR"/>
        </w:rPr>
        <w:t>’</w:t>
      </w:r>
      <w:r w:rsidRPr="00025B3C">
        <w:rPr>
          <w:lang w:val="fr-FR"/>
        </w:rPr>
        <w:t>est</w:t>
      </w:r>
      <w:r w:rsidR="0077342A">
        <w:rPr>
          <w:lang w:val="fr-FR"/>
        </w:rPr>
        <w:noBreakHyphen/>
      </w:r>
      <w:r w:rsidRPr="00025B3C">
        <w:rPr>
          <w:lang w:val="fr-FR"/>
        </w:rPr>
        <w:t>à</w:t>
      </w:r>
      <w:r w:rsidR="0077342A">
        <w:rPr>
          <w:lang w:val="fr-FR"/>
        </w:rPr>
        <w:noBreakHyphen/>
      </w:r>
      <w:r w:rsidRPr="00025B3C">
        <w:rPr>
          <w:lang w:val="fr-FR"/>
        </w:rPr>
        <w:t xml:space="preserve">dire le coût des services rendus et les coûts </w:t>
      </w:r>
      <w:r w:rsidRPr="00025B3C">
        <w:rPr>
          <w:lang w:val="fr-FR"/>
        </w:rPr>
        <w:lastRenderedPageBreak/>
        <w:t>financiers correspondan</w:t>
      </w:r>
      <w:r w:rsidR="00BD2EDD" w:rsidRPr="00025B3C">
        <w:rPr>
          <w:lang w:val="fr-FR"/>
        </w:rPr>
        <w:t>ts</w:t>
      </w:r>
      <w:r w:rsidR="00BD2EDD">
        <w:rPr>
          <w:lang w:val="fr-FR"/>
        </w:rPr>
        <w:t xml:space="preserve">.  </w:t>
      </w:r>
      <w:r w:rsidR="00BD2EDD" w:rsidRPr="00025B3C">
        <w:rPr>
          <w:lang w:val="fr-FR"/>
        </w:rPr>
        <w:t>Da</w:t>
      </w:r>
      <w:r w:rsidRPr="00025B3C">
        <w:rPr>
          <w:lang w:val="fr-FR"/>
        </w:rPr>
        <w:t>ns le cas des organisations qui privilégient encore un financement sans capitalisation, cela signifierait passer à un régime avec capitalisation, ce qui rendrait compte du véritable coût des engagements</w:t>
      </w:r>
      <w:r w:rsidR="009A0120" w:rsidRPr="00025B3C">
        <w:rPr>
          <w:lang w:val="fr-FR"/>
        </w:rPr>
        <w:t>.</w:t>
      </w:r>
    </w:p>
    <w:p w:rsidR="00605E8F" w:rsidRPr="00025B3C" w:rsidRDefault="00605E8F" w:rsidP="00025B3C">
      <w:pPr>
        <w:rPr>
          <w:lang w:val="fr-FR"/>
        </w:rPr>
      </w:pPr>
    </w:p>
    <w:p w:rsidR="00605E8F" w:rsidRPr="00025B3C" w:rsidRDefault="00C46284" w:rsidP="00025B3C">
      <w:pPr>
        <w:rPr>
          <w:lang w:val="fr-FR"/>
        </w:rPr>
      </w:pPr>
      <w:r w:rsidRPr="00025B3C">
        <w:rPr>
          <w:lang w:val="fr-FR"/>
        </w:rPr>
        <w:t>En outre, les organisations pourraient envisager d</w:t>
      </w:r>
      <w:r w:rsidR="006551E8">
        <w:rPr>
          <w:lang w:val="fr-FR"/>
        </w:rPr>
        <w:t>’</w:t>
      </w:r>
      <w:r w:rsidRPr="00025B3C">
        <w:rPr>
          <w:lang w:val="fr-FR"/>
        </w:rPr>
        <w:t>intégrer le coût des engagements aux dépenses de personnel standard utilisé</w:t>
      </w:r>
      <w:r w:rsidR="0013422A" w:rsidRPr="00025B3C">
        <w:rPr>
          <w:lang w:val="fr-FR"/>
        </w:rPr>
        <w:t>e</w:t>
      </w:r>
      <w:r w:rsidRPr="00025B3C">
        <w:rPr>
          <w:lang w:val="fr-FR"/>
        </w:rPr>
        <w:t>s aux fins de l</w:t>
      </w:r>
      <w:r w:rsidR="006551E8">
        <w:rPr>
          <w:lang w:val="fr-FR"/>
        </w:rPr>
        <w:t>’</w:t>
      </w:r>
      <w:r w:rsidRPr="00025B3C">
        <w:rPr>
          <w:lang w:val="fr-FR"/>
        </w:rPr>
        <w:t>établissement des budgets</w:t>
      </w:r>
      <w:r w:rsidR="0013422A" w:rsidRPr="00025B3C">
        <w:rPr>
          <w:lang w:val="fr-FR"/>
        </w:rPr>
        <w:t>.</w:t>
      </w:r>
    </w:p>
    <w:p w:rsidR="00605E8F" w:rsidRPr="00025B3C" w:rsidRDefault="00605E8F" w:rsidP="00025B3C">
      <w:pPr>
        <w:rPr>
          <w:lang w:val="fr-FR"/>
        </w:rPr>
      </w:pPr>
    </w:p>
    <w:p w:rsidR="00605E8F" w:rsidRPr="00025B3C" w:rsidRDefault="0013422A" w:rsidP="00025B3C">
      <w:pPr>
        <w:rPr>
          <w:lang w:val="fr-FR"/>
        </w:rPr>
      </w:pPr>
      <w:r w:rsidRPr="00025B3C">
        <w:rPr>
          <w:lang w:val="fr-FR"/>
        </w:rPr>
        <w:t>Les organisations qui gèrent des fonds extrabudgétaires devraient faire en sorte de ne pas clôturer les comptes tant que les engagements au titre de l</w:t>
      </w:r>
      <w:r w:rsidR="006551E8">
        <w:rPr>
          <w:lang w:val="fr-FR"/>
        </w:rPr>
        <w:t>’</w:t>
      </w:r>
      <w:r w:rsidRPr="00025B3C">
        <w:rPr>
          <w:lang w:val="fr-FR"/>
        </w:rPr>
        <w:t>assurance maladie qui y sont associés ne sont pas financés au moyen des fonds disponibles</w:t>
      </w:r>
      <w:r w:rsidR="009A0120" w:rsidRPr="00025B3C">
        <w:rPr>
          <w:lang w:val="fr-FR"/>
        </w:rPr>
        <w:t>.</w:t>
      </w:r>
    </w:p>
    <w:p w:rsidR="00605E8F" w:rsidRPr="00025B3C" w:rsidRDefault="00605E8F" w:rsidP="00025B3C">
      <w:pPr>
        <w:rPr>
          <w:lang w:val="fr-FR"/>
        </w:rPr>
      </w:pPr>
    </w:p>
    <w:p w:rsidR="00605E8F" w:rsidRPr="00025B3C" w:rsidRDefault="00A16E14" w:rsidP="00025B3C">
      <w:pPr>
        <w:rPr>
          <w:szCs w:val="22"/>
          <w:lang w:val="fr-FR"/>
        </w:rPr>
      </w:pPr>
      <w:r w:rsidRPr="00025B3C">
        <w:rPr>
          <w:szCs w:val="22"/>
          <w:lang w:val="fr-FR"/>
        </w:rPr>
        <w:t xml:space="preserve">Les États </w:t>
      </w:r>
      <w:r w:rsidR="00FB4BFC" w:rsidRPr="00025B3C">
        <w:rPr>
          <w:szCs w:val="22"/>
          <w:lang w:val="fr-FR"/>
        </w:rPr>
        <w:t>membres</w:t>
      </w:r>
      <w:r w:rsidRPr="00025B3C">
        <w:rPr>
          <w:szCs w:val="22"/>
          <w:lang w:val="fr-FR"/>
        </w:rPr>
        <w:t xml:space="preserve"> et les autres donateurs pourraient également envisager de faire un versement ponctuel ou d</w:t>
      </w:r>
      <w:r w:rsidR="006551E8">
        <w:rPr>
          <w:szCs w:val="22"/>
          <w:lang w:val="fr-FR"/>
        </w:rPr>
        <w:t>’</w:t>
      </w:r>
      <w:r w:rsidRPr="00025B3C">
        <w:rPr>
          <w:szCs w:val="22"/>
          <w:lang w:val="fr-FR"/>
        </w:rPr>
        <w:t>instituer des méthodes de financement limitées dans le temps de sorte que les organisations puissent résorber, s</w:t>
      </w:r>
      <w:r w:rsidR="006551E8">
        <w:rPr>
          <w:szCs w:val="22"/>
          <w:lang w:val="fr-FR"/>
        </w:rPr>
        <w:t>’</w:t>
      </w:r>
      <w:r w:rsidRPr="00025B3C">
        <w:rPr>
          <w:szCs w:val="22"/>
          <w:lang w:val="fr-FR"/>
        </w:rPr>
        <w:t>il y a lieu, leur déficit de financement</w:t>
      </w:r>
      <w:r w:rsidR="009A0120" w:rsidRPr="00025B3C">
        <w:rPr>
          <w:szCs w:val="22"/>
          <w:lang w:val="fr-FR"/>
        </w:rPr>
        <w:t>.</w:t>
      </w:r>
    </w:p>
    <w:p w:rsidR="00605E8F" w:rsidRPr="00025B3C" w:rsidRDefault="00605E8F" w:rsidP="00025B3C">
      <w:pPr>
        <w:rPr>
          <w:szCs w:val="22"/>
          <w:lang w:val="fr-FR"/>
        </w:rPr>
      </w:pPr>
    </w:p>
    <w:p w:rsidR="00605E8F" w:rsidRPr="00025B3C" w:rsidRDefault="009A0120" w:rsidP="00025B3C">
      <w:pPr>
        <w:pStyle w:val="ListParagraph"/>
        <w:tabs>
          <w:tab w:val="left" w:pos="1440"/>
        </w:tabs>
        <w:spacing w:line="240" w:lineRule="auto"/>
        <w:ind w:left="0"/>
        <w:rPr>
          <w:sz w:val="22"/>
          <w:szCs w:val="22"/>
          <w:lang w:val="fr-FR"/>
        </w:rPr>
      </w:pPr>
      <w:r w:rsidRPr="00025B3C">
        <w:rPr>
          <w:sz w:val="22"/>
          <w:szCs w:val="22"/>
          <w:lang w:val="fr-FR"/>
        </w:rPr>
        <w:t>Concernant la recommandation n°</w:t>
      </w:r>
      <w:r w:rsidR="00FB4BFC" w:rsidRPr="00025B3C">
        <w:rPr>
          <w:sz w:val="22"/>
          <w:szCs w:val="22"/>
          <w:lang w:val="fr-FR"/>
        </w:rPr>
        <w:t> </w:t>
      </w:r>
      <w:r w:rsidRPr="00025B3C">
        <w:rPr>
          <w:sz w:val="22"/>
          <w:szCs w:val="22"/>
          <w:lang w:val="fr-FR"/>
        </w:rPr>
        <w:t>7,</w:t>
      </w:r>
      <w:r w:rsidR="005B1378" w:rsidRPr="00025B3C">
        <w:rPr>
          <w:sz w:val="22"/>
          <w:szCs w:val="22"/>
          <w:lang w:val="fr-FR"/>
        </w:rPr>
        <w:t xml:space="preserve"> le CCQ</w:t>
      </w:r>
      <w:r w:rsidRPr="00025B3C">
        <w:rPr>
          <w:sz w:val="22"/>
          <w:szCs w:val="22"/>
          <w:lang w:val="fr-FR"/>
        </w:rPr>
        <w:t>AB a noté qu</w:t>
      </w:r>
      <w:r w:rsidR="006551E8">
        <w:rPr>
          <w:sz w:val="22"/>
          <w:szCs w:val="22"/>
          <w:lang w:val="fr-FR"/>
        </w:rPr>
        <w:t>’</w:t>
      </w:r>
      <w:r w:rsidRPr="00025B3C">
        <w:rPr>
          <w:sz w:val="22"/>
          <w:szCs w:val="22"/>
          <w:lang w:val="fr-FR"/>
        </w:rPr>
        <w:t>elle entraînerait le passage d</w:t>
      </w:r>
      <w:r w:rsidR="006551E8">
        <w:rPr>
          <w:sz w:val="22"/>
          <w:szCs w:val="22"/>
          <w:lang w:val="fr-FR"/>
        </w:rPr>
        <w:t>’</w:t>
      </w:r>
      <w:r w:rsidR="00A16E14" w:rsidRPr="00025B3C">
        <w:rPr>
          <w:sz w:val="22"/>
          <w:szCs w:val="22"/>
          <w:lang w:val="fr-FR"/>
        </w:rPr>
        <w:t xml:space="preserve">un financement sans capitalisation </w:t>
      </w:r>
      <w:r w:rsidRPr="00025B3C">
        <w:rPr>
          <w:sz w:val="22"/>
          <w:szCs w:val="22"/>
          <w:lang w:val="fr-FR"/>
        </w:rPr>
        <w:t>au titre de l</w:t>
      </w:r>
      <w:r w:rsidR="006551E8">
        <w:rPr>
          <w:sz w:val="22"/>
          <w:szCs w:val="22"/>
          <w:lang w:val="fr-FR"/>
        </w:rPr>
        <w:t>’</w:t>
      </w:r>
      <w:r w:rsidRPr="00025B3C">
        <w:rPr>
          <w:sz w:val="22"/>
          <w:szCs w:val="22"/>
          <w:lang w:val="fr-FR"/>
        </w:rPr>
        <w:t xml:space="preserve">AMCS à </w:t>
      </w:r>
      <w:r w:rsidR="00A16E14" w:rsidRPr="00025B3C">
        <w:rPr>
          <w:sz w:val="22"/>
          <w:szCs w:val="22"/>
          <w:lang w:val="fr-FR"/>
        </w:rPr>
        <w:t xml:space="preserve">un régime avec capitalisation </w:t>
      </w:r>
      <w:r w:rsidRPr="00025B3C">
        <w:rPr>
          <w:sz w:val="22"/>
          <w:szCs w:val="22"/>
          <w:lang w:val="fr-FR"/>
        </w:rPr>
        <w:t xml:space="preserve">pour de nombreuses organisations du système des </w:t>
      </w:r>
      <w:r w:rsidR="006551E8">
        <w:rPr>
          <w:sz w:val="22"/>
          <w:szCs w:val="22"/>
          <w:lang w:val="fr-FR"/>
        </w:rPr>
        <w:t>Nations Uni</w:t>
      </w:r>
      <w:r w:rsidR="00BD2EDD">
        <w:rPr>
          <w:sz w:val="22"/>
          <w:szCs w:val="22"/>
          <w:lang w:val="fr-FR"/>
        </w:rPr>
        <w:t xml:space="preserve">es.  </w:t>
      </w:r>
      <w:r w:rsidR="00BD2EDD" w:rsidRPr="00025B3C">
        <w:rPr>
          <w:sz w:val="22"/>
          <w:szCs w:val="22"/>
          <w:lang w:val="fr-FR"/>
        </w:rPr>
        <w:t>Le</w:t>
      </w:r>
      <w:r w:rsidRPr="00025B3C">
        <w:rPr>
          <w:sz w:val="22"/>
          <w:szCs w:val="22"/>
          <w:lang w:val="fr-FR"/>
        </w:rPr>
        <w:t xml:space="preserve"> comité a par ailleurs indiqué que l</w:t>
      </w:r>
      <w:r w:rsidR="006551E8">
        <w:rPr>
          <w:sz w:val="22"/>
          <w:szCs w:val="22"/>
          <w:lang w:val="fr-FR"/>
        </w:rPr>
        <w:t>’</w:t>
      </w:r>
      <w:r w:rsidRPr="00025B3C">
        <w:rPr>
          <w:sz w:val="22"/>
          <w:szCs w:val="22"/>
          <w:lang w:val="fr-FR"/>
        </w:rPr>
        <w:t xml:space="preserve">Assemblée générale </w:t>
      </w:r>
      <w:r w:rsidR="00A16E14" w:rsidRPr="00025B3C">
        <w:rPr>
          <w:sz w:val="22"/>
          <w:szCs w:val="22"/>
          <w:lang w:val="fr-FR"/>
        </w:rPr>
        <w:t>jugeait</w:t>
      </w:r>
      <w:r w:rsidRPr="00025B3C">
        <w:rPr>
          <w:sz w:val="22"/>
          <w:szCs w:val="22"/>
          <w:lang w:val="fr-FR"/>
        </w:rPr>
        <w:t xml:space="preserve"> toujours </w:t>
      </w:r>
      <w:r w:rsidR="00A16E14" w:rsidRPr="00025B3C">
        <w:rPr>
          <w:sz w:val="22"/>
          <w:szCs w:val="22"/>
          <w:lang w:val="fr-FR"/>
        </w:rPr>
        <w:t xml:space="preserve">viable </w:t>
      </w:r>
      <w:r w:rsidRPr="00025B3C">
        <w:rPr>
          <w:sz w:val="22"/>
          <w:szCs w:val="22"/>
          <w:lang w:val="fr-FR"/>
        </w:rPr>
        <w:t xml:space="preserve">la solution actuelle du </w:t>
      </w:r>
      <w:r w:rsidR="00A16E14" w:rsidRPr="00025B3C">
        <w:rPr>
          <w:sz w:val="22"/>
          <w:szCs w:val="22"/>
          <w:lang w:val="fr-FR"/>
        </w:rPr>
        <w:t>financement sans capitalisati</w:t>
      </w:r>
      <w:r w:rsidR="00BD2EDD" w:rsidRPr="00025B3C">
        <w:rPr>
          <w:sz w:val="22"/>
          <w:szCs w:val="22"/>
          <w:lang w:val="fr-FR"/>
        </w:rPr>
        <w:t>on</w:t>
      </w:r>
      <w:r w:rsidR="00BD2EDD">
        <w:rPr>
          <w:sz w:val="22"/>
          <w:szCs w:val="22"/>
          <w:lang w:val="fr-FR"/>
        </w:rPr>
        <w:t xml:space="preserve">.  </w:t>
      </w:r>
      <w:r w:rsidR="00BD2EDD" w:rsidRPr="00025B3C">
        <w:rPr>
          <w:sz w:val="22"/>
          <w:szCs w:val="22"/>
          <w:lang w:val="fr-FR"/>
        </w:rPr>
        <w:t>Il</w:t>
      </w:r>
      <w:r w:rsidRPr="00025B3C">
        <w:rPr>
          <w:sz w:val="22"/>
          <w:szCs w:val="22"/>
          <w:lang w:val="fr-FR"/>
        </w:rPr>
        <w:t xml:space="preserve"> estimait que les raisons de provisionner les ressources budgétaires destinées aux activités en cours pour couvrir les engagements futurs escomptés n</w:t>
      </w:r>
      <w:r w:rsidR="006551E8">
        <w:rPr>
          <w:sz w:val="22"/>
          <w:szCs w:val="22"/>
          <w:lang w:val="fr-FR"/>
        </w:rPr>
        <w:t>’</w:t>
      </w:r>
      <w:r w:rsidRPr="00025B3C">
        <w:rPr>
          <w:sz w:val="22"/>
          <w:szCs w:val="22"/>
          <w:lang w:val="fr-FR"/>
        </w:rPr>
        <w:t>avaient pas été suffisamment justifiées et a recommandé de continuer d</w:t>
      </w:r>
      <w:r w:rsidR="006551E8">
        <w:rPr>
          <w:sz w:val="22"/>
          <w:szCs w:val="22"/>
          <w:lang w:val="fr-FR"/>
        </w:rPr>
        <w:t>’</w:t>
      </w:r>
      <w:r w:rsidRPr="00025B3C">
        <w:rPr>
          <w:sz w:val="22"/>
          <w:szCs w:val="22"/>
          <w:lang w:val="fr-FR"/>
        </w:rPr>
        <w:t xml:space="preserve">appliquer le principe </w:t>
      </w:r>
      <w:r w:rsidR="00A16E14" w:rsidRPr="00025B3C">
        <w:rPr>
          <w:sz w:val="22"/>
          <w:szCs w:val="22"/>
          <w:lang w:val="fr-FR"/>
        </w:rPr>
        <w:t>du financement sans capitalisation</w:t>
      </w:r>
      <w:r w:rsidRPr="00025B3C">
        <w:rPr>
          <w:sz w:val="22"/>
          <w:szCs w:val="22"/>
          <w:lang w:val="fr-FR"/>
        </w:rPr>
        <w:t>.</w:t>
      </w:r>
    </w:p>
    <w:p w:rsidR="00605E8F" w:rsidRPr="00025B3C" w:rsidRDefault="00605E8F" w:rsidP="00025B3C">
      <w:pPr>
        <w:pStyle w:val="ListParagraph"/>
        <w:tabs>
          <w:tab w:val="left" w:pos="1440"/>
        </w:tabs>
        <w:spacing w:line="240" w:lineRule="auto"/>
        <w:ind w:left="0"/>
        <w:rPr>
          <w:sz w:val="22"/>
          <w:szCs w:val="22"/>
          <w:lang w:val="fr-FR"/>
        </w:rPr>
      </w:pPr>
    </w:p>
    <w:p w:rsidR="00605E8F" w:rsidRPr="00025B3C" w:rsidRDefault="009A0120" w:rsidP="00025B3C">
      <w:pPr>
        <w:pStyle w:val="ListParagraph"/>
        <w:tabs>
          <w:tab w:val="left" w:pos="1440"/>
        </w:tabs>
        <w:spacing w:line="240" w:lineRule="auto"/>
        <w:ind w:left="0"/>
        <w:rPr>
          <w:sz w:val="22"/>
          <w:szCs w:val="22"/>
          <w:lang w:val="fr-FR"/>
        </w:rPr>
      </w:pPr>
      <w:r w:rsidRPr="00025B3C">
        <w:rPr>
          <w:sz w:val="22"/>
          <w:szCs w:val="22"/>
          <w:lang w:val="fr-FR"/>
        </w:rPr>
        <w:t>Le comité a aussi demandé à ce que les engagements au titre de l</w:t>
      </w:r>
      <w:r w:rsidR="006551E8">
        <w:rPr>
          <w:sz w:val="22"/>
          <w:szCs w:val="22"/>
          <w:lang w:val="fr-FR"/>
        </w:rPr>
        <w:t>’</w:t>
      </w:r>
      <w:r w:rsidRPr="00025B3C">
        <w:rPr>
          <w:sz w:val="22"/>
          <w:szCs w:val="22"/>
          <w:lang w:val="fr-FR"/>
        </w:rPr>
        <w:t>AMCS soient suivis de près à l</w:t>
      </w:r>
      <w:r w:rsidR="006551E8">
        <w:rPr>
          <w:sz w:val="22"/>
          <w:szCs w:val="22"/>
          <w:lang w:val="fr-FR"/>
        </w:rPr>
        <w:t>’</w:t>
      </w:r>
      <w:r w:rsidRPr="00025B3C">
        <w:rPr>
          <w:sz w:val="22"/>
          <w:szCs w:val="22"/>
          <w:lang w:val="fr-FR"/>
        </w:rPr>
        <w:t>avenir afin de garantir l</w:t>
      </w:r>
      <w:r w:rsidR="006551E8">
        <w:rPr>
          <w:sz w:val="22"/>
          <w:szCs w:val="22"/>
          <w:lang w:val="fr-FR"/>
        </w:rPr>
        <w:t>’</w:t>
      </w:r>
      <w:r w:rsidRPr="00025B3C">
        <w:rPr>
          <w:sz w:val="22"/>
          <w:szCs w:val="22"/>
          <w:lang w:val="fr-FR"/>
        </w:rPr>
        <w:t>attribution précise des charges à payer à leurs sources de financement respectives.</w:t>
      </w:r>
    </w:p>
    <w:p w:rsidR="00605E8F" w:rsidRPr="00025B3C" w:rsidRDefault="00605E8F" w:rsidP="00025B3C">
      <w:pPr>
        <w:rPr>
          <w:lang w:val="fr-FR"/>
        </w:rPr>
      </w:pPr>
    </w:p>
    <w:p w:rsidR="00605E8F" w:rsidRPr="00025B3C" w:rsidRDefault="009A0120" w:rsidP="00025B3C">
      <w:pPr>
        <w:tabs>
          <w:tab w:val="left" w:pos="2340"/>
        </w:tabs>
        <w:rPr>
          <w:lang w:val="fr-FR"/>
        </w:rPr>
      </w:pPr>
      <w:r w:rsidRPr="00025B3C">
        <w:rPr>
          <w:u w:val="single"/>
          <w:lang w:val="fr-FR"/>
        </w:rPr>
        <w:t>Recommandation n°</w:t>
      </w:r>
      <w:r w:rsidR="00FB4BFC" w:rsidRPr="00025B3C">
        <w:rPr>
          <w:u w:val="single"/>
          <w:lang w:val="fr-FR"/>
        </w:rPr>
        <w:t> </w:t>
      </w:r>
      <w:r w:rsidRPr="00025B3C">
        <w:rPr>
          <w:u w:val="single"/>
          <w:lang w:val="fr-FR"/>
        </w:rPr>
        <w:t>8</w:t>
      </w:r>
      <w:r w:rsidR="006551E8">
        <w:rPr>
          <w:lang w:val="fr-FR"/>
        </w:rPr>
        <w:t> :</w:t>
      </w:r>
      <w:r w:rsidR="00A3339B" w:rsidRPr="00025B3C">
        <w:rPr>
          <w:lang w:val="fr-FR"/>
        </w:rPr>
        <w:t xml:space="preserve"> </w:t>
      </w:r>
      <w:r w:rsidR="0012671C">
        <w:rPr>
          <w:lang w:val="fr-FR"/>
        </w:rPr>
        <w:t>Placement</w:t>
      </w:r>
      <w:r w:rsidRPr="00025B3C">
        <w:rPr>
          <w:lang w:val="fr-FR"/>
        </w:rPr>
        <w:t xml:space="preserve"> des réserves</w:t>
      </w:r>
    </w:p>
    <w:p w:rsidR="00605E8F" w:rsidRPr="00025B3C" w:rsidRDefault="00605E8F" w:rsidP="00025B3C">
      <w:pPr>
        <w:rPr>
          <w:lang w:val="fr-FR"/>
        </w:rPr>
      </w:pPr>
    </w:p>
    <w:p w:rsidR="00605E8F" w:rsidRPr="00025B3C" w:rsidRDefault="00605E8F" w:rsidP="00025B3C">
      <w:pPr>
        <w:rPr>
          <w:lang w:val="fr-FR"/>
        </w:rPr>
      </w:pPr>
      <w:r w:rsidRPr="00025B3C">
        <w:rPr>
          <w:lang w:val="fr-FR"/>
        </w:rPr>
        <w:t>Le groupe de travail recommande que les organisations examinent, par l</w:t>
      </w:r>
      <w:r w:rsidR="006551E8">
        <w:rPr>
          <w:lang w:val="fr-FR"/>
        </w:rPr>
        <w:t>’</w:t>
      </w:r>
      <w:r w:rsidRPr="00025B3C">
        <w:rPr>
          <w:lang w:val="fr-FR"/>
        </w:rPr>
        <w:t>intermédiaire du Groupe de travail sur les services de trésorerie communs, la possibilité de coopérer de façon à faire fond sur les arrangements conclus avec les gestionnaires extérieurs, d</w:t>
      </w:r>
      <w:r w:rsidR="006551E8">
        <w:rPr>
          <w:lang w:val="fr-FR"/>
        </w:rPr>
        <w:t>’</w:t>
      </w:r>
      <w:r w:rsidRPr="00025B3C">
        <w:rPr>
          <w:lang w:val="fr-FR"/>
        </w:rPr>
        <w:t>optimiser les rendements et de réduire les frais de gestion</w:t>
      </w:r>
      <w:r w:rsidR="009A0120" w:rsidRPr="00025B3C">
        <w:rPr>
          <w:lang w:val="fr-FR"/>
        </w:rPr>
        <w:t>.</w:t>
      </w:r>
    </w:p>
    <w:p w:rsidR="00605E8F" w:rsidRPr="00025B3C" w:rsidRDefault="00605E8F" w:rsidP="00025B3C">
      <w:pPr>
        <w:tabs>
          <w:tab w:val="left" w:pos="1440"/>
        </w:tabs>
        <w:rPr>
          <w:lang w:val="fr-FR"/>
        </w:rPr>
      </w:pPr>
    </w:p>
    <w:p w:rsidR="00605E8F" w:rsidRPr="00025B3C" w:rsidRDefault="009A0120" w:rsidP="00025B3C">
      <w:pPr>
        <w:tabs>
          <w:tab w:val="left" w:pos="1440"/>
        </w:tabs>
        <w:rPr>
          <w:szCs w:val="22"/>
          <w:lang w:val="fr-FR"/>
        </w:rPr>
      </w:pPr>
      <w:r w:rsidRPr="00025B3C">
        <w:rPr>
          <w:szCs w:val="22"/>
          <w:lang w:val="fr-FR"/>
        </w:rPr>
        <w:t>Le CCQAB a reconnu l</w:t>
      </w:r>
      <w:r w:rsidR="006551E8">
        <w:rPr>
          <w:szCs w:val="22"/>
          <w:lang w:val="fr-FR"/>
        </w:rPr>
        <w:t>’</w:t>
      </w:r>
      <w:r w:rsidRPr="00025B3C">
        <w:rPr>
          <w:szCs w:val="22"/>
          <w:lang w:val="fr-FR"/>
        </w:rPr>
        <w:t>intérêt de la recommandation n°</w:t>
      </w:r>
      <w:r w:rsidR="00FB4BFC" w:rsidRPr="00025B3C">
        <w:rPr>
          <w:szCs w:val="22"/>
          <w:lang w:val="fr-FR"/>
        </w:rPr>
        <w:t> </w:t>
      </w:r>
      <w:r w:rsidRPr="00025B3C">
        <w:rPr>
          <w:szCs w:val="22"/>
          <w:lang w:val="fr-FR"/>
        </w:rPr>
        <w:t xml:space="preserve">8 pour tirer parti des arrangements </w:t>
      </w:r>
      <w:r w:rsidR="00605E8F" w:rsidRPr="00025B3C">
        <w:rPr>
          <w:lang w:val="fr-FR"/>
        </w:rPr>
        <w:t xml:space="preserve">conclus </w:t>
      </w:r>
      <w:r w:rsidRPr="00025B3C">
        <w:rPr>
          <w:szCs w:val="22"/>
          <w:lang w:val="fr-FR"/>
        </w:rPr>
        <w:t xml:space="preserve">avec des </w:t>
      </w:r>
      <w:r w:rsidR="00605E8F" w:rsidRPr="00025B3C">
        <w:rPr>
          <w:lang w:val="fr-FR"/>
        </w:rPr>
        <w:t>gestionnaires extérieurs</w:t>
      </w:r>
      <w:r w:rsidR="00605E8F" w:rsidRPr="00025B3C">
        <w:rPr>
          <w:szCs w:val="22"/>
          <w:lang w:val="fr-FR"/>
        </w:rPr>
        <w:t xml:space="preserve"> </w:t>
      </w:r>
      <w:r w:rsidRPr="00025B3C">
        <w:rPr>
          <w:szCs w:val="22"/>
          <w:lang w:val="fr-FR"/>
        </w:rPr>
        <w:t xml:space="preserve">en matière </w:t>
      </w:r>
      <w:r w:rsidR="0012671C">
        <w:rPr>
          <w:szCs w:val="22"/>
          <w:lang w:val="fr-FR"/>
        </w:rPr>
        <w:t>de placement</w:t>
      </w:r>
      <w:r w:rsidRPr="00025B3C">
        <w:rPr>
          <w:szCs w:val="22"/>
          <w:lang w:val="fr-FR"/>
        </w:rPr>
        <w:t xml:space="preserve"> des réserves destinées à couvrir les engagements au titre de l</w:t>
      </w:r>
      <w:r w:rsidR="006551E8">
        <w:rPr>
          <w:szCs w:val="22"/>
          <w:lang w:val="fr-FR"/>
        </w:rPr>
        <w:t>’</w:t>
      </w:r>
      <w:r w:rsidRPr="00025B3C">
        <w:rPr>
          <w:szCs w:val="22"/>
          <w:lang w:val="fr-FR"/>
        </w:rPr>
        <w:t xml:space="preserve">AMCS pour les organisations qui avaient constitué de telles réserves, sans pour autant exclure la possibilité de créer une instance interinstitutions pour </w:t>
      </w:r>
      <w:r w:rsidR="0012671C">
        <w:rPr>
          <w:szCs w:val="22"/>
          <w:lang w:val="fr-FR"/>
        </w:rPr>
        <w:t>placer</w:t>
      </w:r>
      <w:r w:rsidRPr="00025B3C">
        <w:rPr>
          <w:szCs w:val="22"/>
          <w:lang w:val="fr-FR"/>
        </w:rPr>
        <w:t xml:space="preserve"> les réserves accumulées.</w:t>
      </w:r>
    </w:p>
    <w:p w:rsidR="00605E8F" w:rsidRPr="00025B3C" w:rsidRDefault="00605E8F" w:rsidP="00025B3C">
      <w:pPr>
        <w:tabs>
          <w:tab w:val="left" w:pos="1440"/>
        </w:tabs>
        <w:rPr>
          <w:szCs w:val="22"/>
          <w:lang w:val="fr-FR"/>
        </w:rPr>
      </w:pPr>
    </w:p>
    <w:p w:rsidR="00605E8F" w:rsidRPr="00025B3C" w:rsidRDefault="00605E8F" w:rsidP="00025B3C">
      <w:pPr>
        <w:rPr>
          <w:lang w:val="fr-FR"/>
        </w:rPr>
      </w:pPr>
    </w:p>
    <w:p w:rsidR="00A3339B" w:rsidRPr="00025B3C" w:rsidRDefault="00A3339B" w:rsidP="00025B3C">
      <w:pPr>
        <w:rPr>
          <w:lang w:val="fr-FR"/>
        </w:rPr>
      </w:pPr>
    </w:p>
    <w:p w:rsidR="00605E8F" w:rsidRPr="00025B3C" w:rsidRDefault="009A0120" w:rsidP="00025B3C">
      <w:pPr>
        <w:pStyle w:val="Endofdocument-Annex"/>
        <w:rPr>
          <w:szCs w:val="22"/>
          <w:lang w:val="fr-FR"/>
        </w:rPr>
      </w:pPr>
      <w:r w:rsidRPr="00025B3C">
        <w:rPr>
          <w:szCs w:val="22"/>
          <w:lang w:val="fr-FR"/>
        </w:rPr>
        <w:t>[L</w:t>
      </w:r>
      <w:r w:rsidR="006551E8">
        <w:rPr>
          <w:szCs w:val="22"/>
          <w:lang w:val="fr-FR"/>
        </w:rPr>
        <w:t>’</w:t>
      </w:r>
      <w:r w:rsidR="005B1378" w:rsidRPr="00025B3C">
        <w:rPr>
          <w:szCs w:val="22"/>
          <w:lang w:val="fr-FR"/>
        </w:rPr>
        <w:t>annexe I</w:t>
      </w:r>
      <w:r w:rsidRPr="00025B3C">
        <w:rPr>
          <w:szCs w:val="22"/>
          <w:lang w:val="fr-FR"/>
        </w:rPr>
        <w:t>I suit]</w:t>
      </w:r>
    </w:p>
    <w:p w:rsidR="003413C6" w:rsidRPr="00025B3C" w:rsidRDefault="003413C6" w:rsidP="00025B3C">
      <w:pPr>
        <w:tabs>
          <w:tab w:val="left" w:pos="6840"/>
        </w:tabs>
        <w:ind w:left="6210"/>
        <w:rPr>
          <w:szCs w:val="22"/>
          <w:lang w:val="fr-FR"/>
        </w:rPr>
        <w:sectPr w:rsidR="003413C6" w:rsidRPr="00025B3C" w:rsidSect="00A3339B">
          <w:headerReference w:type="default" r:id="rId11"/>
          <w:headerReference w:type="first" r:id="rId12"/>
          <w:pgSz w:w="11907" w:h="16840" w:code="9"/>
          <w:pgMar w:top="567" w:right="1134" w:bottom="1417" w:left="1417" w:header="510" w:footer="1020" w:gutter="0"/>
          <w:pgNumType w:start="1"/>
          <w:cols w:space="720"/>
          <w:titlePg/>
          <w:docGrid w:linePitch="299"/>
        </w:sectPr>
      </w:pPr>
    </w:p>
    <w:p w:rsidR="005B1378" w:rsidRPr="00025B3C" w:rsidRDefault="009A0120" w:rsidP="00025B3C">
      <w:pPr>
        <w:jc w:val="center"/>
        <w:rPr>
          <w:b/>
          <w:lang w:val="fr-FR"/>
        </w:rPr>
      </w:pPr>
      <w:r w:rsidRPr="00025B3C">
        <w:rPr>
          <w:b/>
          <w:lang w:val="fr-FR"/>
        </w:rPr>
        <w:lastRenderedPageBreak/>
        <w:t>RECOMMANDATIONS FORMULÉES PAR LE GROUPE DE TRAVAIL SUR L</w:t>
      </w:r>
      <w:r w:rsidR="006551E8">
        <w:rPr>
          <w:b/>
          <w:lang w:val="fr-FR"/>
        </w:rPr>
        <w:t>’</w:t>
      </w:r>
      <w:r w:rsidRPr="00025B3C">
        <w:rPr>
          <w:b/>
          <w:lang w:val="fr-FR"/>
        </w:rPr>
        <w:t>ASSURANCE MALADIE APRÈS LA CESSATION DE SERVICE ET LE CCQAB</w:t>
      </w:r>
    </w:p>
    <w:p w:rsidR="00605E8F" w:rsidRPr="00025B3C" w:rsidRDefault="00605E8F" w:rsidP="00025B3C">
      <w:pPr>
        <w:jc w:val="both"/>
        <w:rPr>
          <w:lang w:val="fr-FR"/>
        </w:rPr>
      </w:pPr>
    </w:p>
    <w:p w:rsidR="00605E8F" w:rsidRPr="00025B3C" w:rsidRDefault="00B67AD9" w:rsidP="00025B3C">
      <w:pPr>
        <w:spacing w:after="220"/>
        <w:rPr>
          <w:rFonts w:eastAsia="SimSun"/>
          <w:szCs w:val="22"/>
          <w:lang w:val="fr-FR" w:eastAsia="zh-CN"/>
        </w:rPr>
      </w:pPr>
      <w:r w:rsidRPr="00025B3C">
        <w:rPr>
          <w:u w:val="single"/>
          <w:lang w:val="fr-FR"/>
        </w:rPr>
        <w:t>Recomm</w:t>
      </w:r>
      <w:r w:rsidR="00605E8F" w:rsidRPr="00025B3C">
        <w:rPr>
          <w:u w:val="single"/>
          <w:lang w:val="fr-FR"/>
        </w:rPr>
        <w:t>a</w:t>
      </w:r>
      <w:r w:rsidRPr="00025B3C">
        <w:rPr>
          <w:u w:val="single"/>
          <w:lang w:val="fr-FR"/>
        </w:rPr>
        <w:t>ndation A</w:t>
      </w:r>
      <w:r w:rsidR="006551E8">
        <w:rPr>
          <w:u w:val="single"/>
          <w:lang w:val="fr-FR"/>
        </w:rPr>
        <w:t> :</w:t>
      </w:r>
      <w:r w:rsidR="00FB4BFC" w:rsidRPr="00025B3C">
        <w:rPr>
          <w:lang w:val="fr-FR"/>
        </w:rPr>
        <w:t xml:space="preserve"> </w:t>
      </w:r>
      <w:r w:rsidR="00605E8F" w:rsidRPr="00025B3C">
        <w:rPr>
          <w:lang w:val="fr-FR"/>
        </w:rPr>
        <w:t xml:space="preserve">Il est recommandé de maintenir le groupe de travail créé par le Secrétaire général sous les auspices du Réseau Finances et budget du Comité de haut niveau sur la gestion du Conseil des chefs de secrétariat des organismes des </w:t>
      </w:r>
      <w:r w:rsidR="006551E8">
        <w:rPr>
          <w:lang w:val="fr-FR"/>
        </w:rPr>
        <w:t>Nations Unies</w:t>
      </w:r>
      <w:r w:rsidR="00605E8F" w:rsidRPr="00025B3C">
        <w:rPr>
          <w:lang w:val="fr-FR"/>
        </w:rPr>
        <w:t xml:space="preserve"> pour la coordination afin de garantir la continuité dans l</w:t>
      </w:r>
      <w:r w:rsidR="006551E8">
        <w:rPr>
          <w:lang w:val="fr-FR"/>
        </w:rPr>
        <w:t>’</w:t>
      </w:r>
      <w:r w:rsidR="00605E8F" w:rsidRPr="00025B3C">
        <w:rPr>
          <w:lang w:val="fr-FR"/>
        </w:rPr>
        <w:t>action menée pour aligner les conditions d</w:t>
      </w:r>
      <w:r w:rsidR="006551E8">
        <w:rPr>
          <w:lang w:val="fr-FR"/>
        </w:rPr>
        <w:t>’</w:t>
      </w:r>
      <w:r w:rsidR="00605E8F" w:rsidRPr="00025B3C">
        <w:rPr>
          <w:lang w:val="fr-FR"/>
        </w:rPr>
        <w:t>assurance sur les pratiques de référence, la maîtrise des dépenses et le contrôle des régimes d</w:t>
      </w:r>
      <w:r w:rsidR="006551E8">
        <w:rPr>
          <w:lang w:val="fr-FR"/>
        </w:rPr>
        <w:t>’</w:t>
      </w:r>
      <w:r w:rsidR="00605E8F" w:rsidRPr="00025B3C">
        <w:rPr>
          <w:lang w:val="fr-FR"/>
        </w:rPr>
        <w:t>assurance maladie administrés par des tiers</w:t>
      </w:r>
      <w:r w:rsidRPr="00025B3C">
        <w:rPr>
          <w:rFonts w:eastAsia="SimSun"/>
          <w:szCs w:val="22"/>
          <w:lang w:val="fr-FR" w:eastAsia="zh-CN"/>
        </w:rPr>
        <w:t>.</w:t>
      </w:r>
    </w:p>
    <w:p w:rsidR="00605E8F" w:rsidRPr="00025B3C" w:rsidRDefault="00B67AD9" w:rsidP="00025B3C">
      <w:pPr>
        <w:spacing w:after="220"/>
        <w:rPr>
          <w:rFonts w:eastAsia="SimSun"/>
          <w:szCs w:val="22"/>
          <w:lang w:val="fr-FR" w:eastAsia="zh-CN"/>
        </w:rPr>
      </w:pPr>
      <w:r w:rsidRPr="00025B3C">
        <w:rPr>
          <w:u w:val="single"/>
          <w:lang w:val="fr-FR"/>
        </w:rPr>
        <w:t>Recomm</w:t>
      </w:r>
      <w:r w:rsidR="00605E8F" w:rsidRPr="00025B3C">
        <w:rPr>
          <w:u w:val="single"/>
          <w:lang w:val="fr-FR"/>
        </w:rPr>
        <w:t>a</w:t>
      </w:r>
      <w:r w:rsidRPr="00025B3C">
        <w:rPr>
          <w:u w:val="single"/>
          <w:lang w:val="fr-FR"/>
        </w:rPr>
        <w:t>ndation B</w:t>
      </w:r>
      <w:r w:rsidR="006551E8">
        <w:rPr>
          <w:lang w:val="fr-FR"/>
        </w:rPr>
        <w:t> :</w:t>
      </w:r>
      <w:r w:rsidR="00FB4BFC" w:rsidRPr="00025B3C">
        <w:rPr>
          <w:lang w:val="fr-FR"/>
        </w:rPr>
        <w:t xml:space="preserve"> </w:t>
      </w:r>
      <w:r w:rsidR="00605E8F" w:rsidRPr="00025B3C">
        <w:rPr>
          <w:lang w:val="fr-FR"/>
        </w:rPr>
        <w:t>Il est recommandé que le groupe de travail étudie les possibilités de coopération entre les organismes dans tous les lieux d</w:t>
      </w:r>
      <w:r w:rsidR="006551E8">
        <w:rPr>
          <w:lang w:val="fr-FR"/>
        </w:rPr>
        <w:t>’</w:t>
      </w:r>
      <w:r w:rsidR="00605E8F" w:rsidRPr="00025B3C">
        <w:rPr>
          <w:lang w:val="fr-FR"/>
        </w:rPr>
        <w:t>affectation afin d</w:t>
      </w:r>
      <w:r w:rsidR="006551E8">
        <w:rPr>
          <w:lang w:val="fr-FR"/>
        </w:rPr>
        <w:t>’</w:t>
      </w:r>
      <w:r w:rsidR="00605E8F" w:rsidRPr="00025B3C">
        <w:rPr>
          <w:lang w:val="fr-FR"/>
        </w:rPr>
        <w:t>améliorer l</w:t>
      </w:r>
      <w:r w:rsidR="006551E8">
        <w:rPr>
          <w:lang w:val="fr-FR"/>
        </w:rPr>
        <w:t>’</w:t>
      </w:r>
      <w:r w:rsidR="00605E8F" w:rsidRPr="00025B3C">
        <w:rPr>
          <w:lang w:val="fr-FR"/>
        </w:rPr>
        <w:t>accès des régimes d</w:t>
      </w:r>
      <w:r w:rsidR="006551E8">
        <w:rPr>
          <w:lang w:val="fr-FR"/>
        </w:rPr>
        <w:t>’</w:t>
      </w:r>
      <w:r w:rsidR="00605E8F" w:rsidRPr="00025B3C">
        <w:rPr>
          <w:lang w:val="fr-FR"/>
        </w:rPr>
        <w:t>assurance qu</w:t>
      </w:r>
      <w:r w:rsidR="006551E8">
        <w:rPr>
          <w:lang w:val="fr-FR"/>
        </w:rPr>
        <w:t>’</w:t>
      </w:r>
      <w:r w:rsidR="00605E8F" w:rsidRPr="00025B3C">
        <w:rPr>
          <w:lang w:val="fr-FR"/>
        </w:rPr>
        <w:t>ils appliquent aux réseaux de prestataires de soins de santé dans toutes les régions, de garantir les meilleurs tarifs pour des soins de qualité et de réduire la volatilité des coûts</w:t>
      </w:r>
      <w:r w:rsidRPr="00025B3C">
        <w:rPr>
          <w:rFonts w:eastAsia="SimSun"/>
          <w:szCs w:val="22"/>
          <w:lang w:val="fr-FR" w:eastAsia="zh-CN"/>
        </w:rPr>
        <w:t>.</w:t>
      </w:r>
    </w:p>
    <w:p w:rsidR="00605E8F" w:rsidRPr="00025B3C" w:rsidRDefault="00B67AD9" w:rsidP="00025B3C">
      <w:pPr>
        <w:spacing w:after="220"/>
        <w:rPr>
          <w:rFonts w:eastAsia="SimSun"/>
          <w:szCs w:val="22"/>
          <w:lang w:val="fr-FR" w:eastAsia="zh-CN"/>
        </w:rPr>
      </w:pPr>
      <w:r w:rsidRPr="00025B3C">
        <w:rPr>
          <w:u w:val="single"/>
          <w:lang w:val="fr-FR"/>
        </w:rPr>
        <w:t>Recomm</w:t>
      </w:r>
      <w:r w:rsidR="00605E8F" w:rsidRPr="00025B3C">
        <w:rPr>
          <w:u w:val="single"/>
          <w:lang w:val="fr-FR"/>
        </w:rPr>
        <w:t>a</w:t>
      </w:r>
      <w:r w:rsidRPr="00025B3C">
        <w:rPr>
          <w:u w:val="single"/>
          <w:lang w:val="fr-FR"/>
        </w:rPr>
        <w:t>ndation C</w:t>
      </w:r>
      <w:r w:rsidR="006551E8">
        <w:rPr>
          <w:lang w:val="fr-FR"/>
        </w:rPr>
        <w:t> :</w:t>
      </w:r>
      <w:r w:rsidR="00FB4BFC" w:rsidRPr="00025B3C">
        <w:rPr>
          <w:lang w:val="fr-FR"/>
        </w:rPr>
        <w:t xml:space="preserve"> </w:t>
      </w:r>
      <w:r w:rsidR="00605E8F" w:rsidRPr="00025B3C">
        <w:rPr>
          <w:lang w:val="fr-FR"/>
        </w:rPr>
        <w:t>Il est recommandé que le Groupe de travail prie instamment les organismes d</w:t>
      </w:r>
      <w:r w:rsidR="006551E8">
        <w:rPr>
          <w:lang w:val="fr-FR"/>
        </w:rPr>
        <w:t>’</w:t>
      </w:r>
      <w:r w:rsidR="00605E8F" w:rsidRPr="00025B3C">
        <w:rPr>
          <w:lang w:val="fr-FR"/>
        </w:rPr>
        <w:t>adapter les clauses de confidentialité figurant dans les polices d</w:t>
      </w:r>
      <w:r w:rsidR="006551E8">
        <w:rPr>
          <w:lang w:val="fr-FR"/>
        </w:rPr>
        <w:t>’</w:t>
      </w:r>
      <w:r w:rsidR="00605E8F" w:rsidRPr="00025B3C">
        <w:rPr>
          <w:lang w:val="fr-FR"/>
        </w:rPr>
        <w:t>assurance et les contrats signés avec des tiers administrateurs qui excluent actuellement la possibilité d</w:t>
      </w:r>
      <w:r w:rsidR="006551E8">
        <w:rPr>
          <w:lang w:val="fr-FR"/>
        </w:rPr>
        <w:t>’</w:t>
      </w:r>
      <w:r w:rsidR="00605E8F" w:rsidRPr="00025B3C">
        <w:rPr>
          <w:lang w:val="fr-FR"/>
        </w:rPr>
        <w:t>un partage d</w:t>
      </w:r>
      <w:r w:rsidR="006551E8">
        <w:rPr>
          <w:lang w:val="fr-FR"/>
        </w:rPr>
        <w:t>’</w:t>
      </w:r>
      <w:r w:rsidR="00605E8F" w:rsidRPr="00025B3C">
        <w:rPr>
          <w:lang w:val="fr-FR"/>
        </w:rPr>
        <w:t xml:space="preserve">informations au sein du système des </w:t>
      </w:r>
      <w:r w:rsidR="006551E8">
        <w:rPr>
          <w:lang w:val="fr-FR"/>
        </w:rPr>
        <w:t>Nations Unies</w:t>
      </w:r>
      <w:r w:rsidR="00605E8F" w:rsidRPr="00025B3C">
        <w:rPr>
          <w:lang w:val="fr-FR"/>
        </w:rPr>
        <w:t xml:space="preserve"> et d</w:t>
      </w:r>
      <w:r w:rsidR="006551E8">
        <w:rPr>
          <w:lang w:val="fr-FR"/>
        </w:rPr>
        <w:t>’</w:t>
      </w:r>
      <w:r w:rsidR="00605E8F" w:rsidRPr="00025B3C">
        <w:rPr>
          <w:lang w:val="fr-FR"/>
        </w:rPr>
        <w:t>effectuer sur une base régulière des examens des conditions proposées par les assureurs à l</w:t>
      </w:r>
      <w:r w:rsidR="006551E8">
        <w:rPr>
          <w:lang w:val="fr-FR"/>
        </w:rPr>
        <w:t>’</w:t>
      </w:r>
      <w:r w:rsidR="00605E8F" w:rsidRPr="00025B3C">
        <w:rPr>
          <w:lang w:val="fr-FR"/>
        </w:rPr>
        <w:t>échelle du système, de sorte qu</w:t>
      </w:r>
      <w:r w:rsidR="006551E8">
        <w:rPr>
          <w:lang w:val="fr-FR"/>
        </w:rPr>
        <w:t>’</w:t>
      </w:r>
      <w:r w:rsidR="00605E8F" w:rsidRPr="00025B3C">
        <w:rPr>
          <w:lang w:val="fr-FR"/>
        </w:rPr>
        <w:t>ils puissent tirer parti de leur action commune et de leur expérience technique au cours des négociations avec les assureu</w:t>
      </w:r>
      <w:r w:rsidR="00BD2EDD" w:rsidRPr="00025B3C">
        <w:rPr>
          <w:lang w:val="fr-FR"/>
        </w:rPr>
        <w:t>rs</w:t>
      </w:r>
      <w:r w:rsidR="00BD2EDD">
        <w:rPr>
          <w:lang w:val="fr-FR"/>
        </w:rPr>
        <w:t xml:space="preserve">.  </w:t>
      </w:r>
      <w:r w:rsidR="00BD2EDD" w:rsidRPr="00025B3C">
        <w:rPr>
          <w:lang w:val="fr-FR"/>
        </w:rPr>
        <w:t>Il</w:t>
      </w:r>
      <w:r w:rsidR="00605E8F" w:rsidRPr="00025B3C">
        <w:rPr>
          <w:lang w:val="fr-FR"/>
        </w:rPr>
        <w:t xml:space="preserve"> est en outre recommandé que le Groupe de travail encourage la mutualisation des risques lorsqu</w:t>
      </w:r>
      <w:r w:rsidR="006551E8">
        <w:rPr>
          <w:lang w:val="fr-FR"/>
        </w:rPr>
        <w:t>’</w:t>
      </w:r>
      <w:r w:rsidR="00605E8F" w:rsidRPr="00025B3C">
        <w:rPr>
          <w:lang w:val="fr-FR"/>
        </w:rPr>
        <w:t xml:space="preserve">elle est réalisable, </w:t>
      </w:r>
      <w:r w:rsidR="006551E8">
        <w:rPr>
          <w:lang w:val="fr-FR"/>
        </w:rPr>
        <w:t>y compris</w:t>
      </w:r>
      <w:r w:rsidR="00605E8F" w:rsidRPr="00025B3C">
        <w:rPr>
          <w:lang w:val="fr-FR"/>
        </w:rPr>
        <w:t xml:space="preserve"> dans le cadre de dispositifs de captive d</w:t>
      </w:r>
      <w:r w:rsidR="006551E8">
        <w:rPr>
          <w:lang w:val="fr-FR"/>
        </w:rPr>
        <w:t>’</w:t>
      </w:r>
      <w:r w:rsidR="00605E8F" w:rsidRPr="00025B3C">
        <w:rPr>
          <w:lang w:val="fr-FR"/>
        </w:rPr>
        <w:t>assurance, le cas échéant</w:t>
      </w:r>
      <w:r w:rsidRPr="00025B3C">
        <w:rPr>
          <w:rFonts w:eastAsia="SimSun"/>
          <w:szCs w:val="22"/>
          <w:lang w:val="fr-FR" w:eastAsia="zh-CN"/>
        </w:rPr>
        <w:t>.</w:t>
      </w:r>
    </w:p>
    <w:p w:rsidR="00605E8F" w:rsidRPr="00025B3C" w:rsidRDefault="00605E8F" w:rsidP="00025B3C">
      <w:pPr>
        <w:spacing w:after="220"/>
        <w:rPr>
          <w:rFonts w:eastAsia="SimSun"/>
          <w:szCs w:val="22"/>
          <w:lang w:val="fr-FR" w:eastAsia="zh-CN"/>
        </w:rPr>
      </w:pPr>
      <w:r w:rsidRPr="00025B3C">
        <w:rPr>
          <w:lang w:val="fr-FR"/>
        </w:rPr>
        <w:t>L</w:t>
      </w:r>
      <w:r w:rsidR="000A5ABD" w:rsidRPr="00025B3C">
        <w:rPr>
          <w:lang w:val="fr-FR"/>
        </w:rPr>
        <w:t xml:space="preserve">e </w:t>
      </w:r>
      <w:r w:rsidRPr="00025B3C">
        <w:rPr>
          <w:szCs w:val="22"/>
          <w:lang w:val="fr-FR"/>
        </w:rPr>
        <w:t>CCQAB a</w:t>
      </w:r>
      <w:r w:rsidRPr="00025B3C">
        <w:rPr>
          <w:lang w:val="fr-FR"/>
        </w:rPr>
        <w:t xml:space="preserve"> </w:t>
      </w:r>
      <w:r w:rsidR="000A5ABD" w:rsidRPr="00025B3C">
        <w:rPr>
          <w:lang w:val="fr-FR"/>
        </w:rPr>
        <w:t>recomm</w:t>
      </w:r>
      <w:r w:rsidRPr="00025B3C">
        <w:rPr>
          <w:lang w:val="fr-FR"/>
        </w:rPr>
        <w:t>a</w:t>
      </w:r>
      <w:r w:rsidR="000A5ABD" w:rsidRPr="00025B3C">
        <w:rPr>
          <w:lang w:val="fr-FR"/>
        </w:rPr>
        <w:t>nd</w:t>
      </w:r>
      <w:r w:rsidRPr="00025B3C">
        <w:rPr>
          <w:lang w:val="fr-FR"/>
        </w:rPr>
        <w:t>é à l</w:t>
      </w:r>
      <w:r w:rsidR="006551E8">
        <w:rPr>
          <w:lang w:val="fr-FR"/>
        </w:rPr>
        <w:t>’</w:t>
      </w:r>
      <w:r w:rsidRPr="00025B3C">
        <w:rPr>
          <w:lang w:val="fr-FR"/>
        </w:rPr>
        <w:t>Assemblée générale d</w:t>
      </w:r>
      <w:r w:rsidR="006551E8">
        <w:rPr>
          <w:lang w:val="fr-FR"/>
        </w:rPr>
        <w:t>’</w:t>
      </w:r>
      <w:r w:rsidRPr="00025B3C">
        <w:rPr>
          <w:lang w:val="fr-FR"/>
        </w:rPr>
        <w:t>entériner les</w:t>
      </w:r>
      <w:r w:rsidR="000A5ABD" w:rsidRPr="00025B3C">
        <w:rPr>
          <w:lang w:val="fr-FR"/>
        </w:rPr>
        <w:t xml:space="preserve"> recomm</w:t>
      </w:r>
      <w:r w:rsidRPr="00025B3C">
        <w:rPr>
          <w:lang w:val="fr-FR"/>
        </w:rPr>
        <w:t>a</w:t>
      </w:r>
      <w:r w:rsidR="000A5ABD" w:rsidRPr="00025B3C">
        <w:rPr>
          <w:lang w:val="fr-FR"/>
        </w:rPr>
        <w:t xml:space="preserve">ndations A, B </w:t>
      </w:r>
      <w:r w:rsidRPr="00025B3C">
        <w:rPr>
          <w:lang w:val="fr-FR"/>
        </w:rPr>
        <w:t>et</w:t>
      </w:r>
      <w:r w:rsidR="000A5ABD" w:rsidRPr="00025B3C">
        <w:rPr>
          <w:lang w:val="fr-FR"/>
        </w:rPr>
        <w:t xml:space="preserve"> C.</w:t>
      </w:r>
    </w:p>
    <w:p w:rsidR="00605E8F" w:rsidRPr="00025B3C" w:rsidRDefault="000A5ABD" w:rsidP="00025B3C">
      <w:pPr>
        <w:spacing w:after="220"/>
        <w:rPr>
          <w:rFonts w:eastAsia="SimSun"/>
          <w:szCs w:val="22"/>
          <w:lang w:val="fr-FR" w:eastAsia="zh-CN"/>
        </w:rPr>
      </w:pPr>
      <w:r w:rsidRPr="00025B3C">
        <w:rPr>
          <w:u w:val="single"/>
          <w:lang w:val="fr-FR"/>
        </w:rPr>
        <w:t>Recomm</w:t>
      </w:r>
      <w:r w:rsidR="00605E8F" w:rsidRPr="00025B3C">
        <w:rPr>
          <w:u w:val="single"/>
          <w:lang w:val="fr-FR"/>
        </w:rPr>
        <w:t>a</w:t>
      </w:r>
      <w:r w:rsidRPr="00025B3C">
        <w:rPr>
          <w:u w:val="single"/>
          <w:lang w:val="fr-FR"/>
        </w:rPr>
        <w:t>ndation D</w:t>
      </w:r>
      <w:r w:rsidR="006551E8">
        <w:rPr>
          <w:lang w:val="fr-FR"/>
        </w:rPr>
        <w:t> :</w:t>
      </w:r>
      <w:r w:rsidR="00FB4BFC" w:rsidRPr="00025B3C">
        <w:rPr>
          <w:lang w:val="fr-FR"/>
        </w:rPr>
        <w:t xml:space="preserve"> </w:t>
      </w:r>
      <w:r w:rsidR="00605E8F" w:rsidRPr="00025B3C">
        <w:rPr>
          <w:lang w:val="fr-FR"/>
        </w:rPr>
        <w:t>Il est recommandé de cesser d</w:t>
      </w:r>
      <w:r w:rsidR="006551E8">
        <w:rPr>
          <w:lang w:val="fr-FR"/>
        </w:rPr>
        <w:t>’</w:t>
      </w:r>
      <w:r w:rsidR="00605E8F" w:rsidRPr="00025B3C">
        <w:rPr>
          <w:lang w:val="fr-FR"/>
        </w:rPr>
        <w:t>examiner la possibilité d</w:t>
      </w:r>
      <w:r w:rsidR="006551E8">
        <w:rPr>
          <w:lang w:val="fr-FR"/>
        </w:rPr>
        <w:t>’</w:t>
      </w:r>
      <w:r w:rsidR="00605E8F" w:rsidRPr="00025B3C">
        <w:rPr>
          <w:lang w:val="fr-FR"/>
        </w:rPr>
        <w:t xml:space="preserve">élargir le mandat de la Caisse commune des pensions du personnel des </w:t>
      </w:r>
      <w:r w:rsidR="006551E8">
        <w:rPr>
          <w:lang w:val="fr-FR"/>
        </w:rPr>
        <w:t>Nations Unies</w:t>
      </w:r>
      <w:r w:rsidR="00605E8F" w:rsidRPr="00025B3C">
        <w:rPr>
          <w:lang w:val="fr-FR"/>
        </w:rPr>
        <w:t xml:space="preserve"> et que le Groupe de travail concentre ses efforts sur l</w:t>
      </w:r>
      <w:r w:rsidR="006551E8">
        <w:rPr>
          <w:lang w:val="fr-FR"/>
        </w:rPr>
        <w:t>’</w:t>
      </w:r>
      <w:r w:rsidR="00605E8F" w:rsidRPr="00025B3C">
        <w:rPr>
          <w:lang w:val="fr-FR"/>
        </w:rPr>
        <w:t>amélioration de la cohérence dans la conception des régimes d</w:t>
      </w:r>
      <w:r w:rsidR="006551E8">
        <w:rPr>
          <w:lang w:val="fr-FR"/>
        </w:rPr>
        <w:t>’</w:t>
      </w:r>
      <w:r w:rsidR="00605E8F" w:rsidRPr="00025B3C">
        <w:rPr>
          <w:lang w:val="fr-FR"/>
        </w:rPr>
        <w:t>assurance maladie et leur regroupement selon des critères géographiques et organisationnels dans le but de parvenir à une taille critique</w:t>
      </w:r>
      <w:r w:rsidRPr="00025B3C">
        <w:rPr>
          <w:rFonts w:eastAsia="SimSun"/>
          <w:szCs w:val="22"/>
          <w:lang w:val="fr-FR" w:eastAsia="zh-CN"/>
        </w:rPr>
        <w:t>.</w:t>
      </w:r>
    </w:p>
    <w:p w:rsidR="00C83A94" w:rsidRPr="00C83A94" w:rsidRDefault="00C83A94" w:rsidP="00C83A94">
      <w:pPr>
        <w:spacing w:after="220"/>
        <w:rPr>
          <w:lang w:val="fr-FR"/>
        </w:rPr>
      </w:pPr>
      <w:r w:rsidRPr="00C83A94">
        <w:rPr>
          <w:lang w:val="fr-FR"/>
        </w:rPr>
        <w:t>Le CCQAB était d</w:t>
      </w:r>
      <w:r w:rsidR="006551E8">
        <w:rPr>
          <w:lang w:val="fr-FR"/>
        </w:rPr>
        <w:t>’</w:t>
      </w:r>
      <w:r w:rsidRPr="00C83A94">
        <w:rPr>
          <w:lang w:val="fr-FR"/>
        </w:rPr>
        <w:t>avis que la possibilité, pour la CCPPNU, d</w:t>
      </w:r>
      <w:r w:rsidR="006551E8">
        <w:rPr>
          <w:lang w:val="fr-FR"/>
        </w:rPr>
        <w:t>’</w:t>
      </w:r>
      <w:r w:rsidRPr="00C83A94">
        <w:rPr>
          <w:lang w:val="fr-FR"/>
        </w:rPr>
        <w:t>offrir une solution économique en termes d</w:t>
      </w:r>
      <w:r w:rsidR="006551E8">
        <w:rPr>
          <w:lang w:val="fr-FR"/>
        </w:rPr>
        <w:t>’</w:t>
      </w:r>
      <w:r w:rsidRPr="00C83A94">
        <w:rPr>
          <w:lang w:val="fr-FR"/>
        </w:rPr>
        <w:t>investissement des actifs mis de côté pour financer les engagements au titre de l</w:t>
      </w:r>
      <w:r w:rsidR="006551E8">
        <w:rPr>
          <w:lang w:val="fr-FR"/>
        </w:rPr>
        <w:t>’</w:t>
      </w:r>
      <w:r w:rsidRPr="00C83A94">
        <w:rPr>
          <w:lang w:val="fr-FR"/>
        </w:rPr>
        <w:t>AMCS pouvait être envisagée par les organisations du système dont les organes directeurs avaient approuvé ce type de financeme</w:t>
      </w:r>
      <w:r w:rsidR="00BD2EDD" w:rsidRPr="00C83A94">
        <w:rPr>
          <w:lang w:val="fr-FR"/>
        </w:rPr>
        <w:t>nt</w:t>
      </w:r>
      <w:r w:rsidR="00BD2EDD">
        <w:rPr>
          <w:lang w:val="fr-FR"/>
        </w:rPr>
        <w:t xml:space="preserve">.  </w:t>
      </w:r>
      <w:r w:rsidR="00BD2EDD" w:rsidRPr="00C83A94">
        <w:rPr>
          <w:lang w:val="fr-FR"/>
        </w:rPr>
        <w:t>Le</w:t>
      </w:r>
      <w:r w:rsidRPr="00C83A94">
        <w:rPr>
          <w:lang w:val="fr-FR"/>
        </w:rPr>
        <w:t> CCQAB n</w:t>
      </w:r>
      <w:r w:rsidR="006551E8">
        <w:rPr>
          <w:lang w:val="fr-FR"/>
        </w:rPr>
        <w:t>’</w:t>
      </w:r>
      <w:r w:rsidRPr="00C83A94">
        <w:rPr>
          <w:lang w:val="fr-FR"/>
        </w:rPr>
        <w:t>a donc pas recommandé l</w:t>
      </w:r>
      <w:r w:rsidR="006551E8">
        <w:rPr>
          <w:lang w:val="fr-FR"/>
        </w:rPr>
        <w:t>’</w:t>
      </w:r>
      <w:r w:rsidRPr="00C83A94">
        <w:rPr>
          <w:lang w:val="fr-FR"/>
        </w:rPr>
        <w:t>approbation de la recommandation D.</w:t>
      </w:r>
    </w:p>
    <w:p w:rsidR="00605E8F" w:rsidRPr="00025B3C" w:rsidRDefault="00596F8A" w:rsidP="00025B3C">
      <w:pPr>
        <w:spacing w:after="220"/>
        <w:rPr>
          <w:rFonts w:eastAsia="SimSun"/>
          <w:szCs w:val="22"/>
          <w:lang w:val="fr-FR" w:eastAsia="zh-CN"/>
        </w:rPr>
      </w:pPr>
      <w:r w:rsidRPr="00025B3C">
        <w:rPr>
          <w:u w:val="single"/>
          <w:lang w:val="fr-FR"/>
        </w:rPr>
        <w:t>Recomm</w:t>
      </w:r>
      <w:r w:rsidR="00605E8F" w:rsidRPr="00025B3C">
        <w:rPr>
          <w:u w:val="single"/>
          <w:lang w:val="fr-FR"/>
        </w:rPr>
        <w:t>a</w:t>
      </w:r>
      <w:r w:rsidRPr="00025B3C">
        <w:rPr>
          <w:u w:val="single"/>
          <w:lang w:val="fr-FR"/>
        </w:rPr>
        <w:t>ndation E</w:t>
      </w:r>
      <w:r w:rsidR="006551E8">
        <w:rPr>
          <w:lang w:val="fr-FR"/>
        </w:rPr>
        <w:t> :</w:t>
      </w:r>
      <w:r w:rsidR="00FB4BFC" w:rsidRPr="00025B3C">
        <w:rPr>
          <w:lang w:val="fr-FR"/>
        </w:rPr>
        <w:t xml:space="preserve"> </w:t>
      </w:r>
      <w:r w:rsidR="00605E8F" w:rsidRPr="00025B3C">
        <w:rPr>
          <w:lang w:val="fr-FR"/>
        </w:rPr>
        <w:t>Il est recommandé que le Groupe de travail des normes comptables continue d</w:t>
      </w:r>
      <w:r w:rsidR="006551E8">
        <w:rPr>
          <w:lang w:val="fr-FR"/>
        </w:rPr>
        <w:t>’</w:t>
      </w:r>
      <w:r w:rsidR="00605E8F" w:rsidRPr="00025B3C">
        <w:rPr>
          <w:lang w:val="fr-FR"/>
        </w:rPr>
        <w:t>accorder toute l</w:t>
      </w:r>
      <w:r w:rsidR="006551E8">
        <w:rPr>
          <w:lang w:val="fr-FR"/>
        </w:rPr>
        <w:t>’</w:t>
      </w:r>
      <w:r w:rsidR="00605E8F" w:rsidRPr="00025B3C">
        <w:rPr>
          <w:lang w:val="fr-FR"/>
        </w:rPr>
        <w:t>attention voulue à l</w:t>
      </w:r>
      <w:r w:rsidR="006551E8">
        <w:rPr>
          <w:lang w:val="fr-FR"/>
        </w:rPr>
        <w:t>’</w:t>
      </w:r>
      <w:r w:rsidR="00605E8F" w:rsidRPr="00025B3C">
        <w:rPr>
          <w:lang w:val="fr-FR"/>
        </w:rPr>
        <w:t>harmonisation des principes régissant l</w:t>
      </w:r>
      <w:r w:rsidR="006551E8">
        <w:rPr>
          <w:lang w:val="fr-FR"/>
        </w:rPr>
        <w:t>’</w:t>
      </w:r>
      <w:r w:rsidR="00605E8F" w:rsidRPr="00025B3C">
        <w:rPr>
          <w:lang w:val="fr-FR"/>
        </w:rPr>
        <w:t>évaluation des charges à payer</w:t>
      </w:r>
      <w:r w:rsidRPr="00025B3C">
        <w:rPr>
          <w:lang w:val="fr-FR"/>
        </w:rPr>
        <w:t>.</w:t>
      </w:r>
    </w:p>
    <w:p w:rsidR="005B1378" w:rsidRPr="00025B3C" w:rsidRDefault="002F3C20" w:rsidP="00025B3C">
      <w:pPr>
        <w:spacing w:after="220"/>
        <w:rPr>
          <w:rFonts w:eastAsia="SimSun"/>
          <w:szCs w:val="22"/>
          <w:lang w:val="fr-FR" w:eastAsia="zh-CN"/>
        </w:rPr>
      </w:pPr>
      <w:r w:rsidRPr="00025B3C">
        <w:rPr>
          <w:rFonts w:eastAsia="SimSun"/>
          <w:szCs w:val="22"/>
          <w:lang w:val="fr-FR" w:eastAsia="zh-CN"/>
        </w:rPr>
        <w:t>Le CCQAB a recommandé que l</w:t>
      </w:r>
      <w:r w:rsidR="006551E8">
        <w:rPr>
          <w:rFonts w:eastAsia="SimSun"/>
          <w:szCs w:val="22"/>
          <w:lang w:val="fr-FR" w:eastAsia="zh-CN"/>
        </w:rPr>
        <w:t>’</w:t>
      </w:r>
      <w:r w:rsidRPr="00025B3C">
        <w:rPr>
          <w:rFonts w:eastAsia="SimSun"/>
          <w:szCs w:val="22"/>
          <w:lang w:val="fr-FR" w:eastAsia="zh-CN"/>
        </w:rPr>
        <w:t>Assemblée générale approuve la recommandation E et a indiqué qu</w:t>
      </w:r>
      <w:r w:rsidR="006551E8">
        <w:rPr>
          <w:rFonts w:eastAsia="SimSun"/>
          <w:szCs w:val="22"/>
          <w:lang w:val="fr-FR" w:eastAsia="zh-CN"/>
        </w:rPr>
        <w:t>’</w:t>
      </w:r>
      <w:r w:rsidR="001C47DA" w:rsidRPr="00025B3C">
        <w:rPr>
          <w:rFonts w:eastAsia="SimSun"/>
          <w:szCs w:val="22"/>
          <w:lang w:val="fr-FR" w:eastAsia="zh-CN"/>
        </w:rPr>
        <w:t>il</w:t>
      </w:r>
      <w:r w:rsidRPr="00025B3C">
        <w:rPr>
          <w:rFonts w:eastAsia="SimSun"/>
          <w:szCs w:val="22"/>
          <w:lang w:val="fr-FR" w:eastAsia="zh-CN"/>
        </w:rPr>
        <w:t xml:space="preserve"> attendai</w:t>
      </w:r>
      <w:r w:rsidR="001C47DA" w:rsidRPr="00025B3C">
        <w:rPr>
          <w:rFonts w:eastAsia="SimSun"/>
          <w:szCs w:val="22"/>
          <w:lang w:val="fr-FR" w:eastAsia="zh-CN"/>
        </w:rPr>
        <w:t>t</w:t>
      </w:r>
      <w:r w:rsidRPr="00025B3C">
        <w:rPr>
          <w:rFonts w:eastAsia="SimSun"/>
          <w:szCs w:val="22"/>
          <w:lang w:val="fr-FR" w:eastAsia="zh-CN"/>
        </w:rPr>
        <w:t xml:space="preserve"> avec impatience de recevoir des informations sur les évaluations actuarielles des engagements au titre de l</w:t>
      </w:r>
      <w:r w:rsidR="006551E8">
        <w:rPr>
          <w:rFonts w:eastAsia="SimSun"/>
          <w:szCs w:val="22"/>
          <w:lang w:val="fr-FR" w:eastAsia="zh-CN"/>
        </w:rPr>
        <w:t>’</w:t>
      </w:r>
      <w:r w:rsidRPr="00025B3C">
        <w:rPr>
          <w:rFonts w:eastAsia="SimSun"/>
          <w:szCs w:val="22"/>
          <w:lang w:val="fr-FR" w:eastAsia="zh-CN"/>
        </w:rPr>
        <w:t xml:space="preserve">AMCS dans le système des </w:t>
      </w:r>
      <w:r w:rsidR="006551E8">
        <w:rPr>
          <w:rFonts w:eastAsia="SimSun"/>
          <w:szCs w:val="22"/>
          <w:lang w:val="fr-FR" w:eastAsia="zh-CN"/>
        </w:rPr>
        <w:t>Nations Unies</w:t>
      </w:r>
      <w:r w:rsidRPr="00025B3C">
        <w:rPr>
          <w:rFonts w:eastAsia="SimSun"/>
          <w:szCs w:val="22"/>
          <w:lang w:val="fr-FR" w:eastAsia="zh-CN"/>
        </w:rPr>
        <w:t xml:space="preserve"> selon une m</w:t>
      </w:r>
      <w:r w:rsidR="00F13662" w:rsidRPr="00025B3C">
        <w:rPr>
          <w:rFonts w:eastAsia="SimSun"/>
          <w:szCs w:val="22"/>
          <w:lang w:val="fr-FR" w:eastAsia="zh-CN"/>
        </w:rPr>
        <w:t>é</w:t>
      </w:r>
      <w:r w:rsidRPr="00025B3C">
        <w:rPr>
          <w:rFonts w:eastAsia="SimSun"/>
          <w:szCs w:val="22"/>
          <w:lang w:val="fr-FR" w:eastAsia="zh-CN"/>
        </w:rPr>
        <w:t>thodologie harmonisée.</w:t>
      </w:r>
    </w:p>
    <w:p w:rsidR="00605E8F" w:rsidRPr="00025B3C" w:rsidRDefault="00596F8A" w:rsidP="00EA648D">
      <w:pPr>
        <w:keepLines/>
        <w:spacing w:after="220"/>
        <w:rPr>
          <w:lang w:val="fr-FR"/>
        </w:rPr>
      </w:pPr>
      <w:r w:rsidRPr="00025B3C">
        <w:rPr>
          <w:u w:val="single"/>
          <w:lang w:val="fr-FR"/>
        </w:rPr>
        <w:t>Recomm</w:t>
      </w:r>
      <w:r w:rsidR="00605E8F" w:rsidRPr="00025B3C">
        <w:rPr>
          <w:u w:val="single"/>
          <w:lang w:val="fr-FR"/>
        </w:rPr>
        <w:t>a</w:t>
      </w:r>
      <w:r w:rsidRPr="00025B3C">
        <w:rPr>
          <w:u w:val="single"/>
          <w:lang w:val="fr-FR"/>
        </w:rPr>
        <w:t xml:space="preserve">ndation </w:t>
      </w:r>
      <w:r w:rsidR="001C47DA" w:rsidRPr="00025B3C">
        <w:rPr>
          <w:u w:val="single"/>
          <w:lang w:val="fr-FR"/>
        </w:rPr>
        <w:t>G</w:t>
      </w:r>
      <w:r w:rsidR="006551E8">
        <w:rPr>
          <w:lang w:val="fr-FR"/>
        </w:rPr>
        <w:t> :</w:t>
      </w:r>
      <w:r w:rsidR="001C47DA" w:rsidRPr="00025B3C">
        <w:rPr>
          <w:lang w:val="fr-FR"/>
        </w:rPr>
        <w:t xml:space="preserve"> </w:t>
      </w:r>
      <w:r w:rsidR="00605E8F" w:rsidRPr="00025B3C">
        <w:rPr>
          <w:lang w:val="fr-FR"/>
        </w:rPr>
        <w:t xml:space="preserve">Il est recommandé que le Groupe de travail sur les services de trésorerie communs, créé par le Réseau Finances et budget du Comité de haut niveau sur la gestion, continue de favoriser la </w:t>
      </w:r>
      <w:r w:rsidR="00605E8F" w:rsidRPr="00EA648D">
        <w:rPr>
          <w:rFonts w:eastAsia="SimSun"/>
          <w:szCs w:val="22"/>
          <w:lang w:val="fr-FR" w:eastAsia="zh-CN"/>
        </w:rPr>
        <w:t>coopération</w:t>
      </w:r>
      <w:r w:rsidR="00605E8F" w:rsidRPr="00025B3C">
        <w:rPr>
          <w:lang w:val="fr-FR"/>
        </w:rPr>
        <w:t xml:space="preserve"> interinstitutions dans le domaine de l</w:t>
      </w:r>
      <w:r w:rsidR="006551E8">
        <w:rPr>
          <w:lang w:val="fr-FR"/>
        </w:rPr>
        <w:t>’</w:t>
      </w:r>
      <w:r w:rsidR="00605E8F" w:rsidRPr="00025B3C">
        <w:rPr>
          <w:lang w:val="fr-FR"/>
        </w:rPr>
        <w:t>investissement des fonds réservés au financement des engagements au titre de l</w:t>
      </w:r>
      <w:r w:rsidR="006551E8">
        <w:rPr>
          <w:lang w:val="fr-FR"/>
        </w:rPr>
        <w:t>’</w:t>
      </w:r>
      <w:r w:rsidR="00605E8F" w:rsidRPr="00025B3C">
        <w:rPr>
          <w:lang w:val="fr-FR"/>
        </w:rPr>
        <w:t>assurance maladie après la cessation de service</w:t>
      </w:r>
      <w:r w:rsidR="002E3AF0" w:rsidRPr="00025B3C">
        <w:rPr>
          <w:lang w:val="fr-FR"/>
        </w:rPr>
        <w:t>.</w:t>
      </w:r>
    </w:p>
    <w:p w:rsidR="005B1378" w:rsidRPr="00025B3C" w:rsidRDefault="00F13662" w:rsidP="00EA648D">
      <w:pPr>
        <w:keepLines/>
        <w:tabs>
          <w:tab w:val="left" w:pos="1440"/>
        </w:tabs>
        <w:rPr>
          <w:szCs w:val="22"/>
          <w:lang w:val="fr-FR"/>
        </w:rPr>
      </w:pPr>
      <w:r w:rsidRPr="00025B3C">
        <w:rPr>
          <w:lang w:val="fr-FR"/>
        </w:rPr>
        <w:lastRenderedPageBreak/>
        <w:t>S</w:t>
      </w:r>
      <w:r w:rsidR="006551E8">
        <w:rPr>
          <w:lang w:val="fr-FR"/>
        </w:rPr>
        <w:t>’</w:t>
      </w:r>
      <w:r w:rsidRPr="00025B3C">
        <w:rPr>
          <w:lang w:val="fr-FR"/>
        </w:rPr>
        <w:t>agissant des institutions qui ont réservé des fonds pour couvrir leurs engagements au titre de l</w:t>
      </w:r>
      <w:r w:rsidR="006551E8">
        <w:rPr>
          <w:lang w:val="fr-FR"/>
        </w:rPr>
        <w:t>’</w:t>
      </w:r>
      <w:r w:rsidRPr="00025B3C">
        <w:rPr>
          <w:lang w:val="fr-FR"/>
        </w:rPr>
        <w:t>AMCS,</w:t>
      </w:r>
      <w:r w:rsidR="005B1378" w:rsidRPr="00025B3C">
        <w:rPr>
          <w:lang w:val="fr-FR"/>
        </w:rPr>
        <w:t xml:space="preserve"> le CCQ</w:t>
      </w:r>
      <w:r w:rsidRPr="00025B3C">
        <w:rPr>
          <w:lang w:val="fr-FR"/>
        </w:rPr>
        <w:t>AB a salué les efforts déployés par le Groupe de travail sur les services de trésorerie communs pour trouver des possibilités de collaborati</w:t>
      </w:r>
      <w:r w:rsidR="00BD2EDD" w:rsidRPr="00025B3C">
        <w:rPr>
          <w:lang w:val="fr-FR"/>
        </w:rPr>
        <w:t>on</w:t>
      </w:r>
      <w:r w:rsidR="00BD2EDD">
        <w:rPr>
          <w:lang w:val="fr-FR"/>
        </w:rPr>
        <w:t xml:space="preserve">.  </w:t>
      </w:r>
      <w:r w:rsidR="00BD2EDD" w:rsidRPr="00025B3C">
        <w:rPr>
          <w:lang w:val="fr-FR"/>
        </w:rPr>
        <w:t>Le</w:t>
      </w:r>
      <w:r w:rsidR="005B1378" w:rsidRPr="00025B3C">
        <w:rPr>
          <w:lang w:val="fr-FR"/>
        </w:rPr>
        <w:t> CCQ</w:t>
      </w:r>
      <w:r w:rsidRPr="00025B3C">
        <w:rPr>
          <w:lang w:val="fr-FR"/>
        </w:rPr>
        <w:t>AB a recommandé que l</w:t>
      </w:r>
      <w:r w:rsidR="006551E8">
        <w:rPr>
          <w:lang w:val="fr-FR"/>
        </w:rPr>
        <w:t>’</w:t>
      </w:r>
      <w:r w:rsidRPr="00025B3C">
        <w:rPr>
          <w:lang w:val="fr-FR"/>
        </w:rPr>
        <w:t>Assemblée générale approuve la recommandation G.</w:t>
      </w:r>
    </w:p>
    <w:p w:rsidR="00605E8F" w:rsidRPr="00025B3C" w:rsidRDefault="00605E8F" w:rsidP="00025B3C">
      <w:pPr>
        <w:tabs>
          <w:tab w:val="left" w:pos="1440"/>
        </w:tabs>
        <w:rPr>
          <w:szCs w:val="22"/>
          <w:lang w:val="fr-FR"/>
        </w:rPr>
      </w:pPr>
    </w:p>
    <w:p w:rsidR="00605E8F" w:rsidRPr="00025B3C" w:rsidRDefault="00605E8F" w:rsidP="00025B3C">
      <w:pPr>
        <w:rPr>
          <w:lang w:val="fr-FR"/>
        </w:rPr>
      </w:pPr>
    </w:p>
    <w:p w:rsidR="00A3339B" w:rsidRPr="00025B3C" w:rsidRDefault="00A3339B" w:rsidP="00025B3C">
      <w:pPr>
        <w:rPr>
          <w:lang w:val="fr-FR"/>
        </w:rPr>
      </w:pPr>
    </w:p>
    <w:p w:rsidR="00605E8F" w:rsidRPr="00025B3C" w:rsidRDefault="003413C6" w:rsidP="00025B3C">
      <w:pPr>
        <w:pStyle w:val="Endofdocument-Annex"/>
        <w:rPr>
          <w:lang w:val="fr-FR"/>
        </w:rPr>
      </w:pPr>
      <w:r w:rsidRPr="00025B3C">
        <w:rPr>
          <w:szCs w:val="22"/>
          <w:lang w:val="fr-FR"/>
        </w:rPr>
        <w:t>[</w:t>
      </w:r>
      <w:r w:rsidR="00605E8F" w:rsidRPr="00025B3C">
        <w:rPr>
          <w:lang w:val="fr-FR"/>
        </w:rPr>
        <w:t xml:space="preserve">Fin </w:t>
      </w:r>
      <w:r w:rsidR="00A3339B" w:rsidRPr="00025B3C">
        <w:rPr>
          <w:lang w:val="fr-FR"/>
        </w:rPr>
        <w:t>de l</w:t>
      </w:r>
      <w:r w:rsidR="006551E8">
        <w:rPr>
          <w:lang w:val="fr-FR"/>
        </w:rPr>
        <w:t>’</w:t>
      </w:r>
      <w:r w:rsidR="00C83A94" w:rsidRPr="00025B3C">
        <w:rPr>
          <w:lang w:val="fr-FR"/>
        </w:rPr>
        <w:t>annexe</w:t>
      </w:r>
      <w:r w:rsidR="00C83A94">
        <w:rPr>
          <w:lang w:val="fr-FR"/>
        </w:rPr>
        <w:t> </w:t>
      </w:r>
      <w:r w:rsidR="00C83A94" w:rsidRPr="00025B3C">
        <w:rPr>
          <w:lang w:val="fr-FR"/>
        </w:rPr>
        <w:t>I</w:t>
      </w:r>
      <w:r w:rsidR="00A3339B" w:rsidRPr="00025B3C">
        <w:rPr>
          <w:lang w:val="fr-FR"/>
        </w:rPr>
        <w:t>I et</w:t>
      </w:r>
      <w:r w:rsidR="00605E8F" w:rsidRPr="00025B3C">
        <w:rPr>
          <w:lang w:val="fr-FR"/>
        </w:rPr>
        <w:t xml:space="preserve"> du </w:t>
      </w:r>
      <w:r w:rsidRPr="00025B3C">
        <w:rPr>
          <w:lang w:val="fr-FR"/>
        </w:rPr>
        <w:t>document</w:t>
      </w:r>
      <w:r w:rsidRPr="00025B3C">
        <w:rPr>
          <w:szCs w:val="22"/>
          <w:lang w:val="fr-FR"/>
        </w:rPr>
        <w:t>]</w:t>
      </w:r>
    </w:p>
    <w:p w:rsidR="00605E8F" w:rsidRPr="00025B3C" w:rsidRDefault="00605E8F" w:rsidP="00025B3C">
      <w:pPr>
        <w:pStyle w:val="Endofdocument-Annex"/>
        <w:rPr>
          <w:lang w:val="fr-FR"/>
        </w:rPr>
      </w:pPr>
    </w:p>
    <w:sectPr w:rsidR="00605E8F" w:rsidRPr="00025B3C" w:rsidSect="00A3339B">
      <w:headerReference w:type="default" r:id="rId13"/>
      <w:headerReference w:type="first" r:id="rId14"/>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573" w:rsidRDefault="004B7573" w:rsidP="00E66775">
      <w:r>
        <w:separator/>
      </w:r>
    </w:p>
  </w:endnote>
  <w:endnote w:type="continuationSeparator" w:id="0">
    <w:p w:rsidR="004B7573" w:rsidRDefault="004B7573" w:rsidP="00E66775">
      <w:r>
        <w:continuationSeparator/>
      </w:r>
    </w:p>
  </w:endnote>
  <w:endnote w:type="continuationNotice" w:id="1">
    <w:p w:rsidR="001C47DA" w:rsidRDefault="001C4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573" w:rsidRDefault="004B7573" w:rsidP="00E66775">
      <w:r>
        <w:separator/>
      </w:r>
    </w:p>
  </w:footnote>
  <w:footnote w:type="continuationSeparator" w:id="0">
    <w:p w:rsidR="004B7573" w:rsidRDefault="004B7573" w:rsidP="00E66775">
      <w:r>
        <w:continuationSeparator/>
      </w:r>
    </w:p>
  </w:footnote>
  <w:footnote w:type="continuationNotice" w:id="1">
    <w:p w:rsidR="001C47DA" w:rsidRDefault="001C47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411" w:rsidRDefault="00994411" w:rsidP="00994411">
    <w:pPr>
      <w:jc w:val="right"/>
    </w:pPr>
    <w:r>
      <w:t>W</w:t>
    </w:r>
    <w:r w:rsidR="00920A86">
      <w:t>O/PBC/26/</w:t>
    </w:r>
    <w:r>
      <w:t>6</w:t>
    </w:r>
  </w:p>
  <w:p w:rsidR="00EC4E49" w:rsidRDefault="00994411" w:rsidP="00994411">
    <w:pPr>
      <w:jc w:val="right"/>
    </w:pPr>
    <w:r>
      <w:t xml:space="preserve">page </w:t>
    </w:r>
    <w:r w:rsidR="007B6786">
      <w:fldChar w:fldCharType="begin"/>
    </w:r>
    <w:r w:rsidR="007B6786">
      <w:instrText xml:space="preserve"> PAGE   \* MERGEFORMAT </w:instrText>
    </w:r>
    <w:r w:rsidR="007B6786">
      <w:fldChar w:fldCharType="separate"/>
    </w:r>
    <w:r w:rsidR="00324C57">
      <w:rPr>
        <w:noProof/>
      </w:rPr>
      <w:t>3</w:t>
    </w:r>
    <w:r w:rsidR="007B6786">
      <w:rPr>
        <w:noProof/>
      </w:rPr>
      <w:fldChar w:fldCharType="end"/>
    </w:r>
  </w:p>
  <w:p w:rsidR="00C926D2" w:rsidRDefault="00C926D2" w:rsidP="0099441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411" w:rsidRDefault="00994411" w:rsidP="00994411">
    <w:pPr>
      <w:jc w:val="right"/>
    </w:pPr>
    <w:r>
      <w:t>WO/PBC/26/6</w:t>
    </w:r>
  </w:p>
  <w:p w:rsidR="00994411" w:rsidRDefault="00994411" w:rsidP="00994411">
    <w:pPr>
      <w:jc w:val="right"/>
    </w:pPr>
    <w:proofErr w:type="spellStart"/>
    <w:r>
      <w:t>Annex</w:t>
    </w:r>
    <w:r w:rsidR="00F13662">
      <w:t>e</w:t>
    </w:r>
    <w:proofErr w:type="spellEnd"/>
    <w:r w:rsidR="003413C6">
      <w:t xml:space="preserve"> I</w:t>
    </w:r>
    <w:r>
      <w:t xml:space="preserve">, page </w:t>
    </w:r>
    <w:r>
      <w:fldChar w:fldCharType="begin"/>
    </w:r>
    <w:r>
      <w:instrText xml:space="preserve"> PAGE  \* MERGEFORMAT </w:instrText>
    </w:r>
    <w:r>
      <w:fldChar w:fldCharType="separate"/>
    </w:r>
    <w:r w:rsidR="00324C57">
      <w:rPr>
        <w:noProof/>
      </w:rPr>
      <w:t>3</w:t>
    </w:r>
    <w:r>
      <w:fldChar w:fldCharType="end"/>
    </w:r>
  </w:p>
  <w:p w:rsidR="00A3339B" w:rsidRDefault="00A3339B" w:rsidP="00994411">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6D2" w:rsidRDefault="00C926D2" w:rsidP="00E66775">
    <w:pPr>
      <w:jc w:val="right"/>
    </w:pPr>
    <w:r>
      <w:t>W</w:t>
    </w:r>
    <w:r w:rsidR="00A3339B">
      <w:t>O/PBC/26/</w:t>
    </w:r>
    <w:r>
      <w:t>6</w:t>
    </w:r>
  </w:p>
  <w:p w:rsidR="00C926D2" w:rsidRDefault="00C926D2" w:rsidP="00E66775">
    <w:pPr>
      <w:pStyle w:val="Header"/>
      <w:jc w:val="right"/>
    </w:pPr>
    <w:r w:rsidRPr="00E66775">
      <w:t>ANNEX</w:t>
    </w:r>
    <w:r w:rsidR="009A0120">
      <w:t>E</w:t>
    </w:r>
    <w:r>
      <w:t xml:space="preserve"> I</w:t>
    </w:r>
  </w:p>
  <w:p w:rsidR="00A3339B" w:rsidRPr="00E66775" w:rsidRDefault="00A3339B" w:rsidP="00E66775">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39B" w:rsidRDefault="00A3339B" w:rsidP="00994411">
    <w:pPr>
      <w:jc w:val="right"/>
    </w:pPr>
    <w:r>
      <w:t>WO/PBC/26/6</w:t>
    </w:r>
  </w:p>
  <w:p w:rsidR="00A3339B" w:rsidRDefault="00A3339B" w:rsidP="00994411">
    <w:pPr>
      <w:jc w:val="right"/>
    </w:pPr>
    <w:proofErr w:type="spellStart"/>
    <w:r>
      <w:t>Annexe</w:t>
    </w:r>
    <w:proofErr w:type="spellEnd"/>
    <w:r>
      <w:t xml:space="preserve"> II, page </w:t>
    </w:r>
    <w:r>
      <w:fldChar w:fldCharType="begin"/>
    </w:r>
    <w:r>
      <w:instrText xml:space="preserve"> PAGE  \* MERGEFORMAT </w:instrText>
    </w:r>
    <w:r>
      <w:fldChar w:fldCharType="separate"/>
    </w:r>
    <w:r w:rsidR="00324C57">
      <w:rPr>
        <w:noProof/>
      </w:rPr>
      <w:t>2</w:t>
    </w:r>
    <w:r>
      <w:fldChar w:fldCharType="end"/>
    </w:r>
  </w:p>
  <w:p w:rsidR="00A3339B" w:rsidRDefault="00A3339B" w:rsidP="00994411">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C6" w:rsidRDefault="003413C6" w:rsidP="00E66775">
    <w:pPr>
      <w:jc w:val="right"/>
    </w:pPr>
    <w:r>
      <w:t>W</w:t>
    </w:r>
    <w:r w:rsidR="00A3339B">
      <w:t>O/PBC/26/</w:t>
    </w:r>
    <w:r>
      <w:t>6</w:t>
    </w:r>
  </w:p>
  <w:p w:rsidR="003413C6" w:rsidRDefault="003413C6" w:rsidP="00E66775">
    <w:pPr>
      <w:pStyle w:val="Header"/>
      <w:jc w:val="right"/>
    </w:pPr>
    <w:r w:rsidRPr="00E66775">
      <w:t>ANNEX</w:t>
    </w:r>
    <w:r w:rsidR="00F13662">
      <w:t>E</w:t>
    </w:r>
    <w:r>
      <w:t xml:space="preserve"> II</w:t>
    </w:r>
  </w:p>
  <w:p w:rsidR="00A3339B" w:rsidRPr="00E66775" w:rsidRDefault="00A3339B" w:rsidP="00E6677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F974709C"/>
    <w:lvl w:ilvl="0">
      <w:start w:val="1"/>
      <w:numFmt w:val="decimal"/>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23EF3C88"/>
    <w:multiLevelType w:val="hybridMultilevel"/>
    <w:tmpl w:val="5A2E0866"/>
    <w:lvl w:ilvl="0" w:tplc="04090001">
      <w:start w:val="1"/>
      <w:numFmt w:val="bullet"/>
      <w:lvlText w:val=""/>
      <w:lvlJc w:val="left"/>
      <w:pPr>
        <w:ind w:left="1381" w:hanging="360"/>
      </w:pPr>
      <w:rPr>
        <w:rFonts w:ascii="Symbol" w:hAnsi="Symbol" w:hint="default"/>
      </w:rPr>
    </w:lvl>
    <w:lvl w:ilvl="1" w:tplc="04090019" w:tentative="1">
      <w:start w:val="1"/>
      <w:numFmt w:val="lowerLetter"/>
      <w:lvlText w:val="%2."/>
      <w:lvlJc w:val="left"/>
      <w:pPr>
        <w:ind w:left="2101" w:hanging="360"/>
      </w:pPr>
    </w:lvl>
    <w:lvl w:ilvl="2" w:tplc="0409001B">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8"/>
  </w:num>
  <w:num w:numId="4">
    <w:abstractNumId w:val="7"/>
  </w:num>
  <w:num w:numId="5">
    <w:abstractNumId w:val="0"/>
  </w:num>
  <w:num w:numId="6">
    <w:abstractNumId w:val="6"/>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EF3B39"/>
    <w:rsid w:val="0000772C"/>
    <w:rsid w:val="0001399A"/>
    <w:rsid w:val="00025B3C"/>
    <w:rsid w:val="000302BF"/>
    <w:rsid w:val="00066627"/>
    <w:rsid w:val="00095EBB"/>
    <w:rsid w:val="000A5ABD"/>
    <w:rsid w:val="000C5C75"/>
    <w:rsid w:val="000C759B"/>
    <w:rsid w:val="000E14C2"/>
    <w:rsid w:val="000E5188"/>
    <w:rsid w:val="000F5E56"/>
    <w:rsid w:val="0012671C"/>
    <w:rsid w:val="0013422A"/>
    <w:rsid w:val="0015017F"/>
    <w:rsid w:val="001C47DA"/>
    <w:rsid w:val="001C5E9F"/>
    <w:rsid w:val="001F384E"/>
    <w:rsid w:val="002205F6"/>
    <w:rsid w:val="002520E2"/>
    <w:rsid w:val="0025719C"/>
    <w:rsid w:val="00275367"/>
    <w:rsid w:val="00277E4E"/>
    <w:rsid w:val="00277F58"/>
    <w:rsid w:val="00292938"/>
    <w:rsid w:val="0029761E"/>
    <w:rsid w:val="002D7FCC"/>
    <w:rsid w:val="002E3AF0"/>
    <w:rsid w:val="002F3C20"/>
    <w:rsid w:val="00324C57"/>
    <w:rsid w:val="003413C6"/>
    <w:rsid w:val="00345DDA"/>
    <w:rsid w:val="003A3C05"/>
    <w:rsid w:val="003B550C"/>
    <w:rsid w:val="003D1932"/>
    <w:rsid w:val="00415A1B"/>
    <w:rsid w:val="00431118"/>
    <w:rsid w:val="00453D8E"/>
    <w:rsid w:val="00456461"/>
    <w:rsid w:val="00467E0E"/>
    <w:rsid w:val="004B06BD"/>
    <w:rsid w:val="004B7573"/>
    <w:rsid w:val="004E1B9C"/>
    <w:rsid w:val="004E3C51"/>
    <w:rsid w:val="0054336E"/>
    <w:rsid w:val="00550866"/>
    <w:rsid w:val="00576517"/>
    <w:rsid w:val="005812E0"/>
    <w:rsid w:val="00596F8A"/>
    <w:rsid w:val="005A2C36"/>
    <w:rsid w:val="005B1378"/>
    <w:rsid w:val="00605E8F"/>
    <w:rsid w:val="006128AD"/>
    <w:rsid w:val="00630A0C"/>
    <w:rsid w:val="006551AD"/>
    <w:rsid w:val="006551E8"/>
    <w:rsid w:val="006948E1"/>
    <w:rsid w:val="006B0900"/>
    <w:rsid w:val="006C453B"/>
    <w:rsid w:val="006E4766"/>
    <w:rsid w:val="006E6CCB"/>
    <w:rsid w:val="006F0C3B"/>
    <w:rsid w:val="00704AD8"/>
    <w:rsid w:val="007313F4"/>
    <w:rsid w:val="007461D1"/>
    <w:rsid w:val="00761194"/>
    <w:rsid w:val="0077342A"/>
    <w:rsid w:val="0079468C"/>
    <w:rsid w:val="00796495"/>
    <w:rsid w:val="007B09E8"/>
    <w:rsid w:val="007B240C"/>
    <w:rsid w:val="007B6786"/>
    <w:rsid w:val="007D53C7"/>
    <w:rsid w:val="00804DB7"/>
    <w:rsid w:val="008303CD"/>
    <w:rsid w:val="00842AF0"/>
    <w:rsid w:val="00867F50"/>
    <w:rsid w:val="008800C1"/>
    <w:rsid w:val="008C0B58"/>
    <w:rsid w:val="008F75D0"/>
    <w:rsid w:val="009056FC"/>
    <w:rsid w:val="009161B5"/>
    <w:rsid w:val="00920A86"/>
    <w:rsid w:val="00950DE5"/>
    <w:rsid w:val="00957C00"/>
    <w:rsid w:val="00994411"/>
    <w:rsid w:val="009A0120"/>
    <w:rsid w:val="009B7BF2"/>
    <w:rsid w:val="009E58F8"/>
    <w:rsid w:val="00A16E14"/>
    <w:rsid w:val="00A30BAA"/>
    <w:rsid w:val="00A3339B"/>
    <w:rsid w:val="00A72748"/>
    <w:rsid w:val="00AB29FF"/>
    <w:rsid w:val="00AF2D57"/>
    <w:rsid w:val="00B0190F"/>
    <w:rsid w:val="00B67AD9"/>
    <w:rsid w:val="00B80D09"/>
    <w:rsid w:val="00BC276A"/>
    <w:rsid w:val="00BD08DA"/>
    <w:rsid w:val="00BD2EDD"/>
    <w:rsid w:val="00C23C3E"/>
    <w:rsid w:val="00C46284"/>
    <w:rsid w:val="00C554EC"/>
    <w:rsid w:val="00C83A94"/>
    <w:rsid w:val="00C91B73"/>
    <w:rsid w:val="00C926D2"/>
    <w:rsid w:val="00CA0FBB"/>
    <w:rsid w:val="00CC4694"/>
    <w:rsid w:val="00D47868"/>
    <w:rsid w:val="00DB704B"/>
    <w:rsid w:val="00DE361C"/>
    <w:rsid w:val="00E35453"/>
    <w:rsid w:val="00E5382F"/>
    <w:rsid w:val="00E66775"/>
    <w:rsid w:val="00E9098F"/>
    <w:rsid w:val="00EA648D"/>
    <w:rsid w:val="00EC7732"/>
    <w:rsid w:val="00EF3B39"/>
    <w:rsid w:val="00EF5EFA"/>
    <w:rsid w:val="00F10551"/>
    <w:rsid w:val="00F13662"/>
    <w:rsid w:val="00F365CB"/>
    <w:rsid w:val="00F43D51"/>
    <w:rsid w:val="00F631C7"/>
    <w:rsid w:val="00F95CC6"/>
    <w:rsid w:val="00F97996"/>
    <w:rsid w:val="00FB4B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style>
  <w:style w:type="paragraph" w:styleId="ListNumber">
    <w:name w:val="List Number"/>
    <w:basedOn w:val="Normal"/>
    <w:semiHidden/>
    <w:rsid w:val="00804DB7"/>
    <w:pPr>
      <w:numPr>
        <w:numId w:val="6"/>
      </w:numPr>
    </w:pPr>
  </w:style>
  <w:style w:type="paragraph" w:styleId="BalloonText">
    <w:name w:val="Balloon Text"/>
    <w:basedOn w:val="Normal"/>
    <w:link w:val="BalloonTextChar"/>
    <w:rsid w:val="00EF3B39"/>
    <w:rPr>
      <w:rFonts w:ascii="Tahoma" w:hAnsi="Tahoma" w:cs="Tahoma"/>
      <w:sz w:val="16"/>
      <w:szCs w:val="16"/>
    </w:rPr>
  </w:style>
  <w:style w:type="character" w:customStyle="1" w:styleId="BalloonTextChar">
    <w:name w:val="Balloon Text Char"/>
    <w:basedOn w:val="DefaultParagraphFont"/>
    <w:link w:val="BalloonText"/>
    <w:rsid w:val="00EF3B39"/>
    <w:rPr>
      <w:rFonts w:ascii="Tahoma" w:hAnsi="Tahoma" w:cs="Tahoma"/>
      <w:sz w:val="16"/>
      <w:szCs w:val="16"/>
    </w:rPr>
  </w:style>
  <w:style w:type="character" w:customStyle="1" w:styleId="ONUMEChar">
    <w:name w:val="ONUM E Char"/>
    <w:link w:val="ONUME"/>
    <w:rsid w:val="00D47868"/>
    <w:rPr>
      <w:rFonts w:ascii="Arial" w:hAnsi="Arial" w:cs="Arial"/>
      <w:sz w:val="22"/>
    </w:rPr>
  </w:style>
  <w:style w:type="paragraph" w:customStyle="1" w:styleId="Endofdocument-Annex">
    <w:name w:val="[End of document - Annex]"/>
    <w:basedOn w:val="Normal"/>
    <w:rsid w:val="006948E1"/>
    <w:pPr>
      <w:ind w:left="5534"/>
    </w:pPr>
    <w:rPr>
      <w:rFonts w:eastAsia="SimSun"/>
      <w:lang w:eastAsia="zh-CN"/>
    </w:rPr>
  </w:style>
  <w:style w:type="paragraph" w:styleId="ListParagraph">
    <w:name w:val="List Paragraph"/>
    <w:basedOn w:val="Normal"/>
    <w:uiPriority w:val="34"/>
    <w:qFormat/>
    <w:rsid w:val="00994411"/>
    <w:pPr>
      <w:spacing w:after="120" w:line="260" w:lineRule="atLeast"/>
      <w:ind w:left="720"/>
      <w:contextualSpacing/>
    </w:pPr>
    <w:rPr>
      <w:rFonts w:eastAsia="Times New Roman" w:cs="Times New Roman"/>
      <w:sz w:val="20"/>
      <w:lang w:eastAsia="en-US"/>
    </w:rPr>
  </w:style>
  <w:style w:type="character" w:styleId="CommentReference">
    <w:name w:val="annotation reference"/>
    <w:basedOn w:val="DefaultParagraphFont"/>
    <w:rsid w:val="0079468C"/>
    <w:rPr>
      <w:sz w:val="16"/>
      <w:szCs w:val="16"/>
    </w:rPr>
  </w:style>
  <w:style w:type="paragraph" w:styleId="CommentSubject">
    <w:name w:val="annotation subject"/>
    <w:basedOn w:val="CommentText"/>
    <w:next w:val="CommentText"/>
    <w:link w:val="CommentSubjectChar"/>
    <w:rsid w:val="0079468C"/>
    <w:rPr>
      <w:b/>
      <w:bCs/>
      <w:sz w:val="20"/>
    </w:rPr>
  </w:style>
  <w:style w:type="character" w:customStyle="1" w:styleId="CommentTextChar">
    <w:name w:val="Comment Text Char"/>
    <w:basedOn w:val="DefaultParagraphFont"/>
    <w:link w:val="CommentText"/>
    <w:semiHidden/>
    <w:rsid w:val="0079468C"/>
    <w:rPr>
      <w:rFonts w:ascii="Arial" w:hAnsi="Arial" w:cs="Arial"/>
      <w:sz w:val="18"/>
    </w:rPr>
  </w:style>
  <w:style w:type="character" w:customStyle="1" w:styleId="CommentSubjectChar">
    <w:name w:val="Comment Subject Char"/>
    <w:basedOn w:val="CommentTextChar"/>
    <w:link w:val="CommentSubject"/>
    <w:rsid w:val="0079468C"/>
    <w:rPr>
      <w:rFonts w:ascii="Arial" w:hAnsi="Arial" w:cs="Arial"/>
      <w:b/>
      <w:bCs/>
      <w:sz w:val="18"/>
    </w:rPr>
  </w:style>
  <w:style w:type="character" w:styleId="Hyperlink">
    <w:name w:val="Hyperlink"/>
    <w:basedOn w:val="DefaultParagraphFont"/>
    <w:rsid w:val="001C47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style>
  <w:style w:type="paragraph" w:styleId="ListNumber">
    <w:name w:val="List Number"/>
    <w:basedOn w:val="Normal"/>
    <w:semiHidden/>
    <w:rsid w:val="00804DB7"/>
    <w:pPr>
      <w:numPr>
        <w:numId w:val="6"/>
      </w:numPr>
    </w:pPr>
  </w:style>
  <w:style w:type="paragraph" w:styleId="BalloonText">
    <w:name w:val="Balloon Text"/>
    <w:basedOn w:val="Normal"/>
    <w:link w:val="BalloonTextChar"/>
    <w:rsid w:val="00EF3B39"/>
    <w:rPr>
      <w:rFonts w:ascii="Tahoma" w:hAnsi="Tahoma" w:cs="Tahoma"/>
      <w:sz w:val="16"/>
      <w:szCs w:val="16"/>
    </w:rPr>
  </w:style>
  <w:style w:type="character" w:customStyle="1" w:styleId="BalloonTextChar">
    <w:name w:val="Balloon Text Char"/>
    <w:basedOn w:val="DefaultParagraphFont"/>
    <w:link w:val="BalloonText"/>
    <w:rsid w:val="00EF3B39"/>
    <w:rPr>
      <w:rFonts w:ascii="Tahoma" w:hAnsi="Tahoma" w:cs="Tahoma"/>
      <w:sz w:val="16"/>
      <w:szCs w:val="16"/>
    </w:rPr>
  </w:style>
  <w:style w:type="character" w:customStyle="1" w:styleId="ONUMEChar">
    <w:name w:val="ONUM E Char"/>
    <w:link w:val="ONUME"/>
    <w:rsid w:val="00D47868"/>
    <w:rPr>
      <w:rFonts w:ascii="Arial" w:hAnsi="Arial" w:cs="Arial"/>
      <w:sz w:val="22"/>
    </w:rPr>
  </w:style>
  <w:style w:type="paragraph" w:customStyle="1" w:styleId="Endofdocument-Annex">
    <w:name w:val="[End of document - Annex]"/>
    <w:basedOn w:val="Normal"/>
    <w:rsid w:val="006948E1"/>
    <w:pPr>
      <w:ind w:left="5534"/>
    </w:pPr>
    <w:rPr>
      <w:rFonts w:eastAsia="SimSun"/>
      <w:lang w:eastAsia="zh-CN"/>
    </w:rPr>
  </w:style>
  <w:style w:type="paragraph" w:styleId="ListParagraph">
    <w:name w:val="List Paragraph"/>
    <w:basedOn w:val="Normal"/>
    <w:uiPriority w:val="34"/>
    <w:qFormat/>
    <w:rsid w:val="00994411"/>
    <w:pPr>
      <w:spacing w:after="120" w:line="260" w:lineRule="atLeast"/>
      <w:ind w:left="720"/>
      <w:contextualSpacing/>
    </w:pPr>
    <w:rPr>
      <w:rFonts w:eastAsia="Times New Roman" w:cs="Times New Roman"/>
      <w:sz w:val="20"/>
      <w:lang w:eastAsia="en-US"/>
    </w:rPr>
  </w:style>
  <w:style w:type="character" w:styleId="CommentReference">
    <w:name w:val="annotation reference"/>
    <w:basedOn w:val="DefaultParagraphFont"/>
    <w:rsid w:val="0079468C"/>
    <w:rPr>
      <w:sz w:val="16"/>
      <w:szCs w:val="16"/>
    </w:rPr>
  </w:style>
  <w:style w:type="paragraph" w:styleId="CommentSubject">
    <w:name w:val="annotation subject"/>
    <w:basedOn w:val="CommentText"/>
    <w:next w:val="CommentText"/>
    <w:link w:val="CommentSubjectChar"/>
    <w:rsid w:val="0079468C"/>
    <w:rPr>
      <w:b/>
      <w:bCs/>
      <w:sz w:val="20"/>
    </w:rPr>
  </w:style>
  <w:style w:type="character" w:customStyle="1" w:styleId="CommentTextChar">
    <w:name w:val="Comment Text Char"/>
    <w:basedOn w:val="DefaultParagraphFont"/>
    <w:link w:val="CommentText"/>
    <w:semiHidden/>
    <w:rsid w:val="0079468C"/>
    <w:rPr>
      <w:rFonts w:ascii="Arial" w:hAnsi="Arial" w:cs="Arial"/>
      <w:sz w:val="18"/>
    </w:rPr>
  </w:style>
  <w:style w:type="character" w:customStyle="1" w:styleId="CommentSubjectChar">
    <w:name w:val="Comment Subject Char"/>
    <w:basedOn w:val="CommentTextChar"/>
    <w:link w:val="CommentSubject"/>
    <w:rsid w:val="0079468C"/>
    <w:rPr>
      <w:rFonts w:ascii="Arial" w:hAnsi="Arial" w:cs="Arial"/>
      <w:b/>
      <w:bCs/>
      <w:sz w:val="18"/>
    </w:rPr>
  </w:style>
  <w:style w:type="character" w:styleId="Hyperlink">
    <w:name w:val="Hyperlink"/>
    <w:basedOn w:val="DefaultParagraphFont"/>
    <w:rsid w:val="001C47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21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8467F-F273-48E3-8691-13DB13211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3211</Words>
  <Characters>17964</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BESTARD Jaime</dc:creator>
  <cp:lastModifiedBy>ZEBARJADI-SAR Nahal</cp:lastModifiedBy>
  <cp:revision>2</cp:revision>
  <cp:lastPrinted>2017-06-16T08:46:00Z</cp:lastPrinted>
  <dcterms:created xsi:type="dcterms:W3CDTF">2017-06-16T14:16:00Z</dcterms:created>
  <dcterms:modified xsi:type="dcterms:W3CDTF">2017-06-16T14:16:00Z</dcterms:modified>
</cp:coreProperties>
</file>