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2799" w:rsidP="00916EE2">
            <w:r>
              <w:rPr>
                <w:noProof/>
                <w:lang w:eastAsia="en-US"/>
              </w:rPr>
              <w:drawing>
                <wp:inline distT="0" distB="0" distL="0" distR="0" wp14:anchorId="7C71F255" wp14:editId="3A6AA848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2799" w:rsidP="0054279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B4E78" w:rsidP="00AB4E7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51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EE0240">
              <w:rPr>
                <w:rFonts w:ascii="Arial Black" w:hAnsi="Arial Black"/>
                <w:caps/>
                <w:sz w:val="15"/>
              </w:rPr>
              <w:t>18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42799" w:rsidP="005427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42799" w:rsidP="005427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EE0240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EE024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42799" w:rsidRPr="003B27FA" w:rsidRDefault="00827C95" w:rsidP="00542799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Ассамблеи государств-членов ВОИС</w:t>
      </w:r>
    </w:p>
    <w:p w:rsidR="003845C1" w:rsidRDefault="003845C1" w:rsidP="003845C1"/>
    <w:p w:rsidR="003845C1" w:rsidRDefault="003845C1" w:rsidP="003845C1"/>
    <w:p w:rsidR="00542799" w:rsidRPr="009B4891" w:rsidRDefault="00827C95" w:rsidP="0054279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</w:t>
      </w:r>
      <w:r w:rsidR="0054279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серия заседаний</w:t>
      </w:r>
    </w:p>
    <w:p w:rsidR="00542799" w:rsidRPr="009B4891" w:rsidRDefault="00542799" w:rsidP="0054279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B4891">
        <w:rPr>
          <w:b/>
          <w:sz w:val="24"/>
          <w:szCs w:val="24"/>
          <w:lang w:val="ru-RU"/>
        </w:rPr>
        <w:t xml:space="preserve">, 23 </w:t>
      </w:r>
      <w:r>
        <w:rPr>
          <w:b/>
          <w:sz w:val="24"/>
          <w:szCs w:val="24"/>
          <w:lang w:val="ru-RU"/>
        </w:rPr>
        <w:t>сентября</w:t>
      </w:r>
      <w:r w:rsidRPr="009B4891">
        <w:rPr>
          <w:b/>
          <w:sz w:val="24"/>
          <w:szCs w:val="24"/>
          <w:lang w:val="ru-RU"/>
        </w:rPr>
        <w:t xml:space="preserve"> -2 </w:t>
      </w:r>
      <w:r>
        <w:rPr>
          <w:b/>
          <w:sz w:val="24"/>
          <w:szCs w:val="24"/>
          <w:lang w:val="ru-RU"/>
        </w:rPr>
        <w:t>октября</w:t>
      </w:r>
      <w:r w:rsidRPr="009B4891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27C95" w:rsidRDefault="008B2CC1" w:rsidP="008B2CC1">
      <w:pPr>
        <w:rPr>
          <w:lang w:val="ru-RU"/>
        </w:rPr>
      </w:pPr>
    </w:p>
    <w:p w:rsidR="008B2CC1" w:rsidRPr="00827C95" w:rsidRDefault="008B2CC1" w:rsidP="008B2CC1">
      <w:pPr>
        <w:rPr>
          <w:lang w:val="ru-RU"/>
        </w:rPr>
      </w:pPr>
    </w:p>
    <w:p w:rsidR="008B2CC1" w:rsidRPr="00827C95" w:rsidRDefault="008B2CC1" w:rsidP="008B2CC1">
      <w:pPr>
        <w:rPr>
          <w:lang w:val="ru-RU"/>
        </w:rPr>
      </w:pPr>
    </w:p>
    <w:p w:rsidR="00542799" w:rsidRPr="00827C95" w:rsidRDefault="00542799" w:rsidP="0054279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ФИНАНСИРОВАНИЕ</w:t>
      </w:r>
      <w:r w:rsidRPr="00827C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долгосрочных</w:t>
      </w:r>
      <w:r w:rsidRPr="00827C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выплат</w:t>
      </w:r>
      <w:r w:rsidRPr="00827C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сотрудникам</w:t>
      </w:r>
      <w:r w:rsidRPr="00827C9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</w:p>
    <w:p w:rsidR="008B2CC1" w:rsidRPr="00827C95" w:rsidRDefault="008B2CC1" w:rsidP="008B2CC1">
      <w:pPr>
        <w:rPr>
          <w:lang w:val="ru-RU"/>
        </w:rPr>
      </w:pPr>
    </w:p>
    <w:p w:rsidR="008B2CC1" w:rsidRPr="00542799" w:rsidRDefault="00542799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827C95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27C95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827C95" w:rsidRDefault="00AC205C">
      <w:pPr>
        <w:rPr>
          <w:lang w:val="ru-RU"/>
        </w:rPr>
      </w:pPr>
    </w:p>
    <w:p w:rsidR="000F5E56" w:rsidRPr="00827C95" w:rsidRDefault="000F5E56">
      <w:pPr>
        <w:rPr>
          <w:lang w:val="ru-RU"/>
        </w:rPr>
      </w:pPr>
    </w:p>
    <w:p w:rsidR="002928D3" w:rsidRPr="00827C95" w:rsidRDefault="002928D3">
      <w:pPr>
        <w:rPr>
          <w:lang w:val="ru-RU"/>
        </w:rPr>
      </w:pPr>
    </w:p>
    <w:p w:rsidR="002928D3" w:rsidRPr="00827C95" w:rsidRDefault="002928D3" w:rsidP="0053057A">
      <w:pPr>
        <w:rPr>
          <w:lang w:val="ru-RU"/>
        </w:rPr>
      </w:pPr>
    </w:p>
    <w:p w:rsidR="004C3F08" w:rsidRPr="00827C95" w:rsidRDefault="004C3F08" w:rsidP="004C3F08">
      <w:pPr>
        <w:rPr>
          <w:lang w:val="ru-RU"/>
        </w:rPr>
      </w:pPr>
    </w:p>
    <w:p w:rsidR="004C3F08" w:rsidRPr="00362ACB" w:rsidRDefault="00542799" w:rsidP="004C3F08">
      <w:pPr>
        <w:pStyle w:val="ListParagraph"/>
        <w:numPr>
          <w:ilvl w:val="0"/>
          <w:numId w:val="8"/>
        </w:numPr>
        <w:ind w:left="0" w:firstLine="0"/>
        <w:rPr>
          <w:rFonts w:ascii="Arial" w:eastAsia="SimSun" w:hAnsi="Arial" w:cs="Arial"/>
          <w:sz w:val="22"/>
          <w:szCs w:val="20"/>
          <w:lang w:val="ru-RU" w:eastAsia="zh-CN"/>
        </w:rPr>
      </w:pPr>
      <w:r>
        <w:rPr>
          <w:rFonts w:ascii="Arial" w:eastAsia="SimSun" w:hAnsi="Arial" w:cs="Arial"/>
          <w:sz w:val="22"/>
          <w:szCs w:val="20"/>
          <w:lang w:val="ru-RU" w:eastAsia="zh-CN"/>
        </w:rPr>
        <w:t>В</w:t>
      </w:r>
      <w:r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приложении</w:t>
      </w:r>
      <w:r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приводится</w:t>
      </w:r>
      <w:r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документ</w:t>
      </w:r>
      <w:r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4C3F08">
        <w:rPr>
          <w:rFonts w:ascii="Arial" w:eastAsia="SimSun" w:hAnsi="Arial" w:cs="Arial"/>
          <w:sz w:val="22"/>
          <w:szCs w:val="20"/>
          <w:lang w:eastAsia="zh-CN"/>
        </w:rPr>
        <w:t>WO</w:t>
      </w:r>
      <w:r w:rsidR="004C3F08" w:rsidRPr="00362ACB">
        <w:rPr>
          <w:rFonts w:ascii="Arial" w:eastAsia="SimSun" w:hAnsi="Arial" w:cs="Arial"/>
          <w:sz w:val="22"/>
          <w:szCs w:val="20"/>
          <w:lang w:val="ru-RU" w:eastAsia="zh-CN"/>
        </w:rPr>
        <w:t>/</w:t>
      </w:r>
      <w:r w:rsidR="004C3F08">
        <w:rPr>
          <w:rFonts w:ascii="Arial" w:eastAsia="SimSun" w:hAnsi="Arial" w:cs="Arial"/>
          <w:sz w:val="22"/>
          <w:szCs w:val="20"/>
          <w:lang w:eastAsia="zh-CN"/>
        </w:rPr>
        <w:t>PBC</w:t>
      </w:r>
      <w:r w:rsidR="004C3F08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/20/6 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>«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Финансирование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долгосрочных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выплат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сотрудникам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ВОИС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>»</w:t>
      </w:r>
      <w:r w:rsidR="004C3F08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,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который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был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рассмотрен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Комитетом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по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программе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и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бюджету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(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КПБ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)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ВОИС</w:t>
      </w:r>
      <w:r w:rsidR="00362ACB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на его двадцатой сессии </w:t>
      </w:r>
      <w:r w:rsidR="004C3F08" w:rsidRPr="00362ACB">
        <w:rPr>
          <w:rFonts w:ascii="Arial" w:eastAsia="SimSun" w:hAnsi="Arial" w:cs="Arial"/>
          <w:sz w:val="22"/>
          <w:szCs w:val="20"/>
          <w:lang w:val="ru-RU" w:eastAsia="zh-CN"/>
        </w:rPr>
        <w:t>(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8 – 12 июля</w:t>
      </w:r>
      <w:r w:rsidR="004C3F08" w:rsidRPr="00362ACB">
        <w:rPr>
          <w:rFonts w:ascii="Arial" w:eastAsia="SimSun" w:hAnsi="Arial" w:cs="Arial"/>
          <w:sz w:val="22"/>
          <w:szCs w:val="20"/>
          <w:lang w:val="ru-RU" w:eastAsia="zh-CN"/>
        </w:rPr>
        <w:t xml:space="preserve"> 2013</w:t>
      </w:r>
      <w:r w:rsidR="00362ACB">
        <w:rPr>
          <w:rFonts w:ascii="Arial" w:eastAsia="SimSun" w:hAnsi="Arial" w:cs="Arial"/>
          <w:sz w:val="22"/>
          <w:szCs w:val="20"/>
          <w:lang w:val="ru-RU" w:eastAsia="zh-CN"/>
        </w:rPr>
        <w:t> г.</w:t>
      </w:r>
      <w:r w:rsidR="004C3F08" w:rsidRPr="00362ACB">
        <w:rPr>
          <w:rFonts w:ascii="Arial" w:eastAsia="SimSun" w:hAnsi="Arial" w:cs="Arial"/>
          <w:sz w:val="22"/>
          <w:szCs w:val="20"/>
          <w:lang w:val="ru-RU" w:eastAsia="zh-CN"/>
        </w:rPr>
        <w:t>).</w:t>
      </w:r>
    </w:p>
    <w:p w:rsidR="004C3F08" w:rsidRPr="00362ACB" w:rsidRDefault="004C3F08" w:rsidP="004C3F08">
      <w:pPr>
        <w:tabs>
          <w:tab w:val="left" w:pos="550"/>
        </w:tabs>
        <w:rPr>
          <w:lang w:val="ru-RU"/>
        </w:rPr>
      </w:pPr>
    </w:p>
    <w:p w:rsidR="004C3F08" w:rsidRPr="00981D98" w:rsidRDefault="00362ACB" w:rsidP="004C3F08">
      <w:pPr>
        <w:pStyle w:val="ListParagraph"/>
        <w:numPr>
          <w:ilvl w:val="0"/>
          <w:numId w:val="8"/>
        </w:numPr>
        <w:spacing w:after="220"/>
        <w:ind w:left="0" w:firstLine="0"/>
        <w:rPr>
          <w:rFonts w:ascii="Arial" w:eastAsia="SimSun" w:hAnsi="Arial" w:cs="Arial"/>
          <w:sz w:val="22"/>
          <w:szCs w:val="20"/>
          <w:lang w:eastAsia="zh-CN"/>
        </w:rPr>
      </w:pPr>
      <w:r>
        <w:rPr>
          <w:rFonts w:ascii="Arial" w:eastAsia="SimSun" w:hAnsi="Arial" w:cs="Arial"/>
          <w:sz w:val="22"/>
          <w:szCs w:val="20"/>
          <w:lang w:val="ru-RU" w:eastAsia="zh-CN"/>
        </w:rPr>
        <w:t>Рекомендация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вынесенная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КПБ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в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отношении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этого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документа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воспроизводится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в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«</w:t>
      </w:r>
      <w:r>
        <w:rPr>
          <w:rFonts w:ascii="Arial" w:eastAsia="SimSun" w:hAnsi="Arial" w:cs="Arial"/>
          <w:sz w:val="22"/>
          <w:szCs w:val="20"/>
          <w:lang w:val="ru-RU" w:eastAsia="zh-CN"/>
        </w:rPr>
        <w:t>Резюме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решений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и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рекомендаций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,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вынесенных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Комитетом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по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программе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и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бюджету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на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его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двадцатой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>
        <w:rPr>
          <w:rFonts w:ascii="Arial" w:eastAsia="SimSun" w:hAnsi="Arial" w:cs="Arial"/>
          <w:sz w:val="22"/>
          <w:szCs w:val="20"/>
          <w:lang w:val="ru-RU" w:eastAsia="zh-CN"/>
        </w:rPr>
        <w:t>сессии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(8 - 12 </w:t>
      </w:r>
      <w:r>
        <w:rPr>
          <w:rFonts w:ascii="Arial" w:eastAsia="SimSun" w:hAnsi="Arial" w:cs="Arial"/>
          <w:sz w:val="22"/>
          <w:szCs w:val="20"/>
          <w:lang w:val="ru-RU" w:eastAsia="zh-CN"/>
        </w:rPr>
        <w:t>июля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2013</w:t>
      </w:r>
      <w:r w:rsidRPr="00362ACB">
        <w:rPr>
          <w:rFonts w:ascii="Arial" w:eastAsia="SimSun" w:hAnsi="Arial" w:cs="Arial"/>
          <w:sz w:val="22"/>
          <w:szCs w:val="20"/>
          <w:lang w:eastAsia="zh-CN"/>
        </w:rPr>
        <w:t> </w:t>
      </w:r>
      <w:r>
        <w:rPr>
          <w:rFonts w:ascii="Arial" w:eastAsia="SimSun" w:hAnsi="Arial" w:cs="Arial"/>
          <w:sz w:val="22"/>
          <w:szCs w:val="20"/>
          <w:lang w:val="ru-RU" w:eastAsia="zh-CN"/>
        </w:rPr>
        <w:t>г</w:t>
      </w:r>
      <w:r w:rsidRPr="00A4373F">
        <w:rPr>
          <w:rFonts w:ascii="Arial" w:eastAsia="SimSun" w:hAnsi="Arial" w:cs="Arial"/>
          <w:sz w:val="22"/>
          <w:szCs w:val="20"/>
          <w:lang w:val="ru-RU" w:eastAsia="zh-CN"/>
        </w:rPr>
        <w:t>.)</w:t>
      </w:r>
      <w:r w:rsidR="00A4373F">
        <w:rPr>
          <w:rFonts w:ascii="Arial" w:eastAsia="SimSun" w:hAnsi="Arial" w:cs="Arial"/>
          <w:sz w:val="22"/>
          <w:szCs w:val="20"/>
          <w:lang w:val="ru-RU" w:eastAsia="zh-CN"/>
        </w:rPr>
        <w:t>»</w:t>
      </w:r>
      <w:r w:rsidR="004C3F08" w:rsidRP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4C3F08">
        <w:rPr>
          <w:rFonts w:ascii="Arial" w:eastAsia="SimSun" w:hAnsi="Arial" w:cs="Arial"/>
          <w:sz w:val="22"/>
          <w:szCs w:val="20"/>
          <w:lang w:eastAsia="zh-CN"/>
        </w:rPr>
        <w:t>(</w:t>
      </w:r>
      <w:r w:rsidR="00A4373F">
        <w:rPr>
          <w:rFonts w:ascii="Arial" w:eastAsia="SimSun" w:hAnsi="Arial" w:cs="Arial"/>
          <w:sz w:val="22"/>
          <w:szCs w:val="20"/>
          <w:lang w:val="ru-RU" w:eastAsia="zh-CN"/>
        </w:rPr>
        <w:t xml:space="preserve">документ </w:t>
      </w:r>
      <w:r w:rsidR="004C3F08">
        <w:rPr>
          <w:rFonts w:ascii="Arial" w:eastAsia="SimSun" w:hAnsi="Arial" w:cs="Arial"/>
          <w:sz w:val="22"/>
          <w:szCs w:val="20"/>
          <w:lang w:eastAsia="zh-CN"/>
        </w:rPr>
        <w:t>A/51/1</w:t>
      </w:r>
      <w:r w:rsidR="00827C95">
        <w:rPr>
          <w:rFonts w:ascii="Arial" w:eastAsia="SimSun" w:hAnsi="Arial" w:cs="Arial"/>
          <w:sz w:val="22"/>
          <w:szCs w:val="20"/>
          <w:lang w:val="ru-RU" w:eastAsia="zh-CN"/>
        </w:rPr>
        <w:t>3</w:t>
      </w:r>
      <w:r w:rsidR="004C3F08" w:rsidRPr="00981D98">
        <w:rPr>
          <w:rFonts w:ascii="Arial" w:eastAsia="SimSun" w:hAnsi="Arial" w:cs="Arial"/>
          <w:sz w:val="22"/>
          <w:szCs w:val="20"/>
          <w:lang w:eastAsia="zh-CN"/>
        </w:rPr>
        <w:t>).</w:t>
      </w:r>
    </w:p>
    <w:p w:rsidR="00304819" w:rsidRPr="00A4373F" w:rsidRDefault="004C3F08" w:rsidP="00304819">
      <w:pPr>
        <w:pStyle w:val="Endofdocument-Annex"/>
        <w:tabs>
          <w:tab w:val="left" w:pos="6096"/>
        </w:tabs>
        <w:ind w:left="5533"/>
        <w:rPr>
          <w:i/>
          <w:iCs/>
          <w:lang w:val="ru-RU"/>
        </w:rPr>
      </w:pPr>
      <w:r w:rsidRPr="00A4373F">
        <w:rPr>
          <w:i/>
          <w:lang w:val="ru-RU"/>
        </w:rPr>
        <w:t>3.</w:t>
      </w:r>
      <w:r w:rsidRPr="00A4373F">
        <w:rPr>
          <w:i/>
          <w:lang w:val="ru-RU"/>
        </w:rPr>
        <w:tab/>
      </w:r>
      <w:r w:rsidR="00827C95">
        <w:rPr>
          <w:i/>
          <w:lang w:val="ru-RU"/>
        </w:rPr>
        <w:t>Ассамблеям государств-членов ВОИС и Союзов, административные функции которых она выполняет, каждой в той степени, в которой это ее касается,</w:t>
      </w:r>
      <w:r w:rsidR="00A4373F" w:rsidRPr="00A4373F">
        <w:rPr>
          <w:i/>
          <w:lang w:val="ru-RU"/>
        </w:rPr>
        <w:t xml:space="preserve"> </w:t>
      </w:r>
      <w:r w:rsidR="00A4373F">
        <w:rPr>
          <w:i/>
          <w:lang w:val="ru-RU"/>
        </w:rPr>
        <w:t>предлагается</w:t>
      </w:r>
      <w:r w:rsidR="00A4373F" w:rsidRPr="00A4373F">
        <w:rPr>
          <w:i/>
          <w:lang w:val="ru-RU"/>
        </w:rPr>
        <w:t xml:space="preserve"> </w:t>
      </w:r>
      <w:r w:rsidR="00A4373F">
        <w:rPr>
          <w:i/>
          <w:lang w:val="ru-RU"/>
        </w:rPr>
        <w:t>одобрить рекомендацию</w:t>
      </w:r>
      <w:r w:rsidR="00A4373F" w:rsidRPr="00A4373F">
        <w:rPr>
          <w:i/>
          <w:lang w:val="ru-RU"/>
        </w:rPr>
        <w:t xml:space="preserve">, </w:t>
      </w:r>
      <w:r w:rsidR="00A4373F">
        <w:rPr>
          <w:i/>
          <w:lang w:val="ru-RU"/>
        </w:rPr>
        <w:t>вынесенную</w:t>
      </w:r>
      <w:r w:rsidR="00A4373F" w:rsidRPr="00A4373F">
        <w:rPr>
          <w:i/>
          <w:lang w:val="ru-RU"/>
        </w:rPr>
        <w:t xml:space="preserve"> </w:t>
      </w:r>
      <w:r w:rsidR="005F321F">
        <w:rPr>
          <w:i/>
          <w:lang w:val="ru-RU"/>
        </w:rPr>
        <w:t>Комитетом</w:t>
      </w:r>
      <w:r w:rsidR="005F321F" w:rsidRPr="00A4373F">
        <w:rPr>
          <w:i/>
          <w:lang w:val="ru-RU"/>
        </w:rPr>
        <w:t xml:space="preserve"> </w:t>
      </w:r>
      <w:r w:rsidR="005F321F">
        <w:rPr>
          <w:i/>
          <w:lang w:val="ru-RU"/>
        </w:rPr>
        <w:t>по</w:t>
      </w:r>
      <w:r w:rsidR="005F321F" w:rsidRPr="00A4373F">
        <w:rPr>
          <w:i/>
          <w:lang w:val="ru-RU"/>
        </w:rPr>
        <w:t xml:space="preserve"> </w:t>
      </w:r>
      <w:r w:rsidR="005F321F">
        <w:rPr>
          <w:i/>
          <w:lang w:val="ru-RU"/>
        </w:rPr>
        <w:t>программе</w:t>
      </w:r>
      <w:r w:rsidR="005F321F" w:rsidRPr="00A4373F">
        <w:rPr>
          <w:i/>
          <w:lang w:val="ru-RU"/>
        </w:rPr>
        <w:t xml:space="preserve"> </w:t>
      </w:r>
      <w:r w:rsidR="005F321F">
        <w:rPr>
          <w:i/>
          <w:lang w:val="ru-RU"/>
        </w:rPr>
        <w:t>и</w:t>
      </w:r>
      <w:r w:rsidR="005F321F" w:rsidRPr="00A4373F">
        <w:rPr>
          <w:i/>
          <w:lang w:val="ru-RU"/>
        </w:rPr>
        <w:t xml:space="preserve"> </w:t>
      </w:r>
      <w:r w:rsidR="005F321F">
        <w:rPr>
          <w:i/>
          <w:lang w:val="ru-RU"/>
        </w:rPr>
        <w:t xml:space="preserve">бюджету </w:t>
      </w:r>
      <w:r w:rsidR="00A4373F">
        <w:rPr>
          <w:i/>
          <w:lang w:val="ru-RU"/>
        </w:rPr>
        <w:t>в</w:t>
      </w:r>
      <w:r w:rsidR="00A4373F" w:rsidRPr="00A4373F">
        <w:rPr>
          <w:i/>
          <w:lang w:val="ru-RU"/>
        </w:rPr>
        <w:t xml:space="preserve"> </w:t>
      </w:r>
      <w:r w:rsidR="00A4373F">
        <w:rPr>
          <w:i/>
          <w:lang w:val="ru-RU"/>
        </w:rPr>
        <w:t>отношении</w:t>
      </w:r>
      <w:r w:rsidR="00A4373F" w:rsidRPr="00A4373F">
        <w:rPr>
          <w:i/>
          <w:lang w:val="ru-RU"/>
        </w:rPr>
        <w:t xml:space="preserve"> </w:t>
      </w:r>
      <w:r w:rsidR="00A4373F">
        <w:rPr>
          <w:i/>
          <w:lang w:val="ru-RU"/>
        </w:rPr>
        <w:t xml:space="preserve">документа </w:t>
      </w:r>
      <w:r w:rsidR="00304819" w:rsidRPr="00304819">
        <w:rPr>
          <w:i/>
          <w:iCs/>
          <w:szCs w:val="22"/>
        </w:rPr>
        <w:t>WO</w:t>
      </w:r>
      <w:r w:rsidR="00304819" w:rsidRPr="00A4373F">
        <w:rPr>
          <w:i/>
          <w:iCs/>
          <w:szCs w:val="22"/>
          <w:lang w:val="ru-RU"/>
        </w:rPr>
        <w:t>/</w:t>
      </w:r>
      <w:r w:rsidR="00304819" w:rsidRPr="00304819">
        <w:rPr>
          <w:i/>
          <w:iCs/>
          <w:szCs w:val="22"/>
        </w:rPr>
        <w:t>PBC</w:t>
      </w:r>
      <w:r w:rsidR="00304819" w:rsidRPr="00A4373F">
        <w:rPr>
          <w:i/>
          <w:iCs/>
          <w:szCs w:val="22"/>
          <w:lang w:val="ru-RU"/>
        </w:rPr>
        <w:t>/20</w:t>
      </w:r>
      <w:r w:rsidR="00A62008" w:rsidRPr="00A4373F">
        <w:rPr>
          <w:i/>
          <w:iCs/>
          <w:szCs w:val="22"/>
          <w:lang w:val="ru-RU"/>
        </w:rPr>
        <w:t xml:space="preserve">/6, </w:t>
      </w:r>
      <w:r w:rsidR="00A4373F">
        <w:rPr>
          <w:i/>
          <w:iCs/>
          <w:szCs w:val="22"/>
          <w:lang w:val="ru-RU"/>
        </w:rPr>
        <w:t xml:space="preserve">как она отражена в документе </w:t>
      </w:r>
      <w:r w:rsidR="00A62008">
        <w:rPr>
          <w:i/>
          <w:iCs/>
          <w:szCs w:val="22"/>
        </w:rPr>
        <w:t>A</w:t>
      </w:r>
      <w:r w:rsidR="00A62008" w:rsidRPr="00A4373F">
        <w:rPr>
          <w:i/>
          <w:iCs/>
          <w:szCs w:val="22"/>
          <w:lang w:val="ru-RU"/>
        </w:rPr>
        <w:t>/51</w:t>
      </w:r>
      <w:r w:rsidR="00304819" w:rsidRPr="00A4373F">
        <w:rPr>
          <w:i/>
          <w:iCs/>
          <w:szCs w:val="22"/>
          <w:lang w:val="ru-RU"/>
        </w:rPr>
        <w:t>/1</w:t>
      </w:r>
      <w:r w:rsidR="00827C95">
        <w:rPr>
          <w:i/>
          <w:iCs/>
          <w:szCs w:val="22"/>
          <w:lang w:val="ru-RU"/>
        </w:rPr>
        <w:t>3</w:t>
      </w:r>
      <w:r w:rsidR="00304819" w:rsidRPr="00A4373F">
        <w:rPr>
          <w:i/>
          <w:iCs/>
          <w:szCs w:val="22"/>
          <w:lang w:val="ru-RU"/>
        </w:rPr>
        <w:t>.</w:t>
      </w:r>
    </w:p>
    <w:p w:rsidR="00EE0240" w:rsidRPr="00A4373F" w:rsidRDefault="00EE0240" w:rsidP="004C3F08">
      <w:pPr>
        <w:pStyle w:val="Endofdocument-Annex"/>
        <w:tabs>
          <w:tab w:val="left" w:pos="6096"/>
          <w:tab w:val="left" w:pos="6663"/>
        </w:tabs>
        <w:ind w:left="6096"/>
        <w:rPr>
          <w:i/>
          <w:iCs/>
          <w:lang w:val="ru-RU"/>
        </w:rPr>
      </w:pPr>
    </w:p>
    <w:p w:rsidR="00EE0240" w:rsidRPr="00A4373F" w:rsidRDefault="00EE0240" w:rsidP="00AB11D5">
      <w:pPr>
        <w:pStyle w:val="Endofdocument-Annex"/>
        <w:ind w:left="5533"/>
        <w:rPr>
          <w:i/>
          <w:lang w:val="ru-RU"/>
        </w:rPr>
      </w:pPr>
    </w:p>
    <w:p w:rsidR="004C3F08" w:rsidRPr="00A4373F" w:rsidRDefault="004C3F08" w:rsidP="00AB11D5">
      <w:pPr>
        <w:pStyle w:val="Endofdocument-Annex"/>
        <w:ind w:left="5533"/>
        <w:rPr>
          <w:i/>
          <w:lang w:val="ru-RU"/>
        </w:rPr>
      </w:pPr>
    </w:p>
    <w:p w:rsidR="004C3F08" w:rsidRDefault="004C3F08" w:rsidP="00AB11D5">
      <w:pPr>
        <w:pStyle w:val="Endofdocument-Annex"/>
        <w:ind w:left="5533"/>
        <w:sectPr w:rsidR="004C3F08" w:rsidSect="00EE0240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C3F08">
        <w:t>[</w:t>
      </w:r>
      <w:r w:rsidR="00A4373F">
        <w:rPr>
          <w:lang w:val="ru-RU"/>
        </w:rPr>
        <w:t xml:space="preserve">Документ </w:t>
      </w:r>
      <w:r w:rsidRPr="004C3F08">
        <w:t xml:space="preserve">WO/PBC/20/6 </w:t>
      </w:r>
      <w:r w:rsidR="00A4373F">
        <w:rPr>
          <w:lang w:val="ru-RU"/>
        </w:rPr>
        <w:t>следует</w:t>
      </w:r>
      <w:r w:rsidRPr="004C3F08"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21B2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D21B2" w:rsidRPr="008B2CC1" w:rsidRDefault="00ED21B2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21B2" w:rsidRPr="008B2CC1" w:rsidRDefault="00A4373F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2625" cy="1438275"/>
                  <wp:effectExtent l="0" t="0" r="9525" b="9525"/>
                  <wp:docPr id="3" name="Picture 3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21B2" w:rsidRPr="008B2CC1" w:rsidRDefault="00A4373F" w:rsidP="00A4373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ED21B2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D21B2" w:rsidRPr="0090731E" w:rsidRDefault="00ED21B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WO/PBC/20/6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ED21B2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D21B2" w:rsidRPr="0090731E" w:rsidRDefault="00A4373F" w:rsidP="00A437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ED21B2" w:rsidRPr="0090731E">
              <w:rPr>
                <w:rFonts w:ascii="Arial Black" w:hAnsi="Arial Black"/>
                <w:caps/>
                <w:sz w:val="15"/>
              </w:rPr>
              <w:t>:</w:t>
            </w:r>
            <w:r w:rsidR="00ED21B2">
              <w:rPr>
                <w:rFonts w:ascii="Arial Black" w:hAnsi="Arial Black"/>
                <w:caps/>
                <w:sz w:val="15"/>
              </w:rPr>
              <w:t xml:space="preserve"> </w:t>
            </w:r>
            <w:r w:rsidR="00ED21B2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ED21B2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D21B2" w:rsidRPr="0090731E" w:rsidRDefault="00A4373F" w:rsidP="00A437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ED21B2" w:rsidRPr="0090731E">
              <w:rPr>
                <w:rFonts w:ascii="Arial Black" w:hAnsi="Arial Black"/>
                <w:caps/>
                <w:sz w:val="15"/>
              </w:rPr>
              <w:t>:</w:t>
            </w:r>
            <w:r w:rsidR="00ED21B2">
              <w:rPr>
                <w:rFonts w:ascii="Arial Black" w:hAnsi="Arial Black"/>
                <w:caps/>
                <w:sz w:val="15"/>
              </w:rPr>
              <w:t xml:space="preserve"> </w:t>
            </w:r>
            <w:r w:rsidR="00ED21B2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10 июня</w:t>
            </w:r>
            <w:r w:rsidR="00ED21B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 г.</w:t>
            </w:r>
          </w:p>
        </w:tc>
      </w:tr>
    </w:tbl>
    <w:p w:rsidR="00ED21B2" w:rsidRPr="008B2CC1" w:rsidRDefault="00ED21B2" w:rsidP="008B2CC1"/>
    <w:p w:rsidR="00ED21B2" w:rsidRPr="008B2CC1" w:rsidRDefault="00ED21B2" w:rsidP="008B2CC1"/>
    <w:p w:rsidR="00ED21B2" w:rsidRPr="008B2CC1" w:rsidRDefault="00ED21B2" w:rsidP="008B2CC1"/>
    <w:p w:rsidR="00ED21B2" w:rsidRPr="008B2CC1" w:rsidRDefault="00ED21B2" w:rsidP="008B2CC1"/>
    <w:p w:rsidR="00ED21B2" w:rsidRPr="008B2CC1" w:rsidRDefault="00ED21B2" w:rsidP="008B2CC1"/>
    <w:p w:rsidR="00ED21B2" w:rsidRDefault="00A4373F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A4373F" w:rsidRPr="00A4373F" w:rsidRDefault="00A4373F" w:rsidP="003845C1">
      <w:pPr>
        <w:rPr>
          <w:lang w:val="ru-RU"/>
        </w:rPr>
      </w:pPr>
    </w:p>
    <w:p w:rsidR="00ED21B2" w:rsidRPr="00A4373F" w:rsidRDefault="00ED21B2" w:rsidP="003845C1">
      <w:pPr>
        <w:rPr>
          <w:lang w:val="ru-RU"/>
        </w:rPr>
      </w:pPr>
    </w:p>
    <w:p w:rsidR="00A4373F" w:rsidRPr="003845C1" w:rsidRDefault="00A4373F" w:rsidP="00A4373F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Двадцатая</w:t>
      </w:r>
      <w:r w:rsidRPr="00A437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A4373F" w:rsidRPr="00A4373F" w:rsidRDefault="00A4373F" w:rsidP="00A4373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4373F">
        <w:rPr>
          <w:b/>
          <w:sz w:val="24"/>
          <w:szCs w:val="24"/>
          <w:lang w:val="ru-RU"/>
        </w:rPr>
        <w:t xml:space="preserve">, 8 – 12 </w:t>
      </w:r>
      <w:r>
        <w:rPr>
          <w:b/>
          <w:sz w:val="24"/>
          <w:szCs w:val="24"/>
          <w:lang w:val="ru-RU"/>
        </w:rPr>
        <w:t>июля</w:t>
      </w:r>
      <w:r w:rsidRPr="00A4373F">
        <w:rPr>
          <w:b/>
          <w:sz w:val="24"/>
          <w:szCs w:val="24"/>
          <w:lang w:val="ru-RU"/>
        </w:rPr>
        <w:t xml:space="preserve"> 2013 </w:t>
      </w:r>
      <w:r>
        <w:rPr>
          <w:b/>
          <w:sz w:val="24"/>
          <w:szCs w:val="24"/>
          <w:lang w:val="ru-RU"/>
        </w:rPr>
        <w:t>г</w:t>
      </w:r>
      <w:r w:rsidRPr="00A4373F">
        <w:rPr>
          <w:b/>
          <w:sz w:val="24"/>
          <w:szCs w:val="24"/>
          <w:lang w:val="ru-RU"/>
        </w:rPr>
        <w:t xml:space="preserve">. </w:t>
      </w:r>
    </w:p>
    <w:p w:rsidR="00ED21B2" w:rsidRPr="00A4373F" w:rsidRDefault="00ED21B2" w:rsidP="008B2CC1">
      <w:pPr>
        <w:rPr>
          <w:lang w:val="ru-RU"/>
        </w:rPr>
      </w:pPr>
    </w:p>
    <w:p w:rsidR="00ED21B2" w:rsidRPr="00A4373F" w:rsidRDefault="00ED21B2" w:rsidP="008B2CC1">
      <w:pPr>
        <w:rPr>
          <w:lang w:val="ru-RU"/>
        </w:rPr>
      </w:pPr>
    </w:p>
    <w:p w:rsidR="00ED21B2" w:rsidRPr="00A4373F" w:rsidRDefault="00ED21B2" w:rsidP="008B2CC1">
      <w:pPr>
        <w:rPr>
          <w:lang w:val="ru-RU"/>
        </w:rPr>
      </w:pPr>
    </w:p>
    <w:p w:rsidR="00ED21B2" w:rsidRDefault="00A4373F" w:rsidP="008B2CC1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ФИНАНСИРОВАНИЕ</w:t>
      </w:r>
      <w:r w:rsidRPr="00A437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долгосрочных</w:t>
      </w:r>
      <w:r w:rsidRPr="00A437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выплат</w:t>
      </w:r>
      <w:r w:rsidRPr="00A437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сотрудникам</w:t>
      </w:r>
      <w:r w:rsidRPr="00A4373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</w:p>
    <w:p w:rsidR="00A4373F" w:rsidRPr="00A4373F" w:rsidRDefault="00A4373F" w:rsidP="008B2CC1">
      <w:pPr>
        <w:rPr>
          <w:lang w:val="ru-RU"/>
        </w:rPr>
      </w:pPr>
    </w:p>
    <w:p w:rsidR="00ED21B2" w:rsidRPr="008B2CC1" w:rsidRDefault="00A4373F" w:rsidP="008B2CC1">
      <w:pPr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ED21B2" w:rsidRDefault="00ED21B2"/>
    <w:p w:rsidR="00ED21B2" w:rsidRDefault="00ED21B2"/>
    <w:p w:rsidR="00ED21B2" w:rsidRDefault="00ED21B2"/>
    <w:p w:rsidR="00ED21B2" w:rsidRDefault="00ED21B2" w:rsidP="0053057A"/>
    <w:p w:rsidR="00ED21B2" w:rsidRDefault="00A4373F" w:rsidP="00ED21B2">
      <w:pPr>
        <w:rPr>
          <w:bCs/>
          <w:lang w:val="ru-RU"/>
        </w:rPr>
      </w:pPr>
      <w:r>
        <w:rPr>
          <w:bCs/>
          <w:lang w:val="ru-RU"/>
        </w:rPr>
        <w:t>РЕЗЮМЕ</w:t>
      </w:r>
    </w:p>
    <w:p w:rsidR="00A4373F" w:rsidRDefault="00A4373F" w:rsidP="00ED21B2">
      <w:pPr>
        <w:rPr>
          <w:b/>
          <w:u w:val="single"/>
        </w:rPr>
      </w:pPr>
    </w:p>
    <w:p w:rsidR="00A4373F" w:rsidRPr="00BB6C32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>Принятие</w:t>
      </w:r>
      <w:r w:rsidRPr="00BB6C32">
        <w:rPr>
          <w:lang w:val="ru-RU"/>
        </w:rPr>
        <w:t xml:space="preserve"> </w:t>
      </w:r>
      <w:r>
        <w:rPr>
          <w:lang w:val="ru-RU"/>
        </w:rPr>
        <w:t>ВОИС Международных</w:t>
      </w:r>
      <w:r w:rsidRPr="00BB6C32">
        <w:rPr>
          <w:lang w:val="ru-RU"/>
        </w:rPr>
        <w:t xml:space="preserve"> </w:t>
      </w:r>
      <w:r>
        <w:rPr>
          <w:lang w:val="ru-RU"/>
        </w:rPr>
        <w:t xml:space="preserve">стандартов учета в государственном секторе (МСУГС) привело к необходимости включения Организацией </w:t>
      </w:r>
      <w:r w:rsidRPr="00407DA2">
        <w:rPr>
          <w:lang w:val="ru-RU"/>
        </w:rPr>
        <w:t>в финансов</w:t>
      </w:r>
      <w:r>
        <w:rPr>
          <w:lang w:val="ru-RU"/>
        </w:rPr>
        <w:t>ую</w:t>
      </w:r>
      <w:r w:rsidRPr="00407DA2">
        <w:rPr>
          <w:lang w:val="ru-RU"/>
        </w:rPr>
        <w:t xml:space="preserve"> отчетност</w:t>
      </w:r>
      <w:r>
        <w:rPr>
          <w:lang w:val="ru-RU"/>
        </w:rPr>
        <w:t xml:space="preserve">ь в полном объеме своих обязательств по выплате долгосрочных пособий как работающим, так и бывшим сотрудникам. </w:t>
      </w:r>
    </w:p>
    <w:p w:rsidR="00A4373F" w:rsidRPr="00EF6A10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Среди наиболее существенных долгосрочных выплат сотрудникам, признаваемых ВОИС, можно выделить следующие: медицинское страхование после прекращения службы (МСПС), накопленный ежегодный отпуск (НЕО) и пособие и проезд в связи с  репатриацией (ППР). Объем выплат по данным обязательствам увеличивался последние три года после внедрения МСУГС и достиг в конце 2012 года 154,9 млн. шв. франков. Согласно актуарным прогнозам, этот общий объем обязательств продолжит расти в течение ближайших 15 лет. </w:t>
      </w:r>
    </w:p>
    <w:p w:rsidR="00A4373F" w:rsidRPr="008D7B45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Секретариат рассматривает возможные пути финансирования данных долгосрочных обязательств. В документе </w:t>
      </w:r>
      <w:r>
        <w:t>WO</w:t>
      </w:r>
      <w:r w:rsidRPr="00471C3B">
        <w:rPr>
          <w:lang w:val="ru-RU"/>
        </w:rPr>
        <w:t>/</w:t>
      </w:r>
      <w:r>
        <w:t>PBC</w:t>
      </w:r>
      <w:r w:rsidRPr="00471C3B">
        <w:rPr>
          <w:lang w:val="ru-RU"/>
        </w:rPr>
        <w:t xml:space="preserve">/19/23 </w:t>
      </w:r>
      <w:r>
        <w:rPr>
          <w:lang w:val="ru-RU"/>
        </w:rPr>
        <w:t>(«Долгосрочное финансирование МСПС в ВОИС»), представленном Комитету по программе и бюджету в сентябре 2012 г., была дана оценка четырех возможных вариантов финансирования обязательств по МСПС. На текущем этапе в ВОИС не осуществляется целенаправленного выделения</w:t>
      </w:r>
      <w:r w:rsidRPr="00C97F00">
        <w:rPr>
          <w:lang w:val="ru-RU"/>
        </w:rPr>
        <w:t xml:space="preserve"> части</w:t>
      </w:r>
      <w:r>
        <w:rPr>
          <w:lang w:val="ru-RU"/>
        </w:rPr>
        <w:t xml:space="preserve"> имеющихся средств для будущего финансирования долгосрочных обязательс</w:t>
      </w:r>
      <w:r w:rsidR="005F321F">
        <w:rPr>
          <w:lang w:val="ru-RU"/>
        </w:rPr>
        <w:t xml:space="preserve">тв по выплатам сотрудникам. </w:t>
      </w:r>
    </w:p>
    <w:p w:rsidR="00A4373F" w:rsidRPr="00471C3B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Вопрос о финансировании долгосрочных обязательств по выплатам сотрудникам, в частности обязательств по МСПС, стоит перед многими учреждениями системы Организации Объединенный Наций (ООН). </w:t>
      </w:r>
      <w:r w:rsidRPr="005109D5">
        <w:rPr>
          <w:szCs w:val="22"/>
          <w:lang w:val="ru-RU"/>
        </w:rPr>
        <w:t xml:space="preserve">Комитет высокого уровня по вопросам </w:t>
      </w:r>
      <w:r w:rsidRPr="005109D5">
        <w:rPr>
          <w:szCs w:val="22"/>
          <w:lang w:val="ru-RU"/>
        </w:rPr>
        <w:lastRenderedPageBreak/>
        <w:t>управления</w:t>
      </w:r>
      <w:r>
        <w:rPr>
          <w:lang w:val="ru-RU"/>
        </w:rPr>
        <w:t xml:space="preserve"> (КВУУ) </w:t>
      </w:r>
      <w:r>
        <w:rPr>
          <w:szCs w:val="22"/>
          <w:lang w:val="ru-RU"/>
        </w:rPr>
        <w:t>Координационного с</w:t>
      </w:r>
      <w:r w:rsidRPr="005109D5">
        <w:rPr>
          <w:szCs w:val="22"/>
          <w:lang w:val="ru-RU"/>
        </w:rPr>
        <w:t>овета руководителей системы О</w:t>
      </w:r>
      <w:r>
        <w:rPr>
          <w:szCs w:val="22"/>
          <w:lang w:val="ru-RU"/>
        </w:rPr>
        <w:t>ОН (КСР) отметил необходимость выработки общего подхода к вопросу финансирования растущих объемов обязательств по МСПС в «Приоритетных направлениях деятельности на 2013 – 2016 гг.». Также отмечается, что в сентябре 2013 г. Секретариат ООН представит Генеральной Ассамблее доклад о возможных</w:t>
      </w:r>
      <w:r w:rsidR="005F321F">
        <w:rPr>
          <w:szCs w:val="22"/>
          <w:lang w:val="ru-RU"/>
        </w:rPr>
        <w:t xml:space="preserve"> способах финансирования МСПС. </w:t>
      </w:r>
    </w:p>
    <w:p w:rsidR="00A4373F" w:rsidRPr="005902E5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>Учитывая складывающуюся ситуацию в рамках системы ООН, ВОИС приняла решение в этот раз сделать только первый шаг к решению вопроса о финансировании долгосрочных обязательств по выплатам сотрудникам. Организация откроет отдельный банковский счет, на который будут переводиться средства, выделенные для будущего финансирования</w:t>
      </w:r>
      <w:r w:rsidRPr="00107430">
        <w:rPr>
          <w:lang w:val="ru-RU"/>
        </w:rPr>
        <w:t xml:space="preserve"> </w:t>
      </w:r>
      <w:r>
        <w:rPr>
          <w:lang w:val="ru-RU"/>
        </w:rPr>
        <w:t>долгосрочных обязательств по выплатам сотрудникам. Данный счет будет иметь такой же статус, как и существующие счета Организации, а хранящиеся на нем средства и далее будут рассматривать</w:t>
      </w:r>
      <w:r w:rsidR="005F321F">
        <w:rPr>
          <w:lang w:val="ru-RU"/>
        </w:rPr>
        <w:t xml:space="preserve">ся как средства Организации. </w:t>
      </w:r>
    </w:p>
    <w:p w:rsidR="00A4373F" w:rsidRPr="006E5E2C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Ожидается, что первый перевод средств на этот счет будет произведен в размере, эквивалентном 50 процентам от общего объема </w:t>
      </w:r>
      <w:r w:rsidRPr="00C97F00">
        <w:rPr>
          <w:lang w:val="ru-RU"/>
        </w:rPr>
        <w:t xml:space="preserve">долгосрочных обязательств по выплатам сотрудникам по состоянию на 31 декабря 2013 г. Далее будут производиться ежемесячные отчисления на счет из остатка, полученного в результате предусмотренного в бюджете взимания </w:t>
      </w:r>
      <w:r>
        <w:rPr>
          <w:lang w:val="ru-RU"/>
        </w:rPr>
        <w:t>6</w:t>
      </w:r>
      <w:r w:rsidRPr="00C97F00">
        <w:rPr>
          <w:lang w:val="ru-RU"/>
        </w:rPr>
        <w:t xml:space="preserve"> процентов </w:t>
      </w:r>
      <w:r>
        <w:rPr>
          <w:lang w:val="ru-RU"/>
        </w:rPr>
        <w:t xml:space="preserve">от объема </w:t>
      </w:r>
      <w:r w:rsidRPr="00C97F00">
        <w:rPr>
          <w:lang w:val="ru-RU"/>
        </w:rPr>
        <w:t xml:space="preserve">расходов на заработную плату после вычета </w:t>
      </w:r>
      <w:r>
        <w:rPr>
          <w:lang w:val="ru-RU"/>
        </w:rPr>
        <w:t xml:space="preserve">суммы </w:t>
      </w:r>
      <w:r w:rsidRPr="00C97F00">
        <w:rPr>
          <w:lang w:val="ru-RU"/>
        </w:rPr>
        <w:t>долгосрочны</w:t>
      </w:r>
      <w:r>
        <w:rPr>
          <w:lang w:val="ru-RU"/>
        </w:rPr>
        <w:t>х</w:t>
      </w:r>
      <w:r w:rsidRPr="00C97F00">
        <w:rPr>
          <w:lang w:val="ru-RU"/>
        </w:rPr>
        <w:t xml:space="preserve"> выплат сотрудникам</w:t>
      </w:r>
      <w:r>
        <w:rPr>
          <w:lang w:val="ru-RU"/>
        </w:rPr>
        <w:t xml:space="preserve"> за этот </w:t>
      </w:r>
      <w:r w:rsidRPr="00C97F00">
        <w:rPr>
          <w:lang w:val="ru-RU"/>
        </w:rPr>
        <w:t>период.</w:t>
      </w:r>
      <w:r w:rsidR="005F321F">
        <w:rPr>
          <w:lang w:val="ru-RU"/>
        </w:rPr>
        <w:t xml:space="preserve"> </w:t>
      </w:r>
    </w:p>
    <w:p w:rsidR="00ED21B2" w:rsidRPr="00A4373F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>ВОИС продолжит рассмотрение вариантов создания абсолютно независимой структуры для хранения средств, предназначенных для будущего финансирования долгосрочных обязательств по выплатам сотрудникам. В рамках этого процесса ВОИС будет тщательно следить за происходящими в системе ООН</w:t>
      </w:r>
      <w:r w:rsidR="005F321F">
        <w:rPr>
          <w:lang w:val="ru-RU"/>
        </w:rPr>
        <w:t xml:space="preserve"> изменениями в данной области. </w:t>
      </w:r>
    </w:p>
    <w:p w:rsidR="00A4373F" w:rsidRPr="00A4373F" w:rsidRDefault="00A4373F" w:rsidP="00A4373F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A4373F">
        <w:rPr>
          <w:rFonts w:ascii="Arial" w:hAnsi="Arial" w:cs="Arial"/>
          <w:bCs/>
          <w:sz w:val="22"/>
          <w:szCs w:val="22"/>
          <w:lang w:val="ru-RU"/>
        </w:rPr>
        <w:t xml:space="preserve">ДОЛГОСРОЧНЫЕ ВЫПЛАТЫ СОТРУДНИКАМ В ВОИС </w:t>
      </w:r>
    </w:p>
    <w:p w:rsidR="00ED21B2" w:rsidRPr="00A4373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A4373F" w:rsidRPr="003B4067" w:rsidRDefault="00A4373F" w:rsidP="00A4373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>Сотрудники</w:t>
      </w:r>
      <w:r w:rsidRPr="00125C9B">
        <w:rPr>
          <w:lang w:val="ru-RU"/>
        </w:rPr>
        <w:t xml:space="preserve">, </w:t>
      </w:r>
      <w:r>
        <w:rPr>
          <w:lang w:val="ru-RU"/>
        </w:rPr>
        <w:t>работающие</w:t>
      </w:r>
      <w:r w:rsidRPr="00125C9B">
        <w:rPr>
          <w:lang w:val="ru-RU"/>
        </w:rPr>
        <w:t xml:space="preserve"> </w:t>
      </w:r>
      <w:r>
        <w:rPr>
          <w:lang w:val="ru-RU"/>
        </w:rPr>
        <w:t>в</w:t>
      </w:r>
      <w:r w:rsidRPr="00125C9B">
        <w:rPr>
          <w:lang w:val="ru-RU"/>
        </w:rPr>
        <w:t xml:space="preserve"> </w:t>
      </w:r>
      <w:r>
        <w:rPr>
          <w:lang w:val="ru-RU"/>
        </w:rPr>
        <w:t>ВОИС</w:t>
      </w:r>
      <w:r w:rsidRPr="00125C9B">
        <w:rPr>
          <w:lang w:val="ru-RU"/>
        </w:rPr>
        <w:t xml:space="preserve">, </w:t>
      </w:r>
      <w:r>
        <w:rPr>
          <w:lang w:val="ru-RU"/>
        </w:rPr>
        <w:t>вправе</w:t>
      </w:r>
      <w:r w:rsidRPr="00125C9B">
        <w:rPr>
          <w:lang w:val="ru-RU"/>
        </w:rPr>
        <w:t xml:space="preserve"> </w:t>
      </w:r>
      <w:r>
        <w:rPr>
          <w:lang w:val="ru-RU"/>
        </w:rPr>
        <w:t>получать</w:t>
      </w:r>
      <w:r w:rsidRPr="00125C9B">
        <w:rPr>
          <w:lang w:val="ru-RU"/>
        </w:rPr>
        <w:t xml:space="preserve"> </w:t>
      </w:r>
      <w:r>
        <w:rPr>
          <w:lang w:val="ru-RU"/>
        </w:rPr>
        <w:t>от</w:t>
      </w:r>
      <w:r w:rsidRPr="00125C9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25C9B">
        <w:rPr>
          <w:lang w:val="ru-RU"/>
        </w:rPr>
        <w:t xml:space="preserve"> </w:t>
      </w:r>
      <w:r>
        <w:rPr>
          <w:lang w:val="ru-RU"/>
        </w:rPr>
        <w:t>определенные</w:t>
      </w:r>
      <w:r w:rsidRPr="00125C9B">
        <w:rPr>
          <w:lang w:val="ru-RU"/>
        </w:rPr>
        <w:t xml:space="preserve"> </w:t>
      </w:r>
      <w:r>
        <w:rPr>
          <w:lang w:val="ru-RU"/>
        </w:rPr>
        <w:t>долгосрочные</w:t>
      </w:r>
      <w:r w:rsidRPr="00125C9B">
        <w:rPr>
          <w:lang w:val="ru-RU"/>
        </w:rPr>
        <w:t xml:space="preserve"> </w:t>
      </w:r>
      <w:r>
        <w:rPr>
          <w:lang w:val="ru-RU"/>
        </w:rPr>
        <w:t>выплаты</w:t>
      </w:r>
      <w:r w:rsidRPr="00125C9B">
        <w:rPr>
          <w:lang w:val="ru-RU"/>
        </w:rPr>
        <w:t xml:space="preserve"> </w:t>
      </w:r>
      <w:r>
        <w:rPr>
          <w:lang w:val="ru-RU"/>
        </w:rPr>
        <w:t>по</w:t>
      </w:r>
      <w:r w:rsidRPr="00125C9B">
        <w:rPr>
          <w:lang w:val="ru-RU"/>
        </w:rPr>
        <w:t xml:space="preserve"> </w:t>
      </w:r>
      <w:r>
        <w:rPr>
          <w:lang w:val="ru-RU"/>
        </w:rPr>
        <w:t>окончании</w:t>
      </w:r>
      <w:r w:rsidRPr="00125C9B">
        <w:rPr>
          <w:lang w:val="ru-RU"/>
        </w:rPr>
        <w:t xml:space="preserve"> </w:t>
      </w:r>
      <w:r>
        <w:rPr>
          <w:lang w:val="ru-RU"/>
        </w:rPr>
        <w:t>службы</w:t>
      </w:r>
      <w:r w:rsidRPr="00125C9B">
        <w:rPr>
          <w:lang w:val="ru-RU"/>
        </w:rPr>
        <w:t xml:space="preserve"> </w:t>
      </w:r>
      <w:r>
        <w:rPr>
          <w:lang w:val="ru-RU"/>
        </w:rPr>
        <w:t>или</w:t>
      </w:r>
      <w:r w:rsidRPr="00125C9B">
        <w:rPr>
          <w:lang w:val="ru-RU"/>
        </w:rPr>
        <w:t xml:space="preserve"> </w:t>
      </w:r>
      <w:r>
        <w:rPr>
          <w:lang w:val="ru-RU"/>
        </w:rPr>
        <w:t>при</w:t>
      </w:r>
      <w:r w:rsidRPr="00125C9B">
        <w:rPr>
          <w:lang w:val="ru-RU"/>
        </w:rPr>
        <w:t xml:space="preserve"> </w:t>
      </w:r>
      <w:r>
        <w:rPr>
          <w:lang w:val="ru-RU"/>
        </w:rPr>
        <w:t>выходе</w:t>
      </w:r>
      <w:r w:rsidRPr="00125C9B">
        <w:rPr>
          <w:lang w:val="ru-RU"/>
        </w:rPr>
        <w:t xml:space="preserve"> </w:t>
      </w:r>
      <w:r>
        <w:rPr>
          <w:lang w:val="ru-RU"/>
        </w:rPr>
        <w:t>на</w:t>
      </w:r>
      <w:r w:rsidRPr="00125C9B">
        <w:rPr>
          <w:lang w:val="ru-RU"/>
        </w:rPr>
        <w:t xml:space="preserve"> </w:t>
      </w:r>
      <w:r>
        <w:rPr>
          <w:lang w:val="ru-RU"/>
        </w:rPr>
        <w:t>пенсию</w:t>
      </w:r>
      <w:r w:rsidRPr="00125C9B">
        <w:rPr>
          <w:lang w:val="ru-RU"/>
        </w:rPr>
        <w:t>.</w:t>
      </w:r>
      <w:r>
        <w:rPr>
          <w:lang w:val="ru-RU"/>
        </w:rPr>
        <w:t xml:space="preserve"> В ВОИС существует три основных вида долгосрочных выплат сотрудникам: </w:t>
      </w:r>
    </w:p>
    <w:p w:rsidR="00A4373F" w:rsidRPr="00A4373F" w:rsidRDefault="00A4373F" w:rsidP="00A4373F">
      <w:pPr>
        <w:pStyle w:val="ListParagraph"/>
        <w:numPr>
          <w:ilvl w:val="0"/>
          <w:numId w:val="10"/>
        </w:numPr>
        <w:ind w:left="990" w:hanging="440"/>
        <w:rPr>
          <w:rFonts w:ascii="Arial" w:hAnsi="Arial" w:cs="Arial"/>
          <w:sz w:val="22"/>
          <w:szCs w:val="22"/>
          <w:lang w:val="ru-RU"/>
        </w:rPr>
      </w:pPr>
      <w:r w:rsidRPr="00A4373F">
        <w:rPr>
          <w:rFonts w:ascii="Arial" w:hAnsi="Arial" w:cs="Arial"/>
          <w:b/>
          <w:sz w:val="22"/>
          <w:szCs w:val="22"/>
          <w:lang w:val="ru-RU"/>
        </w:rPr>
        <w:t>МСПС</w:t>
      </w:r>
      <w:r w:rsidRPr="00A4373F">
        <w:rPr>
          <w:rFonts w:ascii="Arial" w:hAnsi="Arial" w:cs="Arial"/>
          <w:sz w:val="22"/>
          <w:szCs w:val="22"/>
          <w:lang w:val="ru-RU"/>
        </w:rPr>
        <w:t xml:space="preserve">:  на период службы в Организации сотрудники и, в некоторых случаях, находящиеся на их иждивении супруги и дети присоединяются к схеме медицинского страхования ВОИС, услуги в рамках которой предоставляются внешним поставщиком (в настоящий момент </w:t>
      </w:r>
      <w:r w:rsidRPr="00A4373F">
        <w:rPr>
          <w:rFonts w:ascii="Arial" w:hAnsi="Arial" w:cs="Arial"/>
          <w:sz w:val="22"/>
          <w:szCs w:val="22"/>
        </w:rPr>
        <w:t>Van</w:t>
      </w:r>
      <w:r w:rsidRPr="00A4373F">
        <w:rPr>
          <w:rFonts w:ascii="Arial" w:hAnsi="Arial" w:cs="Arial"/>
          <w:sz w:val="22"/>
          <w:szCs w:val="22"/>
          <w:lang w:val="ru-RU"/>
        </w:rPr>
        <w:t xml:space="preserve"> </w:t>
      </w:r>
      <w:r w:rsidRPr="00A4373F">
        <w:rPr>
          <w:rFonts w:ascii="Arial" w:hAnsi="Arial" w:cs="Arial"/>
          <w:sz w:val="22"/>
          <w:szCs w:val="22"/>
        </w:rPr>
        <w:t>Breda</w:t>
      </w:r>
      <w:r w:rsidRPr="00A4373F">
        <w:rPr>
          <w:rFonts w:ascii="Arial" w:hAnsi="Arial" w:cs="Arial"/>
          <w:sz w:val="22"/>
          <w:szCs w:val="22"/>
          <w:lang w:val="ru-RU"/>
        </w:rPr>
        <w:t xml:space="preserve"> &amp; </w:t>
      </w:r>
      <w:r w:rsidRPr="00A4373F">
        <w:rPr>
          <w:rFonts w:ascii="Arial" w:hAnsi="Arial" w:cs="Arial"/>
          <w:sz w:val="22"/>
          <w:szCs w:val="22"/>
        </w:rPr>
        <w:t>Co</w:t>
      </w:r>
      <w:r w:rsidRPr="00A4373F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A4373F">
        <w:rPr>
          <w:rFonts w:ascii="Arial" w:hAnsi="Arial" w:cs="Arial"/>
          <w:sz w:val="22"/>
          <w:szCs w:val="22"/>
        </w:rPr>
        <w:t>Int</w:t>
      </w:r>
      <w:proofErr w:type="spellEnd"/>
      <w:r w:rsidRPr="00A4373F">
        <w:rPr>
          <w:rFonts w:ascii="Arial" w:hAnsi="Arial" w:cs="Arial"/>
          <w:sz w:val="22"/>
          <w:szCs w:val="22"/>
          <w:lang w:val="ru-RU"/>
        </w:rPr>
        <w:t>.). Сотрудники Организации, вышедшие на пенсию и получающие пенсионные выплаты, вправе продолжить участие в данной схеме вместе с находящимися на их иждивении членами семьи и после выхода на пенсию, если они участвовали в данной схеме не менее пяти лет до выхода на пенсию. ВОИС несет ответственность за покрытие 65 процентов страховых премий, которые на текущий момент составляют 552 шв. франка на взрослого и 245 шв. франков</w:t>
      </w:r>
      <w:r w:rsidR="005F321F">
        <w:rPr>
          <w:rFonts w:ascii="Arial" w:hAnsi="Arial" w:cs="Arial"/>
          <w:sz w:val="22"/>
          <w:szCs w:val="22"/>
          <w:lang w:val="ru-RU"/>
        </w:rPr>
        <w:t xml:space="preserve"> на ребенка; </w:t>
      </w:r>
    </w:p>
    <w:p w:rsidR="00A4373F" w:rsidRPr="00A4373F" w:rsidRDefault="00A4373F" w:rsidP="00A4373F">
      <w:pPr>
        <w:pStyle w:val="ListParagraph"/>
        <w:ind w:left="990"/>
        <w:rPr>
          <w:rFonts w:ascii="Arial" w:hAnsi="Arial" w:cs="Arial"/>
          <w:b/>
          <w:sz w:val="22"/>
          <w:szCs w:val="22"/>
          <w:lang w:val="ru-RU"/>
        </w:rPr>
      </w:pPr>
    </w:p>
    <w:p w:rsidR="00A4373F" w:rsidRPr="00A4373F" w:rsidRDefault="00A4373F" w:rsidP="00A4373F">
      <w:pPr>
        <w:pStyle w:val="ListParagraph"/>
        <w:numPr>
          <w:ilvl w:val="0"/>
          <w:numId w:val="10"/>
        </w:numPr>
        <w:ind w:left="990" w:hanging="440"/>
        <w:rPr>
          <w:rFonts w:ascii="Arial" w:hAnsi="Arial" w:cs="Arial"/>
          <w:sz w:val="22"/>
          <w:szCs w:val="22"/>
          <w:lang w:val="ru-RU"/>
        </w:rPr>
      </w:pPr>
      <w:r w:rsidRPr="00A4373F">
        <w:rPr>
          <w:rFonts w:ascii="Arial" w:hAnsi="Arial" w:cs="Arial"/>
          <w:b/>
          <w:sz w:val="22"/>
          <w:szCs w:val="22"/>
          <w:lang w:val="ru-RU"/>
        </w:rPr>
        <w:t>НЕО</w:t>
      </w:r>
      <w:r w:rsidRPr="00A4373F">
        <w:rPr>
          <w:rFonts w:ascii="Arial" w:hAnsi="Arial" w:cs="Arial"/>
          <w:sz w:val="22"/>
          <w:szCs w:val="22"/>
          <w:lang w:val="ru-RU"/>
        </w:rPr>
        <w:t>:  во время работы в Организации сотрудники могут накапливать неиспользованный ежегодный отпуск. Если в момент прекращения службы у сотрудников имеется накопленный ежегодный отпуск, они вправе получить эквивалентную их зарплате выплату за накопленный неиспользованный ежегодный отпуск, не</w:t>
      </w:r>
      <w:r w:rsidR="005F321F">
        <w:rPr>
          <w:rFonts w:ascii="Arial" w:hAnsi="Arial" w:cs="Arial"/>
          <w:sz w:val="22"/>
          <w:szCs w:val="22"/>
          <w:lang w:val="ru-RU"/>
        </w:rPr>
        <w:t xml:space="preserve"> превышающий 60 рабочих дней; </w:t>
      </w:r>
    </w:p>
    <w:p w:rsidR="00A4373F" w:rsidRPr="00A4373F" w:rsidRDefault="00A4373F" w:rsidP="00A4373F">
      <w:pPr>
        <w:pStyle w:val="ListParagraph"/>
        <w:rPr>
          <w:rFonts w:ascii="Arial" w:hAnsi="Arial" w:cs="Arial"/>
          <w:bCs/>
          <w:sz w:val="22"/>
          <w:szCs w:val="22"/>
          <w:lang w:val="ru-RU"/>
        </w:rPr>
      </w:pPr>
    </w:p>
    <w:p w:rsidR="00A4373F" w:rsidRPr="00A4373F" w:rsidRDefault="00A4373F" w:rsidP="00A4373F">
      <w:pPr>
        <w:pStyle w:val="ListParagraph"/>
        <w:numPr>
          <w:ilvl w:val="0"/>
          <w:numId w:val="10"/>
        </w:numPr>
        <w:ind w:left="990" w:hanging="440"/>
        <w:rPr>
          <w:rFonts w:ascii="Arial" w:hAnsi="Arial" w:cs="Arial"/>
          <w:sz w:val="22"/>
          <w:szCs w:val="22"/>
          <w:lang w:val="ru-RU"/>
        </w:rPr>
      </w:pPr>
      <w:r w:rsidRPr="00A4373F">
        <w:rPr>
          <w:rFonts w:ascii="Arial" w:hAnsi="Arial" w:cs="Arial"/>
          <w:b/>
          <w:sz w:val="22"/>
          <w:szCs w:val="22"/>
          <w:lang w:val="ru-RU"/>
        </w:rPr>
        <w:t>ППР</w:t>
      </w:r>
      <w:r w:rsidRPr="00A4373F">
        <w:rPr>
          <w:rFonts w:ascii="Arial" w:hAnsi="Arial" w:cs="Arial"/>
          <w:sz w:val="22"/>
          <w:szCs w:val="22"/>
          <w:lang w:val="ru-RU"/>
        </w:rPr>
        <w:t>:  сотрудники, набираемые на международной основе, имеют право на получение пособия на репатриацию и покрытие расходов на переезд для облегчения репатриации после прекращения службы. Размер пособия на репатриацию пропорционален количеству лет непрерывной работы сотрудника в ВОИС на полной ставке.</w:t>
      </w:r>
    </w:p>
    <w:p w:rsidR="00A4373F" w:rsidRDefault="00A4373F" w:rsidP="00A4373F">
      <w:pPr>
        <w:jc w:val="both"/>
        <w:rPr>
          <w:bCs/>
          <w:lang w:val="ru-RU"/>
        </w:rPr>
      </w:pPr>
      <w:r>
        <w:rPr>
          <w:bCs/>
          <w:lang w:val="ru-RU"/>
        </w:rPr>
        <w:lastRenderedPageBreak/>
        <w:t>ДОЛГОСРОЧНЫЕ</w:t>
      </w:r>
      <w:r w:rsidRPr="00573E49">
        <w:rPr>
          <w:bCs/>
          <w:lang w:val="ru-RU"/>
        </w:rPr>
        <w:t xml:space="preserve"> </w:t>
      </w:r>
      <w:r>
        <w:rPr>
          <w:bCs/>
          <w:lang w:val="ru-RU"/>
        </w:rPr>
        <w:t>ОБЯЗАТЕЛЬСТВА</w:t>
      </w:r>
      <w:r w:rsidRPr="00573E49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573E49">
        <w:rPr>
          <w:bCs/>
          <w:lang w:val="ru-RU"/>
        </w:rPr>
        <w:t xml:space="preserve"> </w:t>
      </w:r>
      <w:r>
        <w:rPr>
          <w:bCs/>
          <w:lang w:val="ru-RU"/>
        </w:rPr>
        <w:t>ВЫПЛАТАМ</w:t>
      </w:r>
      <w:r w:rsidRPr="00573E49">
        <w:rPr>
          <w:bCs/>
          <w:lang w:val="ru-RU"/>
        </w:rPr>
        <w:t xml:space="preserve"> </w:t>
      </w:r>
      <w:r>
        <w:rPr>
          <w:bCs/>
          <w:lang w:val="ru-RU"/>
        </w:rPr>
        <w:t>СОТРУДНИКАМ В ФИНАНСОВОЙ ОТЧЕТНОСТИ ВОИС</w:t>
      </w:r>
    </w:p>
    <w:p w:rsidR="00ED21B2" w:rsidRPr="00A4373F" w:rsidRDefault="00ED21B2" w:rsidP="00ED21B2">
      <w:pPr>
        <w:jc w:val="both"/>
        <w:rPr>
          <w:lang w:val="ru-RU"/>
        </w:rPr>
      </w:pPr>
    </w:p>
    <w:p w:rsidR="00ED21B2" w:rsidRPr="00A4373F" w:rsidRDefault="00A4373F" w:rsidP="00ED21B2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ВОИС составляет </w:t>
      </w:r>
      <w:r w:rsidRPr="00765A8A">
        <w:rPr>
          <w:szCs w:val="22"/>
          <w:lang w:val="ru-RU"/>
        </w:rPr>
        <w:t xml:space="preserve">свои финансовые отчеты в соответствии с </w:t>
      </w:r>
      <w:r w:rsidRPr="00765A8A">
        <w:rPr>
          <w:lang w:val="ru-RU"/>
        </w:rPr>
        <w:t>МСУГС с 2010 года. МСУГС предусматривают применение</w:t>
      </w:r>
      <w:r>
        <w:rPr>
          <w:lang w:val="ru-RU"/>
        </w:rPr>
        <w:t xml:space="preserve"> количественно-суммового метода в чистом виде</w:t>
      </w:r>
      <w:r w:rsidRPr="00765A8A">
        <w:rPr>
          <w:lang w:val="ru-RU"/>
        </w:rPr>
        <w:t>. В результате ВОИС на ежегодной</w:t>
      </w:r>
      <w:r>
        <w:rPr>
          <w:lang w:val="ru-RU"/>
        </w:rPr>
        <w:t xml:space="preserve"> основе</w:t>
      </w:r>
      <w:r w:rsidRPr="00765A8A">
        <w:rPr>
          <w:lang w:val="ru-RU"/>
        </w:rPr>
        <w:t xml:space="preserve"> </w:t>
      </w:r>
      <w:r>
        <w:rPr>
          <w:lang w:val="ru-RU"/>
        </w:rPr>
        <w:t>в</w:t>
      </w:r>
      <w:r w:rsidRPr="00765A8A">
        <w:rPr>
          <w:lang w:val="ru-RU"/>
        </w:rPr>
        <w:t xml:space="preserve">едет </w:t>
      </w:r>
      <w:r>
        <w:rPr>
          <w:lang w:val="ru-RU"/>
        </w:rPr>
        <w:t xml:space="preserve">учет реальных </w:t>
      </w:r>
      <w:r w:rsidRPr="00765A8A">
        <w:rPr>
          <w:lang w:val="ru-RU"/>
        </w:rPr>
        <w:t>затрат на сотрудников</w:t>
      </w:r>
      <w:r>
        <w:rPr>
          <w:lang w:val="ru-RU"/>
        </w:rPr>
        <w:t xml:space="preserve"> в полном объеме. В финансовую отчетность включены значимые обязательства, представляющие собой выплаты сотрудникам, заработанные ими самими, которые, однако, будут выплачиваться Организацией в определенный момент в будущем. В данные обязательства входят долгосрочные выплаты сотрудникам по МСПС, НЕО и ППР, при этом размер обязательств по МСПС и ППР устанавливается внешними </w:t>
      </w:r>
      <w:r w:rsidRPr="00765A8A">
        <w:rPr>
          <w:lang w:val="ru-RU"/>
        </w:rPr>
        <w:t>актуариями.</w:t>
      </w:r>
      <w:r>
        <w:rPr>
          <w:lang w:val="ru-RU"/>
        </w:rPr>
        <w:t xml:space="preserve"> Ниже приведены совокупные обязательства по всем трем выплатам в соответствии с предыдущими финансовыми отчетами согласно МСУГС:</w:t>
      </w:r>
      <w:r w:rsidR="00ED21B2" w:rsidRPr="00A4373F">
        <w:rPr>
          <w:szCs w:val="22"/>
          <w:lang w:val="ru-RU"/>
        </w:rPr>
        <w:t xml:space="preserve"> </w:t>
      </w:r>
    </w:p>
    <w:p w:rsidR="00ED21B2" w:rsidRPr="00A4373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A4373F" w:rsidRPr="00635CF7" w:rsidRDefault="00A4373F" w:rsidP="00A4373F">
      <w:pPr>
        <w:pStyle w:val="Default"/>
        <w:keepNext/>
        <w:keepLines/>
        <w:ind w:firstLine="360"/>
        <w:jc w:val="center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Диаграмма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1:  </w:t>
      </w:r>
      <w:r>
        <w:rPr>
          <w:rFonts w:ascii="Arial" w:hAnsi="Arial" w:cs="Arial"/>
          <w:i/>
          <w:sz w:val="22"/>
          <w:szCs w:val="22"/>
          <w:lang w:val="ru-RU"/>
        </w:rPr>
        <w:t>Общий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объем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долгосрочных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обязательств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по выплатам сотрудникам в разбивке по финансовым отчетам</w:t>
      </w:r>
    </w:p>
    <w:p w:rsidR="00ED21B2" w:rsidRPr="00A4373F" w:rsidRDefault="00ED21B2" w:rsidP="00ED21B2">
      <w:pPr>
        <w:pStyle w:val="Default"/>
        <w:keepNext/>
        <w:keepLines/>
        <w:jc w:val="both"/>
        <w:rPr>
          <w:rFonts w:ascii="Arial" w:hAnsi="Arial" w:cs="Arial"/>
          <w:i/>
          <w:sz w:val="22"/>
          <w:szCs w:val="22"/>
          <w:lang w:val="ru-RU"/>
        </w:rPr>
      </w:pPr>
    </w:p>
    <w:p w:rsidR="00ED21B2" w:rsidRDefault="00A4373F" w:rsidP="00ED21B2">
      <w:pPr>
        <w:pStyle w:val="Default"/>
        <w:keepNext/>
        <w:keepLines/>
        <w:jc w:val="center"/>
      </w:pPr>
      <w:r>
        <w:rPr>
          <w:noProof/>
        </w:rPr>
        <w:drawing>
          <wp:inline distT="0" distB="0" distL="0" distR="0">
            <wp:extent cx="5940425" cy="1591693"/>
            <wp:effectExtent l="0" t="0" r="317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B2" w:rsidRPr="002202DA" w:rsidRDefault="00ED21B2" w:rsidP="00ED21B2">
      <w:pPr>
        <w:pStyle w:val="Default"/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:rsidR="005F321F" w:rsidRPr="0032462C" w:rsidRDefault="00ED21B2" w:rsidP="005F321F">
      <w:pPr>
        <w:pStyle w:val="Default"/>
        <w:keepNext/>
        <w:keepLines/>
        <w:numPr>
          <w:ilvl w:val="0"/>
          <w:numId w:val="11"/>
        </w:numPr>
        <w:ind w:left="880" w:firstLine="0"/>
        <w:jc w:val="both"/>
        <w:rPr>
          <w:rFonts w:ascii="Arial" w:hAnsi="Arial" w:cs="Arial"/>
          <w:sz w:val="18"/>
          <w:szCs w:val="18"/>
          <w:lang w:val="ru-RU"/>
        </w:rPr>
      </w:pPr>
      <w:r w:rsidRPr="005F321F">
        <w:rPr>
          <w:rFonts w:ascii="Arial" w:hAnsi="Arial" w:cs="Arial"/>
          <w:sz w:val="18"/>
          <w:szCs w:val="18"/>
          <w:lang w:val="ru-RU"/>
        </w:rPr>
        <w:t xml:space="preserve">  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 </w:t>
      </w:r>
      <w:r w:rsidR="005F321F">
        <w:rPr>
          <w:rFonts w:ascii="Arial" w:hAnsi="Arial" w:cs="Arial"/>
          <w:sz w:val="18"/>
          <w:szCs w:val="18"/>
          <w:lang w:val="ru-RU"/>
        </w:rPr>
        <w:t>остатки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, </w:t>
      </w:r>
      <w:r w:rsidR="005F321F">
        <w:rPr>
          <w:rFonts w:ascii="Arial" w:hAnsi="Arial" w:cs="Arial"/>
          <w:sz w:val="18"/>
          <w:szCs w:val="18"/>
          <w:lang w:val="ru-RU"/>
        </w:rPr>
        <w:t>указанные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для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МСПС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, </w:t>
      </w:r>
      <w:r w:rsidR="005F321F">
        <w:rPr>
          <w:rFonts w:ascii="Arial" w:hAnsi="Arial" w:cs="Arial"/>
          <w:sz w:val="18"/>
          <w:szCs w:val="18"/>
          <w:lang w:val="ru-RU"/>
        </w:rPr>
        <w:t>представляют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собой весь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объем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обязательств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с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установленными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выплатами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, </w:t>
      </w:r>
      <w:r w:rsidR="005F321F">
        <w:rPr>
          <w:rFonts w:ascii="Arial" w:hAnsi="Arial" w:cs="Arial"/>
          <w:sz w:val="18"/>
          <w:szCs w:val="18"/>
          <w:lang w:val="ru-RU"/>
        </w:rPr>
        <w:t>включая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страховые</w:t>
      </w:r>
      <w:r w:rsidR="005F321F" w:rsidRPr="0032462C">
        <w:rPr>
          <w:rFonts w:ascii="Arial" w:hAnsi="Arial" w:cs="Arial"/>
          <w:sz w:val="18"/>
          <w:szCs w:val="18"/>
          <w:lang w:val="ru-RU"/>
        </w:rPr>
        <w:t xml:space="preserve"> </w:t>
      </w:r>
      <w:r w:rsidR="005F321F">
        <w:rPr>
          <w:rFonts w:ascii="Arial" w:hAnsi="Arial" w:cs="Arial"/>
          <w:sz w:val="18"/>
          <w:szCs w:val="18"/>
          <w:lang w:val="ru-RU"/>
        </w:rPr>
        <w:t>убытки.</w:t>
      </w:r>
    </w:p>
    <w:p w:rsidR="00ED21B2" w:rsidRPr="00AB4E78" w:rsidRDefault="00ED21B2" w:rsidP="00ED21B2">
      <w:pPr>
        <w:pStyle w:val="BodyText"/>
        <w:rPr>
          <w:lang w:val="ru-RU"/>
        </w:rPr>
      </w:pPr>
    </w:p>
    <w:p w:rsidR="005F321F" w:rsidRPr="0032462C" w:rsidRDefault="005F321F" w:rsidP="005F321F">
      <w:pPr>
        <w:pStyle w:val="Default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ПРЕДПОЛАГАЕМОЕ</w:t>
      </w:r>
      <w:r w:rsidRPr="0032462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УВЕЛИЧЕНИЕ</w:t>
      </w:r>
      <w:r w:rsidRPr="0032462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ОБЪЕМОВ</w:t>
      </w:r>
      <w:r w:rsidRPr="0032462C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ДОЛГОСРОЧНЫХ ОБЯЗАТЕЛЬСТВ ПО ВЫПЛАТАМ СОТРУДНИКАМ В ВОИС </w:t>
      </w:r>
    </w:p>
    <w:p w:rsidR="00ED21B2" w:rsidRPr="005F321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5F321F" w:rsidRPr="0032462C" w:rsidRDefault="005F321F" w:rsidP="005F321F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По прогнозам, в ближайшие 15 лет объемы долгосрочных обязательств по выплатам сотрудникам существенно возрастут. В нижеприведенной таблице указан этот рост на основе актуарных прогнозов. На объемы обязательств оказывает влияние увеличение возраста работающих и вышедших на пенсию сотрудников и находящихся на их иждивении членов семей, а также исторически сложившийся коэффициент текучести кадров. По мере того, как работающие сотрудники достигают возраста, начиная с которого они вправе рассчитывать на получение выплат, объем обязательств увеличивается. В своих расчетах актуарии также учитывают и другие факторы, такие как предполагаемые расходы на медицинское обслуживание и изменение уровня смертности. Прогноз составлен на основе данных о работающих и вышедших на пенсию сотрудниках по состоянию на 31 декабря 2012 г. и не учитывает влияние новых сотрудников, нанятых в последующие годы. Данная методика «закрытой группы» применяется при полном понимании необходимости проведения в будущем периодических расчетов общего объема обязательств с учетом изменений состава сотрудников. </w:t>
      </w:r>
    </w:p>
    <w:p w:rsidR="00ED21B2" w:rsidRPr="005F321F" w:rsidRDefault="00ED21B2" w:rsidP="00ED21B2">
      <w:pPr>
        <w:pStyle w:val="Default"/>
        <w:ind w:left="360"/>
        <w:jc w:val="both"/>
        <w:rPr>
          <w:rFonts w:ascii="Arial" w:hAnsi="Arial" w:cs="Arial"/>
          <w:sz w:val="22"/>
          <w:szCs w:val="22"/>
          <w:lang w:val="ru-RU"/>
        </w:rPr>
      </w:pPr>
    </w:p>
    <w:p w:rsidR="00BB1A25" w:rsidRDefault="00BB1A25">
      <w:pPr>
        <w:rPr>
          <w:rFonts w:eastAsia="Calibri"/>
          <w:i/>
          <w:color w:val="000000"/>
          <w:szCs w:val="22"/>
          <w:lang w:val="ru-RU" w:eastAsia="en-US"/>
        </w:rPr>
      </w:pPr>
      <w:r>
        <w:rPr>
          <w:i/>
          <w:szCs w:val="22"/>
          <w:lang w:val="ru-RU"/>
        </w:rPr>
        <w:br w:type="page"/>
      </w:r>
    </w:p>
    <w:p w:rsidR="005F321F" w:rsidRPr="003D7A07" w:rsidRDefault="005F321F" w:rsidP="005F321F">
      <w:pPr>
        <w:pStyle w:val="Default"/>
        <w:ind w:left="360"/>
        <w:jc w:val="center"/>
        <w:rPr>
          <w:rFonts w:ascii="Arial" w:hAnsi="Arial" w:cs="Arial"/>
          <w:i/>
          <w:sz w:val="22"/>
          <w:szCs w:val="22"/>
          <w:lang w:val="ru-RU"/>
        </w:rPr>
      </w:pPr>
      <w:bookmarkStart w:id="6" w:name="_GoBack"/>
      <w:bookmarkEnd w:id="6"/>
      <w:r>
        <w:rPr>
          <w:rFonts w:ascii="Arial" w:hAnsi="Arial" w:cs="Arial"/>
          <w:i/>
          <w:sz w:val="22"/>
          <w:szCs w:val="22"/>
          <w:lang w:val="ru-RU"/>
        </w:rPr>
        <w:lastRenderedPageBreak/>
        <w:t>Диаграмма</w:t>
      </w:r>
      <w:r w:rsidRPr="003D7A07">
        <w:rPr>
          <w:rFonts w:ascii="Arial" w:hAnsi="Arial" w:cs="Arial"/>
          <w:i/>
          <w:sz w:val="22"/>
          <w:szCs w:val="22"/>
          <w:lang w:val="ru-RU"/>
        </w:rPr>
        <w:t xml:space="preserve"> 2: </w:t>
      </w:r>
      <w:r>
        <w:rPr>
          <w:rFonts w:ascii="Arial" w:hAnsi="Arial" w:cs="Arial"/>
          <w:i/>
          <w:sz w:val="22"/>
          <w:szCs w:val="22"/>
          <w:lang w:val="ru-RU"/>
        </w:rPr>
        <w:t>Предполагаемые объемы долгосрочных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>обязательств</w:t>
      </w:r>
      <w:r w:rsidRPr="00635CF7">
        <w:rPr>
          <w:rFonts w:ascii="Arial" w:hAnsi="Arial" w:cs="Arial"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sz w:val="22"/>
          <w:szCs w:val="22"/>
          <w:lang w:val="ru-RU"/>
        </w:rPr>
        <w:t xml:space="preserve">по выплатам сотрудникам </w:t>
      </w:r>
    </w:p>
    <w:p w:rsidR="00ED21B2" w:rsidRPr="005F321F" w:rsidRDefault="00ED21B2" w:rsidP="00ED21B2">
      <w:pPr>
        <w:pStyle w:val="Default"/>
        <w:ind w:left="360"/>
        <w:jc w:val="center"/>
        <w:rPr>
          <w:rFonts w:ascii="Arial" w:hAnsi="Arial" w:cs="Arial"/>
          <w:i/>
          <w:sz w:val="22"/>
          <w:szCs w:val="22"/>
          <w:lang w:val="ru-RU"/>
        </w:rPr>
      </w:pPr>
    </w:p>
    <w:p w:rsidR="00ED21B2" w:rsidRPr="005F321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ED21B2" w:rsidRPr="008118F1" w:rsidRDefault="005F321F" w:rsidP="00ED21B2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1544321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B2" w:rsidRDefault="00ED21B2" w:rsidP="00ED21B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D21B2" w:rsidRDefault="00ED21B2" w:rsidP="00ED21B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F321F" w:rsidRPr="003D7A07" w:rsidRDefault="005F321F" w:rsidP="005F321F">
      <w:pPr>
        <w:pStyle w:val="Default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ТЕКУЩЕЕ ФИНАНСИРОВАНИЕ ДОЛГОСРОЧНЫХ ОБЯЗАТЕЛЬСТВ ПО ВЫПЛАТАМ СОТРУДНИКАМ В ВОИС </w:t>
      </w:r>
    </w:p>
    <w:p w:rsidR="00ED21B2" w:rsidRPr="005F321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ED21B2" w:rsidRDefault="005F321F" w:rsidP="00ED21B2">
      <w:pPr>
        <w:pStyle w:val="BodyText"/>
        <w:numPr>
          <w:ilvl w:val="0"/>
          <w:numId w:val="9"/>
        </w:numPr>
        <w:rPr>
          <w:szCs w:val="22"/>
        </w:rPr>
      </w:pPr>
      <w:r>
        <w:rPr>
          <w:szCs w:val="22"/>
          <w:lang w:val="ru-RU"/>
        </w:rPr>
        <w:t xml:space="preserve">В 2010-2011 гг. и в предшествующий двухлетний период в бюджете </w:t>
      </w:r>
      <w:r w:rsidRPr="00E439FE">
        <w:rPr>
          <w:szCs w:val="22"/>
          <w:lang w:val="ru-RU"/>
        </w:rPr>
        <w:t>предусматривалось</w:t>
      </w:r>
      <w:r w:rsidRPr="00E439FE">
        <w:rPr>
          <w:lang w:val="ru-RU"/>
        </w:rPr>
        <w:t xml:space="preserve"> </w:t>
      </w:r>
      <w:r>
        <w:rPr>
          <w:lang w:val="ru-RU"/>
        </w:rPr>
        <w:t>в</w:t>
      </w:r>
      <w:r w:rsidRPr="00E439FE">
        <w:rPr>
          <w:lang w:val="ru-RU"/>
        </w:rPr>
        <w:t>зимани</w:t>
      </w:r>
      <w:r>
        <w:rPr>
          <w:lang w:val="ru-RU"/>
        </w:rPr>
        <w:t>е</w:t>
      </w:r>
      <w:r w:rsidRPr="00E439FE">
        <w:rPr>
          <w:lang w:val="ru-RU"/>
        </w:rPr>
        <w:t xml:space="preserve"> </w:t>
      </w:r>
      <w:r>
        <w:rPr>
          <w:lang w:val="ru-RU"/>
        </w:rPr>
        <w:t xml:space="preserve">6 </w:t>
      </w:r>
      <w:r w:rsidRPr="00E439FE">
        <w:rPr>
          <w:lang w:val="ru-RU"/>
        </w:rPr>
        <w:t xml:space="preserve">процентов </w:t>
      </w:r>
      <w:r>
        <w:rPr>
          <w:lang w:val="ru-RU"/>
        </w:rPr>
        <w:t>от объема</w:t>
      </w:r>
      <w:r w:rsidRPr="00E439FE">
        <w:rPr>
          <w:lang w:val="ru-RU"/>
        </w:rPr>
        <w:t xml:space="preserve"> расходов на заработную плату</w:t>
      </w:r>
      <w:r>
        <w:rPr>
          <w:lang w:val="ru-RU"/>
        </w:rPr>
        <w:t>, которые использовались для обеспечения выплат по МСПС, НЕО и ППР сотрудникам, прекращающим работу в Организации. Любые остающиеся средства накапливались в качестве резерва на балансовой ведомости ВОИС, позволяя финансировать предстоящие расходы по МСПС, НЕО и ППР. На</w:t>
      </w:r>
      <w:r w:rsidRPr="00276538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276538">
        <w:rPr>
          <w:lang w:val="ru-RU"/>
        </w:rPr>
        <w:t xml:space="preserve"> </w:t>
      </w:r>
      <w:r>
        <w:rPr>
          <w:lang w:val="ru-RU"/>
        </w:rPr>
        <w:t>период</w:t>
      </w:r>
      <w:r w:rsidRPr="00276538">
        <w:rPr>
          <w:lang w:val="ru-RU"/>
        </w:rPr>
        <w:t xml:space="preserve"> 2012-2013 </w:t>
      </w:r>
      <w:r>
        <w:rPr>
          <w:lang w:val="ru-RU"/>
        </w:rPr>
        <w:t>гг</w:t>
      </w:r>
      <w:r w:rsidRPr="00276538">
        <w:rPr>
          <w:lang w:val="ru-RU"/>
        </w:rPr>
        <w:t xml:space="preserve">. </w:t>
      </w:r>
      <w:r>
        <w:rPr>
          <w:lang w:val="ru-RU"/>
        </w:rPr>
        <w:t>в связи с финансовыми трудностями было предусмотрено взимание 2 процентов. На</w:t>
      </w:r>
      <w:r w:rsidRPr="009F1075">
        <w:rPr>
          <w:lang w:val="ru-RU"/>
        </w:rPr>
        <w:t xml:space="preserve"> </w:t>
      </w:r>
      <w:r>
        <w:rPr>
          <w:lang w:val="ru-RU"/>
        </w:rPr>
        <w:t>двухлетний</w:t>
      </w:r>
      <w:r w:rsidRPr="009F1075">
        <w:rPr>
          <w:lang w:val="ru-RU"/>
        </w:rPr>
        <w:t xml:space="preserve"> </w:t>
      </w:r>
      <w:r>
        <w:rPr>
          <w:lang w:val="ru-RU"/>
        </w:rPr>
        <w:t xml:space="preserve">период </w:t>
      </w:r>
      <w:r w:rsidRPr="009F1075">
        <w:rPr>
          <w:lang w:val="ru-RU"/>
        </w:rPr>
        <w:t xml:space="preserve">2014-2015 </w:t>
      </w:r>
      <w:r>
        <w:rPr>
          <w:lang w:val="ru-RU"/>
        </w:rPr>
        <w:t>гг</w:t>
      </w:r>
      <w:r w:rsidRPr="009F1075">
        <w:rPr>
          <w:lang w:val="ru-RU"/>
        </w:rPr>
        <w:t xml:space="preserve">. </w:t>
      </w:r>
      <w:r>
        <w:rPr>
          <w:lang w:val="ru-RU"/>
        </w:rPr>
        <w:t>снова предполагается удерживать шесть процентов</w:t>
      </w:r>
      <w:r w:rsidR="00ED21B2">
        <w:rPr>
          <w:szCs w:val="22"/>
        </w:rPr>
        <w:t xml:space="preserve">. </w:t>
      </w:r>
    </w:p>
    <w:p w:rsidR="00ED21B2" w:rsidRPr="005F321F" w:rsidRDefault="005F321F" w:rsidP="00ED21B2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Хотя Организация накапливает подобный резерв, четкого разграничения соответствующих накопленных денежных средств не проводится. Так, в финансовой отчётности ВОИС долгосрочные обязательства по выплатам сотрудникам отражены в полном объеме без вычета каких бы то ни было накопленных средств. Для того чтобы показать объем долгосрочных обязательств за вычетом накопленных средств, ВОИС потребуется продемонстрировать, что средства были четко отделены и защищены в целях финансирования будущих обязательств по долгосрочным выплатам сотрудникам. В </w:t>
      </w:r>
      <w:r w:rsidRPr="00765A8A">
        <w:rPr>
          <w:lang w:val="ru-RU"/>
        </w:rPr>
        <w:t>МСУГС</w:t>
      </w:r>
      <w:r>
        <w:rPr>
          <w:lang w:val="ru-RU"/>
        </w:rPr>
        <w:t xml:space="preserve"> 25 предусматриваются строгие требования в этом отношении и предлагается создание полностью независимого органа или фонда, из которого будут осуществляться выплаты сотрудникам</w:t>
      </w:r>
      <w:r w:rsidR="00ED21B2" w:rsidRPr="005F321F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ED21B2" w:rsidRPr="005F321F" w:rsidRDefault="005F321F" w:rsidP="00ED21B2">
      <w:pPr>
        <w:pStyle w:val="Heading2"/>
        <w:rPr>
          <w:lang w:val="ru-RU"/>
        </w:rPr>
      </w:pPr>
      <w:r>
        <w:rPr>
          <w:lang w:val="ru-RU"/>
        </w:rPr>
        <w:t>ФИНАНСИРОВАНИЕ</w:t>
      </w:r>
      <w:r w:rsidRPr="007875CD">
        <w:rPr>
          <w:lang w:val="ru-RU"/>
        </w:rPr>
        <w:t xml:space="preserve"> </w:t>
      </w:r>
      <w:r>
        <w:rPr>
          <w:lang w:val="ru-RU"/>
        </w:rPr>
        <w:t>ДОЛГОСРОЧНЫХ</w:t>
      </w:r>
      <w:r w:rsidRPr="007875CD">
        <w:rPr>
          <w:lang w:val="ru-RU"/>
        </w:rPr>
        <w:t xml:space="preserve"> </w:t>
      </w:r>
      <w:r>
        <w:rPr>
          <w:lang w:val="ru-RU"/>
        </w:rPr>
        <w:t>ОБЯЗАТЕЛЬСТВ ПО ВЫПЛАТАМ СОТРУДНИКАМ В СИСТЕМЕ ООН</w:t>
      </w:r>
      <w:r w:rsidR="00ED21B2" w:rsidRPr="005F321F">
        <w:rPr>
          <w:lang w:val="ru-RU"/>
        </w:rPr>
        <w:t xml:space="preserve"> </w:t>
      </w:r>
    </w:p>
    <w:p w:rsidR="00ED21B2" w:rsidRPr="005F321F" w:rsidRDefault="00ED21B2" w:rsidP="00ED21B2">
      <w:pPr>
        <w:rPr>
          <w:lang w:val="ru-RU"/>
        </w:rPr>
      </w:pPr>
    </w:p>
    <w:p w:rsidR="00ED21B2" w:rsidRPr="005F321F" w:rsidRDefault="005F321F" w:rsidP="00ED21B2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Вопрос о долгосрочных выплатах сотрудникам и способах их финансирования стоит перед многими учреждениями системы ООН. В последнее время этому вопросу уделяется повышенное внимание в связи с внедрением </w:t>
      </w:r>
      <w:r>
        <w:rPr>
          <w:lang w:val="ru-RU"/>
        </w:rPr>
        <w:t xml:space="preserve">МСУГС, что предусматривает необходимость отражать эти обязательства в финансовой отчетности. Для большинства организаций самой существенной долгосрочной выплатой сотрудникам является МСПС. </w:t>
      </w:r>
    </w:p>
    <w:p w:rsidR="00ED21B2" w:rsidRPr="005F321F" w:rsidRDefault="005F321F" w:rsidP="00ED21B2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Важно отметить, что организации по-разному выстраивают схемы выплат по МСПС. Некоторые организации, включая ВОИС, обеспечивают предоставление услуг через независимую страховую компанию, то есть выполняют свои финансовые обязательства посредством уплаты страховой премии. В других организациях используются схемы на основе самострахования и самоуправления, что предполагает более значительные  административные расходы и обязательства, в том числе по оплате будущих медицинских расходов</w:t>
      </w:r>
      <w:r w:rsidR="00ED21B2" w:rsidRPr="005F321F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ED21B2" w:rsidRPr="005F321F" w:rsidRDefault="005F321F" w:rsidP="00ED21B2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>КВУУ отметил необходимость выработки общего подхода к вопросу МСПС в «Приоритетных направлениях деятельности на 2013 – 2016 гг.». Это относится как к управлению средствами, так и к финансированию этих растущих объемов обязательств. Предполагается, что согласованное решение может обеспечить эффективность и экономию средств за счет увеличения масштабов, что пойдет на пользу всей системе ООН</w:t>
      </w:r>
      <w:r w:rsidR="00ED21B2" w:rsidRPr="005F321F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ED21B2" w:rsidRPr="005F321F" w:rsidRDefault="005F321F" w:rsidP="00ED21B2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Отмечается</w:t>
      </w:r>
      <w:r w:rsidRPr="0072583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сентябре</w:t>
      </w:r>
      <w:r w:rsidRPr="00725838">
        <w:rPr>
          <w:szCs w:val="22"/>
          <w:lang w:val="ru-RU"/>
        </w:rPr>
        <w:t xml:space="preserve"> 2013 </w:t>
      </w:r>
      <w:r>
        <w:rPr>
          <w:szCs w:val="22"/>
          <w:lang w:val="ru-RU"/>
        </w:rPr>
        <w:t>г</w:t>
      </w:r>
      <w:r w:rsidRPr="00725838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Секретариат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ООН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Генеральной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Ассамблее</w:t>
      </w:r>
      <w:r w:rsidRPr="007258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доклад, в котором будут описаны возможные варианты финансирования обязательств по МСПС</w:t>
      </w:r>
      <w:r w:rsidR="00ED21B2" w:rsidRPr="005F321F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</w:p>
    <w:p w:rsidR="00ED21B2" w:rsidRPr="005F321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5F321F" w:rsidRPr="00725838" w:rsidRDefault="005F321F" w:rsidP="005F321F">
      <w:pPr>
        <w:pStyle w:val="Default"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ОТКРЫТИЕ ОТДЕЛЬНОГО БАНКОВСКОГО СЧЕТА В ВОИС </w:t>
      </w:r>
    </w:p>
    <w:p w:rsidR="00ED21B2" w:rsidRPr="005F321F" w:rsidRDefault="00ED21B2" w:rsidP="00ED21B2">
      <w:pPr>
        <w:pStyle w:val="Default"/>
        <w:jc w:val="both"/>
        <w:rPr>
          <w:rFonts w:ascii="Arial" w:hAnsi="Arial" w:cs="Arial"/>
          <w:sz w:val="22"/>
          <w:szCs w:val="22"/>
          <w:lang w:val="ru-RU"/>
        </w:rPr>
      </w:pPr>
    </w:p>
    <w:p w:rsidR="005F321F" w:rsidRPr="001D116B" w:rsidRDefault="005F321F" w:rsidP="005F321F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В ближайшие годы в системе ООН ожидается ряд изменений, касающихся финансирования долгосрочных обязательств по выплатам сотрудникам, в частности МСПС. Принимая во внимание эту меняющуюся ситуацию, ВОИС посчитала в этих условиях преждевременным работать над созданием отдельного юридического лица </w:t>
      </w:r>
      <w:r>
        <w:rPr>
          <w:lang w:val="ru-RU"/>
        </w:rPr>
        <w:t>или фонда в качестве решения проблемы финансирования данных обязательств. Вместо этого, в качестве первого шага, Организация откроет отдельный банковский счет, на котором будут храниться средства, выделенные для будущего финансирования</w:t>
      </w:r>
      <w:r w:rsidRPr="00107430">
        <w:rPr>
          <w:lang w:val="ru-RU"/>
        </w:rPr>
        <w:t xml:space="preserve"> </w:t>
      </w:r>
      <w:r>
        <w:rPr>
          <w:lang w:val="ru-RU"/>
        </w:rPr>
        <w:t xml:space="preserve">долгосрочных обязательств по выплатам сотрудникам. </w:t>
      </w:r>
    </w:p>
    <w:p w:rsidR="005F321F" w:rsidRPr="00F4114B" w:rsidRDefault="005F321F" w:rsidP="005F321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Отдельный банковский счет будет иметь такой же статус, как и существующие счета Организации. К этому счету будет применяться та же политика в области инвестиций, которая действует в отношении всей Организации. Любая прибыль от инвестиций будет     оставаться на счёте. </w:t>
      </w:r>
    </w:p>
    <w:p w:rsidR="005F321F" w:rsidRPr="00F4114B" w:rsidRDefault="005F321F" w:rsidP="005F321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Данный счет не будет открыт через отдельный орган или фонд, а хранящиеся на нем средства останутся средствами Организации. Таким образом, это не будет отвечать требованиям, предусмотренным </w:t>
      </w:r>
      <w:r w:rsidRPr="00765A8A">
        <w:rPr>
          <w:lang w:val="ru-RU"/>
        </w:rPr>
        <w:t>МСУГС</w:t>
      </w:r>
      <w:r>
        <w:rPr>
          <w:lang w:val="ru-RU"/>
        </w:rPr>
        <w:t xml:space="preserve"> 25, позволяющим отражать </w:t>
      </w:r>
      <w:r>
        <w:rPr>
          <w:szCs w:val="22"/>
          <w:lang w:val="ru-RU"/>
        </w:rPr>
        <w:t xml:space="preserve">в финансовой отчётности общий объем долгосрочных обязательств за вычетом накопленных средств. Однако это будет первый шаг к целенаправленному выделению определенных средств для будущего финансирования этих обязательств. </w:t>
      </w:r>
    </w:p>
    <w:p w:rsidR="005F321F" w:rsidRPr="006E5E2C" w:rsidRDefault="005F321F" w:rsidP="005F321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Ожидается, что первое перечисление средств на этот банковский счет будет произведено в размере, эквивалентном 50 процентам от общего объема долгосрочных обязательств по выплатам сотрудникам по состоянию на 31 декабря 2013 г. Согласно актуарным прогнозам, общий объем обязательств по МСПС, НЕО и ППР на эту дату составит 163,7 млн. шв. франков; следовательно, первое перечисление на счет будет осуществлено в размере приблизительно 82 млн. шв. франков. </w:t>
      </w:r>
    </w:p>
    <w:p w:rsidR="005F321F" w:rsidRPr="00C81A77" w:rsidRDefault="005F321F" w:rsidP="005F321F">
      <w:pPr>
        <w:pStyle w:val="BodyText"/>
        <w:numPr>
          <w:ilvl w:val="0"/>
          <w:numId w:val="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C81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указано</w:t>
      </w:r>
      <w:r w:rsidRPr="00C81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C81A7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C81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бюджете</w:t>
      </w:r>
      <w:r w:rsidRPr="00C81A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двухлетний период 2014-2015 гг. предусматривается </w:t>
      </w:r>
      <w:r w:rsidRPr="00C81A77">
        <w:rPr>
          <w:lang w:val="ru-RU"/>
        </w:rPr>
        <w:t>взимани</w:t>
      </w:r>
      <w:r>
        <w:rPr>
          <w:lang w:val="ru-RU"/>
        </w:rPr>
        <w:t>е</w:t>
      </w:r>
      <w:r w:rsidRPr="00C81A77">
        <w:rPr>
          <w:lang w:val="ru-RU"/>
        </w:rPr>
        <w:t xml:space="preserve"> </w:t>
      </w:r>
      <w:r>
        <w:rPr>
          <w:lang w:val="ru-RU"/>
        </w:rPr>
        <w:t xml:space="preserve">6 </w:t>
      </w:r>
      <w:r w:rsidRPr="00C81A77">
        <w:rPr>
          <w:lang w:val="ru-RU"/>
        </w:rPr>
        <w:t xml:space="preserve">процентов </w:t>
      </w:r>
      <w:r>
        <w:rPr>
          <w:lang w:val="ru-RU"/>
        </w:rPr>
        <w:t>от объема</w:t>
      </w:r>
      <w:r w:rsidRPr="00C81A77">
        <w:rPr>
          <w:lang w:val="ru-RU"/>
        </w:rPr>
        <w:t xml:space="preserve"> расходов на заработную плату</w:t>
      </w:r>
      <w:r>
        <w:rPr>
          <w:lang w:val="ru-RU"/>
        </w:rPr>
        <w:t xml:space="preserve"> для обеспечения выплат по МСПС, НЕО и ППР. На банковский счет будет производиться ежемесячное отчисление, сумма которого будет эквивалентна остатку от взимания 6  процентов после вычета данных выплат. Согласно оценкам, общий годовой объем средств, перечисляемых на банковский счет после осуществления выплат, составит приблизительно 8 млн. шв. франков. </w:t>
      </w:r>
    </w:p>
    <w:p w:rsidR="00ED21B2" w:rsidRPr="005F321F" w:rsidRDefault="005F321F" w:rsidP="005F321F">
      <w:pPr>
        <w:pStyle w:val="BodyText"/>
        <w:numPr>
          <w:ilvl w:val="0"/>
          <w:numId w:val="9"/>
        </w:numPr>
        <w:rPr>
          <w:lang w:val="ru-RU"/>
        </w:rPr>
      </w:pPr>
      <w:r>
        <w:rPr>
          <w:lang w:val="ru-RU"/>
        </w:rPr>
        <w:t>ВОИС продолжит рассматривать возможные варианты создания строго независимой структуры для хранения средств, предназначенных для будущего финансирования долгосрочных обязательств по выплатам сотрудникам. Важным элементом такой структуры должно стать ее соответствие требованиям</w:t>
      </w:r>
      <w:r w:rsidRPr="00461E6F">
        <w:rPr>
          <w:lang w:val="ru-RU"/>
        </w:rPr>
        <w:t xml:space="preserve"> </w:t>
      </w:r>
      <w:r w:rsidRPr="00765A8A">
        <w:rPr>
          <w:lang w:val="ru-RU"/>
        </w:rPr>
        <w:t>МСУГС</w:t>
      </w:r>
      <w:r>
        <w:rPr>
          <w:lang w:val="ru-RU"/>
        </w:rPr>
        <w:t xml:space="preserve"> 25,  с тем чтобы в финансовой отчетности ВОИС можно было отражать общий объем долгосрочных обязательств по выплатам сотрудникам за вычетом </w:t>
      </w:r>
      <w:r>
        <w:rPr>
          <w:szCs w:val="22"/>
          <w:lang w:val="ru-RU"/>
        </w:rPr>
        <w:t xml:space="preserve">накопленных средств. Среди </w:t>
      </w:r>
      <w:r>
        <w:rPr>
          <w:szCs w:val="22"/>
          <w:lang w:val="ru-RU"/>
        </w:rPr>
        <w:lastRenderedPageBreak/>
        <w:t>структур, которые имеет смысл рассматривать в данном контексте, можно отметить безотзывные трасты и отдельные юридические лица. Важной частью этого процесса будет продолжение наблюдения за развитием ситуации в этой области в рамках ООН</w:t>
      </w:r>
      <w:r w:rsidR="00ED21B2" w:rsidRPr="005F321F">
        <w:rPr>
          <w:lang w:val="ru-RU"/>
        </w:rPr>
        <w:t>.</w:t>
      </w:r>
      <w:r>
        <w:rPr>
          <w:lang w:val="ru-RU"/>
        </w:rPr>
        <w:t xml:space="preserve"> </w:t>
      </w:r>
    </w:p>
    <w:p w:rsidR="00ED21B2" w:rsidRPr="005F321F" w:rsidRDefault="00ED21B2" w:rsidP="00ED21B2">
      <w:pPr>
        <w:pStyle w:val="BodyText"/>
        <w:ind w:left="5533"/>
        <w:rPr>
          <w:i/>
          <w:iCs/>
          <w:lang w:val="ru-RU"/>
        </w:rPr>
      </w:pPr>
      <w:r w:rsidRPr="005F321F">
        <w:rPr>
          <w:i/>
          <w:iCs/>
          <w:lang w:val="ru-RU"/>
        </w:rPr>
        <w:t>23.</w:t>
      </w:r>
      <w:r w:rsidRPr="005F321F">
        <w:rPr>
          <w:i/>
          <w:iCs/>
          <w:lang w:val="ru-RU"/>
        </w:rPr>
        <w:tab/>
      </w:r>
      <w:r w:rsidR="005F321F">
        <w:rPr>
          <w:i/>
          <w:iCs/>
          <w:lang w:val="ru-RU"/>
        </w:rPr>
        <w:t>Комитету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по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программе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и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бюджету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предлагается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рекомендовать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Ассамблеям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государств</w:t>
      </w:r>
      <w:r w:rsidR="005F321F" w:rsidRPr="00DD5522">
        <w:rPr>
          <w:i/>
          <w:iCs/>
          <w:lang w:val="ru-RU"/>
        </w:rPr>
        <w:t>-</w:t>
      </w:r>
      <w:r w:rsidR="005F321F">
        <w:rPr>
          <w:i/>
          <w:iCs/>
          <w:lang w:val="ru-RU"/>
        </w:rPr>
        <w:t>членов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ВОИС</w:t>
      </w:r>
      <w:r w:rsidR="005F321F" w:rsidRPr="00DD5522">
        <w:rPr>
          <w:i/>
          <w:iCs/>
          <w:lang w:val="ru-RU"/>
        </w:rPr>
        <w:t xml:space="preserve"> </w:t>
      </w:r>
      <w:r w:rsidR="005F321F">
        <w:rPr>
          <w:i/>
          <w:iCs/>
          <w:lang w:val="ru-RU"/>
        </w:rPr>
        <w:t>принять к сведению содержание настоящего документа.</w:t>
      </w:r>
    </w:p>
    <w:p w:rsidR="00ED21B2" w:rsidRPr="005F321F" w:rsidRDefault="00ED21B2" w:rsidP="00ED21B2">
      <w:pPr>
        <w:pStyle w:val="Endofdocument-Annex"/>
        <w:rPr>
          <w:lang w:val="ru-RU"/>
        </w:rPr>
      </w:pPr>
    </w:p>
    <w:p w:rsidR="00ED21B2" w:rsidRPr="005F321F" w:rsidRDefault="00ED21B2" w:rsidP="00ED21B2">
      <w:pPr>
        <w:pStyle w:val="Endofdocument-Annex"/>
        <w:rPr>
          <w:lang w:val="ru-RU"/>
        </w:rPr>
      </w:pPr>
    </w:p>
    <w:p w:rsidR="00ED21B2" w:rsidRPr="002B30CF" w:rsidRDefault="00ED21B2" w:rsidP="00ED21B2">
      <w:pPr>
        <w:pStyle w:val="Endofdocument-Annex"/>
      </w:pPr>
      <w:r>
        <w:t>[</w:t>
      </w:r>
      <w:r w:rsidR="005F321F">
        <w:rPr>
          <w:lang w:val="ru-RU"/>
        </w:rPr>
        <w:t>Конец документа</w:t>
      </w:r>
      <w:r>
        <w:t>]</w:t>
      </w:r>
    </w:p>
    <w:p w:rsidR="004C3F08" w:rsidRPr="004C3F08" w:rsidRDefault="004C3F08" w:rsidP="004C3F08"/>
    <w:sectPr w:rsidR="004C3F08" w:rsidRPr="004C3F08" w:rsidSect="00587C3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56" w:rsidRDefault="007E3256">
      <w:r>
        <w:separator/>
      </w:r>
    </w:p>
  </w:endnote>
  <w:endnote w:type="continuationSeparator" w:id="0">
    <w:p w:rsidR="007E3256" w:rsidRDefault="007E3256" w:rsidP="003B38C1">
      <w:r>
        <w:separator/>
      </w:r>
    </w:p>
    <w:p w:rsidR="007E3256" w:rsidRPr="003B38C1" w:rsidRDefault="007E32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E3256" w:rsidRPr="003B38C1" w:rsidRDefault="007E32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56" w:rsidRDefault="007E3256">
      <w:r>
        <w:separator/>
      </w:r>
    </w:p>
  </w:footnote>
  <w:footnote w:type="continuationSeparator" w:id="0">
    <w:p w:rsidR="007E3256" w:rsidRDefault="007E3256" w:rsidP="008B60B2">
      <w:r>
        <w:separator/>
      </w:r>
    </w:p>
    <w:p w:rsidR="007E3256" w:rsidRPr="00ED77FB" w:rsidRDefault="007E32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E3256" w:rsidRPr="00ED77FB" w:rsidRDefault="007E32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56" w:rsidRDefault="007E3256" w:rsidP="00477D6B">
    <w:pPr>
      <w:jc w:val="right"/>
    </w:pPr>
    <w:bookmarkStart w:id="5" w:name="Code2"/>
    <w:bookmarkEnd w:id="5"/>
    <w:r>
      <w:t>WO/GA/43/18</w:t>
    </w:r>
  </w:p>
  <w:p w:rsidR="007E3256" w:rsidRDefault="007E3256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E3256" w:rsidRDefault="007E3256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256" w:rsidRDefault="007E3256" w:rsidP="00477D6B">
    <w:pPr>
      <w:jc w:val="right"/>
    </w:pPr>
    <w:r>
      <w:t>WO/PBC/20/6</w:t>
    </w:r>
  </w:p>
  <w:p w:rsidR="007E3256" w:rsidRDefault="00A4373F" w:rsidP="00477D6B">
    <w:pPr>
      <w:jc w:val="right"/>
    </w:pPr>
    <w:r>
      <w:rPr>
        <w:lang w:val="ru-RU"/>
      </w:rPr>
      <w:t>стр.</w:t>
    </w:r>
    <w:r w:rsidR="007E3256">
      <w:t xml:space="preserve"> </w:t>
    </w:r>
    <w:r w:rsidR="007E3256">
      <w:fldChar w:fldCharType="begin"/>
    </w:r>
    <w:r w:rsidR="007E3256">
      <w:instrText xml:space="preserve"> PAGE  \* MERGEFORMAT </w:instrText>
    </w:r>
    <w:r w:rsidR="007E3256">
      <w:fldChar w:fldCharType="separate"/>
    </w:r>
    <w:r w:rsidR="00BB1A25">
      <w:rPr>
        <w:noProof/>
      </w:rPr>
      <w:t>6</w:t>
    </w:r>
    <w:r w:rsidR="007E3256">
      <w:fldChar w:fldCharType="end"/>
    </w:r>
  </w:p>
  <w:p w:rsidR="007E3256" w:rsidRDefault="007E325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2A64D2"/>
    <w:multiLevelType w:val="hybridMultilevel"/>
    <w:tmpl w:val="678A7E3C"/>
    <w:lvl w:ilvl="0" w:tplc="B4AA640A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C536B66"/>
    <w:multiLevelType w:val="hybridMultilevel"/>
    <w:tmpl w:val="9282338A"/>
    <w:lvl w:ilvl="0" w:tplc="BE962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66B37E5"/>
    <w:multiLevelType w:val="hybridMultilevel"/>
    <w:tmpl w:val="D400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D04BE0"/>
    <w:multiLevelType w:val="hybridMultilevel"/>
    <w:tmpl w:val="8B5E10CA"/>
    <w:lvl w:ilvl="0" w:tplc="9E14D2E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031E02"/>
    <w:multiLevelType w:val="hybridMultilevel"/>
    <w:tmpl w:val="0A48E07E"/>
    <w:lvl w:ilvl="0" w:tplc="1CE2694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40"/>
    <w:rsid w:val="00011F51"/>
    <w:rsid w:val="00043CAA"/>
    <w:rsid w:val="00075432"/>
    <w:rsid w:val="000968ED"/>
    <w:rsid w:val="000F5E56"/>
    <w:rsid w:val="001362EE"/>
    <w:rsid w:val="001832A6"/>
    <w:rsid w:val="001B3078"/>
    <w:rsid w:val="002634C4"/>
    <w:rsid w:val="002928D3"/>
    <w:rsid w:val="002F1FE6"/>
    <w:rsid w:val="002F4E68"/>
    <w:rsid w:val="00304819"/>
    <w:rsid w:val="00312F7F"/>
    <w:rsid w:val="00351428"/>
    <w:rsid w:val="00361450"/>
    <w:rsid w:val="00362ACB"/>
    <w:rsid w:val="003673CF"/>
    <w:rsid w:val="003808FB"/>
    <w:rsid w:val="003845C1"/>
    <w:rsid w:val="003A6F89"/>
    <w:rsid w:val="003B38C1"/>
    <w:rsid w:val="00423E3E"/>
    <w:rsid w:val="00427AF4"/>
    <w:rsid w:val="004647DA"/>
    <w:rsid w:val="00474062"/>
    <w:rsid w:val="00477D6B"/>
    <w:rsid w:val="004C3F08"/>
    <w:rsid w:val="005019FF"/>
    <w:rsid w:val="00524525"/>
    <w:rsid w:val="0053057A"/>
    <w:rsid w:val="00542799"/>
    <w:rsid w:val="00560A29"/>
    <w:rsid w:val="00587C3A"/>
    <w:rsid w:val="005B4058"/>
    <w:rsid w:val="005C6649"/>
    <w:rsid w:val="005F321F"/>
    <w:rsid w:val="00605827"/>
    <w:rsid w:val="00620399"/>
    <w:rsid w:val="00646050"/>
    <w:rsid w:val="006713CA"/>
    <w:rsid w:val="00676C5C"/>
    <w:rsid w:val="007D1613"/>
    <w:rsid w:val="007E3256"/>
    <w:rsid w:val="00827C95"/>
    <w:rsid w:val="00862AD4"/>
    <w:rsid w:val="008B2CC1"/>
    <w:rsid w:val="008B60B2"/>
    <w:rsid w:val="00903067"/>
    <w:rsid w:val="0090731E"/>
    <w:rsid w:val="00916EE2"/>
    <w:rsid w:val="00943392"/>
    <w:rsid w:val="00966A22"/>
    <w:rsid w:val="0096722F"/>
    <w:rsid w:val="00980843"/>
    <w:rsid w:val="009E2791"/>
    <w:rsid w:val="009E3F6F"/>
    <w:rsid w:val="009F499F"/>
    <w:rsid w:val="00A42DAF"/>
    <w:rsid w:val="00A4373F"/>
    <w:rsid w:val="00A45BD8"/>
    <w:rsid w:val="00A62008"/>
    <w:rsid w:val="00A869B7"/>
    <w:rsid w:val="00AB11D5"/>
    <w:rsid w:val="00AB4E78"/>
    <w:rsid w:val="00AC205C"/>
    <w:rsid w:val="00AC3BAE"/>
    <w:rsid w:val="00AF0A6B"/>
    <w:rsid w:val="00B05A69"/>
    <w:rsid w:val="00B84F77"/>
    <w:rsid w:val="00B9734B"/>
    <w:rsid w:val="00BB1A25"/>
    <w:rsid w:val="00C11BFE"/>
    <w:rsid w:val="00D45252"/>
    <w:rsid w:val="00D71B4D"/>
    <w:rsid w:val="00D93D55"/>
    <w:rsid w:val="00E335FE"/>
    <w:rsid w:val="00EC4E49"/>
    <w:rsid w:val="00ED21B2"/>
    <w:rsid w:val="00ED7370"/>
    <w:rsid w:val="00ED77FB"/>
    <w:rsid w:val="00EE0240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EE0240"/>
    <w:rPr>
      <w:rFonts w:ascii="Courier New" w:eastAsia="Calibri" w:hAnsi="Courier New" w:cs="Times New Roman"/>
      <w:szCs w:val="21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PlainTextChar">
    <w:name w:val="Plain Text Char"/>
    <w:basedOn w:val="DefaultParagraphFont"/>
    <w:link w:val="PlainText"/>
    <w:uiPriority w:val="99"/>
    <w:rsid w:val="00EE0240"/>
    <w:rPr>
      <w:rFonts w:ascii="Courier New" w:eastAsia="Calibri" w:hAnsi="Courier New"/>
      <w:sz w:val="22"/>
      <w:szCs w:val="21"/>
    </w:rPr>
  </w:style>
  <w:style w:type="paragraph" w:styleId="ListParagraph">
    <w:name w:val="List Paragraph"/>
    <w:basedOn w:val="Normal"/>
    <w:qFormat/>
    <w:rsid w:val="004C3F0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ED21B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DecisionInvitingParaChar">
    <w:name w:val="Decision Inviting Para. Char"/>
    <w:basedOn w:val="DefaultParagraphFont"/>
    <w:link w:val="DecisionInvitingPara"/>
    <w:locked/>
    <w:rsid w:val="00304819"/>
    <w:rPr>
      <w:rFonts w:ascii="Arial" w:hAnsi="Arial" w:cs="Arial"/>
      <w:i/>
    </w:rPr>
  </w:style>
  <w:style w:type="paragraph" w:customStyle="1" w:styleId="DecisionInvitingPara">
    <w:name w:val="Decision Inviting Para."/>
    <w:basedOn w:val="Normal"/>
    <w:link w:val="DecisionInvitingParaChar"/>
    <w:rsid w:val="00304819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paragraph" w:styleId="BalloonText">
    <w:name w:val="Balloon Text"/>
    <w:basedOn w:val="Normal"/>
    <w:link w:val="BalloonTextChar"/>
    <w:rsid w:val="0054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79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EE0240"/>
    <w:rPr>
      <w:rFonts w:ascii="Courier New" w:eastAsia="Calibri" w:hAnsi="Courier New" w:cs="Times New Roman"/>
      <w:szCs w:val="21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PlainTextChar">
    <w:name w:val="Plain Text Char"/>
    <w:basedOn w:val="DefaultParagraphFont"/>
    <w:link w:val="PlainText"/>
    <w:uiPriority w:val="99"/>
    <w:rsid w:val="00EE0240"/>
    <w:rPr>
      <w:rFonts w:ascii="Courier New" w:eastAsia="Calibri" w:hAnsi="Courier New"/>
      <w:sz w:val="22"/>
      <w:szCs w:val="21"/>
    </w:rPr>
  </w:style>
  <w:style w:type="paragraph" w:styleId="ListParagraph">
    <w:name w:val="List Paragraph"/>
    <w:basedOn w:val="Normal"/>
    <w:qFormat/>
    <w:rsid w:val="004C3F0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ED21B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DecisionInvitingParaChar">
    <w:name w:val="Decision Inviting Para. Char"/>
    <w:basedOn w:val="DefaultParagraphFont"/>
    <w:link w:val="DecisionInvitingPara"/>
    <w:locked/>
    <w:rsid w:val="00304819"/>
    <w:rPr>
      <w:rFonts w:ascii="Arial" w:hAnsi="Arial" w:cs="Arial"/>
      <w:i/>
    </w:rPr>
  </w:style>
  <w:style w:type="paragraph" w:customStyle="1" w:styleId="DecisionInvitingPara">
    <w:name w:val="Decision Inviting Para."/>
    <w:basedOn w:val="Normal"/>
    <w:link w:val="DecisionInvitingParaChar"/>
    <w:rsid w:val="00304819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paragraph" w:styleId="BalloonText">
    <w:name w:val="Balloon Text"/>
    <w:basedOn w:val="Normal"/>
    <w:link w:val="BalloonTextChar"/>
    <w:rsid w:val="0054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279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37D1-E2BB-4073-8020-EFA549C7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43 (E).dot</Template>
  <TotalTime>1</TotalTime>
  <Pages>7</Pages>
  <Words>1873</Words>
  <Characters>12604</Characters>
  <Application>Microsoft Office Word</Application>
  <DocSecurity>0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WO/GA/43/</vt:lpstr>
    </vt:vector>
  </TitlesOfParts>
  <Company>WIPO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</dc:title>
  <dc:creator>NETTER Iza</dc:creator>
  <cp:lastModifiedBy>MARIN-CUDRAZ DAVI Nicoletta</cp:lastModifiedBy>
  <cp:revision>3</cp:revision>
  <cp:lastPrinted>2013-09-16T12:28:00Z</cp:lastPrinted>
  <dcterms:created xsi:type="dcterms:W3CDTF">2013-09-19T08:20:00Z</dcterms:created>
  <dcterms:modified xsi:type="dcterms:W3CDTF">2013-09-19T18:43:00Z</dcterms:modified>
</cp:coreProperties>
</file>