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326904" w:rsidRDefault="006D6434" w:rsidP="006E4F5F">
      <w:pPr>
        <w:widowControl w:val="0"/>
        <w:jc w:val="right"/>
        <w:rPr>
          <w:b/>
          <w:sz w:val="2"/>
          <w:szCs w:val="40"/>
          <w:lang w:val="ru-RU"/>
        </w:rPr>
      </w:pPr>
      <w:r w:rsidRPr="00326904">
        <w:rPr>
          <w:b/>
          <w:sz w:val="40"/>
          <w:szCs w:val="40"/>
          <w:lang w:val="ru-RU"/>
        </w:rPr>
        <w:t>R</w:t>
      </w:r>
    </w:p>
    <w:p w:rsidR="006E4F5F" w:rsidRPr="00326904" w:rsidRDefault="006D6434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326904"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2F044484" wp14:editId="51C557BD">
            <wp:extent cx="1743710" cy="1292225"/>
            <wp:effectExtent l="0" t="0" r="889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326904" w:rsidRDefault="008237E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326904">
        <w:rPr>
          <w:rFonts w:ascii="Arial Black" w:hAnsi="Arial Black"/>
          <w:b/>
          <w:caps/>
          <w:sz w:val="15"/>
          <w:lang w:val="ru-RU"/>
        </w:rPr>
        <w:t>LI/A/35</w:t>
      </w:r>
      <w:r w:rsidR="006E4F5F" w:rsidRPr="00326904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E30C32" w:rsidRPr="00326904">
        <w:rPr>
          <w:rFonts w:ascii="Arial Black" w:hAnsi="Arial Black"/>
          <w:b/>
          <w:caps/>
          <w:sz w:val="15"/>
          <w:lang w:val="ru-RU"/>
        </w:rPr>
        <w:t>2</w:t>
      </w:r>
    </w:p>
    <w:p w:rsidR="006D6434" w:rsidRPr="00326904" w:rsidRDefault="006D6434" w:rsidP="006D6434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326904">
        <w:rPr>
          <w:rFonts w:ascii="Arial Black" w:hAnsi="Arial Black"/>
          <w:b/>
          <w:caps/>
          <w:sz w:val="15"/>
          <w:lang w:val="ru-RU"/>
        </w:rPr>
        <w:t xml:space="preserve">ОРИГИНАЛ: </w:t>
      </w:r>
      <w:bookmarkStart w:id="1" w:name="Original"/>
      <w:bookmarkEnd w:id="1"/>
      <w:r w:rsidRPr="00326904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326904" w:rsidRDefault="006D6434" w:rsidP="006D6434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326904">
        <w:rPr>
          <w:rFonts w:ascii="Arial Black" w:hAnsi="Arial Black"/>
          <w:b/>
          <w:caps/>
          <w:sz w:val="15"/>
          <w:lang w:val="ru-RU"/>
        </w:rPr>
        <w:t xml:space="preserve">ДАТА: </w:t>
      </w:r>
      <w:bookmarkStart w:id="2" w:name="Date"/>
      <w:bookmarkEnd w:id="2"/>
      <w:r w:rsidRPr="00326904">
        <w:rPr>
          <w:rFonts w:ascii="Arial Black" w:hAnsi="Arial Black"/>
          <w:b/>
          <w:caps/>
          <w:sz w:val="15"/>
          <w:lang w:val="ru-RU"/>
        </w:rPr>
        <w:t>23 ИЮЛЯ 2018 г.</w:t>
      </w:r>
    </w:p>
    <w:p w:rsidR="008237EF" w:rsidRPr="00326904" w:rsidRDefault="006D6434" w:rsidP="008237EF">
      <w:pPr>
        <w:pStyle w:val="Heading1"/>
        <w:rPr>
          <w:lang w:val="ru-RU"/>
        </w:rPr>
      </w:pPr>
      <w:r w:rsidRPr="00326904">
        <w:rPr>
          <w:lang w:val="ru-RU"/>
        </w:rPr>
        <w:t>Специальный союз по охране наименований мест происхождения и их международной регистрации (Лиссабонский союз</w:t>
      </w:r>
      <w:r w:rsidR="008237EF" w:rsidRPr="00326904">
        <w:rPr>
          <w:lang w:val="ru-RU"/>
        </w:rPr>
        <w:t>)</w:t>
      </w:r>
    </w:p>
    <w:p w:rsidR="006D6434" w:rsidRPr="00326904" w:rsidRDefault="006D6434" w:rsidP="006D6434">
      <w:pPr>
        <w:pStyle w:val="Heading1"/>
        <w:rPr>
          <w:lang w:val="ru-RU"/>
        </w:rPr>
      </w:pPr>
      <w:r w:rsidRPr="00326904">
        <w:rPr>
          <w:lang w:val="ru-RU"/>
        </w:rPr>
        <w:t>Ассамблея</w:t>
      </w:r>
      <w:r w:rsidR="00326904">
        <w:rPr>
          <w:lang w:val="ru-RU"/>
        </w:rPr>
        <w:t xml:space="preserve"> </w:t>
      </w:r>
    </w:p>
    <w:p w:rsidR="008B2CC1" w:rsidRPr="00326904" w:rsidRDefault="006D6434" w:rsidP="00D95159">
      <w:pPr>
        <w:spacing w:after="720"/>
        <w:rPr>
          <w:b/>
          <w:sz w:val="24"/>
          <w:lang w:val="ru-RU"/>
        </w:rPr>
      </w:pPr>
      <w:r w:rsidRPr="00326904">
        <w:rPr>
          <w:b/>
          <w:sz w:val="24"/>
          <w:lang w:val="ru-RU"/>
        </w:rPr>
        <w:t>Тридцать пятая (13-я внеочередная) сессия</w:t>
      </w:r>
      <w:r w:rsidRPr="00326904">
        <w:rPr>
          <w:b/>
          <w:sz w:val="24"/>
          <w:lang w:val="ru-RU"/>
        </w:rPr>
        <w:br/>
        <w:t>Женева, 24 сентября – 2 октября 2018 г.</w:t>
      </w:r>
    </w:p>
    <w:p w:rsidR="00B51003" w:rsidRPr="00326904" w:rsidRDefault="005B17C4" w:rsidP="00B51003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326904">
        <w:rPr>
          <w:caps/>
          <w:sz w:val="24"/>
          <w:lang w:val="ru-RU"/>
        </w:rPr>
        <w:t>ПРЕДЛАГАЕМЫЕ ПОПРАВКИ К ОБЩЕЙ ИНСТРУКЦИИ К лиссабонскому соглашению и женевскому акту лиссабонского соглашения</w:t>
      </w:r>
    </w:p>
    <w:p w:rsidR="008B2CC1" w:rsidRPr="00326904" w:rsidRDefault="005B17C4" w:rsidP="009C127D">
      <w:pPr>
        <w:spacing w:after="960"/>
        <w:rPr>
          <w:i/>
          <w:lang w:val="ru-RU"/>
        </w:rPr>
      </w:pPr>
      <w:bookmarkStart w:id="4" w:name="Prepared"/>
      <w:bookmarkEnd w:id="4"/>
      <w:r w:rsidRPr="00326904">
        <w:rPr>
          <w:i/>
          <w:lang w:val="ru-RU"/>
        </w:rPr>
        <w:t>Документ подготовлен Международным бюро</w:t>
      </w:r>
    </w:p>
    <w:p w:rsidR="00E30C32" w:rsidRPr="00326904" w:rsidRDefault="005B17C4" w:rsidP="005B17C4">
      <w:pPr>
        <w:pStyle w:val="ONUME"/>
        <w:numPr>
          <w:ilvl w:val="0"/>
          <w:numId w:val="9"/>
        </w:numPr>
        <w:rPr>
          <w:lang w:val="ru-RU"/>
        </w:rPr>
      </w:pPr>
      <w:r w:rsidRPr="00326904">
        <w:rPr>
          <w:lang w:val="ru-RU"/>
        </w:rPr>
        <w:t xml:space="preserve">Настоящий документ содержит предложение о внесении поправок в </w:t>
      </w:r>
      <w:r w:rsidRPr="00326904">
        <w:rPr>
          <w:rFonts w:eastAsia="Times New Roman"/>
          <w:color w:val="000000"/>
          <w:szCs w:val="22"/>
          <w:lang w:val="ru-RU" w:eastAsia="en-US"/>
        </w:rPr>
        <w:t>перечень пошлин и сборов, указанный в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(далее – «Общая инструкция»)</w:t>
      </w:r>
      <w:r w:rsidR="0094615A" w:rsidRPr="00326904">
        <w:rPr>
          <w:rStyle w:val="FootnoteReference"/>
          <w:lang w:val="ru-RU"/>
        </w:rPr>
        <w:footnoteReference w:id="2"/>
      </w:r>
      <w:r w:rsidRPr="00326904">
        <w:rPr>
          <w:rFonts w:eastAsia="Times New Roman"/>
          <w:color w:val="000000"/>
          <w:szCs w:val="22"/>
          <w:lang w:val="ru-RU" w:eastAsia="en-US"/>
        </w:rPr>
        <w:t>, согласованн</w:t>
      </w:r>
      <w:r w:rsidR="00B81565" w:rsidRPr="00326904">
        <w:rPr>
          <w:rFonts w:eastAsia="Times New Roman"/>
          <w:color w:val="000000"/>
          <w:szCs w:val="22"/>
          <w:lang w:val="ru-RU" w:eastAsia="en-US"/>
        </w:rPr>
        <w:t>ое</w:t>
      </w:r>
      <w:r w:rsidR="00DE34DE" w:rsidRPr="00326904">
        <w:rPr>
          <w:rFonts w:eastAsia="Times New Roman"/>
          <w:color w:val="000000"/>
          <w:szCs w:val="22"/>
          <w:lang w:val="ru-RU" w:eastAsia="en-US"/>
        </w:rPr>
        <w:t xml:space="preserve"> Рабочей группой по развитию Лиссабонской системы (далее – «Рабочая группа»), для </w:t>
      </w:r>
      <w:r w:rsidR="00B81565" w:rsidRPr="00326904">
        <w:rPr>
          <w:rFonts w:eastAsia="Times New Roman"/>
          <w:color w:val="000000"/>
          <w:szCs w:val="22"/>
          <w:lang w:val="ru-RU" w:eastAsia="en-US"/>
        </w:rPr>
        <w:t>его</w:t>
      </w:r>
      <w:r w:rsidR="00DE34DE" w:rsidRPr="00326904">
        <w:rPr>
          <w:rFonts w:eastAsia="Times New Roman"/>
          <w:color w:val="000000"/>
          <w:szCs w:val="22"/>
          <w:lang w:val="ru-RU" w:eastAsia="en-US"/>
        </w:rPr>
        <w:t xml:space="preserve"> представления на рассмотрение Ассамблеи Лиссабонского союза на ее текущей сессии.</w:t>
      </w:r>
      <w:r w:rsidR="00B51003" w:rsidRPr="00326904">
        <w:rPr>
          <w:lang w:val="ru-RU"/>
        </w:rPr>
        <w:t xml:space="preserve"> </w:t>
      </w:r>
    </w:p>
    <w:p w:rsidR="00E30C32" w:rsidRPr="00326904" w:rsidRDefault="00DE34DE" w:rsidP="00DE34DE">
      <w:pPr>
        <w:pStyle w:val="ONUME"/>
        <w:numPr>
          <w:ilvl w:val="0"/>
          <w:numId w:val="9"/>
        </w:numPr>
        <w:rPr>
          <w:lang w:val="ru-RU"/>
        </w:rPr>
      </w:pPr>
      <w:r w:rsidRPr="00326904">
        <w:rPr>
          <w:lang w:val="ru-RU"/>
        </w:rPr>
        <w:t xml:space="preserve">Предлагаемые поправки к Общей инструкции предусматривают снижение на </w:t>
      </w:r>
      <w:r w:rsidR="0094615A" w:rsidRPr="00326904">
        <w:rPr>
          <w:lang w:val="ru-RU"/>
        </w:rPr>
        <w:t>50 </w:t>
      </w:r>
      <w:r w:rsidRPr="00326904">
        <w:rPr>
          <w:lang w:val="ru-RU"/>
        </w:rPr>
        <w:t xml:space="preserve">процентов </w:t>
      </w:r>
      <w:r w:rsidR="00B81565" w:rsidRPr="00326904">
        <w:rPr>
          <w:lang w:val="ru-RU"/>
        </w:rPr>
        <w:t xml:space="preserve">установленного </w:t>
      </w:r>
      <w:r w:rsidRPr="00326904">
        <w:rPr>
          <w:lang w:val="ru-RU"/>
        </w:rPr>
        <w:t xml:space="preserve">размера пошлины, подлежащей уплате наименее развитыми странами (НРС) </w:t>
      </w:r>
      <w:r w:rsidR="00B81565" w:rsidRPr="00326904">
        <w:rPr>
          <w:lang w:val="ru-RU"/>
        </w:rPr>
        <w:t xml:space="preserve">за международную регистрацию </w:t>
      </w:r>
      <w:r w:rsidRPr="00326904">
        <w:rPr>
          <w:lang w:val="ru-RU"/>
        </w:rPr>
        <w:t xml:space="preserve">наименований мест происхождения и географических указаний </w:t>
      </w:r>
      <w:r w:rsidR="00B81565" w:rsidRPr="00326904">
        <w:rPr>
          <w:lang w:val="ru-RU"/>
        </w:rPr>
        <w:t xml:space="preserve">в соответствии со </w:t>
      </w:r>
      <w:r w:rsidR="0094615A" w:rsidRPr="00326904">
        <w:rPr>
          <w:lang w:val="ru-RU"/>
        </w:rPr>
        <w:t xml:space="preserve">статьей </w:t>
      </w:r>
      <w:r w:rsidRPr="00326904">
        <w:rPr>
          <w:lang w:val="ru-RU"/>
        </w:rPr>
        <w:t>7(3) Ж</w:t>
      </w:r>
      <w:r w:rsidR="0094615A" w:rsidRPr="00326904">
        <w:rPr>
          <w:lang w:val="ru-RU"/>
        </w:rPr>
        <w:t xml:space="preserve">еневского акта Лиссабонского соглашения о наименованиях мест происхождения и географических </w:t>
      </w:r>
      <w:r w:rsidR="0094615A" w:rsidRPr="00326904">
        <w:rPr>
          <w:lang w:val="ru-RU"/>
        </w:rPr>
        <w:lastRenderedPageBreak/>
        <w:t xml:space="preserve">указаниях </w:t>
      </w:r>
      <w:r w:rsidR="00E30C32" w:rsidRPr="00326904">
        <w:rPr>
          <w:lang w:val="ru-RU"/>
        </w:rPr>
        <w:t>(</w:t>
      </w:r>
      <w:r w:rsidR="0094615A" w:rsidRPr="00326904">
        <w:rPr>
          <w:lang w:val="ru-RU"/>
        </w:rPr>
        <w:t xml:space="preserve">далее – «Женевский акт»). </w:t>
      </w:r>
      <w:r w:rsidR="00B51003" w:rsidRPr="00326904">
        <w:rPr>
          <w:lang w:val="ru-RU"/>
        </w:rPr>
        <w:t xml:space="preserve"> </w:t>
      </w:r>
      <w:r w:rsidR="0094615A" w:rsidRPr="00326904">
        <w:rPr>
          <w:lang w:val="ru-RU"/>
        </w:rPr>
        <w:t xml:space="preserve">Для </w:t>
      </w:r>
      <w:r w:rsidR="00B81565" w:rsidRPr="00326904">
        <w:rPr>
          <w:lang w:val="ru-RU"/>
        </w:rPr>
        <w:t xml:space="preserve">осуществления такого снижения пошлин </w:t>
      </w:r>
      <w:r w:rsidR="0094615A" w:rsidRPr="00326904">
        <w:rPr>
          <w:lang w:val="ru-RU"/>
        </w:rPr>
        <w:t xml:space="preserve">предлагается включить комментарий к правилу </w:t>
      </w:r>
      <w:r w:rsidR="00E30C32" w:rsidRPr="00326904">
        <w:rPr>
          <w:lang w:val="ru-RU"/>
        </w:rPr>
        <w:t xml:space="preserve">8(1), </w:t>
      </w:r>
      <w:r w:rsidR="0094615A" w:rsidRPr="00326904">
        <w:rPr>
          <w:lang w:val="ru-RU"/>
        </w:rPr>
        <w:t xml:space="preserve">пункты </w:t>
      </w:r>
      <w:r w:rsidR="00E30C32" w:rsidRPr="00326904">
        <w:rPr>
          <w:lang w:val="ru-RU"/>
        </w:rPr>
        <w:t>(i)</w:t>
      </w:r>
      <w:r w:rsidR="0094615A" w:rsidRPr="00326904">
        <w:rPr>
          <w:lang w:val="ru-RU"/>
        </w:rPr>
        <w:t xml:space="preserve"> и</w:t>
      </w:r>
      <w:r w:rsidR="00E30C32" w:rsidRPr="00326904">
        <w:rPr>
          <w:lang w:val="ru-RU"/>
        </w:rPr>
        <w:t xml:space="preserve"> (ii).</w:t>
      </w:r>
    </w:p>
    <w:p w:rsidR="00E30C32" w:rsidRPr="00326904" w:rsidRDefault="005E1CFB" w:rsidP="00E30C32">
      <w:pPr>
        <w:pStyle w:val="ONUME"/>
        <w:numPr>
          <w:ilvl w:val="0"/>
          <w:numId w:val="9"/>
        </w:numPr>
        <w:rPr>
          <w:lang w:val="ru-RU"/>
        </w:rPr>
      </w:pPr>
      <w:r w:rsidRPr="00326904">
        <w:rPr>
          <w:lang w:val="ru-RU"/>
        </w:rPr>
        <w:t xml:space="preserve">Рабочая группа также рекомендовала Ассамблее Лиссабонского союза </w:t>
      </w:r>
      <w:r w:rsidR="00731AF5" w:rsidRPr="00326904">
        <w:rPr>
          <w:rFonts w:eastAsia="Times New Roman"/>
          <w:color w:val="000000"/>
          <w:szCs w:val="22"/>
          <w:lang w:val="ru-RU" w:eastAsia="en-US"/>
        </w:rPr>
        <w:t xml:space="preserve">применять упомянутый в пункте </w:t>
      </w:r>
      <w:r w:rsidRPr="00326904">
        <w:rPr>
          <w:rFonts w:eastAsia="Times New Roman"/>
          <w:color w:val="000000"/>
          <w:szCs w:val="22"/>
          <w:lang w:val="ru-RU" w:eastAsia="en-US"/>
        </w:rPr>
        <w:t>2 выше</w:t>
      </w:r>
      <w:r w:rsidR="00731AF5" w:rsidRPr="00326904">
        <w:rPr>
          <w:rFonts w:eastAsia="Times New Roman"/>
          <w:color w:val="000000"/>
          <w:szCs w:val="22"/>
          <w:lang w:val="ru-RU" w:eastAsia="en-US"/>
        </w:rPr>
        <w:t xml:space="preserve"> размер пошлин в течение трехлетнего периода</w:t>
      </w:r>
      <w:r w:rsidRPr="00326904">
        <w:rPr>
          <w:rFonts w:eastAsia="Times New Roman"/>
          <w:color w:val="000000"/>
          <w:szCs w:val="22"/>
          <w:lang w:val="ru-RU" w:eastAsia="en-US"/>
        </w:rPr>
        <w:t xml:space="preserve"> начиная с даты вступления в силу Женевского акта, и вновь рассмотреть вопрос о снижении пошлин в рамках Лиссабонской системы за год до истечения этого </w:t>
      </w:r>
      <w:r w:rsidR="00731AF5" w:rsidRPr="00326904">
        <w:rPr>
          <w:rFonts w:eastAsia="Times New Roman"/>
          <w:color w:val="000000"/>
          <w:szCs w:val="22"/>
          <w:lang w:val="ru-RU" w:eastAsia="en-US"/>
        </w:rPr>
        <w:t>срока</w:t>
      </w:r>
      <w:r w:rsidRPr="00326904">
        <w:rPr>
          <w:rFonts w:eastAsia="Times New Roman"/>
          <w:color w:val="000000"/>
          <w:szCs w:val="22"/>
          <w:lang w:val="ru-RU" w:eastAsia="en-US"/>
        </w:rPr>
        <w:t>.</w:t>
      </w:r>
    </w:p>
    <w:p w:rsidR="00E30C32" w:rsidRPr="00326904" w:rsidRDefault="005E1CFB" w:rsidP="00E30C32">
      <w:pPr>
        <w:pStyle w:val="ONUME"/>
        <w:numPr>
          <w:ilvl w:val="0"/>
          <w:numId w:val="9"/>
        </w:numPr>
        <w:rPr>
          <w:lang w:val="ru-RU"/>
        </w:rPr>
      </w:pPr>
      <w:r w:rsidRPr="00326904">
        <w:rPr>
          <w:lang w:val="ru-RU"/>
        </w:rPr>
        <w:t xml:space="preserve">Приложение к настоящему документу содержит предлагаемые поправки к правилу 8(1) Общей инструкции, </w:t>
      </w:r>
      <w:r w:rsidR="00B81565" w:rsidRPr="00326904">
        <w:rPr>
          <w:lang w:val="ru-RU"/>
        </w:rPr>
        <w:t>указанные</w:t>
      </w:r>
      <w:r w:rsidRPr="00326904">
        <w:rPr>
          <w:lang w:val="ru-RU"/>
        </w:rPr>
        <w:t xml:space="preserve"> в пунктах 2 и 3 выше.</w:t>
      </w:r>
    </w:p>
    <w:p w:rsidR="00E30C32" w:rsidRPr="00326904" w:rsidRDefault="006D6434" w:rsidP="007531AB">
      <w:pPr>
        <w:pStyle w:val="ONUME"/>
        <w:keepNext/>
        <w:keepLines/>
        <w:tabs>
          <w:tab w:val="left" w:pos="6096"/>
        </w:tabs>
        <w:ind w:left="5533"/>
        <w:rPr>
          <w:i/>
          <w:lang w:val="ru-RU"/>
        </w:rPr>
      </w:pPr>
      <w:r w:rsidRPr="00326904">
        <w:rPr>
          <w:i/>
          <w:lang w:val="ru-RU"/>
        </w:rPr>
        <w:t>А</w:t>
      </w:r>
      <w:bookmarkStart w:id="5" w:name="_GoBack"/>
      <w:r w:rsidRPr="00326904">
        <w:rPr>
          <w:i/>
          <w:lang w:val="ru-RU"/>
        </w:rPr>
        <w:t>с</w:t>
      </w:r>
      <w:bookmarkEnd w:id="5"/>
      <w:r w:rsidRPr="00326904">
        <w:rPr>
          <w:i/>
          <w:lang w:val="ru-RU"/>
        </w:rPr>
        <w:t>самблее Лиссабонского союза предлагается</w:t>
      </w:r>
    </w:p>
    <w:p w:rsidR="00E30C32" w:rsidRPr="00326904" w:rsidRDefault="00E30C32" w:rsidP="00E30C32">
      <w:pPr>
        <w:pStyle w:val="ONUME"/>
        <w:keepNext/>
        <w:keepLines/>
        <w:numPr>
          <w:ilvl w:val="0"/>
          <w:numId w:val="0"/>
        </w:numPr>
        <w:tabs>
          <w:tab w:val="left" w:pos="5387"/>
          <w:tab w:val="left" w:pos="6096"/>
        </w:tabs>
        <w:ind w:left="6096"/>
        <w:rPr>
          <w:i/>
          <w:lang w:val="ru-RU"/>
        </w:rPr>
      </w:pPr>
      <w:r w:rsidRPr="00326904">
        <w:rPr>
          <w:i/>
          <w:lang w:val="ru-RU"/>
        </w:rPr>
        <w:t>(i)</w:t>
      </w:r>
      <w:r w:rsidRPr="00326904">
        <w:rPr>
          <w:i/>
          <w:lang w:val="ru-RU"/>
        </w:rPr>
        <w:tab/>
      </w:r>
      <w:r w:rsidR="005E1CFB" w:rsidRPr="00326904">
        <w:rPr>
          <w:i/>
          <w:lang w:val="ru-RU"/>
        </w:rPr>
        <w:t xml:space="preserve">принять поправки к Общей инструкции к Лиссабонскому соглашению и Женевскому акту Лиссабонского соглашения, изложенные в приложении к документу </w:t>
      </w:r>
      <w:r w:rsidRPr="00326904">
        <w:rPr>
          <w:i/>
          <w:lang w:val="ru-RU"/>
        </w:rPr>
        <w:t>LI/A/35/2;</w:t>
      </w:r>
      <w:r w:rsidR="00B51003" w:rsidRPr="00326904">
        <w:rPr>
          <w:i/>
          <w:lang w:val="ru-RU"/>
        </w:rPr>
        <w:t xml:space="preserve"> </w:t>
      </w:r>
      <w:r w:rsidR="005E1CFB" w:rsidRPr="00326904">
        <w:rPr>
          <w:i/>
          <w:lang w:val="ru-RU"/>
        </w:rPr>
        <w:t xml:space="preserve"> и</w:t>
      </w:r>
      <w:r w:rsidRPr="00326904">
        <w:rPr>
          <w:i/>
          <w:lang w:val="ru-RU"/>
        </w:rPr>
        <w:t xml:space="preserve"> </w:t>
      </w:r>
    </w:p>
    <w:p w:rsidR="00E30C32" w:rsidRPr="00326904" w:rsidRDefault="00E30C32" w:rsidP="00E30C32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ind w:left="6096"/>
        <w:rPr>
          <w:i/>
          <w:lang w:val="ru-RU"/>
        </w:rPr>
      </w:pPr>
      <w:r w:rsidRPr="00326904">
        <w:rPr>
          <w:i/>
          <w:lang w:val="ru-RU"/>
        </w:rPr>
        <w:t>(ii)</w:t>
      </w:r>
      <w:r w:rsidRPr="00326904">
        <w:rPr>
          <w:i/>
          <w:lang w:val="ru-RU"/>
        </w:rPr>
        <w:tab/>
      </w:r>
      <w:r w:rsidR="005E1CFB" w:rsidRPr="00326904">
        <w:rPr>
          <w:rFonts w:eastAsia="Times New Roman"/>
          <w:i/>
          <w:color w:val="000000"/>
          <w:szCs w:val="22"/>
          <w:lang w:val="ru-RU" w:eastAsia="en-US"/>
        </w:rPr>
        <w:t xml:space="preserve">вновь рассмотреть вопрос о снижении пошлин в рамках Лиссабонской системы за год до истечения </w:t>
      </w:r>
      <w:r w:rsidR="00326904" w:rsidRPr="00326904">
        <w:rPr>
          <w:rFonts w:eastAsia="Times New Roman"/>
          <w:i/>
          <w:color w:val="000000"/>
          <w:szCs w:val="22"/>
          <w:lang w:val="ru-RU" w:eastAsia="en-US"/>
        </w:rPr>
        <w:t>срока</w:t>
      </w:r>
      <w:r w:rsidR="005E1CFB" w:rsidRPr="00326904">
        <w:rPr>
          <w:rFonts w:eastAsia="Times New Roman"/>
          <w:i/>
          <w:color w:val="000000"/>
          <w:szCs w:val="22"/>
          <w:lang w:val="ru-RU" w:eastAsia="en-US"/>
        </w:rPr>
        <w:t xml:space="preserve">, как упомянуто в пункте 3 документа </w:t>
      </w:r>
      <w:r w:rsidRPr="00326904">
        <w:rPr>
          <w:i/>
          <w:lang w:val="ru-RU"/>
        </w:rPr>
        <w:t>LI/A/35/2.</w:t>
      </w:r>
    </w:p>
    <w:p w:rsidR="00E30C32" w:rsidRPr="00326904" w:rsidRDefault="00E30C32" w:rsidP="007531AB">
      <w:pPr>
        <w:pStyle w:val="Endofdocument-Annex"/>
        <w:spacing w:before="480"/>
        <w:ind w:left="5533"/>
        <w:rPr>
          <w:lang w:val="ru-RU"/>
        </w:rPr>
      </w:pPr>
      <w:r w:rsidRPr="00326904">
        <w:rPr>
          <w:lang w:val="ru-RU"/>
        </w:rPr>
        <w:t>[</w:t>
      </w:r>
      <w:r w:rsidR="006D6434" w:rsidRPr="00326904">
        <w:rPr>
          <w:lang w:val="ru-RU"/>
        </w:rPr>
        <w:t>Приложение следует</w:t>
      </w:r>
      <w:r w:rsidRPr="00326904">
        <w:rPr>
          <w:lang w:val="ru-RU"/>
        </w:rPr>
        <w:t>]</w:t>
      </w:r>
    </w:p>
    <w:p w:rsidR="00E30C32" w:rsidRPr="00326904" w:rsidRDefault="00E30C32" w:rsidP="00E30C32">
      <w:pPr>
        <w:rPr>
          <w:rFonts w:eastAsia="Times New Roman"/>
          <w:szCs w:val="22"/>
          <w:lang w:val="ru-RU" w:eastAsia="en-US"/>
        </w:rPr>
      </w:pPr>
    </w:p>
    <w:p w:rsidR="00E30C32" w:rsidRPr="00326904" w:rsidRDefault="00E30C32" w:rsidP="00E30C32">
      <w:pPr>
        <w:rPr>
          <w:szCs w:val="22"/>
          <w:lang w:val="ru-RU"/>
        </w:rPr>
        <w:sectPr w:rsidR="00E30C32" w:rsidRPr="00326904" w:rsidSect="00E30C32">
          <w:headerReference w:type="default" r:id="rId10"/>
          <w:headerReference w:type="first" r:id="rId11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30C32" w:rsidRPr="00326904" w:rsidRDefault="006D6434" w:rsidP="00B51003">
      <w:pPr>
        <w:pStyle w:val="Heading2"/>
        <w:rPr>
          <w:lang w:val="ru-RU"/>
        </w:rPr>
      </w:pPr>
      <w:r w:rsidRPr="00326904">
        <w:rPr>
          <w:lang w:val="ru-RU" w:eastAsia="en-US"/>
        </w:rPr>
        <w:lastRenderedPageBreak/>
        <w:t xml:space="preserve">ПОПРАВКА К ПЕРЕЧНЮ ПОШЛИН И СБОРОВ </w:t>
      </w:r>
      <w:r w:rsidR="00731AF5" w:rsidRPr="00326904">
        <w:rPr>
          <w:lang w:val="ru-RU" w:eastAsia="en-US"/>
        </w:rPr>
        <w:t>ОБЩЕЙ инструкции</w:t>
      </w:r>
      <w:r w:rsidRPr="00326904">
        <w:rPr>
          <w:lang w:val="ru-RU" w:eastAsia="en-US"/>
        </w:rPr>
        <w:t xml:space="preserve"> к Лиссабонскому соглашению и Женевскому акту Лиссабонского соглашения</w:t>
      </w:r>
    </w:p>
    <w:p w:rsidR="006D6434" w:rsidRPr="00326904" w:rsidRDefault="006D6434" w:rsidP="006D6434">
      <w:pPr>
        <w:keepNext/>
        <w:spacing w:before="480"/>
        <w:jc w:val="center"/>
        <w:rPr>
          <w:b/>
          <w:lang w:val="ru-RU"/>
        </w:rPr>
      </w:pPr>
      <w:r w:rsidRPr="00326904">
        <w:rPr>
          <w:b/>
          <w:lang w:val="ru-RU"/>
        </w:rPr>
        <w:t>Правило 8</w:t>
      </w:r>
    </w:p>
    <w:p w:rsidR="006D6434" w:rsidRPr="00326904" w:rsidRDefault="006D6434" w:rsidP="006D6434">
      <w:pPr>
        <w:keepNext/>
        <w:spacing w:after="240"/>
        <w:jc w:val="center"/>
        <w:rPr>
          <w:lang w:val="ru-RU"/>
        </w:rPr>
      </w:pPr>
      <w:r w:rsidRPr="00326904">
        <w:rPr>
          <w:lang w:val="ru-RU"/>
        </w:rPr>
        <w:t>Пошлины</w:t>
      </w:r>
    </w:p>
    <w:p w:rsidR="006D6434" w:rsidRPr="00326904" w:rsidRDefault="006D6434" w:rsidP="006D6434">
      <w:pPr>
        <w:keepNext/>
        <w:tabs>
          <w:tab w:val="left" w:pos="567"/>
          <w:tab w:val="left" w:pos="1134"/>
        </w:tabs>
        <w:rPr>
          <w:lang w:val="ru-RU"/>
        </w:rPr>
      </w:pPr>
      <w:r w:rsidRPr="00326904">
        <w:rPr>
          <w:lang w:val="ru-RU"/>
        </w:rPr>
        <w:t>(1)</w:t>
      </w:r>
      <w:r w:rsidRPr="00326904">
        <w:rPr>
          <w:lang w:val="ru-RU"/>
        </w:rPr>
        <w:tab/>
      </w:r>
      <w:r w:rsidRPr="00326904">
        <w:rPr>
          <w:i/>
          <w:lang w:val="ru-RU"/>
        </w:rPr>
        <w:t>[Размер пошлин]</w:t>
      </w:r>
      <w:r w:rsidRPr="00326904">
        <w:rPr>
          <w:lang w:val="ru-RU"/>
        </w:rPr>
        <w:t xml:space="preserve"> Международное бюро взимает следующие пошлины, уплачиваемые в швейцарских франках:</w:t>
      </w:r>
    </w:p>
    <w:p w:rsidR="006D6434" w:rsidRPr="00326904" w:rsidRDefault="006D6434" w:rsidP="006D6434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70"/>
          <w:tab w:val="left" w:pos="9000"/>
        </w:tabs>
        <w:ind w:left="1560"/>
        <w:rPr>
          <w:lang w:val="ru-RU"/>
        </w:rPr>
      </w:pPr>
      <w:r w:rsidRPr="00326904">
        <w:rPr>
          <w:lang w:val="ru-RU"/>
        </w:rPr>
        <w:t>пошлина за международную регистрацию</w:t>
      </w:r>
      <w:r w:rsidRPr="00326904">
        <w:rPr>
          <w:b/>
          <w:color w:val="FF0000"/>
          <w:u w:val="single"/>
          <w:vertAlign w:val="superscript"/>
          <w:lang w:val="ru-RU"/>
        </w:rPr>
        <w:footnoteReference w:customMarkFollows="1" w:id="3"/>
        <w:sym w:font="Symbol" w:char="F02A"/>
      </w:r>
      <w:r w:rsidRPr="00326904">
        <w:rPr>
          <w:lang w:val="ru-RU"/>
        </w:rPr>
        <w:tab/>
        <w:t>1000</w:t>
      </w:r>
    </w:p>
    <w:p w:rsidR="006D6434" w:rsidRPr="00326904" w:rsidRDefault="006D6434" w:rsidP="006D6434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  <w:tab w:val="left" w:pos="9090"/>
        </w:tabs>
        <w:ind w:left="1560"/>
        <w:rPr>
          <w:lang w:val="ru-RU"/>
        </w:rPr>
      </w:pPr>
      <w:r w:rsidRPr="00326904">
        <w:rPr>
          <w:lang w:val="ru-RU"/>
        </w:rPr>
        <w:t>пошлина за каждое изменение международной регистрации</w:t>
      </w:r>
      <w:r w:rsidRPr="00326904">
        <w:rPr>
          <w:b/>
          <w:color w:val="FF0000"/>
          <w:u w:val="single"/>
          <w:vertAlign w:val="superscript"/>
          <w:lang w:val="ru-RU"/>
        </w:rPr>
        <w:footnoteReference w:customMarkFollows="1" w:id="4"/>
        <w:sym w:font="Symbol" w:char="F02A"/>
      </w:r>
      <w:r w:rsidRPr="00326904">
        <w:rPr>
          <w:lang w:val="ru-RU"/>
        </w:rPr>
        <w:tab/>
        <w:t xml:space="preserve"> 500</w:t>
      </w:r>
    </w:p>
    <w:p w:rsidR="006D6434" w:rsidRPr="00326904" w:rsidRDefault="006D6434" w:rsidP="006D6434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</w:tabs>
        <w:ind w:left="1560"/>
        <w:rPr>
          <w:lang w:val="ru-RU"/>
        </w:rPr>
      </w:pPr>
      <w:r w:rsidRPr="00326904">
        <w:rPr>
          <w:lang w:val="ru-RU"/>
        </w:rPr>
        <w:t>пошлина за предоставление выписки из Международного реестра</w:t>
      </w:r>
      <w:r w:rsidRPr="00326904">
        <w:rPr>
          <w:lang w:val="ru-RU"/>
        </w:rPr>
        <w:tab/>
        <w:t xml:space="preserve"> 150</w:t>
      </w:r>
    </w:p>
    <w:p w:rsidR="006D6434" w:rsidRPr="00326904" w:rsidRDefault="006D6434" w:rsidP="006D6434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</w:tabs>
        <w:ind w:left="1560" w:right="1984"/>
        <w:rPr>
          <w:lang w:val="ru-RU"/>
        </w:rPr>
      </w:pPr>
      <w:r w:rsidRPr="00326904">
        <w:rPr>
          <w:lang w:val="ru-RU"/>
        </w:rPr>
        <w:t xml:space="preserve">пошлина за предоставление справки или любой иной письменной информации, касающейся содержания Международного реестра  </w:t>
      </w:r>
      <w:r w:rsidRPr="00326904">
        <w:rPr>
          <w:lang w:val="ru-RU"/>
        </w:rPr>
        <w:tab/>
        <w:t>100</w:t>
      </w:r>
    </w:p>
    <w:p w:rsidR="006D6434" w:rsidRPr="00326904" w:rsidRDefault="006D6434" w:rsidP="006D6434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</w:tabs>
        <w:ind w:left="1560" w:right="1984"/>
        <w:rPr>
          <w:lang w:val="ru-RU"/>
        </w:rPr>
      </w:pPr>
      <w:r w:rsidRPr="00326904">
        <w:rPr>
          <w:lang w:val="ru-RU"/>
        </w:rPr>
        <w:t xml:space="preserve">индивидуальные пошлины, упомянутые в пункте (2). </w:t>
      </w:r>
    </w:p>
    <w:p w:rsidR="006D6434" w:rsidRPr="00326904" w:rsidRDefault="006D6434" w:rsidP="006D6434">
      <w:pPr>
        <w:tabs>
          <w:tab w:val="left" w:pos="1170"/>
        </w:tabs>
        <w:spacing w:before="240" w:after="720"/>
        <w:ind w:firstLine="567"/>
        <w:rPr>
          <w:szCs w:val="22"/>
          <w:lang w:val="ru-RU"/>
        </w:rPr>
      </w:pPr>
      <w:r w:rsidRPr="00326904">
        <w:rPr>
          <w:szCs w:val="22"/>
          <w:lang w:val="ru-RU"/>
        </w:rPr>
        <w:t>[…]</w:t>
      </w:r>
    </w:p>
    <w:p w:rsidR="00653EF6" w:rsidRPr="00326904" w:rsidRDefault="006D6434" w:rsidP="006D6434">
      <w:pPr>
        <w:keepNext/>
        <w:spacing w:after="240"/>
        <w:jc w:val="right"/>
        <w:rPr>
          <w:szCs w:val="22"/>
          <w:lang w:val="ru-RU"/>
        </w:rPr>
      </w:pPr>
      <w:r w:rsidRPr="00326904">
        <w:rPr>
          <w:szCs w:val="22"/>
          <w:lang w:val="ru-RU"/>
        </w:rPr>
        <w:t>[Конец приложения и документа</w:t>
      </w:r>
      <w:r w:rsidR="00B51003" w:rsidRPr="00326904">
        <w:rPr>
          <w:szCs w:val="22"/>
          <w:lang w:val="ru-RU"/>
        </w:rPr>
        <w:t>]</w:t>
      </w:r>
    </w:p>
    <w:sectPr w:rsidR="00653EF6" w:rsidRPr="00326904" w:rsidSect="00AC6315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A2" w:rsidRDefault="002E1DA2">
      <w:r>
        <w:separator/>
      </w:r>
    </w:p>
  </w:endnote>
  <w:endnote w:type="continuationSeparator" w:id="0">
    <w:p w:rsidR="002E1DA2" w:rsidRDefault="002E1DA2" w:rsidP="003B38C1">
      <w:r>
        <w:separator/>
      </w:r>
    </w:p>
    <w:p w:rsidR="002E1DA2" w:rsidRPr="003B38C1" w:rsidRDefault="002E1D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1DA2" w:rsidRPr="003B38C1" w:rsidRDefault="002E1D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A2" w:rsidRDefault="002E1DA2">
      <w:r>
        <w:separator/>
      </w:r>
    </w:p>
  </w:footnote>
  <w:footnote w:type="continuationSeparator" w:id="0">
    <w:p w:rsidR="002E1DA2" w:rsidRDefault="002E1DA2" w:rsidP="008B60B2">
      <w:r>
        <w:separator/>
      </w:r>
    </w:p>
    <w:p w:rsidR="002E1DA2" w:rsidRPr="00ED77FB" w:rsidRDefault="002E1D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1DA2" w:rsidRPr="00ED77FB" w:rsidRDefault="002E1D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4615A" w:rsidRPr="00326904" w:rsidRDefault="0094615A" w:rsidP="0094615A">
      <w:pPr>
        <w:pStyle w:val="Default"/>
        <w:tabs>
          <w:tab w:val="left" w:pos="567"/>
        </w:tabs>
        <w:rPr>
          <w:sz w:val="18"/>
          <w:szCs w:val="18"/>
          <w:lang w:val="ru-RU"/>
        </w:rPr>
      </w:pPr>
      <w:r w:rsidRPr="00B81565">
        <w:rPr>
          <w:rStyle w:val="FootnoteReference"/>
          <w:rFonts w:eastAsia="SimSun"/>
          <w:sz w:val="18"/>
          <w:szCs w:val="18"/>
        </w:rPr>
        <w:footnoteRef/>
      </w:r>
      <w:r w:rsidRPr="00326904">
        <w:rPr>
          <w:sz w:val="18"/>
          <w:szCs w:val="18"/>
          <w:lang w:val="ru-RU"/>
        </w:rPr>
        <w:tab/>
      </w:r>
      <w:r w:rsidRPr="00B81565">
        <w:rPr>
          <w:sz w:val="18"/>
          <w:szCs w:val="18"/>
          <w:lang w:val="ru-RU"/>
        </w:rPr>
        <w:t xml:space="preserve">Содержащиеся в настоящем документе ссылки на «правила» </w:t>
      </w:r>
      <w:r w:rsidR="00B81565" w:rsidRPr="00B81565">
        <w:rPr>
          <w:sz w:val="18"/>
          <w:szCs w:val="18"/>
          <w:lang w:val="ru-RU"/>
        </w:rPr>
        <w:t xml:space="preserve">представляют собой </w:t>
      </w:r>
      <w:r w:rsidRPr="00B81565">
        <w:rPr>
          <w:sz w:val="18"/>
          <w:szCs w:val="18"/>
          <w:lang w:val="ru-RU"/>
        </w:rPr>
        <w:t>ссылки на Общую инструкцию или на те ее положения, в которые предлагается внести поправки</w:t>
      </w:r>
      <w:r w:rsidRPr="00326904">
        <w:rPr>
          <w:sz w:val="18"/>
          <w:szCs w:val="18"/>
          <w:lang w:val="ru-RU"/>
        </w:rPr>
        <w:t xml:space="preserve">.  </w:t>
      </w:r>
    </w:p>
  </w:footnote>
  <w:footnote w:id="3">
    <w:p w:rsidR="006D6434" w:rsidRPr="00326904" w:rsidRDefault="006D6434" w:rsidP="006D6434">
      <w:pPr>
        <w:pStyle w:val="FootnoteText"/>
        <w:rPr>
          <w:b/>
          <w:color w:val="FF0000"/>
          <w:u w:val="single"/>
          <w:lang w:val="ru-RU"/>
        </w:rPr>
      </w:pPr>
      <w:r w:rsidRPr="00F84138">
        <w:rPr>
          <w:rStyle w:val="FootnoteReference"/>
          <w:b/>
          <w:color w:val="FF0000"/>
          <w:u w:val="single"/>
        </w:rPr>
        <w:sym w:font="Symbol" w:char="F02A"/>
      </w:r>
      <w:r w:rsidRPr="00326904">
        <w:rPr>
          <w:b/>
          <w:color w:val="FF0000"/>
          <w:u w:val="single"/>
          <w:lang w:val="ru-RU"/>
        </w:rPr>
        <w:tab/>
      </w:r>
      <w:r w:rsidR="00326904" w:rsidRPr="00326904">
        <w:rPr>
          <w:b/>
          <w:color w:val="FF0000"/>
          <w:sz w:val="16"/>
          <w:szCs w:val="16"/>
          <w:u w:val="single"/>
          <w:lang w:val="ru-RU"/>
        </w:rPr>
        <w:t>Для международной регистрации, относящейся к географическому району, который расположен в наименее развитой стране (НРС), отнесенной к списку таковых Организацией Объединенных Наций, пошлина снижается до 50 процентов от установленной суммы (с округлением до ближайшего целого числа).  В таком случае пошлина будет составлять 500 шв. франков за международную регистрацию, относящуюся к географическому району происхождения, расположенному в НРС, и 250 шв. франков за каждое изменение международной регистрации, относящейся к географическому району происхождения, расположенному в НРС.  Данные сниженные пошлины будут применяться в течение трех лет с даты вступления в силу Женевского акта Лиссабонского соглашения</w:t>
      </w:r>
      <w:r w:rsidRPr="00F84138">
        <w:rPr>
          <w:b/>
          <w:color w:val="FF0000"/>
          <w:sz w:val="16"/>
          <w:szCs w:val="16"/>
          <w:u w:val="single"/>
          <w:lang w:val="ru-RU"/>
        </w:rPr>
        <w:t>.</w:t>
      </w:r>
    </w:p>
  </w:footnote>
  <w:footnote w:id="4">
    <w:p w:rsidR="006D6434" w:rsidRPr="00326904" w:rsidRDefault="006D6434" w:rsidP="006D6434">
      <w:pPr>
        <w:pStyle w:val="FootnoteText"/>
        <w:rPr>
          <w:b/>
          <w:color w:val="FF0000"/>
          <w:u w:val="single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0C32" w:rsidRDefault="00E30C32" w:rsidP="00E028AC">
        <w:pPr>
          <w:pStyle w:val="Header"/>
          <w:jc w:val="right"/>
        </w:pPr>
        <w:r>
          <w:t>LI/A/35/2</w:t>
        </w:r>
      </w:p>
      <w:p w:rsidR="00E30C32" w:rsidRDefault="005866F5" w:rsidP="00E028AC">
        <w:pPr>
          <w:pStyle w:val="Header"/>
          <w:jc w:val="right"/>
          <w:rPr>
            <w:noProof/>
          </w:rPr>
        </w:pPr>
        <w:r>
          <w:rPr>
            <w:lang w:val="ru-RU"/>
          </w:rPr>
          <w:t>стр.</w:t>
        </w:r>
        <w:r w:rsidR="00E30C32">
          <w:t xml:space="preserve"> </w:t>
        </w:r>
        <w:r w:rsidR="00E30C32">
          <w:fldChar w:fldCharType="begin"/>
        </w:r>
        <w:r w:rsidR="00E30C32">
          <w:instrText xml:space="preserve"> PAGE   \* MERGEFORMAT </w:instrText>
        </w:r>
        <w:r w:rsidR="00E30C32">
          <w:fldChar w:fldCharType="separate"/>
        </w:r>
        <w:r w:rsidR="00A57370">
          <w:rPr>
            <w:noProof/>
          </w:rPr>
          <w:t>2</w:t>
        </w:r>
        <w:r w:rsidR="00E30C32">
          <w:rPr>
            <w:noProof/>
          </w:rPr>
          <w:fldChar w:fldCharType="end"/>
        </w:r>
      </w:p>
      <w:p w:rsidR="00E30C32" w:rsidRDefault="00A57370" w:rsidP="00E028AC">
        <w:pPr>
          <w:pStyle w:val="Header"/>
          <w:jc w:val="right"/>
          <w:rPr>
            <w:noProof/>
          </w:rPr>
        </w:pPr>
      </w:p>
    </w:sdtContent>
  </w:sdt>
  <w:p w:rsidR="00E30C32" w:rsidRDefault="00E30C32" w:rsidP="00E028A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32" w:rsidRDefault="00E30C32" w:rsidP="004209EA">
    <w:pPr>
      <w:pStyle w:val="Header"/>
      <w:tabs>
        <w:tab w:val="clear" w:pos="4536"/>
        <w:tab w:val="clear" w:pos="9072"/>
        <w:tab w:val="left" w:pos="7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37" w:rsidRPr="00521AD4" w:rsidRDefault="00251237" w:rsidP="00251237">
    <w:pPr>
      <w:pStyle w:val="Header"/>
      <w:jc w:val="right"/>
      <w:rPr>
        <w:lang w:val="ru-RU"/>
      </w:rPr>
    </w:pPr>
    <w:r>
      <w:t>LI/</w:t>
    </w:r>
    <w:r w:rsidR="00521AD4">
      <w:rPr>
        <w:lang w:val="ru-RU"/>
      </w:rPr>
      <w:t>А/35/2</w:t>
    </w:r>
  </w:p>
  <w:p w:rsidR="00653EF6" w:rsidRPr="005866F5" w:rsidRDefault="005866F5" w:rsidP="00EF1920">
    <w:pPr>
      <w:spacing w:after="480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94C6F"/>
    <w:multiLevelType w:val="hybridMultilevel"/>
    <w:tmpl w:val="FF002892"/>
    <w:lvl w:ilvl="0" w:tplc="AF723B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49" w:hanging="360"/>
      </w:pPr>
    </w:lvl>
    <w:lvl w:ilvl="2" w:tplc="100C001B" w:tentative="1">
      <w:start w:val="1"/>
      <w:numFmt w:val="lowerRoman"/>
      <w:lvlText w:val="%3."/>
      <w:lvlJc w:val="right"/>
      <w:pPr>
        <w:ind w:left="2569" w:hanging="180"/>
      </w:pPr>
    </w:lvl>
    <w:lvl w:ilvl="3" w:tplc="100C000F" w:tentative="1">
      <w:start w:val="1"/>
      <w:numFmt w:val="decimal"/>
      <w:lvlText w:val="%4."/>
      <w:lvlJc w:val="left"/>
      <w:pPr>
        <w:ind w:left="3289" w:hanging="360"/>
      </w:pPr>
    </w:lvl>
    <w:lvl w:ilvl="4" w:tplc="100C0019" w:tentative="1">
      <w:start w:val="1"/>
      <w:numFmt w:val="lowerLetter"/>
      <w:lvlText w:val="%5."/>
      <w:lvlJc w:val="left"/>
      <w:pPr>
        <w:ind w:left="4009" w:hanging="360"/>
      </w:pPr>
    </w:lvl>
    <w:lvl w:ilvl="5" w:tplc="100C001B" w:tentative="1">
      <w:start w:val="1"/>
      <w:numFmt w:val="lowerRoman"/>
      <w:lvlText w:val="%6."/>
      <w:lvlJc w:val="right"/>
      <w:pPr>
        <w:ind w:left="4729" w:hanging="180"/>
      </w:pPr>
    </w:lvl>
    <w:lvl w:ilvl="6" w:tplc="100C000F" w:tentative="1">
      <w:start w:val="1"/>
      <w:numFmt w:val="decimal"/>
      <w:lvlText w:val="%7."/>
      <w:lvlJc w:val="left"/>
      <w:pPr>
        <w:ind w:left="5449" w:hanging="360"/>
      </w:pPr>
    </w:lvl>
    <w:lvl w:ilvl="7" w:tplc="100C0019" w:tentative="1">
      <w:start w:val="1"/>
      <w:numFmt w:val="lowerLetter"/>
      <w:lvlText w:val="%8."/>
      <w:lvlJc w:val="left"/>
      <w:pPr>
        <w:ind w:left="6169" w:hanging="360"/>
      </w:pPr>
    </w:lvl>
    <w:lvl w:ilvl="8" w:tplc="10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B97057D"/>
    <w:multiLevelType w:val="hybridMultilevel"/>
    <w:tmpl w:val="12024318"/>
    <w:lvl w:ilvl="0" w:tplc="3F5C089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56C3A"/>
    <w:multiLevelType w:val="hybridMultilevel"/>
    <w:tmpl w:val="99E20378"/>
    <w:lvl w:ilvl="0" w:tplc="AF723B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15"/>
    <w:rsid w:val="00043CAA"/>
    <w:rsid w:val="00064FB6"/>
    <w:rsid w:val="00075432"/>
    <w:rsid w:val="000765C4"/>
    <w:rsid w:val="000968ED"/>
    <w:rsid w:val="000C117A"/>
    <w:rsid w:val="000D4C73"/>
    <w:rsid w:val="000F5E56"/>
    <w:rsid w:val="001362EE"/>
    <w:rsid w:val="00156693"/>
    <w:rsid w:val="001647D5"/>
    <w:rsid w:val="001832A6"/>
    <w:rsid w:val="0021217E"/>
    <w:rsid w:val="00251237"/>
    <w:rsid w:val="002634C4"/>
    <w:rsid w:val="002928D3"/>
    <w:rsid w:val="002E1DA2"/>
    <w:rsid w:val="002F1FE6"/>
    <w:rsid w:val="002F4E68"/>
    <w:rsid w:val="00312F7F"/>
    <w:rsid w:val="00326904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13C"/>
    <w:rsid w:val="00477D6B"/>
    <w:rsid w:val="004B05DB"/>
    <w:rsid w:val="005019FF"/>
    <w:rsid w:val="00504DE4"/>
    <w:rsid w:val="00513B45"/>
    <w:rsid w:val="00521AD4"/>
    <w:rsid w:val="0053057A"/>
    <w:rsid w:val="00560A29"/>
    <w:rsid w:val="005866F5"/>
    <w:rsid w:val="00597187"/>
    <w:rsid w:val="005B17C4"/>
    <w:rsid w:val="005C6649"/>
    <w:rsid w:val="005E1CFB"/>
    <w:rsid w:val="00605827"/>
    <w:rsid w:val="00646050"/>
    <w:rsid w:val="00653EF6"/>
    <w:rsid w:val="006713CA"/>
    <w:rsid w:val="00676C5C"/>
    <w:rsid w:val="006A0693"/>
    <w:rsid w:val="006D6434"/>
    <w:rsid w:val="006E4F5F"/>
    <w:rsid w:val="00731AF5"/>
    <w:rsid w:val="007531AB"/>
    <w:rsid w:val="00783FB8"/>
    <w:rsid w:val="007D1613"/>
    <w:rsid w:val="007D42A8"/>
    <w:rsid w:val="007E4C0E"/>
    <w:rsid w:val="007F12EC"/>
    <w:rsid w:val="008237EF"/>
    <w:rsid w:val="00846A2D"/>
    <w:rsid w:val="00860537"/>
    <w:rsid w:val="00862A89"/>
    <w:rsid w:val="00877718"/>
    <w:rsid w:val="008A134B"/>
    <w:rsid w:val="008B2CC1"/>
    <w:rsid w:val="008B60B2"/>
    <w:rsid w:val="0090731E"/>
    <w:rsid w:val="00916EE2"/>
    <w:rsid w:val="0094615A"/>
    <w:rsid w:val="0096099B"/>
    <w:rsid w:val="00966A22"/>
    <w:rsid w:val="0096722F"/>
    <w:rsid w:val="00980843"/>
    <w:rsid w:val="009C127D"/>
    <w:rsid w:val="009D2CFC"/>
    <w:rsid w:val="009E2791"/>
    <w:rsid w:val="009E3F6F"/>
    <w:rsid w:val="009F499F"/>
    <w:rsid w:val="00A37342"/>
    <w:rsid w:val="00A42DAF"/>
    <w:rsid w:val="00A45BD8"/>
    <w:rsid w:val="00A57370"/>
    <w:rsid w:val="00A61A0C"/>
    <w:rsid w:val="00A869B7"/>
    <w:rsid w:val="00AA2DD4"/>
    <w:rsid w:val="00AC205C"/>
    <w:rsid w:val="00AC6315"/>
    <w:rsid w:val="00AE4D2B"/>
    <w:rsid w:val="00AF0A6B"/>
    <w:rsid w:val="00B05A69"/>
    <w:rsid w:val="00B51003"/>
    <w:rsid w:val="00B81565"/>
    <w:rsid w:val="00B9734B"/>
    <w:rsid w:val="00BA30E2"/>
    <w:rsid w:val="00C11BFE"/>
    <w:rsid w:val="00C5068F"/>
    <w:rsid w:val="00C5283D"/>
    <w:rsid w:val="00C86D74"/>
    <w:rsid w:val="00CB1B0E"/>
    <w:rsid w:val="00CC5FB7"/>
    <w:rsid w:val="00CD04F1"/>
    <w:rsid w:val="00CD7F59"/>
    <w:rsid w:val="00D44A0B"/>
    <w:rsid w:val="00D45252"/>
    <w:rsid w:val="00D66E37"/>
    <w:rsid w:val="00D71B4D"/>
    <w:rsid w:val="00D93D55"/>
    <w:rsid w:val="00D95159"/>
    <w:rsid w:val="00DE34DE"/>
    <w:rsid w:val="00DF023A"/>
    <w:rsid w:val="00DF383E"/>
    <w:rsid w:val="00E15015"/>
    <w:rsid w:val="00E30C32"/>
    <w:rsid w:val="00E335FE"/>
    <w:rsid w:val="00E85557"/>
    <w:rsid w:val="00EA7D6E"/>
    <w:rsid w:val="00EC4E49"/>
    <w:rsid w:val="00ED77FB"/>
    <w:rsid w:val="00EE45FA"/>
    <w:rsid w:val="00EF192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C631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53EF6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653EF6"/>
    <w:rPr>
      <w:vertAlign w:val="superscript"/>
    </w:rPr>
  </w:style>
  <w:style w:type="paragraph" w:customStyle="1" w:styleId="Default">
    <w:name w:val="Default"/>
    <w:rsid w:val="00653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EF6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F192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34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34D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34D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E34DE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C631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53EF6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653EF6"/>
    <w:rPr>
      <w:vertAlign w:val="superscript"/>
    </w:rPr>
  </w:style>
  <w:style w:type="paragraph" w:customStyle="1" w:styleId="Default">
    <w:name w:val="Default"/>
    <w:rsid w:val="00653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EF6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F192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34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34D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34D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E34DE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F92E-AFF6-4C42-986D-64B2A9CC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35 (E)</Template>
  <TotalTime>2</TotalTime>
  <Pages>3</Pages>
  <Words>379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LI/A/35/</vt:lpstr>
    </vt:vector>
  </TitlesOfParts>
  <Company>WIPO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LI/A/35/</dc:title>
  <dc:subject>Thirty-Fifth (13th Extraordinary) Session</dc:subject>
  <dc:creator>DORE Marie-Pierre</dc:creator>
  <cp:lastModifiedBy>HÄFLIGER Patience</cp:lastModifiedBy>
  <cp:revision>5</cp:revision>
  <cp:lastPrinted>2018-07-16T09:05:00Z</cp:lastPrinted>
  <dcterms:created xsi:type="dcterms:W3CDTF">2018-07-11T13:32:00Z</dcterms:created>
  <dcterms:modified xsi:type="dcterms:W3CDTF">2018-07-16T09:05:00Z</dcterms:modified>
  <cp:category>Special Union for the Protection of Appellations of Origin and their International Registration (Lisbon Union)</cp:category>
</cp:coreProperties>
</file>