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5958D" w14:textId="77777777" w:rsidR="00E5566B" w:rsidRPr="00123893" w:rsidRDefault="00E5566B" w:rsidP="00E5566B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</w:p>
    <w:p w14:paraId="16B7037D" w14:textId="3B1FE0EA" w:rsidR="006E4F5F" w:rsidRDefault="00AC3EDB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noProof/>
          <w:sz w:val="15"/>
          <w:lang w:eastAsia="en-US"/>
        </w:rPr>
        <w:drawing>
          <wp:inline distT="0" distB="0" distL="0" distR="0" wp14:anchorId="77EC3E5D" wp14:editId="3E3D8D20">
            <wp:extent cx="1810385" cy="1341120"/>
            <wp:effectExtent l="0" t="0" r="0" b="0"/>
            <wp:docPr id="3" name="Picture 3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семирной организации интеллектуальной собствен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0D8DE8" w14:textId="49316F4A" w:rsidR="006E4F5F" w:rsidRPr="00342182" w:rsidRDefault="008166B3" w:rsidP="00086241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E60AE4">
        <w:rPr>
          <w:rFonts w:ascii="Arial Black" w:hAnsi="Arial Black"/>
          <w:b/>
          <w:caps/>
          <w:sz w:val="15"/>
        </w:rPr>
        <w:t>LI/A/</w:t>
      </w:r>
      <w:r w:rsidR="00C214BD" w:rsidRPr="00E60AE4">
        <w:rPr>
          <w:rFonts w:ascii="Arial Black" w:hAnsi="Arial Black"/>
          <w:b/>
          <w:caps/>
          <w:sz w:val="15"/>
        </w:rPr>
        <w:t>38</w:t>
      </w:r>
      <w:r w:rsidR="006E4F5F" w:rsidRPr="00E60AE4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C74519" w:rsidRPr="00E60AE4">
        <w:rPr>
          <w:rFonts w:ascii="Arial Black" w:hAnsi="Arial Black"/>
          <w:b/>
          <w:caps/>
          <w:sz w:val="15"/>
        </w:rPr>
        <w:t>2</w:t>
      </w:r>
    </w:p>
    <w:p w14:paraId="5109B94C" w14:textId="0AE4130D" w:rsidR="006E4F5F" w:rsidRPr="00342182" w:rsidRDefault="00AC3EDB" w:rsidP="006E4F5F">
      <w:pPr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342182">
        <w:rPr>
          <w:rFonts w:ascii="Arial Black" w:hAnsi="Arial Black"/>
          <w:b/>
          <w:caps/>
          <w:sz w:val="15"/>
        </w:rPr>
        <w:t>:</w:t>
      </w:r>
      <w:r w:rsidR="00781DB8" w:rsidRPr="00342182">
        <w:rPr>
          <w:rFonts w:ascii="Arial Black" w:hAnsi="Arial Black"/>
          <w:b/>
          <w:caps/>
          <w:sz w:val="15"/>
        </w:rPr>
        <w:t xml:space="preserve"> </w:t>
      </w:r>
      <w:r w:rsidR="006E4F5F" w:rsidRPr="00342182">
        <w:rPr>
          <w:rFonts w:ascii="Arial Black" w:hAnsi="Arial Black"/>
          <w:b/>
          <w:caps/>
          <w:sz w:val="15"/>
        </w:rPr>
        <w:t xml:space="preserve">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14:paraId="7D168567" w14:textId="325A11A3" w:rsidR="006E4F5F" w:rsidRPr="006E4F5F" w:rsidRDefault="00AC3EDB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342182">
        <w:rPr>
          <w:rFonts w:ascii="Arial Black" w:hAnsi="Arial Black"/>
          <w:b/>
          <w:caps/>
          <w:sz w:val="15"/>
        </w:rPr>
        <w:t>:</w:t>
      </w:r>
      <w:r w:rsidR="00781DB8" w:rsidRPr="00342182">
        <w:rPr>
          <w:rFonts w:ascii="Arial Black" w:hAnsi="Arial Black"/>
          <w:b/>
          <w:caps/>
          <w:sz w:val="15"/>
        </w:rPr>
        <w:t xml:space="preserve"> </w:t>
      </w:r>
      <w:r w:rsidR="006E4F5F" w:rsidRPr="00342182">
        <w:rPr>
          <w:rFonts w:ascii="Arial Black" w:hAnsi="Arial Black"/>
          <w:b/>
          <w:caps/>
          <w:sz w:val="15"/>
        </w:rPr>
        <w:t xml:space="preserve"> </w:t>
      </w:r>
      <w:bookmarkStart w:id="3" w:name="Date"/>
      <w:bookmarkEnd w:id="3"/>
      <w:r w:rsidR="00531C21">
        <w:rPr>
          <w:rFonts w:ascii="Arial Black" w:hAnsi="Arial Black"/>
          <w:b/>
          <w:caps/>
          <w:sz w:val="15"/>
        </w:rPr>
        <w:t>2</w:t>
      </w:r>
      <w:r>
        <w:rPr>
          <w:rFonts w:ascii="Arial Black" w:hAnsi="Arial Black"/>
          <w:b/>
          <w:caps/>
          <w:sz w:val="15"/>
          <w:lang w:val="ru-RU"/>
        </w:rPr>
        <w:t xml:space="preserve"> июля</w:t>
      </w:r>
      <w:r w:rsidR="00F00337">
        <w:rPr>
          <w:rFonts w:ascii="Arial Black" w:hAnsi="Arial Black"/>
          <w:b/>
          <w:caps/>
          <w:sz w:val="15"/>
        </w:rPr>
        <w:t xml:space="preserve"> 202</w:t>
      </w:r>
      <w:r>
        <w:rPr>
          <w:rFonts w:ascii="Arial Black" w:hAnsi="Arial Black"/>
          <w:b/>
          <w:caps/>
          <w:sz w:val="15"/>
          <w:lang w:val="ru-RU"/>
        </w:rPr>
        <w:t>1 г.</w:t>
      </w:r>
    </w:p>
    <w:p w14:paraId="6408B6BA" w14:textId="60DE6379" w:rsidR="00A60917" w:rsidRPr="003E5E5D" w:rsidRDefault="003E5E5D" w:rsidP="00A60917">
      <w:pPr>
        <w:pStyle w:val="Heading1"/>
        <w:rPr>
          <w:lang w:val="ru-RU"/>
        </w:rPr>
      </w:pPr>
      <w:r w:rsidRPr="003E5E5D">
        <w:rPr>
          <w:lang w:val="ru-RU"/>
        </w:rPr>
        <w:t>Специальный союз по охране наименований мест происхождения и их международной регистрации (Лиссабонский союз)</w:t>
      </w:r>
    </w:p>
    <w:p w14:paraId="3D56F694" w14:textId="024A9A52" w:rsidR="008B2CC1" w:rsidRPr="00840652" w:rsidRDefault="00503A64" w:rsidP="00A60917">
      <w:pPr>
        <w:pStyle w:val="Heading1"/>
        <w:rPr>
          <w:lang w:val="ru-RU"/>
        </w:rPr>
      </w:pPr>
      <w:r>
        <w:rPr>
          <w:lang w:val="ru-RU"/>
        </w:rPr>
        <w:t>Ассамблея</w:t>
      </w:r>
    </w:p>
    <w:p w14:paraId="4C3E7304" w14:textId="4089C78A" w:rsidR="008B2CC1" w:rsidRPr="00840652" w:rsidRDefault="009D4B21" w:rsidP="003D2030">
      <w:pPr>
        <w:spacing w:after="720"/>
        <w:rPr>
          <w:b/>
          <w:sz w:val="24"/>
          <w:lang w:val="ru-RU"/>
        </w:rPr>
      </w:pPr>
      <w:r w:rsidRPr="009D4B21">
        <w:rPr>
          <w:b/>
          <w:sz w:val="24"/>
          <w:lang w:val="ru-RU"/>
        </w:rPr>
        <w:t>Тридцать восьмая (24-я очередная) сессия</w:t>
      </w:r>
      <w:r w:rsidR="003D57B0" w:rsidRPr="00840652">
        <w:rPr>
          <w:b/>
          <w:sz w:val="24"/>
          <w:lang w:val="ru-RU"/>
        </w:rPr>
        <w:br/>
      </w:r>
      <w:r w:rsidR="00FE5728">
        <w:rPr>
          <w:b/>
          <w:sz w:val="24"/>
          <w:lang w:val="ru-RU"/>
        </w:rPr>
        <w:t>Женева</w:t>
      </w:r>
      <w:r w:rsidR="007D1BA3" w:rsidRPr="00840652">
        <w:rPr>
          <w:b/>
          <w:sz w:val="24"/>
          <w:lang w:val="ru-RU"/>
        </w:rPr>
        <w:t xml:space="preserve">, </w:t>
      </w:r>
      <w:r w:rsidR="004579E8" w:rsidRPr="004579E8">
        <w:rPr>
          <w:b/>
          <w:sz w:val="24"/>
          <w:lang w:val="ru-RU"/>
        </w:rPr>
        <w:t>4–8 октября 2021 г.</w:t>
      </w:r>
    </w:p>
    <w:p w14:paraId="12CF45D6" w14:textId="421968B9" w:rsidR="000F0B28" w:rsidRPr="00840652" w:rsidRDefault="00CE444D" w:rsidP="000F0B28">
      <w:pPr>
        <w:spacing w:after="360"/>
        <w:rPr>
          <w:caps/>
          <w:sz w:val="24"/>
          <w:szCs w:val="24"/>
          <w:lang w:val="ru-RU"/>
        </w:rPr>
      </w:pPr>
      <w:bookmarkStart w:id="4" w:name="TitleOfDoc"/>
      <w:bookmarkStart w:id="5" w:name="Prepared"/>
      <w:bookmarkEnd w:id="4"/>
      <w:bookmarkEnd w:id="5"/>
      <w:r w:rsidRPr="00840652">
        <w:rPr>
          <w:caps/>
          <w:sz w:val="24"/>
          <w:szCs w:val="24"/>
          <w:lang w:val="ru-RU"/>
        </w:rPr>
        <w:t>ПРЕДЛАГАЕМЫЕ ПОПРАВКИ К ОБЩЕЙ ИНСТРУКЦИИ К ЛИССАБОНСКОМУ СОГЛАШЕНИЮ</w:t>
      </w:r>
      <w:r>
        <w:rPr>
          <w:cap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 </w:t>
      </w:r>
      <w:r w:rsidRPr="00CE444D">
        <w:rPr>
          <w:sz w:val="24"/>
          <w:szCs w:val="24"/>
          <w:lang w:val="ru-RU"/>
        </w:rPr>
        <w:t>ЖЕНЕВСКОМУ АКТУ ЛИССАБОНСКОГО СОГЛАШЕНИЯ</w:t>
      </w:r>
    </w:p>
    <w:p w14:paraId="34B6CD01" w14:textId="63CA780C" w:rsidR="008B2CC1" w:rsidRPr="009C127D" w:rsidRDefault="009E2F9E" w:rsidP="009C127D">
      <w:pPr>
        <w:spacing w:after="960"/>
        <w:rPr>
          <w:i/>
        </w:rPr>
      </w:pPr>
      <w:r>
        <w:rPr>
          <w:i/>
          <w:lang w:val="ru-RU"/>
        </w:rPr>
        <w:t>Документ подготовлен Секретариатом</w:t>
      </w:r>
    </w:p>
    <w:p w14:paraId="3BECD24B" w14:textId="7908948D" w:rsidR="000D60DE" w:rsidRPr="00E24584" w:rsidRDefault="00626C1B" w:rsidP="00B157D4">
      <w:pPr>
        <w:pStyle w:val="ONUME"/>
        <w:spacing w:after="240"/>
        <w:rPr>
          <w:lang w:val="ru-RU"/>
        </w:rPr>
      </w:pPr>
      <w:r w:rsidRPr="00E24584">
        <w:rPr>
          <w:lang w:val="ru-RU"/>
        </w:rPr>
        <w:t>Рабочая группа по разви</w:t>
      </w:r>
      <w:r w:rsidR="004046B4">
        <w:rPr>
          <w:lang w:val="ru-RU"/>
        </w:rPr>
        <w:t>тию Лиссабонской системы (далее </w:t>
      </w:r>
      <w:r w:rsidRPr="00E24584">
        <w:rPr>
          <w:lang w:val="ru-RU"/>
        </w:rPr>
        <w:t>– Рабочая группа) на своей третьей сессии, состоявшейся 2</w:t>
      </w:r>
      <w:r w:rsidR="005E0CE5" w:rsidRPr="00E24584">
        <w:rPr>
          <w:lang w:val="ru-RU"/>
        </w:rPr>
        <w:t> </w:t>
      </w:r>
      <w:r w:rsidRPr="00E24584">
        <w:rPr>
          <w:lang w:val="ru-RU"/>
        </w:rPr>
        <w:t>и</w:t>
      </w:r>
      <w:r w:rsidR="005E0CE5" w:rsidRPr="00E24584">
        <w:rPr>
          <w:lang w:val="ru-RU"/>
        </w:rPr>
        <w:t> </w:t>
      </w:r>
      <w:r w:rsidRPr="00E24584">
        <w:rPr>
          <w:lang w:val="ru-RU"/>
        </w:rPr>
        <w:t>3 ноября 2020 г., рекомендовала Ассамблее Лиссабонского союза принять</w:t>
      </w:r>
      <w:r w:rsidR="005E0CE5" w:rsidRPr="00E24584">
        <w:rPr>
          <w:lang w:val="ru-RU"/>
        </w:rPr>
        <w:t xml:space="preserve"> на тридцать восьмой сессии</w:t>
      </w:r>
      <w:r w:rsidRPr="00E24584">
        <w:rPr>
          <w:lang w:val="ru-RU"/>
        </w:rPr>
        <w:t xml:space="preserve"> поправки к Общей инструкции к Лиссабонскому соглашению об охране наименований мест происхождения и их международной регистрации и Женевскому акту Лиссабонского соглашения о наименованиях мест происхождения и географических указаниях</w:t>
      </w:r>
      <w:r w:rsidR="005E0CE5" w:rsidRPr="00E24584">
        <w:rPr>
          <w:lang w:val="ru-RU"/>
        </w:rPr>
        <w:t xml:space="preserve"> (далее – Общая инструкция)</w:t>
      </w:r>
      <w:r w:rsidRPr="00E24584">
        <w:rPr>
          <w:lang w:val="ru-RU"/>
        </w:rPr>
        <w:t xml:space="preserve">, </w:t>
      </w:r>
      <w:r w:rsidR="00E127B2">
        <w:rPr>
          <w:lang w:val="ru-RU"/>
        </w:rPr>
        <w:t xml:space="preserve">связанные с </w:t>
      </w:r>
      <w:r w:rsidRPr="00E24584">
        <w:rPr>
          <w:lang w:val="ru-RU"/>
        </w:rPr>
        <w:t>добавлени</w:t>
      </w:r>
      <w:r w:rsidR="00E127B2">
        <w:rPr>
          <w:lang w:val="ru-RU"/>
        </w:rPr>
        <w:t>ем</w:t>
      </w:r>
      <w:r w:rsidRPr="00E24584">
        <w:rPr>
          <w:lang w:val="ru-RU"/>
        </w:rPr>
        <w:t xml:space="preserve"> нового правила 2bis</w:t>
      </w:r>
      <w:r w:rsidR="005E0CE5" w:rsidRPr="00E24584">
        <w:rPr>
          <w:lang w:val="ru-RU"/>
        </w:rPr>
        <w:t xml:space="preserve"> (см. пункт</w:t>
      </w:r>
      <w:r w:rsidR="00E127B2">
        <w:rPr>
          <w:lang w:val="ru-RU"/>
        </w:rPr>
        <w:t> 14 документа </w:t>
      </w:r>
      <w:r w:rsidR="005E0CE5" w:rsidRPr="00E24584">
        <w:rPr>
          <w:lang w:val="ru-RU"/>
        </w:rPr>
        <w:t>LI/WG/DEV-SYS/3/4)</w:t>
      </w:r>
      <w:r w:rsidR="000D60DE" w:rsidRPr="00E24584">
        <w:rPr>
          <w:i/>
          <w:szCs w:val="22"/>
          <w:lang w:val="ru-RU"/>
        </w:rPr>
        <w:t>.</w:t>
      </w:r>
      <w:r w:rsidR="00A67CC7" w:rsidRPr="00E24584">
        <w:rPr>
          <w:i/>
          <w:szCs w:val="22"/>
          <w:lang w:val="ru-RU"/>
        </w:rPr>
        <w:t xml:space="preserve">  </w:t>
      </w:r>
      <w:r w:rsidR="00866CFD" w:rsidRPr="00E24584">
        <w:rPr>
          <w:szCs w:val="22"/>
          <w:lang w:val="ru-RU"/>
        </w:rPr>
        <w:t>Рабочая группа обсуждала данный вопрос на основе документа</w:t>
      </w:r>
      <w:r w:rsidR="00650D14" w:rsidRPr="00E24584">
        <w:rPr>
          <w:szCs w:val="22"/>
          <w:lang w:val="ru-RU"/>
        </w:rPr>
        <w:t> </w:t>
      </w:r>
      <w:r w:rsidR="00A67CC7" w:rsidRPr="00E24584">
        <w:rPr>
          <w:szCs w:val="22"/>
          <w:lang w:val="ru-RU"/>
        </w:rPr>
        <w:t>LI/WG/DEV-SYS/3/3</w:t>
      </w:r>
      <w:r w:rsidR="00866CFD" w:rsidRPr="00E24584">
        <w:rPr>
          <w:szCs w:val="22"/>
          <w:lang w:val="ru-RU"/>
        </w:rPr>
        <w:t> </w:t>
      </w:r>
      <w:r w:rsidR="00A67CC7" w:rsidRPr="00E24584">
        <w:rPr>
          <w:szCs w:val="22"/>
          <w:lang w:val="ru-RU"/>
        </w:rPr>
        <w:t>Rev.</w:t>
      </w:r>
    </w:p>
    <w:p w14:paraId="61E27AB4" w14:textId="553193F1" w:rsidR="006C45BD" w:rsidRPr="00840652" w:rsidRDefault="0039628C" w:rsidP="00C8249B">
      <w:pPr>
        <w:pStyle w:val="ONUME"/>
        <w:rPr>
          <w:lang w:val="ru-RU"/>
        </w:rPr>
      </w:pPr>
      <w:r w:rsidRPr="0039628C">
        <w:rPr>
          <w:lang w:val="ru-RU"/>
        </w:rPr>
        <w:t xml:space="preserve">Предлагаемое </w:t>
      </w:r>
      <w:r>
        <w:rPr>
          <w:lang w:val="ru-RU"/>
        </w:rPr>
        <w:t xml:space="preserve">новое </w:t>
      </w:r>
      <w:r w:rsidRPr="0039628C">
        <w:rPr>
          <w:lang w:val="ru-RU"/>
        </w:rPr>
        <w:t>правило 2bis</w:t>
      </w:r>
      <w:r>
        <w:rPr>
          <w:lang w:val="ru-RU"/>
        </w:rPr>
        <w:t xml:space="preserve"> Общей инструкции</w:t>
      </w:r>
      <w:r w:rsidRPr="0039628C">
        <w:rPr>
          <w:lang w:val="ru-RU"/>
        </w:rPr>
        <w:t xml:space="preserve"> б</w:t>
      </w:r>
      <w:r>
        <w:rPr>
          <w:lang w:val="ru-RU"/>
        </w:rPr>
        <w:t>ыло бы</w:t>
      </w:r>
      <w:r w:rsidRPr="0039628C">
        <w:rPr>
          <w:lang w:val="ru-RU"/>
        </w:rPr>
        <w:t xml:space="preserve"> ценно для пользователей Лиссабонской системы, оказавшихся в форсмажорной ситуации, которая не позволяет им выполнить необходимое действие в установленный срок</w:t>
      </w:r>
      <w:r w:rsidR="006C45BD" w:rsidRPr="00840652">
        <w:rPr>
          <w:lang w:val="ru-RU"/>
        </w:rPr>
        <w:t xml:space="preserve">.  </w:t>
      </w:r>
      <w:r w:rsidR="001F4A53">
        <w:rPr>
          <w:lang w:val="ru-RU"/>
        </w:rPr>
        <w:t>Эти поправки предоставили бы таким пользователям защитный механизм эквивалентный тому, который предусмотрен в других глобальных системах ИС ВОИС</w:t>
      </w:r>
      <w:r w:rsidR="006C45BD" w:rsidRPr="00840652">
        <w:rPr>
          <w:lang w:val="ru-RU"/>
        </w:rPr>
        <w:t xml:space="preserve">.  </w:t>
      </w:r>
      <w:r w:rsidR="00C8249B">
        <w:rPr>
          <w:lang w:val="ru-RU"/>
        </w:rPr>
        <w:t>Новое правило требует, чтобы</w:t>
      </w:r>
      <w:r w:rsidR="00C8249B" w:rsidRPr="00C8249B">
        <w:rPr>
          <w:lang w:val="ru-RU"/>
        </w:rPr>
        <w:t xml:space="preserve"> соответствующее действие бы</w:t>
      </w:r>
      <w:r w:rsidR="00C8249B">
        <w:rPr>
          <w:lang w:val="ru-RU"/>
        </w:rPr>
        <w:t>ло</w:t>
      </w:r>
      <w:r w:rsidR="00C8249B" w:rsidRPr="00C8249B">
        <w:rPr>
          <w:lang w:val="ru-RU"/>
        </w:rPr>
        <w:t xml:space="preserve"> совершено, а доказательства представлены в кратчайшие разумные сроки и не позднее</w:t>
      </w:r>
      <w:r w:rsidR="00C8249B">
        <w:rPr>
          <w:lang w:val="ru-RU"/>
        </w:rPr>
        <w:t xml:space="preserve"> </w:t>
      </w:r>
      <w:r w:rsidR="00C8249B" w:rsidRPr="00C8249B">
        <w:rPr>
          <w:lang w:val="ru-RU"/>
        </w:rPr>
        <w:t>шест</w:t>
      </w:r>
      <w:r w:rsidR="00594B24">
        <w:rPr>
          <w:lang w:val="ru-RU"/>
        </w:rPr>
        <w:t>и</w:t>
      </w:r>
      <w:r w:rsidR="00C8249B" w:rsidRPr="00C8249B">
        <w:rPr>
          <w:lang w:val="ru-RU"/>
        </w:rPr>
        <w:t xml:space="preserve"> месяцев </w:t>
      </w:r>
      <w:r w:rsidR="00594B24">
        <w:rPr>
          <w:lang w:val="ru-RU"/>
        </w:rPr>
        <w:t xml:space="preserve">после </w:t>
      </w:r>
      <w:r w:rsidR="00C8249B" w:rsidRPr="00C8249B">
        <w:rPr>
          <w:lang w:val="ru-RU"/>
        </w:rPr>
        <w:t xml:space="preserve">истечения предписанного </w:t>
      </w:r>
      <w:r w:rsidR="00C8249B" w:rsidRPr="00C8249B">
        <w:rPr>
          <w:lang w:val="ru-RU"/>
        </w:rPr>
        <w:lastRenderedPageBreak/>
        <w:t>срок</w:t>
      </w:r>
      <w:r w:rsidR="00C8249B">
        <w:rPr>
          <w:lang w:val="ru-RU"/>
        </w:rPr>
        <w:t>а</w:t>
      </w:r>
      <w:r w:rsidR="006C45BD" w:rsidRPr="00840652">
        <w:rPr>
          <w:lang w:val="ru-RU"/>
        </w:rPr>
        <w:t>.</w:t>
      </w:r>
      <w:r w:rsidR="00A3210C" w:rsidRPr="00840652">
        <w:rPr>
          <w:szCs w:val="22"/>
          <w:lang w:val="ru-RU"/>
        </w:rPr>
        <w:t xml:space="preserve">  </w:t>
      </w:r>
      <w:r w:rsidR="00F83726">
        <w:rPr>
          <w:szCs w:val="22"/>
          <w:lang w:val="ru-RU"/>
        </w:rPr>
        <w:t xml:space="preserve">Предлагаемые поправки к Общей инструкции </w:t>
      </w:r>
      <w:r w:rsidR="003A5F3B">
        <w:rPr>
          <w:szCs w:val="22"/>
          <w:lang w:val="ru-RU"/>
        </w:rPr>
        <w:t>воспроизводятся в приложении к настоящему документу</w:t>
      </w:r>
      <w:r w:rsidR="0035324C" w:rsidRPr="00840652">
        <w:rPr>
          <w:lang w:val="ru-RU"/>
        </w:rPr>
        <w:t xml:space="preserve"> (</w:t>
      </w:r>
      <w:r w:rsidR="00FF0A03">
        <w:rPr>
          <w:lang w:val="ru-RU"/>
        </w:rPr>
        <w:t xml:space="preserve">текст предлагаемых поправок подчеркнут или </w:t>
      </w:r>
      <w:r w:rsidR="005F192E">
        <w:rPr>
          <w:lang w:val="ru-RU"/>
        </w:rPr>
        <w:t>вычеркнут</w:t>
      </w:r>
      <w:r w:rsidR="0035324C" w:rsidRPr="00840652">
        <w:rPr>
          <w:lang w:val="ru-RU"/>
        </w:rPr>
        <w:t>)</w:t>
      </w:r>
      <w:r w:rsidR="00A3210C" w:rsidRPr="00840652">
        <w:rPr>
          <w:lang w:val="ru-RU"/>
        </w:rPr>
        <w:t>.</w:t>
      </w:r>
    </w:p>
    <w:p w14:paraId="7EDA49A0" w14:textId="0A264F9A" w:rsidR="00F77EF5" w:rsidRPr="00C67880" w:rsidRDefault="00D309D6" w:rsidP="004B2CC9">
      <w:pPr>
        <w:pStyle w:val="ONUME"/>
        <w:spacing w:after="240"/>
        <w:rPr>
          <w:lang w:val="ru-RU"/>
        </w:rPr>
      </w:pPr>
      <w:r w:rsidRPr="00C67880">
        <w:rPr>
          <w:szCs w:val="22"/>
          <w:lang w:val="ru-RU"/>
        </w:rPr>
        <w:t>Рабочая группа также рекомендовала, чтобы предлагаемые поправки к Общей инструкции вступили в силу через два месяца после их принятия Ассамблей Лиссабонского союза, т.е. 8 декабря 2021 г</w:t>
      </w:r>
      <w:r w:rsidR="00836736" w:rsidRPr="00C67880">
        <w:rPr>
          <w:lang w:val="ru-RU"/>
        </w:rPr>
        <w:t>.</w:t>
      </w:r>
      <w:r w:rsidR="00D367E1" w:rsidRPr="00C67880">
        <w:rPr>
          <w:lang w:val="ru-RU"/>
        </w:rPr>
        <w:t xml:space="preserve"> (см. пункт 14 документа </w:t>
      </w:r>
      <w:r w:rsidR="00D367E1" w:rsidRPr="00C67880">
        <w:rPr>
          <w:szCs w:val="22"/>
          <w:lang w:val="ru-RU"/>
        </w:rPr>
        <w:t>LI/WG/DEV-SYS/3/4)</w:t>
      </w:r>
      <w:r w:rsidR="00C67880" w:rsidRPr="00C67880">
        <w:rPr>
          <w:szCs w:val="22"/>
          <w:lang w:val="ru-RU"/>
        </w:rPr>
        <w:t>.</w:t>
      </w:r>
    </w:p>
    <w:p w14:paraId="2E4EE46A" w14:textId="7AD6B859" w:rsidR="00945A95" w:rsidRPr="00840652" w:rsidRDefault="00A3210C" w:rsidP="00BB60F8">
      <w:pPr>
        <w:spacing w:before="240"/>
        <w:ind w:left="5534"/>
        <w:rPr>
          <w:i/>
          <w:lang w:val="ru-RU"/>
        </w:rPr>
      </w:pPr>
      <w:r w:rsidRPr="00840652">
        <w:rPr>
          <w:i/>
          <w:lang w:val="ru-RU"/>
        </w:rPr>
        <w:t>4</w:t>
      </w:r>
      <w:r w:rsidR="000F0B28" w:rsidRPr="00840652">
        <w:rPr>
          <w:i/>
          <w:lang w:val="ru-RU"/>
        </w:rPr>
        <w:t>.</w:t>
      </w:r>
      <w:r w:rsidR="000F0B28" w:rsidRPr="00840652">
        <w:rPr>
          <w:i/>
          <w:lang w:val="ru-RU"/>
        </w:rPr>
        <w:tab/>
      </w:r>
      <w:r w:rsidR="00485044">
        <w:rPr>
          <w:i/>
          <w:lang w:val="ru-RU"/>
        </w:rPr>
        <w:t xml:space="preserve">Ассамблее Лиссабонского союза предлагается принять поправки к Общей инструкции к Лиссабонскому соглашению и Женевскому акту Лиссабонского соглашения, </w:t>
      </w:r>
      <w:r w:rsidR="00E44750">
        <w:rPr>
          <w:i/>
          <w:lang w:val="ru-RU"/>
        </w:rPr>
        <w:t xml:space="preserve">изложенные </w:t>
      </w:r>
      <w:r w:rsidR="00485044">
        <w:rPr>
          <w:i/>
          <w:lang w:val="ru-RU"/>
        </w:rPr>
        <w:t xml:space="preserve">в приложении к документу </w:t>
      </w:r>
      <w:r w:rsidR="00706E7D">
        <w:rPr>
          <w:i/>
        </w:rPr>
        <w:t>LI</w:t>
      </w:r>
      <w:r w:rsidR="00706E7D" w:rsidRPr="00840652">
        <w:rPr>
          <w:i/>
          <w:lang w:val="ru-RU"/>
        </w:rPr>
        <w:t>/</w:t>
      </w:r>
      <w:r w:rsidR="00706E7D">
        <w:rPr>
          <w:i/>
        </w:rPr>
        <w:t>A</w:t>
      </w:r>
      <w:r w:rsidR="00706E7D" w:rsidRPr="00840652">
        <w:rPr>
          <w:i/>
          <w:lang w:val="ru-RU"/>
        </w:rPr>
        <w:t>/38/2</w:t>
      </w:r>
      <w:r w:rsidR="00945A95" w:rsidRPr="00840652">
        <w:rPr>
          <w:i/>
          <w:lang w:val="ru-RU"/>
        </w:rPr>
        <w:t>.</w:t>
      </w:r>
    </w:p>
    <w:p w14:paraId="47ABC830" w14:textId="7DF338BB" w:rsidR="004B2CC9" w:rsidRPr="00840652" w:rsidRDefault="003F2B2D" w:rsidP="004B2CC9">
      <w:pPr>
        <w:spacing w:before="960"/>
        <w:ind w:left="5534"/>
        <w:rPr>
          <w:lang w:val="ru-RU"/>
        </w:rPr>
        <w:sectPr w:rsidR="004B2CC9" w:rsidRPr="00840652" w:rsidSect="00AC6315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840652">
        <w:rPr>
          <w:lang w:val="ru-RU"/>
        </w:rPr>
        <w:t>[</w:t>
      </w:r>
      <w:r w:rsidR="00E44750">
        <w:rPr>
          <w:lang w:val="ru-RU"/>
        </w:rPr>
        <w:t>Приложение следует</w:t>
      </w:r>
      <w:r w:rsidR="00BB60F8" w:rsidRPr="00840652">
        <w:rPr>
          <w:lang w:val="ru-RU"/>
        </w:rPr>
        <w:t>]</w:t>
      </w:r>
    </w:p>
    <w:p w14:paraId="3401BF01" w14:textId="19A955E2" w:rsidR="00B95020" w:rsidRPr="00E41759" w:rsidRDefault="00E41759" w:rsidP="004B2CC9">
      <w:pPr>
        <w:jc w:val="center"/>
        <w:rPr>
          <w:rFonts w:eastAsia="MS Mincho"/>
          <w:b/>
          <w:bCs/>
          <w:szCs w:val="22"/>
          <w:lang w:val="ru-RU" w:eastAsia="en-US"/>
        </w:rPr>
      </w:pPr>
      <w:r>
        <w:rPr>
          <w:rFonts w:eastAsia="MS Mincho"/>
          <w:b/>
          <w:bCs/>
          <w:szCs w:val="22"/>
          <w:lang w:val="ru-RU" w:eastAsia="en-US"/>
        </w:rPr>
        <w:lastRenderedPageBreak/>
        <w:t>Общая инструкция</w:t>
      </w:r>
    </w:p>
    <w:p w14:paraId="42096B72" w14:textId="1D5BC962" w:rsidR="00B95020" w:rsidRPr="00E41759" w:rsidRDefault="00E41759" w:rsidP="00B95020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  <w:r w:rsidRPr="00E41759">
        <w:rPr>
          <w:rFonts w:eastAsia="MS Mincho"/>
          <w:b/>
          <w:bCs/>
          <w:szCs w:val="22"/>
          <w:lang w:val="ru-RU" w:eastAsia="en-US"/>
        </w:rPr>
        <w:t xml:space="preserve">к Лиссабонскому соглашению об охране наименований мест происхождения и </w:t>
      </w:r>
      <w:r w:rsidRPr="00E41759">
        <w:rPr>
          <w:rFonts w:eastAsia="MS Mincho"/>
          <w:b/>
          <w:bCs/>
          <w:szCs w:val="22"/>
          <w:lang w:val="ru-RU" w:eastAsia="en-US"/>
        </w:rPr>
        <w:br/>
        <w:t>их международной регистрации и Женевскому акту Лиссабонского соглашения о наименованиях мест происхождения и географических указаниях</w:t>
      </w:r>
    </w:p>
    <w:p w14:paraId="7E6BC555" w14:textId="59F0BD4E" w:rsidR="00B95020" w:rsidRPr="00840652" w:rsidRDefault="00B95020" w:rsidP="00B95020">
      <w:pPr>
        <w:spacing w:before="240"/>
        <w:jc w:val="center"/>
        <w:rPr>
          <w:rFonts w:eastAsia="MS Mincho"/>
          <w:szCs w:val="22"/>
          <w:lang w:val="ru-RU" w:eastAsia="en-US"/>
        </w:rPr>
      </w:pPr>
      <w:r w:rsidRPr="00840652">
        <w:rPr>
          <w:rFonts w:eastAsia="MS Mincho"/>
          <w:szCs w:val="22"/>
          <w:lang w:val="ru-RU" w:eastAsia="en-US"/>
        </w:rPr>
        <w:t>(</w:t>
      </w:r>
      <w:r w:rsidR="0095299D">
        <w:rPr>
          <w:rFonts w:eastAsia="MS Mincho"/>
          <w:szCs w:val="22"/>
          <w:lang w:val="ru-RU" w:eastAsia="en-US"/>
        </w:rPr>
        <w:t>действует с</w:t>
      </w:r>
      <w:r w:rsidR="009D31C0" w:rsidRPr="00840652">
        <w:rPr>
          <w:szCs w:val="22"/>
          <w:lang w:val="ru-RU"/>
        </w:rPr>
        <w:t xml:space="preserve"> </w:t>
      </w:r>
      <w:r w:rsidR="00D473F8" w:rsidRPr="00840652">
        <w:rPr>
          <w:color w:val="0070C0"/>
          <w:szCs w:val="22"/>
          <w:u w:val="single"/>
          <w:lang w:val="ru-RU"/>
        </w:rPr>
        <w:t>[8</w:t>
      </w:r>
      <w:r w:rsidR="00D473F8" w:rsidRPr="00A67AAC">
        <w:rPr>
          <w:color w:val="0070C0"/>
          <w:szCs w:val="22"/>
          <w:u w:val="single"/>
        </w:rPr>
        <w:t> </w:t>
      </w:r>
      <w:r w:rsidR="00D473F8" w:rsidRPr="00A67AAC">
        <w:rPr>
          <w:color w:val="0070C0"/>
          <w:szCs w:val="22"/>
          <w:u w:val="single"/>
          <w:lang w:val="ru-RU"/>
        </w:rPr>
        <w:t>декабря 2021 г.</w:t>
      </w:r>
      <w:r w:rsidR="00D473F8" w:rsidRPr="00840652">
        <w:rPr>
          <w:color w:val="0070C0"/>
          <w:szCs w:val="22"/>
          <w:u w:val="single"/>
          <w:lang w:val="ru-RU"/>
        </w:rPr>
        <w:t>]</w:t>
      </w:r>
      <w:r w:rsidRPr="00840652">
        <w:rPr>
          <w:rFonts w:eastAsia="MS Mincho"/>
          <w:szCs w:val="22"/>
          <w:lang w:val="ru-RU" w:eastAsia="en-US"/>
        </w:rPr>
        <w:t>)</w:t>
      </w:r>
    </w:p>
    <w:p w14:paraId="077E54AE" w14:textId="77777777" w:rsidR="00B95020" w:rsidRPr="00840652" w:rsidRDefault="00B95020" w:rsidP="00B95020">
      <w:pPr>
        <w:spacing w:before="240"/>
        <w:jc w:val="center"/>
        <w:rPr>
          <w:rFonts w:eastAsia="Times New Roman"/>
          <w:szCs w:val="22"/>
          <w:lang w:val="ru-RU" w:eastAsia="ja-JP"/>
        </w:rPr>
      </w:pPr>
      <w:r w:rsidRPr="00840652">
        <w:rPr>
          <w:rFonts w:eastAsia="Times New Roman"/>
          <w:szCs w:val="22"/>
          <w:lang w:val="ru-RU" w:eastAsia="ja-JP"/>
        </w:rPr>
        <w:t>[…]</w:t>
      </w:r>
    </w:p>
    <w:p w14:paraId="148341FF" w14:textId="47ACE1FD" w:rsidR="00B95020" w:rsidRPr="00F75630" w:rsidRDefault="00705CE9" w:rsidP="00B95020">
      <w:pPr>
        <w:spacing w:before="240"/>
        <w:jc w:val="center"/>
        <w:rPr>
          <w:rFonts w:eastAsia="MS Mincho"/>
          <w:b/>
          <w:bCs/>
          <w:szCs w:val="22"/>
          <w:lang w:val="ru-RU" w:eastAsia="en-US"/>
        </w:rPr>
      </w:pPr>
      <w:r>
        <w:rPr>
          <w:rFonts w:eastAsia="MS Mincho"/>
          <w:b/>
          <w:bCs/>
          <w:szCs w:val="22"/>
          <w:lang w:val="ru-RU" w:eastAsia="en-US"/>
        </w:rPr>
        <w:t>ГЛАВА</w:t>
      </w:r>
      <w:r w:rsidR="00B95020" w:rsidRPr="00840652">
        <w:rPr>
          <w:rFonts w:eastAsia="MS Mincho"/>
          <w:b/>
          <w:bCs/>
          <w:szCs w:val="22"/>
          <w:lang w:val="ru-RU" w:eastAsia="en-US"/>
        </w:rPr>
        <w:t xml:space="preserve"> </w:t>
      </w:r>
      <w:r w:rsidR="00B95020" w:rsidRPr="00B95020">
        <w:rPr>
          <w:rFonts w:eastAsia="MS Mincho"/>
          <w:b/>
          <w:bCs/>
          <w:szCs w:val="22"/>
          <w:lang w:eastAsia="en-US"/>
        </w:rPr>
        <w:t>I</w:t>
      </w:r>
    </w:p>
    <w:p w14:paraId="0A87A29D" w14:textId="4210468D" w:rsidR="00B95020" w:rsidRPr="00F75630" w:rsidRDefault="00705CE9" w:rsidP="00B95020">
      <w:pPr>
        <w:jc w:val="center"/>
        <w:rPr>
          <w:rFonts w:eastAsia="MS Mincho"/>
          <w:b/>
          <w:bCs/>
          <w:szCs w:val="22"/>
          <w:lang w:val="ru-RU" w:eastAsia="en-US"/>
        </w:rPr>
      </w:pPr>
      <w:r w:rsidRPr="00F75630">
        <w:rPr>
          <w:rFonts w:eastAsia="MS Mincho"/>
          <w:b/>
          <w:bCs/>
          <w:szCs w:val="22"/>
          <w:lang w:val="ru-RU" w:eastAsia="en-US"/>
        </w:rPr>
        <w:t>Вступительные и общие положения</w:t>
      </w:r>
    </w:p>
    <w:p w14:paraId="107625BF" w14:textId="77777777" w:rsidR="00B95020" w:rsidRPr="00840652" w:rsidRDefault="00B95020" w:rsidP="00B95020">
      <w:pPr>
        <w:spacing w:before="240"/>
        <w:jc w:val="center"/>
        <w:rPr>
          <w:rFonts w:eastAsia="Times New Roman"/>
          <w:szCs w:val="22"/>
          <w:lang w:val="ru-RU" w:eastAsia="ja-JP"/>
        </w:rPr>
      </w:pPr>
      <w:r w:rsidRPr="00840652">
        <w:rPr>
          <w:rFonts w:eastAsia="Times New Roman"/>
          <w:szCs w:val="22"/>
          <w:lang w:val="ru-RU" w:eastAsia="ja-JP"/>
        </w:rPr>
        <w:t>[…]</w:t>
      </w:r>
    </w:p>
    <w:p w14:paraId="1F92D985" w14:textId="25EEFACF" w:rsidR="00B95020" w:rsidRPr="00840652" w:rsidRDefault="005C3649" w:rsidP="00B95020">
      <w:pPr>
        <w:spacing w:before="480" w:after="240"/>
        <w:jc w:val="center"/>
        <w:outlineLvl w:val="3"/>
        <w:rPr>
          <w:bCs/>
          <w:i/>
          <w:color w:val="0070C0"/>
          <w:szCs w:val="28"/>
          <w:u w:val="single"/>
          <w:lang w:val="ru-RU"/>
        </w:rPr>
      </w:pPr>
      <w:r w:rsidRPr="00E0772B">
        <w:rPr>
          <w:b/>
          <w:bCs/>
          <w:color w:val="0070C0"/>
          <w:szCs w:val="28"/>
          <w:u w:val="single"/>
          <w:lang w:val="ru-RU"/>
        </w:rPr>
        <w:t>Правило</w:t>
      </w:r>
      <w:r w:rsidR="008A10C2" w:rsidRPr="00E0772B">
        <w:rPr>
          <w:b/>
          <w:bCs/>
          <w:color w:val="0070C0"/>
          <w:szCs w:val="28"/>
          <w:u w:val="single"/>
          <w:lang w:val="ru-RU"/>
        </w:rPr>
        <w:t xml:space="preserve"> 2</w:t>
      </w:r>
      <w:r w:rsidR="008A10C2" w:rsidRPr="00E0772B">
        <w:rPr>
          <w:b/>
          <w:bCs/>
          <w:color w:val="0070C0"/>
          <w:szCs w:val="28"/>
          <w:u w:val="single"/>
        </w:rPr>
        <w:t>bis</w:t>
      </w:r>
      <w:r w:rsidR="00B95020" w:rsidRPr="00840652">
        <w:rPr>
          <w:b/>
          <w:bCs/>
          <w:i/>
          <w:color w:val="0070C0"/>
          <w:szCs w:val="28"/>
          <w:u w:val="single"/>
          <w:lang w:val="ru-RU"/>
        </w:rPr>
        <w:br/>
      </w:r>
      <w:r w:rsidR="008A10C2" w:rsidRPr="00E0772B">
        <w:rPr>
          <w:bCs/>
          <w:color w:val="0070C0"/>
          <w:szCs w:val="28"/>
          <w:u w:val="single"/>
          <w:lang w:val="ru-RU"/>
        </w:rPr>
        <w:t>Допущение несоблюдения сроков</w:t>
      </w:r>
    </w:p>
    <w:p w14:paraId="20F506F3" w14:textId="337F5B05" w:rsidR="007E219E" w:rsidRPr="00E0772B" w:rsidRDefault="007E219E" w:rsidP="007E219E">
      <w:pPr>
        <w:spacing w:before="240" w:after="240"/>
        <w:outlineLvl w:val="3"/>
        <w:rPr>
          <w:color w:val="0070C0"/>
          <w:lang w:val="ru-RU"/>
        </w:rPr>
      </w:pPr>
      <w:r w:rsidRPr="00840652">
        <w:rPr>
          <w:color w:val="0070C0"/>
          <w:u w:val="single"/>
          <w:lang w:val="ru-RU"/>
        </w:rPr>
        <w:t>(1)</w:t>
      </w:r>
      <w:r w:rsidRPr="00840652">
        <w:rPr>
          <w:color w:val="0070C0"/>
          <w:u w:val="single"/>
          <w:lang w:val="ru-RU"/>
        </w:rPr>
        <w:tab/>
      </w:r>
      <w:r w:rsidR="00830E38" w:rsidRPr="00A67AAC">
        <w:rPr>
          <w:i/>
          <w:color w:val="0070C0"/>
          <w:u w:val="single"/>
          <w:lang w:val="ru-RU"/>
        </w:rPr>
        <w:t>[Допущение несоблюдения сроков в связи с форсмажорными обстоятельствами]</w:t>
      </w:r>
      <w:r w:rsidR="00830E38" w:rsidRPr="00A67AAC">
        <w:rPr>
          <w:color w:val="0070C0"/>
          <w:u w:val="single"/>
          <w:lang w:val="ru-RU"/>
        </w:rPr>
        <w:t xml:space="preserve"> Несоблюдение компетентным органом или, в случае применения статьи 5(3) Женевского акта, бенефициарами или физическим или юридическим лицом, упомянутым в статье</w:t>
      </w:r>
      <w:r w:rsidR="00B83D76" w:rsidRPr="00A67AAC">
        <w:rPr>
          <w:color w:val="0070C0"/>
          <w:u w:val="single"/>
          <w:lang w:val="ru-RU"/>
        </w:rPr>
        <w:t> </w:t>
      </w:r>
      <w:r w:rsidR="00830E38" w:rsidRPr="00A67AAC">
        <w:rPr>
          <w:color w:val="0070C0"/>
          <w:u w:val="single"/>
          <w:lang w:val="ru-RU"/>
        </w:rPr>
        <w:t>5(2)(ii) этого Акта, срока, установленного в Инструкции для совершения какого-либо действия в Международном бюро, считается оправданным, если этот компетентный орган или, в случае применения статьи 5(3) Женевского акта, бенефициары или физическое или юридическое лицо, упомянутое в статье 5(2)(ii) этого Акта, представят удовлетворяющие Международное бюро доказательства того, что такое несоблюдение вызвано войной, революцией, гражданскими беспорядками, забастовкой, стихийным бедствием, сбоями в почтовом обслуживании, доставке или электронной связи по не зависящим от компетентного органа или, в случае применения статьи 5(3) Женевского акта, бенефициаров или физического или юридического лица, упомянутого в статье</w:t>
      </w:r>
      <w:r w:rsidR="00B83D76" w:rsidRPr="00A67AAC">
        <w:rPr>
          <w:color w:val="0070C0"/>
          <w:u w:val="single"/>
          <w:lang w:val="ru-RU"/>
        </w:rPr>
        <w:t> </w:t>
      </w:r>
      <w:r w:rsidR="00830E38" w:rsidRPr="00A67AAC">
        <w:rPr>
          <w:color w:val="0070C0"/>
          <w:u w:val="single"/>
          <w:lang w:val="ru-RU"/>
        </w:rPr>
        <w:t>5(2)(ii) этого Акта, обстоятельствам или другими форсмажорными основаниями</w:t>
      </w:r>
      <w:r w:rsidR="00830E38" w:rsidRPr="00E0772B">
        <w:rPr>
          <w:color w:val="0070C0"/>
          <w:lang w:val="ru-RU"/>
        </w:rPr>
        <w:t>.</w:t>
      </w:r>
    </w:p>
    <w:p w14:paraId="731869CC" w14:textId="2D0D76F2" w:rsidR="007E219E" w:rsidRPr="00E0772B" w:rsidRDefault="00216D44" w:rsidP="007E219E">
      <w:pPr>
        <w:spacing w:before="240"/>
        <w:rPr>
          <w:color w:val="0070C0"/>
          <w:szCs w:val="24"/>
          <w:u w:val="single"/>
          <w:lang w:val="ru-RU"/>
        </w:rPr>
      </w:pPr>
      <w:r w:rsidRPr="00840652">
        <w:rPr>
          <w:color w:val="0070C0"/>
          <w:lang w:val="ru-RU"/>
        </w:rPr>
        <w:t>(2)</w:t>
      </w:r>
      <w:r w:rsidR="007E219E" w:rsidRPr="00840652">
        <w:rPr>
          <w:color w:val="0070C0"/>
          <w:lang w:val="ru-RU"/>
        </w:rPr>
        <w:tab/>
      </w:r>
      <w:r w:rsidR="0099283E" w:rsidRPr="00840652">
        <w:rPr>
          <w:i/>
          <w:color w:val="0070C0"/>
          <w:u w:val="single"/>
          <w:lang w:val="ru-RU"/>
        </w:rPr>
        <w:t>[</w:t>
      </w:r>
      <w:r w:rsidR="0099283E" w:rsidRPr="00A67AAC">
        <w:rPr>
          <w:i/>
          <w:color w:val="0070C0"/>
          <w:u w:val="single"/>
          <w:lang w:val="ru-RU"/>
        </w:rPr>
        <w:t>Ограничение возможности оправдания]</w:t>
      </w:r>
      <w:r w:rsidR="0099283E" w:rsidRPr="00A67AAC">
        <w:rPr>
          <w:color w:val="0070C0"/>
          <w:u w:val="single"/>
          <w:lang w:val="ru-RU"/>
        </w:rPr>
        <w:t xml:space="preserve"> В соответствии с настоящим правилом несоблюдение срока может быть оправдано только в том случае, если доказательства и действия, упомянутые в пункте (1), получены Международным бюро и выполнены надлежащим образом в кратчайшие разумные сроки и не позднее шести месяцев после истечения соответствующего срока</w:t>
      </w:r>
      <w:r w:rsidR="0099283E" w:rsidRPr="00E0772B">
        <w:rPr>
          <w:color w:val="0070C0"/>
          <w:lang w:val="ru-RU"/>
        </w:rPr>
        <w:t>.</w:t>
      </w:r>
    </w:p>
    <w:p w14:paraId="215D4185" w14:textId="77777777" w:rsidR="00B95020" w:rsidRPr="00E0772B" w:rsidRDefault="00B95020" w:rsidP="00B95020">
      <w:pPr>
        <w:spacing w:before="240" w:after="840"/>
        <w:ind w:firstLine="567"/>
        <w:jc w:val="both"/>
        <w:rPr>
          <w:rFonts w:eastAsia="Times New Roman"/>
          <w:szCs w:val="22"/>
          <w:lang w:val="ru-RU" w:eastAsia="ja-JP"/>
        </w:rPr>
      </w:pPr>
      <w:r w:rsidRPr="00E0772B">
        <w:rPr>
          <w:rFonts w:eastAsia="Times New Roman"/>
          <w:szCs w:val="22"/>
          <w:lang w:val="ru-RU" w:eastAsia="ja-JP"/>
        </w:rPr>
        <w:t>[...]</w:t>
      </w:r>
    </w:p>
    <w:p w14:paraId="7EB22EB7" w14:textId="31EDA823" w:rsidR="008E4171" w:rsidRPr="00CC4206" w:rsidRDefault="00B95020" w:rsidP="00CC4206">
      <w:pPr>
        <w:ind w:left="5534"/>
      </w:pPr>
      <w:r w:rsidRPr="00B95020">
        <w:t>[</w:t>
      </w:r>
      <w:r w:rsidR="00216D44">
        <w:rPr>
          <w:lang w:val="ru-RU"/>
        </w:rPr>
        <w:t>Конец приложения и документа</w:t>
      </w:r>
      <w:r w:rsidRPr="00B95020">
        <w:t>]</w:t>
      </w:r>
    </w:p>
    <w:sectPr w:rsidR="008E4171" w:rsidRPr="00CC4206" w:rsidSect="00AC6315"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EFB75" w14:textId="77777777" w:rsidR="00600C98" w:rsidRDefault="00600C98">
      <w:r>
        <w:separator/>
      </w:r>
    </w:p>
  </w:endnote>
  <w:endnote w:type="continuationSeparator" w:id="0">
    <w:p w14:paraId="1B1BA86F" w14:textId="77777777" w:rsidR="00600C98" w:rsidRDefault="00600C98" w:rsidP="003B38C1">
      <w:r>
        <w:separator/>
      </w:r>
    </w:p>
    <w:p w14:paraId="0F197DB9" w14:textId="77777777" w:rsidR="00600C98" w:rsidRPr="003B38C1" w:rsidRDefault="00600C9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91EC140" w14:textId="77777777" w:rsidR="00600C98" w:rsidRPr="003B38C1" w:rsidRDefault="00600C9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60796" w14:textId="77777777" w:rsidR="00600C98" w:rsidRDefault="00600C98">
      <w:r>
        <w:separator/>
      </w:r>
    </w:p>
  </w:footnote>
  <w:footnote w:type="continuationSeparator" w:id="0">
    <w:p w14:paraId="02027DE6" w14:textId="77777777" w:rsidR="00600C98" w:rsidRDefault="00600C98" w:rsidP="008B60B2">
      <w:r>
        <w:separator/>
      </w:r>
    </w:p>
    <w:p w14:paraId="34A486FE" w14:textId="77777777" w:rsidR="00600C98" w:rsidRPr="00ED77FB" w:rsidRDefault="00600C9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272CD2F" w14:textId="77777777" w:rsidR="00600C98" w:rsidRPr="00ED77FB" w:rsidRDefault="00600C9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3BABF" w14:textId="53E42699" w:rsidR="006A0BF0" w:rsidRDefault="00D068DC" w:rsidP="006A0BF0">
    <w:pPr>
      <w:jc w:val="right"/>
    </w:pPr>
    <w:r>
      <w:t>LI/A/</w:t>
    </w:r>
    <w:r w:rsidR="00C214BD">
      <w:t>38</w:t>
    </w:r>
    <w:r>
      <w:t>/2</w:t>
    </w:r>
  </w:p>
  <w:p w14:paraId="76EFF1AC" w14:textId="2484FB24" w:rsidR="006A0BF0" w:rsidRPr="00BA0078" w:rsidRDefault="005F192E" w:rsidP="00BA0078">
    <w:pPr>
      <w:pStyle w:val="Header"/>
      <w:spacing w:after="480"/>
      <w:jc w:val="right"/>
    </w:pPr>
    <w:r>
      <w:rPr>
        <w:lang w:val="ru-RU"/>
      </w:rPr>
      <w:t>стр.</w:t>
    </w:r>
    <w:r w:rsidR="004B2CC9">
      <w:t xml:space="preserve">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222C6" w14:textId="77CDEA22" w:rsidR="00A157C3" w:rsidRPr="006A5CAE" w:rsidRDefault="00AC3EDB" w:rsidP="006A5CAE">
    <w:pPr>
      <w:pStyle w:val="Header"/>
      <w:jc w:val="right"/>
      <w:rPr>
        <w:b/>
        <w:bCs/>
        <w:sz w:val="40"/>
        <w:szCs w:val="40"/>
      </w:rPr>
    </w:pPr>
    <w:r>
      <w:rPr>
        <w:b/>
        <w:bCs/>
        <w:sz w:val="40"/>
        <w:szCs w:val="40"/>
      </w:rPr>
      <w:t>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6AEFD" w14:textId="77777777" w:rsidR="004B2CC9" w:rsidRDefault="004B2CC9" w:rsidP="004B2CC9">
    <w:pPr>
      <w:jc w:val="right"/>
    </w:pPr>
    <w:r>
      <w:t>LI/A/38/2</w:t>
    </w:r>
  </w:p>
  <w:p w14:paraId="73703B21" w14:textId="4C0D145D" w:rsidR="004B2CC9" w:rsidRPr="004B2CC9" w:rsidRDefault="00C5720F" w:rsidP="004B2CC9">
    <w:pPr>
      <w:pStyle w:val="Header"/>
      <w:spacing w:after="480"/>
      <w:jc w:val="right"/>
    </w:pPr>
    <w:r>
      <w:rPr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BC94C6F"/>
    <w:multiLevelType w:val="hybridMultilevel"/>
    <w:tmpl w:val="FF002892"/>
    <w:lvl w:ilvl="0" w:tplc="AF723B4A">
      <w:start w:val="1"/>
      <w:numFmt w:val="lowerRoman"/>
      <w:lvlText w:val="(%1)"/>
      <w:lvlJc w:val="left"/>
      <w:pPr>
        <w:ind w:left="1489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49" w:hanging="360"/>
      </w:pPr>
    </w:lvl>
    <w:lvl w:ilvl="2" w:tplc="100C001B" w:tentative="1">
      <w:start w:val="1"/>
      <w:numFmt w:val="lowerRoman"/>
      <w:lvlText w:val="%3."/>
      <w:lvlJc w:val="right"/>
      <w:pPr>
        <w:ind w:left="2569" w:hanging="180"/>
      </w:pPr>
    </w:lvl>
    <w:lvl w:ilvl="3" w:tplc="100C000F" w:tentative="1">
      <w:start w:val="1"/>
      <w:numFmt w:val="decimal"/>
      <w:lvlText w:val="%4."/>
      <w:lvlJc w:val="left"/>
      <w:pPr>
        <w:ind w:left="3289" w:hanging="360"/>
      </w:pPr>
    </w:lvl>
    <w:lvl w:ilvl="4" w:tplc="100C0019" w:tentative="1">
      <w:start w:val="1"/>
      <w:numFmt w:val="lowerLetter"/>
      <w:lvlText w:val="%5."/>
      <w:lvlJc w:val="left"/>
      <w:pPr>
        <w:ind w:left="4009" w:hanging="360"/>
      </w:pPr>
    </w:lvl>
    <w:lvl w:ilvl="5" w:tplc="100C001B" w:tentative="1">
      <w:start w:val="1"/>
      <w:numFmt w:val="lowerRoman"/>
      <w:lvlText w:val="%6."/>
      <w:lvlJc w:val="right"/>
      <w:pPr>
        <w:ind w:left="4729" w:hanging="180"/>
      </w:pPr>
    </w:lvl>
    <w:lvl w:ilvl="6" w:tplc="100C000F" w:tentative="1">
      <w:start w:val="1"/>
      <w:numFmt w:val="decimal"/>
      <w:lvlText w:val="%7."/>
      <w:lvlJc w:val="left"/>
      <w:pPr>
        <w:ind w:left="5449" w:hanging="360"/>
      </w:pPr>
    </w:lvl>
    <w:lvl w:ilvl="7" w:tplc="100C0019" w:tentative="1">
      <w:start w:val="1"/>
      <w:numFmt w:val="lowerLetter"/>
      <w:lvlText w:val="%8."/>
      <w:lvlJc w:val="left"/>
      <w:pPr>
        <w:ind w:left="6169" w:hanging="360"/>
      </w:pPr>
    </w:lvl>
    <w:lvl w:ilvl="8" w:tplc="100C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5F44399"/>
    <w:multiLevelType w:val="hybridMultilevel"/>
    <w:tmpl w:val="FCD05D9C"/>
    <w:lvl w:ilvl="0" w:tplc="B5261A58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291A06D7"/>
    <w:multiLevelType w:val="hybridMultilevel"/>
    <w:tmpl w:val="1BD88F1A"/>
    <w:lvl w:ilvl="0" w:tplc="68C012F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7550A"/>
    <w:multiLevelType w:val="hybridMultilevel"/>
    <w:tmpl w:val="35E4F1E4"/>
    <w:lvl w:ilvl="0" w:tplc="8CC020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D978C1"/>
    <w:multiLevelType w:val="hybridMultilevel"/>
    <w:tmpl w:val="878813FE"/>
    <w:lvl w:ilvl="0" w:tplc="F1FE3D0C">
      <w:start w:val="1"/>
      <w:numFmt w:val="lowerRoman"/>
      <w:lvlText w:val="(%1)"/>
      <w:lvlJc w:val="left"/>
      <w:pPr>
        <w:ind w:left="-1305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-945" w:hanging="360"/>
      </w:pPr>
    </w:lvl>
    <w:lvl w:ilvl="2" w:tplc="100C001B" w:tentative="1">
      <w:start w:val="1"/>
      <w:numFmt w:val="lowerRoman"/>
      <w:lvlText w:val="%3."/>
      <w:lvlJc w:val="right"/>
      <w:pPr>
        <w:ind w:left="-225" w:hanging="180"/>
      </w:pPr>
    </w:lvl>
    <w:lvl w:ilvl="3" w:tplc="100C000F" w:tentative="1">
      <w:start w:val="1"/>
      <w:numFmt w:val="decimal"/>
      <w:lvlText w:val="%4."/>
      <w:lvlJc w:val="left"/>
      <w:pPr>
        <w:ind w:left="495" w:hanging="360"/>
      </w:pPr>
    </w:lvl>
    <w:lvl w:ilvl="4" w:tplc="100C0019" w:tentative="1">
      <w:start w:val="1"/>
      <w:numFmt w:val="lowerLetter"/>
      <w:lvlText w:val="%5."/>
      <w:lvlJc w:val="left"/>
      <w:pPr>
        <w:ind w:left="1215" w:hanging="360"/>
      </w:pPr>
    </w:lvl>
    <w:lvl w:ilvl="5" w:tplc="100C001B" w:tentative="1">
      <w:start w:val="1"/>
      <w:numFmt w:val="lowerRoman"/>
      <w:lvlText w:val="%6."/>
      <w:lvlJc w:val="right"/>
      <w:pPr>
        <w:ind w:left="1935" w:hanging="180"/>
      </w:pPr>
    </w:lvl>
    <w:lvl w:ilvl="6" w:tplc="100C000F" w:tentative="1">
      <w:start w:val="1"/>
      <w:numFmt w:val="decimal"/>
      <w:lvlText w:val="%7."/>
      <w:lvlJc w:val="left"/>
      <w:pPr>
        <w:ind w:left="2655" w:hanging="360"/>
      </w:pPr>
    </w:lvl>
    <w:lvl w:ilvl="7" w:tplc="100C0019" w:tentative="1">
      <w:start w:val="1"/>
      <w:numFmt w:val="lowerLetter"/>
      <w:lvlText w:val="%8."/>
      <w:lvlJc w:val="left"/>
      <w:pPr>
        <w:ind w:left="3375" w:hanging="360"/>
      </w:pPr>
    </w:lvl>
    <w:lvl w:ilvl="8" w:tplc="100C001B" w:tentative="1">
      <w:start w:val="1"/>
      <w:numFmt w:val="lowerRoman"/>
      <w:lvlText w:val="%9."/>
      <w:lvlJc w:val="right"/>
      <w:pPr>
        <w:ind w:left="4095" w:hanging="180"/>
      </w:pPr>
    </w:lvl>
  </w:abstractNum>
  <w:abstractNum w:abstractNumId="11" w15:restartNumberingAfterBreak="0">
    <w:nsid w:val="53065E24"/>
    <w:multiLevelType w:val="hybridMultilevel"/>
    <w:tmpl w:val="B54A4A7E"/>
    <w:lvl w:ilvl="0" w:tplc="B5261A58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10"/>
  </w:num>
  <w:num w:numId="9">
    <w:abstractNumId w:val="7"/>
  </w:num>
  <w:num w:numId="10">
    <w:abstractNumId w:val="6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B28"/>
    <w:rsid w:val="00010562"/>
    <w:rsid w:val="0001484C"/>
    <w:rsid w:val="0002624E"/>
    <w:rsid w:val="0002680E"/>
    <w:rsid w:val="0003253F"/>
    <w:rsid w:val="000341F7"/>
    <w:rsid w:val="0004243E"/>
    <w:rsid w:val="00043CAA"/>
    <w:rsid w:val="00046169"/>
    <w:rsid w:val="00055B07"/>
    <w:rsid w:val="0006005B"/>
    <w:rsid w:val="000677EA"/>
    <w:rsid w:val="00070B28"/>
    <w:rsid w:val="00075432"/>
    <w:rsid w:val="000765C4"/>
    <w:rsid w:val="00085140"/>
    <w:rsid w:val="00086241"/>
    <w:rsid w:val="000921F3"/>
    <w:rsid w:val="00093D3A"/>
    <w:rsid w:val="000968ED"/>
    <w:rsid w:val="000A00F8"/>
    <w:rsid w:val="000A1904"/>
    <w:rsid w:val="000A23E6"/>
    <w:rsid w:val="000C117A"/>
    <w:rsid w:val="000D60DE"/>
    <w:rsid w:val="000E181D"/>
    <w:rsid w:val="000E6FDE"/>
    <w:rsid w:val="000F0B28"/>
    <w:rsid w:val="000F251F"/>
    <w:rsid w:val="000F5E56"/>
    <w:rsid w:val="0010331B"/>
    <w:rsid w:val="00110440"/>
    <w:rsid w:val="001110BC"/>
    <w:rsid w:val="00117617"/>
    <w:rsid w:val="0013252B"/>
    <w:rsid w:val="00134150"/>
    <w:rsid w:val="00134C35"/>
    <w:rsid w:val="001362EE"/>
    <w:rsid w:val="00156693"/>
    <w:rsid w:val="00156C9A"/>
    <w:rsid w:val="001647D5"/>
    <w:rsid w:val="00164CB0"/>
    <w:rsid w:val="00172B30"/>
    <w:rsid w:val="00182325"/>
    <w:rsid w:val="001832A6"/>
    <w:rsid w:val="0018411D"/>
    <w:rsid w:val="001855B7"/>
    <w:rsid w:val="0018585B"/>
    <w:rsid w:val="001A44F9"/>
    <w:rsid w:val="001B4018"/>
    <w:rsid w:val="001C04F1"/>
    <w:rsid w:val="001E1940"/>
    <w:rsid w:val="001E306B"/>
    <w:rsid w:val="001E4E00"/>
    <w:rsid w:val="001E7C0A"/>
    <w:rsid w:val="001F06E2"/>
    <w:rsid w:val="001F1524"/>
    <w:rsid w:val="001F42C9"/>
    <w:rsid w:val="001F4A53"/>
    <w:rsid w:val="002000FB"/>
    <w:rsid w:val="002027D8"/>
    <w:rsid w:val="0021217E"/>
    <w:rsid w:val="00216D44"/>
    <w:rsid w:val="002173F6"/>
    <w:rsid w:val="00224A25"/>
    <w:rsid w:val="00253771"/>
    <w:rsid w:val="00256704"/>
    <w:rsid w:val="0026259E"/>
    <w:rsid w:val="002634C4"/>
    <w:rsid w:val="00267F9C"/>
    <w:rsid w:val="00275857"/>
    <w:rsid w:val="002918D0"/>
    <w:rsid w:val="002928D3"/>
    <w:rsid w:val="00296EEF"/>
    <w:rsid w:val="00297919"/>
    <w:rsid w:val="002A3E80"/>
    <w:rsid w:val="002F1FE6"/>
    <w:rsid w:val="002F4E68"/>
    <w:rsid w:val="002F6A4B"/>
    <w:rsid w:val="00305455"/>
    <w:rsid w:val="003057A4"/>
    <w:rsid w:val="00306A0F"/>
    <w:rsid w:val="00307410"/>
    <w:rsid w:val="00312F7F"/>
    <w:rsid w:val="003140AE"/>
    <w:rsid w:val="00316457"/>
    <w:rsid w:val="003178BA"/>
    <w:rsid w:val="00321326"/>
    <w:rsid w:val="00325DA0"/>
    <w:rsid w:val="003348DA"/>
    <w:rsid w:val="00342182"/>
    <w:rsid w:val="00350AE2"/>
    <w:rsid w:val="0035324C"/>
    <w:rsid w:val="0036027D"/>
    <w:rsid w:val="00361450"/>
    <w:rsid w:val="003673CF"/>
    <w:rsid w:val="00373F08"/>
    <w:rsid w:val="003768F8"/>
    <w:rsid w:val="003845C1"/>
    <w:rsid w:val="003855E4"/>
    <w:rsid w:val="00391C44"/>
    <w:rsid w:val="0039628C"/>
    <w:rsid w:val="003A5F3B"/>
    <w:rsid w:val="003A63A5"/>
    <w:rsid w:val="003A6F89"/>
    <w:rsid w:val="003B1B05"/>
    <w:rsid w:val="003B38C1"/>
    <w:rsid w:val="003D2030"/>
    <w:rsid w:val="003D3991"/>
    <w:rsid w:val="003D57B0"/>
    <w:rsid w:val="003E5E5D"/>
    <w:rsid w:val="003F012B"/>
    <w:rsid w:val="003F2B2D"/>
    <w:rsid w:val="003F3520"/>
    <w:rsid w:val="004046B4"/>
    <w:rsid w:val="00423244"/>
    <w:rsid w:val="00423E3E"/>
    <w:rsid w:val="00427AF4"/>
    <w:rsid w:val="004579E8"/>
    <w:rsid w:val="00463488"/>
    <w:rsid w:val="004647DA"/>
    <w:rsid w:val="004718D0"/>
    <w:rsid w:val="00474062"/>
    <w:rsid w:val="00477D6B"/>
    <w:rsid w:val="00485044"/>
    <w:rsid w:val="00491A0C"/>
    <w:rsid w:val="004A5CD3"/>
    <w:rsid w:val="004B2599"/>
    <w:rsid w:val="004B2CC9"/>
    <w:rsid w:val="004B391E"/>
    <w:rsid w:val="004C2469"/>
    <w:rsid w:val="004C480A"/>
    <w:rsid w:val="004C54E2"/>
    <w:rsid w:val="004E3582"/>
    <w:rsid w:val="004E6F0A"/>
    <w:rsid w:val="005019FF"/>
    <w:rsid w:val="00503A64"/>
    <w:rsid w:val="00524415"/>
    <w:rsid w:val="0053057A"/>
    <w:rsid w:val="00531C21"/>
    <w:rsid w:val="00534F04"/>
    <w:rsid w:val="005459CC"/>
    <w:rsid w:val="00550034"/>
    <w:rsid w:val="00557BDA"/>
    <w:rsid w:val="00557E91"/>
    <w:rsid w:val="005607A4"/>
    <w:rsid w:val="00560A29"/>
    <w:rsid w:val="0058309E"/>
    <w:rsid w:val="00585D0A"/>
    <w:rsid w:val="00594B24"/>
    <w:rsid w:val="005A4B73"/>
    <w:rsid w:val="005A4D59"/>
    <w:rsid w:val="005C3649"/>
    <w:rsid w:val="005C582A"/>
    <w:rsid w:val="005C6649"/>
    <w:rsid w:val="005D1F68"/>
    <w:rsid w:val="005E0CE5"/>
    <w:rsid w:val="005E114B"/>
    <w:rsid w:val="005E4FEE"/>
    <w:rsid w:val="005F192E"/>
    <w:rsid w:val="005F38D7"/>
    <w:rsid w:val="006001B1"/>
    <w:rsid w:val="00600C98"/>
    <w:rsid w:val="00601E0B"/>
    <w:rsid w:val="00605827"/>
    <w:rsid w:val="006175E5"/>
    <w:rsid w:val="00626BE0"/>
    <w:rsid w:val="00626C1B"/>
    <w:rsid w:val="00630D32"/>
    <w:rsid w:val="006315CA"/>
    <w:rsid w:val="006452A5"/>
    <w:rsid w:val="00646050"/>
    <w:rsid w:val="00650AE3"/>
    <w:rsid w:val="00650D14"/>
    <w:rsid w:val="006713CA"/>
    <w:rsid w:val="0067586F"/>
    <w:rsid w:val="00676C5C"/>
    <w:rsid w:val="0069116E"/>
    <w:rsid w:val="006A0BF0"/>
    <w:rsid w:val="006A4317"/>
    <w:rsid w:val="006A5CAE"/>
    <w:rsid w:val="006C2EFB"/>
    <w:rsid w:val="006C45BD"/>
    <w:rsid w:val="006C5F96"/>
    <w:rsid w:val="006E2F00"/>
    <w:rsid w:val="006E4F5F"/>
    <w:rsid w:val="006F668F"/>
    <w:rsid w:val="00705CE9"/>
    <w:rsid w:val="00706E7D"/>
    <w:rsid w:val="007222D1"/>
    <w:rsid w:val="00724836"/>
    <w:rsid w:val="00724CBF"/>
    <w:rsid w:val="0073282F"/>
    <w:rsid w:val="00737753"/>
    <w:rsid w:val="0074083E"/>
    <w:rsid w:val="00743A35"/>
    <w:rsid w:val="007442FA"/>
    <w:rsid w:val="00751D3E"/>
    <w:rsid w:val="00753807"/>
    <w:rsid w:val="007547F5"/>
    <w:rsid w:val="00777FCC"/>
    <w:rsid w:val="00781DB8"/>
    <w:rsid w:val="00785CEC"/>
    <w:rsid w:val="007A6D35"/>
    <w:rsid w:val="007B2991"/>
    <w:rsid w:val="007B326F"/>
    <w:rsid w:val="007D1613"/>
    <w:rsid w:val="007D1BA3"/>
    <w:rsid w:val="007E117B"/>
    <w:rsid w:val="007E19D8"/>
    <w:rsid w:val="007E219E"/>
    <w:rsid w:val="007E4C0E"/>
    <w:rsid w:val="007F65E8"/>
    <w:rsid w:val="008032AB"/>
    <w:rsid w:val="008166B3"/>
    <w:rsid w:val="008249CB"/>
    <w:rsid w:val="0082594E"/>
    <w:rsid w:val="00830E38"/>
    <w:rsid w:val="008310EF"/>
    <w:rsid w:val="00835B19"/>
    <w:rsid w:val="00836736"/>
    <w:rsid w:val="00840652"/>
    <w:rsid w:val="0084299E"/>
    <w:rsid w:val="00845AF4"/>
    <w:rsid w:val="00847124"/>
    <w:rsid w:val="0085042C"/>
    <w:rsid w:val="00860537"/>
    <w:rsid w:val="00862A38"/>
    <w:rsid w:val="0086648C"/>
    <w:rsid w:val="00866CFD"/>
    <w:rsid w:val="00874EBD"/>
    <w:rsid w:val="00877540"/>
    <w:rsid w:val="00877718"/>
    <w:rsid w:val="008865FA"/>
    <w:rsid w:val="008A10C2"/>
    <w:rsid w:val="008A134B"/>
    <w:rsid w:val="008B2CC1"/>
    <w:rsid w:val="008B60B2"/>
    <w:rsid w:val="008B777D"/>
    <w:rsid w:val="008C09A9"/>
    <w:rsid w:val="008C4BE8"/>
    <w:rsid w:val="008D2506"/>
    <w:rsid w:val="008D2F97"/>
    <w:rsid w:val="008D3398"/>
    <w:rsid w:val="008E4171"/>
    <w:rsid w:val="008E4224"/>
    <w:rsid w:val="008E470A"/>
    <w:rsid w:val="008E72AB"/>
    <w:rsid w:val="00901935"/>
    <w:rsid w:val="0090731E"/>
    <w:rsid w:val="00910ECE"/>
    <w:rsid w:val="00912C1D"/>
    <w:rsid w:val="00916EE2"/>
    <w:rsid w:val="009362E7"/>
    <w:rsid w:val="00937C9A"/>
    <w:rsid w:val="009429D7"/>
    <w:rsid w:val="0094464F"/>
    <w:rsid w:val="00945A95"/>
    <w:rsid w:val="0095299D"/>
    <w:rsid w:val="00966A22"/>
    <w:rsid w:val="0096722F"/>
    <w:rsid w:val="00972C4C"/>
    <w:rsid w:val="00980843"/>
    <w:rsid w:val="009811B3"/>
    <w:rsid w:val="0099283E"/>
    <w:rsid w:val="00997EFD"/>
    <w:rsid w:val="009A22FF"/>
    <w:rsid w:val="009B6777"/>
    <w:rsid w:val="009C127D"/>
    <w:rsid w:val="009D31C0"/>
    <w:rsid w:val="009D4B21"/>
    <w:rsid w:val="009D53FB"/>
    <w:rsid w:val="009E2791"/>
    <w:rsid w:val="009E2E3B"/>
    <w:rsid w:val="009E2F9E"/>
    <w:rsid w:val="009E3F6F"/>
    <w:rsid w:val="009E4ED9"/>
    <w:rsid w:val="009E56CE"/>
    <w:rsid w:val="009F3E8D"/>
    <w:rsid w:val="009F499F"/>
    <w:rsid w:val="009F7DB0"/>
    <w:rsid w:val="00A06708"/>
    <w:rsid w:val="00A15403"/>
    <w:rsid w:val="00A24180"/>
    <w:rsid w:val="00A3210C"/>
    <w:rsid w:val="00A37342"/>
    <w:rsid w:val="00A42DAF"/>
    <w:rsid w:val="00A43705"/>
    <w:rsid w:val="00A44005"/>
    <w:rsid w:val="00A4441F"/>
    <w:rsid w:val="00A45BD8"/>
    <w:rsid w:val="00A57E01"/>
    <w:rsid w:val="00A60917"/>
    <w:rsid w:val="00A623C5"/>
    <w:rsid w:val="00A65A52"/>
    <w:rsid w:val="00A67AAC"/>
    <w:rsid w:val="00A67CC7"/>
    <w:rsid w:val="00A8019D"/>
    <w:rsid w:val="00A81FF6"/>
    <w:rsid w:val="00A83300"/>
    <w:rsid w:val="00A83CFE"/>
    <w:rsid w:val="00A869B7"/>
    <w:rsid w:val="00A92633"/>
    <w:rsid w:val="00AA2DD4"/>
    <w:rsid w:val="00AA7179"/>
    <w:rsid w:val="00AC205C"/>
    <w:rsid w:val="00AC3EDB"/>
    <w:rsid w:val="00AF0A6B"/>
    <w:rsid w:val="00AF6A83"/>
    <w:rsid w:val="00B05A69"/>
    <w:rsid w:val="00B05ACB"/>
    <w:rsid w:val="00B115F7"/>
    <w:rsid w:val="00B125E3"/>
    <w:rsid w:val="00B157D4"/>
    <w:rsid w:val="00B16337"/>
    <w:rsid w:val="00B2371E"/>
    <w:rsid w:val="00B26D46"/>
    <w:rsid w:val="00B328CC"/>
    <w:rsid w:val="00B42C2A"/>
    <w:rsid w:val="00B4366C"/>
    <w:rsid w:val="00B46826"/>
    <w:rsid w:val="00B468C8"/>
    <w:rsid w:val="00B525D6"/>
    <w:rsid w:val="00B64FB9"/>
    <w:rsid w:val="00B67858"/>
    <w:rsid w:val="00B83D76"/>
    <w:rsid w:val="00B95020"/>
    <w:rsid w:val="00B9734B"/>
    <w:rsid w:val="00BA0078"/>
    <w:rsid w:val="00BA30E2"/>
    <w:rsid w:val="00BA3CF8"/>
    <w:rsid w:val="00BA5814"/>
    <w:rsid w:val="00BB60F8"/>
    <w:rsid w:val="00BC1E1C"/>
    <w:rsid w:val="00BC7B19"/>
    <w:rsid w:val="00BD4A6F"/>
    <w:rsid w:val="00BD67CE"/>
    <w:rsid w:val="00BE2B08"/>
    <w:rsid w:val="00BF672C"/>
    <w:rsid w:val="00C02596"/>
    <w:rsid w:val="00C044B7"/>
    <w:rsid w:val="00C115C4"/>
    <w:rsid w:val="00C11BFE"/>
    <w:rsid w:val="00C12AA4"/>
    <w:rsid w:val="00C16A6E"/>
    <w:rsid w:val="00C214BD"/>
    <w:rsid w:val="00C27F21"/>
    <w:rsid w:val="00C352FB"/>
    <w:rsid w:val="00C3539D"/>
    <w:rsid w:val="00C3789D"/>
    <w:rsid w:val="00C5068F"/>
    <w:rsid w:val="00C52178"/>
    <w:rsid w:val="00C5720F"/>
    <w:rsid w:val="00C60617"/>
    <w:rsid w:val="00C67880"/>
    <w:rsid w:val="00C71AE3"/>
    <w:rsid w:val="00C739D1"/>
    <w:rsid w:val="00C74519"/>
    <w:rsid w:val="00C8106F"/>
    <w:rsid w:val="00C8249B"/>
    <w:rsid w:val="00C86D74"/>
    <w:rsid w:val="00C919E8"/>
    <w:rsid w:val="00C933E3"/>
    <w:rsid w:val="00C95C76"/>
    <w:rsid w:val="00CA06DF"/>
    <w:rsid w:val="00CA39F1"/>
    <w:rsid w:val="00CA3F7F"/>
    <w:rsid w:val="00CA6BC1"/>
    <w:rsid w:val="00CB12B3"/>
    <w:rsid w:val="00CB678B"/>
    <w:rsid w:val="00CB67D5"/>
    <w:rsid w:val="00CB69CA"/>
    <w:rsid w:val="00CC01C5"/>
    <w:rsid w:val="00CC4206"/>
    <w:rsid w:val="00CC75D7"/>
    <w:rsid w:val="00CD04F1"/>
    <w:rsid w:val="00CD13B9"/>
    <w:rsid w:val="00CD2964"/>
    <w:rsid w:val="00CD52A9"/>
    <w:rsid w:val="00CD7F59"/>
    <w:rsid w:val="00CE444D"/>
    <w:rsid w:val="00CF7FB4"/>
    <w:rsid w:val="00D02F62"/>
    <w:rsid w:val="00D03CBC"/>
    <w:rsid w:val="00D068DC"/>
    <w:rsid w:val="00D17468"/>
    <w:rsid w:val="00D309D6"/>
    <w:rsid w:val="00D33133"/>
    <w:rsid w:val="00D3671C"/>
    <w:rsid w:val="00D367E1"/>
    <w:rsid w:val="00D41803"/>
    <w:rsid w:val="00D44A0B"/>
    <w:rsid w:val="00D45252"/>
    <w:rsid w:val="00D473F8"/>
    <w:rsid w:val="00D621C8"/>
    <w:rsid w:val="00D66E37"/>
    <w:rsid w:val="00D71B4D"/>
    <w:rsid w:val="00D72B16"/>
    <w:rsid w:val="00D74717"/>
    <w:rsid w:val="00D86229"/>
    <w:rsid w:val="00D93D55"/>
    <w:rsid w:val="00D95939"/>
    <w:rsid w:val="00D96C3B"/>
    <w:rsid w:val="00DA0642"/>
    <w:rsid w:val="00DA5152"/>
    <w:rsid w:val="00DB0EE2"/>
    <w:rsid w:val="00DB596E"/>
    <w:rsid w:val="00DC0E7C"/>
    <w:rsid w:val="00DC308C"/>
    <w:rsid w:val="00DC435C"/>
    <w:rsid w:val="00DC6126"/>
    <w:rsid w:val="00DC61A6"/>
    <w:rsid w:val="00DC6676"/>
    <w:rsid w:val="00DD1EA4"/>
    <w:rsid w:val="00DF023A"/>
    <w:rsid w:val="00DF383E"/>
    <w:rsid w:val="00E00364"/>
    <w:rsid w:val="00E03315"/>
    <w:rsid w:val="00E03864"/>
    <w:rsid w:val="00E0772B"/>
    <w:rsid w:val="00E127B2"/>
    <w:rsid w:val="00E128A8"/>
    <w:rsid w:val="00E15015"/>
    <w:rsid w:val="00E24584"/>
    <w:rsid w:val="00E335FE"/>
    <w:rsid w:val="00E40E26"/>
    <w:rsid w:val="00E41759"/>
    <w:rsid w:val="00E44750"/>
    <w:rsid w:val="00E456BC"/>
    <w:rsid w:val="00E47D9B"/>
    <w:rsid w:val="00E47DD3"/>
    <w:rsid w:val="00E5566B"/>
    <w:rsid w:val="00E60AE4"/>
    <w:rsid w:val="00E64A23"/>
    <w:rsid w:val="00E64B82"/>
    <w:rsid w:val="00E657BE"/>
    <w:rsid w:val="00E71A0D"/>
    <w:rsid w:val="00E85557"/>
    <w:rsid w:val="00E87979"/>
    <w:rsid w:val="00E96DAD"/>
    <w:rsid w:val="00EA3B78"/>
    <w:rsid w:val="00EA6A48"/>
    <w:rsid w:val="00EA6AFB"/>
    <w:rsid w:val="00EA7C5F"/>
    <w:rsid w:val="00EA7D6E"/>
    <w:rsid w:val="00EB2210"/>
    <w:rsid w:val="00EB4686"/>
    <w:rsid w:val="00EC4E49"/>
    <w:rsid w:val="00ED77FB"/>
    <w:rsid w:val="00EE30A7"/>
    <w:rsid w:val="00EE45FA"/>
    <w:rsid w:val="00EE5095"/>
    <w:rsid w:val="00F00337"/>
    <w:rsid w:val="00F134E5"/>
    <w:rsid w:val="00F26FE4"/>
    <w:rsid w:val="00F277F7"/>
    <w:rsid w:val="00F33C1C"/>
    <w:rsid w:val="00F413BF"/>
    <w:rsid w:val="00F64FA1"/>
    <w:rsid w:val="00F66152"/>
    <w:rsid w:val="00F66F8A"/>
    <w:rsid w:val="00F71986"/>
    <w:rsid w:val="00F73A67"/>
    <w:rsid w:val="00F75630"/>
    <w:rsid w:val="00F76AF5"/>
    <w:rsid w:val="00F77EF5"/>
    <w:rsid w:val="00F82119"/>
    <w:rsid w:val="00F83726"/>
    <w:rsid w:val="00F83D3B"/>
    <w:rsid w:val="00F952D1"/>
    <w:rsid w:val="00F96A04"/>
    <w:rsid w:val="00FD15C2"/>
    <w:rsid w:val="00FD53CC"/>
    <w:rsid w:val="00FE5728"/>
    <w:rsid w:val="00FF0A03"/>
    <w:rsid w:val="00FF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6CE73CF"/>
  <w15:docId w15:val="{68E9373C-48AB-4FBC-91E8-282DD146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ONUMEChar">
    <w:name w:val="ONUM E Char"/>
    <w:basedOn w:val="DefaultParagraphFont"/>
    <w:link w:val="ONUME"/>
    <w:locked/>
    <w:rsid w:val="000F0B28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2325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82325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uiPriority w:val="99"/>
    <w:rsid w:val="0018232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65A52"/>
    <w:pPr>
      <w:ind w:left="720"/>
      <w:contextualSpacing/>
    </w:pPr>
  </w:style>
  <w:style w:type="paragraph" w:customStyle="1" w:styleId="Default">
    <w:name w:val="Default"/>
    <w:rsid w:val="00A65A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F8211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211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2119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82119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F77EF5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8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BCD1A-DDAC-42CF-A27B-7D640E05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498</Words>
  <Characters>3462</Characters>
  <Application>Microsoft Office Word</Application>
  <DocSecurity>0</DocSecurity>
  <Lines>74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LI/A/38/2</vt:lpstr>
    </vt:vector>
  </TitlesOfParts>
  <Company>WIPO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LI/A/38/2</dc:title>
  <dc:subject>Sixty-Second Series of Meetings</dc:subject>
  <dc:creator>WIPO</dc:creator>
  <cp:keywords>PUBLIC</cp:keywords>
  <cp:lastModifiedBy>MARIN-CUDRAZ DAVI Nicoletta</cp:lastModifiedBy>
  <cp:revision>5</cp:revision>
  <cp:lastPrinted>2021-03-10T09:47:00Z</cp:lastPrinted>
  <dcterms:created xsi:type="dcterms:W3CDTF">2021-06-17T06:43:00Z</dcterms:created>
  <dcterms:modified xsi:type="dcterms:W3CDTF">2021-06-29T12:40:00Z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c355af2c-c02f-43d3-b67f-d2bd27ac6ee1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