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58EC1" w14:textId="77777777" w:rsidR="00F80A34" w:rsidRDefault="00F80A34" w:rsidP="00F80A34">
      <w:pPr>
        <w:spacing w:after="120"/>
        <w:jc w:val="right"/>
      </w:pPr>
      <w:r>
        <w:rPr>
          <w:noProof/>
          <w:lang w:eastAsia="en-US"/>
        </w:rPr>
        <w:drawing>
          <wp:inline distT="0" distB="0" distL="0" distR="0" wp14:anchorId="66EEBEA4" wp14:editId="7014761D">
            <wp:extent cx="3244215" cy="1637665"/>
            <wp:effectExtent l="0" t="0" r="0" b="635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mc:AlternateContent>
          <mc:Choice Requires="wps">
            <w:drawing>
              <wp:inline distT="0" distB="0" distL="0" distR="0" wp14:anchorId="5C041CE3" wp14:editId="24D50F1A">
                <wp:extent cx="5935980" cy="635"/>
                <wp:effectExtent l="9525" t="9525" r="7620" b="9525"/>
                <wp:docPr id="3" name="Straight Connector 3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A84D33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" strokecolor="black [3040]">
                <w10:anchorlock/>
              </v:line>
            </w:pict>
          </mc:Fallback>
        </mc:AlternateContent>
      </w:r>
    </w:p>
    <w:p w14:paraId="6A524865" w14:textId="7537C752" w:rsidR="00F80A34" w:rsidRDefault="00F80A34" w:rsidP="00F80A3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0" w:name="Code"/>
      <w:r>
        <w:rPr>
          <w:rFonts w:ascii="Arial Black" w:hAnsi="Arial Black"/>
          <w:caps/>
          <w:sz w:val="15"/>
          <w:szCs w:val="15"/>
          <w:lang w:val="ru-RU"/>
        </w:rPr>
        <w:t>LI/A/39/2</w:t>
      </w:r>
    </w:p>
    <w:p w14:paraId="71B03310" w14:textId="77777777" w:rsidR="00F80A34" w:rsidRDefault="00F80A34" w:rsidP="00F80A3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Original"/>
      <w:bookmarkEnd w:id="0"/>
      <w:r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p w14:paraId="0FA3EDFE" w14:textId="24A5C165" w:rsidR="00F80A34" w:rsidRDefault="00F80A34" w:rsidP="00F80A3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2" w:name="Date"/>
      <w:bookmarkStart w:id="3" w:name="_GoBack"/>
      <w:bookmarkEnd w:id="1"/>
      <w:bookmarkEnd w:id="3"/>
      <w:r>
        <w:rPr>
          <w:rFonts w:ascii="Arial Black" w:hAnsi="Arial Black"/>
          <w:caps/>
          <w:sz w:val="15"/>
          <w:szCs w:val="15"/>
          <w:lang w:val="ru-RU"/>
        </w:rPr>
        <w:t xml:space="preserve">ДАТА:  </w:t>
      </w:r>
      <w:r w:rsidR="004152AB">
        <w:rPr>
          <w:rFonts w:ascii="Arial Black" w:hAnsi="Arial Black"/>
          <w:caps/>
          <w:sz w:val="15"/>
          <w:szCs w:val="15"/>
          <w:lang w:val="ru-RU"/>
        </w:rPr>
        <w:t>30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4152AB">
        <w:rPr>
          <w:rFonts w:ascii="Arial Black" w:hAnsi="Arial Black"/>
          <w:caps/>
          <w:sz w:val="15"/>
          <w:szCs w:val="15"/>
          <w:lang w:val="ru-RU"/>
        </w:rPr>
        <w:t>сентября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2022 г.</w:t>
      </w:r>
    </w:p>
    <w:bookmarkEnd w:id="2"/>
    <w:p w14:paraId="1EEDE272" w14:textId="77777777" w:rsidR="00F80A34" w:rsidRDefault="00F80A34" w:rsidP="00F80A3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 союз по охране наименований мест происхождения (Лиссабонский союз)</w:t>
      </w:r>
    </w:p>
    <w:p w14:paraId="2714F998" w14:textId="77777777" w:rsidR="00F80A34" w:rsidRDefault="00F80A34" w:rsidP="00F80A34">
      <w:pPr>
        <w:spacing w:after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14:paraId="6AB80F50" w14:textId="77777777" w:rsidR="00F80A34" w:rsidRDefault="00F80A34" w:rsidP="00F80A3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девятая (15-я внеочередная) сессия</w:t>
      </w:r>
    </w:p>
    <w:p w14:paraId="32305AC3" w14:textId="77777777" w:rsidR="00F80A34" w:rsidRDefault="00F80A34" w:rsidP="00F80A34">
      <w:pPr>
        <w:spacing w:after="720"/>
        <w:rPr>
          <w:lang w:val="ru-RU"/>
        </w:rPr>
      </w:pPr>
      <w:r>
        <w:rPr>
          <w:b/>
          <w:lang w:val="ru-RU"/>
        </w:rPr>
        <w:t>Женева, 14–22 июля 2022 г.</w:t>
      </w:r>
    </w:p>
    <w:p w14:paraId="0416B77F" w14:textId="0218AADF" w:rsidR="00F80A34" w:rsidRDefault="004152AB" w:rsidP="00F80A34">
      <w:pPr>
        <w:spacing w:after="36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ОТЧЕТ</w:t>
      </w:r>
    </w:p>
    <w:p w14:paraId="768A2FA4" w14:textId="3C509EA6" w:rsidR="00F80A34" w:rsidRDefault="004152AB" w:rsidP="00F80A34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принят Ассамблеей</w:t>
      </w:r>
    </w:p>
    <w:bookmarkEnd w:id="5"/>
    <w:p w14:paraId="2E52A2BC" w14:textId="77777777" w:rsidR="00F80A34" w:rsidRDefault="00F80A34" w:rsidP="00F80A34">
      <w:pPr>
        <w:pStyle w:val="ONUME"/>
        <w:rPr>
          <w:lang w:val="ru-RU"/>
        </w:rPr>
      </w:pPr>
      <w:r>
        <w:rPr>
          <w:lang w:val="ru-RU"/>
        </w:rPr>
        <w:t>На рассмотрении Ассамблеи находились следующие пункты сводной повестки дня (документ A/63/1): 1, 2, 3, 4, 5, 6, 8, 10(ii), 11, 17, 19, 20 и 21.</w:t>
      </w:r>
    </w:p>
    <w:p w14:paraId="3339DF63" w14:textId="0F18E754" w:rsidR="00F80A34" w:rsidRDefault="00F80A34" w:rsidP="00F80A34">
      <w:pPr>
        <w:pStyle w:val="ONUME"/>
        <w:rPr>
          <w:lang w:val="ru-RU"/>
        </w:rPr>
      </w:pPr>
      <w:r>
        <w:rPr>
          <w:lang w:val="ru-RU"/>
        </w:rPr>
        <w:t>Отчеты об обсуждении указанных пунктов, за исключением пункта 17, содержатся в Обще</w:t>
      </w:r>
      <w:r w:rsidR="004152AB">
        <w:rPr>
          <w:lang w:val="ru-RU"/>
        </w:rPr>
        <w:t>м</w:t>
      </w:r>
      <w:r>
        <w:rPr>
          <w:lang w:val="ru-RU"/>
        </w:rPr>
        <w:t xml:space="preserve"> отчет</w:t>
      </w:r>
      <w:r w:rsidR="004152AB">
        <w:rPr>
          <w:lang w:val="ru-RU"/>
        </w:rPr>
        <w:t>е</w:t>
      </w:r>
      <w:r>
        <w:rPr>
          <w:lang w:val="ru-RU"/>
        </w:rPr>
        <w:t xml:space="preserve"> (документ A/63/1</w:t>
      </w:r>
      <w:r w:rsidR="00207CB9">
        <w:rPr>
          <w:lang w:val="ru-RU"/>
        </w:rPr>
        <w:t>0</w:t>
      </w:r>
      <w:r>
        <w:rPr>
          <w:lang w:val="ru-RU"/>
        </w:rPr>
        <w:t>).</w:t>
      </w:r>
    </w:p>
    <w:p w14:paraId="4E3BB1AE" w14:textId="77777777" w:rsidR="00F80A34" w:rsidRDefault="00F80A34" w:rsidP="00F80A34">
      <w:pPr>
        <w:pStyle w:val="ONUME"/>
        <w:rPr>
          <w:lang w:val="ru-RU"/>
        </w:rPr>
      </w:pPr>
      <w:r>
        <w:rPr>
          <w:lang w:val="ru-RU"/>
        </w:rPr>
        <w:t>Отчет об обсуждении пункта 17 содержится в настоящем документе.</w:t>
      </w:r>
    </w:p>
    <w:p w14:paraId="631C3C72" w14:textId="77777777" w:rsidR="00865814" w:rsidRPr="00F80A34" w:rsidRDefault="00F80A34" w:rsidP="00F80A34">
      <w:pPr>
        <w:pStyle w:val="ONUME"/>
        <w:rPr>
          <w:lang w:val="ru-RU"/>
        </w:rPr>
      </w:pPr>
      <w:r>
        <w:rPr>
          <w:lang w:val="ru-RU"/>
        </w:rPr>
        <w:t>Заседание проходило под председательством г-на Паскаля Фора (Франция), Председателя Ассамблеи.</w:t>
      </w:r>
    </w:p>
    <w:p w14:paraId="4D47D241" w14:textId="77777777" w:rsidR="00865814" w:rsidRPr="00F80A34" w:rsidRDefault="00865814" w:rsidP="009B020C">
      <w:pPr>
        <w:rPr>
          <w:lang w:val="ru-RU"/>
        </w:rPr>
      </w:pPr>
      <w:r w:rsidRPr="00F80A34">
        <w:rPr>
          <w:lang w:val="ru-RU"/>
        </w:rPr>
        <w:br w:type="page"/>
      </w:r>
    </w:p>
    <w:p w14:paraId="5759F695" w14:textId="77777777" w:rsidR="00865814" w:rsidRPr="00F80A34" w:rsidRDefault="00F80A34" w:rsidP="00BC03BE">
      <w:pPr>
        <w:pStyle w:val="Heading2"/>
        <w:spacing w:after="220" w:line="480" w:lineRule="auto"/>
        <w:rPr>
          <w:lang w:val="ru-RU"/>
        </w:rPr>
      </w:pPr>
      <w:r>
        <w:rPr>
          <w:lang w:val="ru-RU"/>
        </w:rPr>
        <w:lastRenderedPageBreak/>
        <w:t>пункт 17 СВОДНОЙ ПОВЕСТКИ ДНЯ</w:t>
      </w:r>
      <w:r>
        <w:rPr>
          <w:lang w:val="ru-RU"/>
        </w:rPr>
        <w:br/>
        <w:t>лиссабонская система</w:t>
      </w:r>
    </w:p>
    <w:p w14:paraId="0CC45740" w14:textId="78A3A238" w:rsidR="00573B00" w:rsidRPr="00287C40" w:rsidRDefault="00573B00" w:rsidP="00573B00">
      <w:pPr>
        <w:pStyle w:val="ONUME"/>
        <w:rPr>
          <w:lang w:val="ru-RU"/>
        </w:rPr>
      </w:pPr>
      <w:r w:rsidRPr="00573B00">
        <w:rPr>
          <w:lang w:val="ru-RU"/>
        </w:rPr>
        <w:t>Председатель Ассамблеи Лиссабонского союза отметил, что после предыдущей сессии Ассамблеи Лиссабонского союза еще четыре страны сдали на хранение свои документы о присоединении к Женевскому акту Лиссабонского соглашения по наименованиям мест происхождения и географическим указаниям (далее – «Женевский акт Лиссабонского соглашения») или ратификации его, а именно в хронологическом порядке: Гана, Кабо-Верде, Чешская Республика, а ранее на этой неделе – Перу.  Таким образом, общее число стран, охваченных Лиссабонской системой, достигло 57, а общее число стран, охваченных Женевским актом Лиссабонского соглашения, – 37. Далее Председатель подчеркнул, что, просуществовав всего два года, Женевский акт Лиссабонского соглашения уже охватил на семь стран больше, чем Лиссабонское соглашение об охране наименований мест происхождения и их международной регистрации (далее – «Лиссабонское соглашение») за почти 60 лет своего существования, что ясно свидетельствует о растущем интересе к Лиссабонской системе со стороны все большего числа государств-членов ВОИС в различных регионах мира.</w:t>
      </w:r>
    </w:p>
    <w:p w14:paraId="6E0A0D8F" w14:textId="1D966FC8" w:rsidR="00573B00" w:rsidRPr="00573B00" w:rsidRDefault="00573B00" w:rsidP="00573B00">
      <w:pPr>
        <w:pStyle w:val="ONUME"/>
        <w:rPr>
          <w:lang w:val="ru-RU"/>
        </w:rPr>
      </w:pPr>
      <w:r w:rsidRPr="00573B00">
        <w:rPr>
          <w:lang w:val="ru-RU"/>
        </w:rPr>
        <w:t xml:space="preserve">Затем Председатель перешел к </w:t>
      </w:r>
      <w:r>
        <w:rPr>
          <w:lang w:val="ru-RU"/>
        </w:rPr>
        <w:t xml:space="preserve">рассматриваемому в рамках повестки дня </w:t>
      </w:r>
      <w:r w:rsidRPr="00573B00">
        <w:rPr>
          <w:lang w:val="ru-RU"/>
        </w:rPr>
        <w:t xml:space="preserve">документу </w:t>
      </w:r>
      <w:r>
        <w:t>LI</w:t>
      </w:r>
      <w:r w:rsidRPr="00573B00">
        <w:rPr>
          <w:lang w:val="ru-RU"/>
        </w:rPr>
        <w:t>/</w:t>
      </w:r>
      <w:r>
        <w:t>A</w:t>
      </w:r>
      <w:r w:rsidRPr="00573B00">
        <w:rPr>
          <w:lang w:val="ru-RU"/>
        </w:rPr>
        <w:t xml:space="preserve">/39/1. </w:t>
      </w:r>
    </w:p>
    <w:p w14:paraId="5793FA98" w14:textId="24A06DEF" w:rsidR="00A16C24" w:rsidRPr="00A16C24" w:rsidRDefault="00A16C24" w:rsidP="00A16C24">
      <w:pPr>
        <w:pStyle w:val="Heading3"/>
        <w:spacing w:before="0" w:after="220"/>
        <w:rPr>
          <w:szCs w:val="22"/>
          <w:lang w:val="ru-RU"/>
        </w:rPr>
      </w:pPr>
      <w:r w:rsidRPr="00A16C24">
        <w:rPr>
          <w:lang w:val="ru-RU"/>
        </w:rPr>
        <w:t xml:space="preserve">Предлагаемые поправки к </w:t>
      </w:r>
      <w:r>
        <w:rPr>
          <w:lang w:val="ru-RU"/>
        </w:rPr>
        <w:t>О</w:t>
      </w:r>
      <w:r w:rsidRPr="00A16C24">
        <w:rPr>
          <w:lang w:val="ru-RU"/>
        </w:rPr>
        <w:t xml:space="preserve">бщей инструкции к </w:t>
      </w:r>
      <w:r>
        <w:rPr>
          <w:lang w:val="ru-RU"/>
        </w:rPr>
        <w:t>Л</w:t>
      </w:r>
      <w:r w:rsidRPr="00A16C24">
        <w:rPr>
          <w:lang w:val="ru-RU"/>
        </w:rPr>
        <w:t>иссабонскому</w:t>
      </w:r>
      <w:r>
        <w:rPr>
          <w:lang w:val="ru-RU"/>
        </w:rPr>
        <w:t xml:space="preserve"> с</w:t>
      </w:r>
      <w:r w:rsidRPr="00A16C24">
        <w:rPr>
          <w:lang w:val="ru-RU"/>
        </w:rPr>
        <w:t xml:space="preserve">оглашению и </w:t>
      </w:r>
      <w:r>
        <w:rPr>
          <w:lang w:val="ru-RU"/>
        </w:rPr>
        <w:t>Ж</w:t>
      </w:r>
      <w:r w:rsidRPr="00A16C24">
        <w:rPr>
          <w:lang w:val="ru-RU"/>
        </w:rPr>
        <w:t xml:space="preserve">еневскому акту </w:t>
      </w:r>
      <w:r>
        <w:rPr>
          <w:lang w:val="ru-RU"/>
        </w:rPr>
        <w:t>Л</w:t>
      </w:r>
      <w:r w:rsidRPr="00A16C24">
        <w:rPr>
          <w:lang w:val="ru-RU"/>
        </w:rPr>
        <w:t>иссабонского соглашения</w:t>
      </w:r>
    </w:p>
    <w:p w14:paraId="30184876" w14:textId="77777777" w:rsidR="009B020C" w:rsidRPr="00F80A34" w:rsidRDefault="00F80A34" w:rsidP="00052F5D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9B020C" w:rsidRPr="00F80A34">
        <w:rPr>
          <w:lang w:val="ru-RU"/>
        </w:rPr>
        <w:t xml:space="preserve"> </w:t>
      </w:r>
      <w:r w:rsidR="009B020C" w:rsidRPr="00A02C8D">
        <w:t>LI</w:t>
      </w:r>
      <w:r w:rsidR="009B020C" w:rsidRPr="00F80A34">
        <w:rPr>
          <w:lang w:val="ru-RU"/>
        </w:rPr>
        <w:t>/</w:t>
      </w:r>
      <w:r w:rsidR="009B020C" w:rsidRPr="00A02C8D">
        <w:t>A</w:t>
      </w:r>
      <w:r w:rsidR="009B020C" w:rsidRPr="00F80A34">
        <w:rPr>
          <w:lang w:val="ru-RU"/>
        </w:rPr>
        <w:t>/39/1.</w:t>
      </w:r>
    </w:p>
    <w:p w14:paraId="384B3BC7" w14:textId="276BF44A" w:rsidR="00A16C24" w:rsidRPr="00A16C24" w:rsidRDefault="00A16C24" w:rsidP="00A16C24">
      <w:pPr>
        <w:pStyle w:val="ONUME"/>
        <w:rPr>
          <w:lang w:val="ru-RU"/>
        </w:rPr>
      </w:pPr>
      <w:r w:rsidRPr="00A16C24">
        <w:rPr>
          <w:lang w:val="ru-RU"/>
        </w:rPr>
        <w:t>Представляя рассматриваемый документ, Секретариат напомнил, что на своей четвертой сессии, проходившей с 14 по 16 июня 2022 г</w:t>
      </w:r>
      <w:r>
        <w:rPr>
          <w:lang w:val="ru-RU"/>
        </w:rPr>
        <w:t>.</w:t>
      </w:r>
      <w:r w:rsidRPr="00A16C24">
        <w:rPr>
          <w:lang w:val="ru-RU"/>
        </w:rPr>
        <w:t>, Рабочая группа по развитию Лиссабонской системы (</w:t>
      </w:r>
      <w:r>
        <w:rPr>
          <w:lang w:val="ru-RU"/>
        </w:rPr>
        <w:t>далее – «</w:t>
      </w:r>
      <w:r w:rsidRPr="00A16C24">
        <w:rPr>
          <w:lang w:val="ru-RU"/>
        </w:rPr>
        <w:t>Рабочая группа</w:t>
      </w:r>
      <w:r>
        <w:rPr>
          <w:lang w:val="ru-RU"/>
        </w:rPr>
        <w:t>»</w:t>
      </w:r>
      <w:r w:rsidRPr="00A16C24">
        <w:rPr>
          <w:lang w:val="ru-RU"/>
        </w:rPr>
        <w:t xml:space="preserve">) рекомендовала внести поправки в </w:t>
      </w:r>
      <w:r>
        <w:rPr>
          <w:lang w:val="ru-RU"/>
        </w:rPr>
        <w:t>п</w:t>
      </w:r>
      <w:r w:rsidRPr="00A16C24">
        <w:rPr>
          <w:lang w:val="ru-RU"/>
        </w:rPr>
        <w:t xml:space="preserve">равила 7, 8, 9, 15 и 16 Общей инструкции </w:t>
      </w:r>
      <w:r>
        <w:rPr>
          <w:lang w:val="ru-RU"/>
        </w:rPr>
        <w:t xml:space="preserve">к </w:t>
      </w:r>
      <w:r w:rsidRPr="00A16C24">
        <w:rPr>
          <w:lang w:val="ru-RU"/>
        </w:rPr>
        <w:t>Лиссабонско</w:t>
      </w:r>
      <w:r>
        <w:rPr>
          <w:lang w:val="ru-RU"/>
        </w:rPr>
        <w:t>му</w:t>
      </w:r>
      <w:r w:rsidRPr="00A16C24">
        <w:rPr>
          <w:lang w:val="ru-RU"/>
        </w:rPr>
        <w:t xml:space="preserve"> соглашени</w:t>
      </w:r>
      <w:r>
        <w:rPr>
          <w:lang w:val="ru-RU"/>
        </w:rPr>
        <w:t>ю</w:t>
      </w:r>
      <w:r w:rsidRPr="00A16C24">
        <w:rPr>
          <w:lang w:val="ru-RU"/>
        </w:rPr>
        <w:t xml:space="preserve"> об охране наименований мест происхождения и их международной регистрации и Женевско</w:t>
      </w:r>
      <w:r>
        <w:rPr>
          <w:lang w:val="ru-RU"/>
        </w:rPr>
        <w:t>му</w:t>
      </w:r>
      <w:r w:rsidRPr="00A16C24">
        <w:rPr>
          <w:lang w:val="ru-RU"/>
        </w:rPr>
        <w:t xml:space="preserve"> акт</w:t>
      </w:r>
      <w:r>
        <w:rPr>
          <w:lang w:val="ru-RU"/>
        </w:rPr>
        <w:t>у</w:t>
      </w:r>
      <w:r w:rsidRPr="00A16C24">
        <w:rPr>
          <w:lang w:val="ru-RU"/>
        </w:rPr>
        <w:t xml:space="preserve"> Лиссабонского соглашения по наименованиям мест происхождения и географическим указаниям (</w:t>
      </w:r>
      <w:r>
        <w:rPr>
          <w:lang w:val="ru-RU"/>
        </w:rPr>
        <w:t>далее – «</w:t>
      </w:r>
      <w:r w:rsidRPr="00A16C24">
        <w:rPr>
          <w:lang w:val="ru-RU"/>
        </w:rPr>
        <w:t>Общая инструкция</w:t>
      </w:r>
      <w:r>
        <w:rPr>
          <w:lang w:val="ru-RU"/>
        </w:rPr>
        <w:t>»</w:t>
      </w:r>
      <w:r w:rsidRPr="00A16C24">
        <w:rPr>
          <w:lang w:val="ru-RU"/>
        </w:rPr>
        <w:t xml:space="preserve">) с целью упрощения и рационализации процедур в рамках Лиссабонской системы.  Секретариат </w:t>
      </w:r>
      <w:r>
        <w:rPr>
          <w:lang w:val="ru-RU"/>
        </w:rPr>
        <w:t>отметил</w:t>
      </w:r>
      <w:r w:rsidRPr="00A16C24">
        <w:rPr>
          <w:lang w:val="ru-RU"/>
        </w:rPr>
        <w:t xml:space="preserve">, что </w:t>
      </w:r>
      <w:r>
        <w:rPr>
          <w:lang w:val="ru-RU"/>
        </w:rPr>
        <w:t xml:space="preserve">датой вступления в силу </w:t>
      </w:r>
      <w:r w:rsidRPr="00A16C24">
        <w:rPr>
          <w:lang w:val="ru-RU"/>
        </w:rPr>
        <w:t>предлагаемы</w:t>
      </w:r>
      <w:r>
        <w:rPr>
          <w:lang w:val="ru-RU"/>
        </w:rPr>
        <w:t>х</w:t>
      </w:r>
      <w:r w:rsidRPr="00A16C24">
        <w:rPr>
          <w:lang w:val="ru-RU"/>
        </w:rPr>
        <w:t xml:space="preserve"> поправ</w:t>
      </w:r>
      <w:r>
        <w:rPr>
          <w:lang w:val="ru-RU"/>
        </w:rPr>
        <w:t>ок</w:t>
      </w:r>
      <w:r w:rsidRPr="00A16C24">
        <w:rPr>
          <w:lang w:val="ru-RU"/>
        </w:rPr>
        <w:t>, содержащи</w:t>
      </w:r>
      <w:r>
        <w:rPr>
          <w:lang w:val="ru-RU"/>
        </w:rPr>
        <w:t>х</w:t>
      </w:r>
      <w:r w:rsidRPr="00A16C24">
        <w:rPr>
          <w:lang w:val="ru-RU"/>
        </w:rPr>
        <w:t xml:space="preserve">ся в </w:t>
      </w:r>
      <w:r>
        <w:rPr>
          <w:lang w:val="ru-RU"/>
        </w:rPr>
        <w:t>п</w:t>
      </w:r>
      <w:r w:rsidRPr="00A16C24">
        <w:rPr>
          <w:lang w:val="ru-RU"/>
        </w:rPr>
        <w:t xml:space="preserve">риложении к документу </w:t>
      </w:r>
      <w:r>
        <w:t>LI</w:t>
      </w:r>
      <w:r w:rsidRPr="00A16C24">
        <w:rPr>
          <w:lang w:val="ru-RU"/>
        </w:rPr>
        <w:t>/</w:t>
      </w:r>
      <w:r>
        <w:t>A</w:t>
      </w:r>
      <w:r w:rsidRPr="00A16C24">
        <w:rPr>
          <w:lang w:val="ru-RU"/>
        </w:rPr>
        <w:t xml:space="preserve">/39/1, </w:t>
      </w:r>
      <w:r>
        <w:rPr>
          <w:lang w:val="ru-RU"/>
        </w:rPr>
        <w:t>станет</w:t>
      </w:r>
      <w:r w:rsidRPr="00A16C24">
        <w:rPr>
          <w:lang w:val="ru-RU"/>
        </w:rPr>
        <w:t xml:space="preserve"> 1</w:t>
      </w:r>
      <w:r>
        <w:rPr>
          <w:lang w:val="ru-RU"/>
        </w:rPr>
        <w:t> </w:t>
      </w:r>
      <w:r w:rsidRPr="00A16C24">
        <w:rPr>
          <w:lang w:val="ru-RU"/>
        </w:rPr>
        <w:t>января 2023 г.</w:t>
      </w:r>
    </w:p>
    <w:p w14:paraId="32A67749" w14:textId="238D0885" w:rsidR="00A16C24" w:rsidRPr="00D01F73" w:rsidRDefault="00A16C24" w:rsidP="00D01F73">
      <w:pPr>
        <w:pStyle w:val="ONUME"/>
        <w:rPr>
          <w:lang w:val="ru-RU"/>
        </w:rPr>
      </w:pPr>
      <w:r w:rsidRPr="00A16C24">
        <w:rPr>
          <w:lang w:val="ru-RU"/>
        </w:rPr>
        <w:t xml:space="preserve">Делегация Европейского </w:t>
      </w:r>
      <w:r>
        <w:rPr>
          <w:lang w:val="ru-RU"/>
        </w:rPr>
        <w:t>с</w:t>
      </w:r>
      <w:r w:rsidRPr="00A16C24">
        <w:rPr>
          <w:lang w:val="ru-RU"/>
        </w:rPr>
        <w:t xml:space="preserve">оюза, выступая от имени Европейского </w:t>
      </w:r>
      <w:r>
        <w:rPr>
          <w:lang w:val="ru-RU"/>
        </w:rPr>
        <w:t>с</w:t>
      </w:r>
      <w:r w:rsidRPr="00A16C24">
        <w:rPr>
          <w:lang w:val="ru-RU"/>
        </w:rPr>
        <w:t>оюза и его государств-членов, поддержала принятие предложенных поправок к Обще</w:t>
      </w:r>
      <w:r>
        <w:rPr>
          <w:lang w:val="ru-RU"/>
        </w:rPr>
        <w:t>й</w:t>
      </w:r>
      <w:r w:rsidRPr="00A16C24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A16C24">
        <w:rPr>
          <w:lang w:val="ru-RU"/>
        </w:rPr>
        <w:t xml:space="preserve">, рекомендованных Рабочей группой для принятия настоящей Ассамблеей.  </w:t>
      </w:r>
      <w:r w:rsidRPr="00A16C24">
        <w:rPr>
          <w:rFonts w:eastAsia="Times New Roman"/>
          <w:lang w:val="ru-RU" w:eastAsia="en-US"/>
        </w:rPr>
        <w:t xml:space="preserve">Делегация </w:t>
      </w:r>
      <w:r w:rsidRPr="00A16C24">
        <w:rPr>
          <w:lang w:val="ru-RU"/>
        </w:rPr>
        <w:t xml:space="preserve">уверена, что предложенные поправки будут способствовать упрощению и рационализации процедур в рамках Лиссабонской системы и обеспечат большую ясность на благо нынешних и будущих пользователей Лиссабонской системы.  Делегация выразила готовность работать совместно с Секретариатом ВОИС и другими государствами-членами ВОИС с целью дальнейшего </w:t>
      </w:r>
      <w:r w:rsidR="00D01F73">
        <w:rPr>
          <w:lang w:val="ru-RU"/>
        </w:rPr>
        <w:t xml:space="preserve">правового </w:t>
      </w:r>
      <w:r w:rsidRPr="00A16C24">
        <w:rPr>
          <w:lang w:val="ru-RU"/>
        </w:rPr>
        <w:t xml:space="preserve">развития Лиссабонской системы в соответствии с </w:t>
      </w:r>
      <w:r w:rsidR="00322490">
        <w:rPr>
          <w:lang w:val="ru-RU"/>
        </w:rPr>
        <w:t>р</w:t>
      </w:r>
      <w:r w:rsidRPr="00A16C24">
        <w:rPr>
          <w:lang w:val="ru-RU"/>
        </w:rPr>
        <w:t xml:space="preserve">езюме Председателя, принятым Рабочей группой в конце ее четвертой сессии (см. документ </w:t>
      </w:r>
      <w:r>
        <w:t>LI</w:t>
      </w:r>
      <w:r w:rsidRPr="00A16C24">
        <w:rPr>
          <w:lang w:val="ru-RU"/>
        </w:rPr>
        <w:t>/</w:t>
      </w:r>
      <w:r>
        <w:t>WG</w:t>
      </w:r>
      <w:r w:rsidRPr="00A16C24">
        <w:rPr>
          <w:lang w:val="ru-RU"/>
        </w:rPr>
        <w:t>/</w:t>
      </w:r>
      <w:r>
        <w:t>DEV</w:t>
      </w:r>
      <w:r w:rsidRPr="00A16C24">
        <w:rPr>
          <w:lang w:val="ru-RU"/>
        </w:rPr>
        <w:t>-</w:t>
      </w:r>
      <w:r>
        <w:t>SYS</w:t>
      </w:r>
      <w:r w:rsidRPr="00A16C24">
        <w:rPr>
          <w:lang w:val="ru-RU"/>
        </w:rPr>
        <w:t>/4/3).  Наконец, делегация отметила, что недавно в Брюсселе началось обсуждение предложения о создании</w:t>
      </w:r>
      <w:r w:rsidR="00D01F73">
        <w:rPr>
          <w:lang w:val="ru-RU"/>
        </w:rPr>
        <w:t xml:space="preserve"> механизма</w:t>
      </w:r>
      <w:r w:rsidRPr="00A16C24">
        <w:rPr>
          <w:lang w:val="ru-RU"/>
        </w:rPr>
        <w:t xml:space="preserve"> </w:t>
      </w:r>
      <w:r w:rsidRPr="00A16C24">
        <w:rPr>
          <w:lang w:val="ru-RU"/>
        </w:rPr>
        <w:lastRenderedPageBreak/>
        <w:t xml:space="preserve">географической </w:t>
      </w:r>
      <w:r w:rsidR="00D01F73">
        <w:rPr>
          <w:lang w:val="ru-RU"/>
        </w:rPr>
        <w:t>охраны</w:t>
      </w:r>
      <w:r w:rsidRPr="00A16C24">
        <w:rPr>
          <w:lang w:val="ru-RU"/>
        </w:rPr>
        <w:t xml:space="preserve"> ремесленных и промышленных </w:t>
      </w:r>
      <w:r w:rsidR="00D01F73">
        <w:rPr>
          <w:lang w:val="ru-RU"/>
        </w:rPr>
        <w:t>изделий</w:t>
      </w:r>
      <w:r w:rsidRPr="00A16C24">
        <w:rPr>
          <w:lang w:val="ru-RU"/>
        </w:rPr>
        <w:t xml:space="preserve"> на уровне Европейского союза. </w:t>
      </w:r>
    </w:p>
    <w:p w14:paraId="5AD02942" w14:textId="73860A47" w:rsidR="00D01F73" w:rsidRPr="00AC296A" w:rsidRDefault="00D01F73" w:rsidP="00AC296A">
      <w:pPr>
        <w:pStyle w:val="ONUME"/>
        <w:rPr>
          <w:lang w:val="ru-RU"/>
        </w:rPr>
      </w:pPr>
      <w:r w:rsidRPr="00D01F73">
        <w:rPr>
          <w:lang w:val="ru-RU"/>
        </w:rPr>
        <w:t xml:space="preserve">Выразив свою поддержку предложенным в документе </w:t>
      </w:r>
      <w:r>
        <w:t>LI</w:t>
      </w:r>
      <w:r w:rsidRPr="00D01F73">
        <w:rPr>
          <w:lang w:val="ru-RU"/>
        </w:rPr>
        <w:t>/</w:t>
      </w:r>
      <w:r>
        <w:t>A</w:t>
      </w:r>
      <w:r w:rsidRPr="00D01F73">
        <w:rPr>
          <w:lang w:val="ru-RU"/>
        </w:rPr>
        <w:t>/39/1 поправкам к Обще</w:t>
      </w:r>
      <w:r>
        <w:rPr>
          <w:lang w:val="ru-RU"/>
        </w:rPr>
        <w:t>й</w:t>
      </w:r>
      <w:r w:rsidRPr="00D01F73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D01F73">
        <w:rPr>
          <w:lang w:val="ru-RU"/>
        </w:rPr>
        <w:t xml:space="preserve">, делегация Сербии еще раз подчеркнула важность </w:t>
      </w:r>
      <w:r>
        <w:rPr>
          <w:lang w:val="ru-RU"/>
        </w:rPr>
        <w:t>обеспечения большей централизованности</w:t>
      </w:r>
      <w:r w:rsidRPr="00D01F73">
        <w:rPr>
          <w:lang w:val="ru-RU"/>
        </w:rPr>
        <w:t xml:space="preserve"> бюджета ВОИС, </w:t>
      </w:r>
      <w:r>
        <w:rPr>
          <w:lang w:val="ru-RU"/>
        </w:rPr>
        <w:t>что, по ее мнению, является</w:t>
      </w:r>
      <w:r w:rsidRPr="00D01F73">
        <w:rPr>
          <w:lang w:val="ru-RU"/>
        </w:rPr>
        <w:t xml:space="preserve"> наилучшим решением для обеспечения финансовой стабильности и устойчивости Лиссабонского союза.  Напротив, делегация считает, что более высокий уровень финансовой независимости союзов ВОИС не пойдет на пользу ВОИС и в конечном итоге приведет Организацию к децентрализации.  Делегация считает, что</w:t>
      </w:r>
      <w:r w:rsidR="007124C9">
        <w:rPr>
          <w:lang w:val="ru-RU"/>
        </w:rPr>
        <w:t xml:space="preserve"> применяемый в настоящий момент принцип</w:t>
      </w:r>
      <w:r w:rsidRPr="00D01F73">
        <w:rPr>
          <w:lang w:val="ru-RU"/>
        </w:rPr>
        <w:t xml:space="preserve"> солидарности между союзами позволит обеспечить финансовую устойчивость Организации в целом в долгосрочной перспективе.  Далее делегация отметила, что поскольку некоторые права промышленной собственности являются более привлекательными для заинтересованных сторон</w:t>
      </w:r>
      <w:r w:rsidR="007124C9">
        <w:rPr>
          <w:lang w:val="ru-RU"/>
        </w:rPr>
        <w:t xml:space="preserve"> и при этом</w:t>
      </w:r>
      <w:r w:rsidRPr="00D01F73">
        <w:rPr>
          <w:lang w:val="ru-RU"/>
        </w:rPr>
        <w:t xml:space="preserve"> более дорогостоящими, </w:t>
      </w:r>
      <w:r w:rsidR="007124C9">
        <w:rPr>
          <w:lang w:val="ru-RU"/>
        </w:rPr>
        <w:t xml:space="preserve">то </w:t>
      </w:r>
      <w:r w:rsidRPr="00D01F73">
        <w:rPr>
          <w:lang w:val="ru-RU"/>
        </w:rPr>
        <w:t xml:space="preserve">некоторые союзы ВОИС способны получать значительный доход, а другие </w:t>
      </w:r>
      <w:r w:rsidR="007124C9">
        <w:rPr>
          <w:lang w:val="ru-RU"/>
        </w:rPr>
        <w:t>–</w:t>
      </w:r>
      <w:r w:rsidRPr="007124C9">
        <w:rPr>
          <w:lang w:val="ru-RU"/>
        </w:rPr>
        <w:t xml:space="preserve"> нет.  В этой связи делегация напомнила, что одной из целей Организации является содействие развитию интеллектуальной собственности (ИС) во всем мире в соответствии со статьей</w:t>
      </w:r>
      <w:r w:rsidR="007124C9">
        <w:rPr>
          <w:lang w:val="ru-RU"/>
        </w:rPr>
        <w:t> </w:t>
      </w:r>
      <w:r w:rsidRPr="007124C9">
        <w:rPr>
          <w:lang w:val="ru-RU"/>
        </w:rPr>
        <w:t>3 Конвенции</w:t>
      </w:r>
      <w:r w:rsidR="00287C40">
        <w:rPr>
          <w:lang w:val="ru-RU"/>
        </w:rPr>
        <w:t xml:space="preserve"> </w:t>
      </w:r>
      <w:r w:rsidRPr="007124C9">
        <w:rPr>
          <w:lang w:val="ru-RU"/>
        </w:rPr>
        <w:t xml:space="preserve">ВОИС, что </w:t>
      </w:r>
      <w:r w:rsidR="007124C9">
        <w:rPr>
          <w:lang w:val="ru-RU"/>
        </w:rPr>
        <w:t>подразумевает</w:t>
      </w:r>
      <w:r w:rsidRPr="007124C9">
        <w:rPr>
          <w:lang w:val="ru-RU"/>
        </w:rPr>
        <w:t xml:space="preserve"> каждую категорию прав интеллектуальной собственности (ПИС), включая те, которые </w:t>
      </w:r>
      <w:r w:rsidR="007124C9">
        <w:rPr>
          <w:lang w:val="ru-RU"/>
        </w:rPr>
        <w:t xml:space="preserve">по сравнению с другими </w:t>
      </w:r>
      <w:r w:rsidRPr="007124C9">
        <w:rPr>
          <w:lang w:val="ru-RU"/>
        </w:rPr>
        <w:t xml:space="preserve">не являются столь высокодоходными.  Далее делегация заявила, что даже если географические указания не оказывают существенного влияния на состояние национальной экономики в целом в Сербии, они, безусловно, очень важны для местных сообществ.  В этой связи делегация сослалась на тех производителей </w:t>
      </w:r>
      <w:r w:rsidR="007124C9">
        <w:rPr>
          <w:lang w:val="ru-RU"/>
        </w:rPr>
        <w:t xml:space="preserve">защищенной </w:t>
      </w:r>
      <w:r w:rsidRPr="007124C9">
        <w:rPr>
          <w:lang w:val="ru-RU"/>
        </w:rPr>
        <w:t>географически</w:t>
      </w:r>
      <w:r w:rsidR="007124C9">
        <w:rPr>
          <w:lang w:val="ru-RU"/>
        </w:rPr>
        <w:t>ми</w:t>
      </w:r>
      <w:r w:rsidRPr="007124C9">
        <w:rPr>
          <w:lang w:val="ru-RU"/>
        </w:rPr>
        <w:t xml:space="preserve"> указани</w:t>
      </w:r>
      <w:r w:rsidR="007124C9">
        <w:rPr>
          <w:lang w:val="ru-RU"/>
        </w:rPr>
        <w:t>ями продукции</w:t>
      </w:r>
      <w:r w:rsidRPr="007124C9">
        <w:rPr>
          <w:lang w:val="ru-RU"/>
        </w:rPr>
        <w:t xml:space="preserve"> в Сербии, которые уже воспользовались преимуществами Лиссабонской системы и которые, благодаря значительной поддержке Европейского </w:t>
      </w:r>
      <w:r w:rsidR="007124C9">
        <w:rPr>
          <w:lang w:val="ru-RU"/>
        </w:rPr>
        <w:t>с</w:t>
      </w:r>
      <w:r w:rsidRPr="007124C9">
        <w:rPr>
          <w:lang w:val="ru-RU"/>
        </w:rPr>
        <w:t xml:space="preserve">оюза, также </w:t>
      </w:r>
      <w:r w:rsidR="007124C9">
        <w:rPr>
          <w:lang w:val="ru-RU"/>
        </w:rPr>
        <w:t>получили возможность сотрудничества</w:t>
      </w:r>
      <w:r w:rsidRPr="007124C9">
        <w:rPr>
          <w:lang w:val="ru-RU"/>
        </w:rPr>
        <w:t xml:space="preserve"> с местными властями в городах Нови-Сад, Нова-Варош и Чачак, в частности.  </w:t>
      </w:r>
      <w:r w:rsidR="00AC296A">
        <w:rPr>
          <w:lang w:val="ru-RU"/>
        </w:rPr>
        <w:t>В э</w:t>
      </w:r>
      <w:r w:rsidRPr="007124C9">
        <w:rPr>
          <w:lang w:val="ru-RU"/>
        </w:rPr>
        <w:t>ти</w:t>
      </w:r>
      <w:r w:rsidR="00AC296A">
        <w:rPr>
          <w:lang w:val="ru-RU"/>
        </w:rPr>
        <w:t>х</w:t>
      </w:r>
      <w:r w:rsidRPr="007124C9">
        <w:rPr>
          <w:lang w:val="ru-RU"/>
        </w:rPr>
        <w:t xml:space="preserve"> города</w:t>
      </w:r>
      <w:r w:rsidR="00AC296A">
        <w:rPr>
          <w:lang w:val="ru-RU"/>
        </w:rPr>
        <w:t>х</w:t>
      </w:r>
      <w:r w:rsidRPr="007124C9">
        <w:rPr>
          <w:lang w:val="ru-RU"/>
        </w:rPr>
        <w:t xml:space="preserve"> теперь </w:t>
      </w:r>
      <w:r w:rsidR="00AC296A">
        <w:rPr>
          <w:lang w:val="ru-RU"/>
        </w:rPr>
        <w:t xml:space="preserve">оказывается </w:t>
      </w:r>
      <w:r w:rsidRPr="007124C9">
        <w:rPr>
          <w:lang w:val="ru-RU"/>
        </w:rPr>
        <w:t>финансов</w:t>
      </w:r>
      <w:r w:rsidR="00AC296A">
        <w:rPr>
          <w:lang w:val="ru-RU"/>
        </w:rPr>
        <w:t>ая</w:t>
      </w:r>
      <w:r w:rsidRPr="007124C9">
        <w:rPr>
          <w:lang w:val="ru-RU"/>
        </w:rPr>
        <w:t xml:space="preserve"> поддерж</w:t>
      </w:r>
      <w:r w:rsidR="00AC296A">
        <w:rPr>
          <w:lang w:val="ru-RU"/>
        </w:rPr>
        <w:t>ка</w:t>
      </w:r>
      <w:r w:rsidRPr="007124C9">
        <w:rPr>
          <w:lang w:val="ru-RU"/>
        </w:rPr>
        <w:t xml:space="preserve"> сертификаци</w:t>
      </w:r>
      <w:r w:rsidR="00AC296A">
        <w:rPr>
          <w:lang w:val="ru-RU"/>
        </w:rPr>
        <w:t>и</w:t>
      </w:r>
      <w:r w:rsidRPr="007124C9">
        <w:rPr>
          <w:lang w:val="ru-RU"/>
        </w:rPr>
        <w:t xml:space="preserve"> продук</w:t>
      </w:r>
      <w:r w:rsidR="00AC296A">
        <w:rPr>
          <w:lang w:val="ru-RU"/>
        </w:rPr>
        <w:t xml:space="preserve">ции, защищенной географическими </w:t>
      </w:r>
      <w:r w:rsidRPr="007124C9">
        <w:rPr>
          <w:lang w:val="ru-RU"/>
        </w:rPr>
        <w:t>указаниями</w:t>
      </w:r>
      <w:r w:rsidR="00AC296A">
        <w:rPr>
          <w:lang w:val="ru-RU"/>
        </w:rPr>
        <w:t>,</w:t>
      </w:r>
      <w:r w:rsidRPr="007124C9">
        <w:rPr>
          <w:lang w:val="ru-RU"/>
        </w:rPr>
        <w:t xml:space="preserve"> из </w:t>
      </w:r>
      <w:r w:rsidR="00AC296A">
        <w:rPr>
          <w:lang w:val="ru-RU"/>
        </w:rPr>
        <w:t>соответствующего</w:t>
      </w:r>
      <w:r w:rsidRPr="007124C9">
        <w:rPr>
          <w:lang w:val="ru-RU"/>
        </w:rPr>
        <w:t xml:space="preserve"> региона, что, в свою очередь, свидетельствует о растущей поддержке, оказываемой сообществу географических указаний Сербии в целом.  В заключение делегация выразила желание продолжать прекрасное сотрудничество с Лиссабонским союзом и ВОИС для защиты и </w:t>
      </w:r>
      <w:r w:rsidR="00AC296A">
        <w:rPr>
          <w:lang w:val="ru-RU"/>
        </w:rPr>
        <w:t>лучшей</w:t>
      </w:r>
      <w:r w:rsidRPr="007124C9">
        <w:rPr>
          <w:lang w:val="ru-RU"/>
        </w:rPr>
        <w:t xml:space="preserve"> охраны </w:t>
      </w:r>
      <w:r w:rsidR="00AC296A">
        <w:rPr>
          <w:lang w:val="ru-RU"/>
        </w:rPr>
        <w:t xml:space="preserve">сербской </w:t>
      </w:r>
      <w:r w:rsidRPr="007124C9">
        <w:rPr>
          <w:lang w:val="ru-RU"/>
        </w:rPr>
        <w:t>продук</w:t>
      </w:r>
      <w:r w:rsidR="00AC296A">
        <w:rPr>
          <w:lang w:val="ru-RU"/>
        </w:rPr>
        <w:t>ции</w:t>
      </w:r>
      <w:r w:rsidR="00AC296A" w:rsidRPr="00AC296A">
        <w:rPr>
          <w:lang w:val="ru-RU"/>
        </w:rPr>
        <w:t>, в отношении котор</w:t>
      </w:r>
      <w:r w:rsidR="00AC296A">
        <w:rPr>
          <w:lang w:val="ru-RU"/>
        </w:rPr>
        <w:t>ой</w:t>
      </w:r>
      <w:r w:rsidR="00AC296A" w:rsidRPr="00AC296A">
        <w:rPr>
          <w:lang w:val="ru-RU"/>
        </w:rPr>
        <w:t xml:space="preserve"> используются географические указания</w:t>
      </w:r>
      <w:r w:rsidRPr="007124C9">
        <w:rPr>
          <w:lang w:val="ru-RU"/>
        </w:rPr>
        <w:t>.</w:t>
      </w:r>
    </w:p>
    <w:p w14:paraId="70D41933" w14:textId="08DA7341" w:rsidR="00AC296A" w:rsidRPr="00AC296A" w:rsidRDefault="00AC296A" w:rsidP="00AC296A">
      <w:pPr>
        <w:pStyle w:val="ONUME"/>
        <w:rPr>
          <w:lang w:val="ru-RU"/>
        </w:rPr>
      </w:pPr>
      <w:r w:rsidRPr="00AC296A">
        <w:rPr>
          <w:lang w:val="ru-RU"/>
        </w:rPr>
        <w:t>Делегация Франции поддержала заявление делегации Европейского союза и приветствовала поправки к Общей инструкции, принятые консенсусом на последней сессии Рабочей группы 16 июня 2022 г.  В этой связи делегация выразила мнение, что предложенные поправки являются прагматичными и обеспечивают практическое решение проблемы облегчения административной работы в интересах государств, заявителей</w:t>
      </w:r>
      <w:r>
        <w:rPr>
          <w:lang w:val="ru-RU"/>
        </w:rPr>
        <w:t>, а также</w:t>
      </w:r>
      <w:r w:rsidRPr="00AC296A">
        <w:rPr>
          <w:lang w:val="ru-RU"/>
        </w:rPr>
        <w:t xml:space="preserve"> Секретариата ВОИС.  Прежде всего, делегация подчеркнула, что предлагаемые поправки облегчат </w:t>
      </w:r>
      <w:r>
        <w:rPr>
          <w:lang w:val="ru-RU"/>
        </w:rPr>
        <w:t xml:space="preserve">соблюдение </w:t>
      </w:r>
      <w:r w:rsidRPr="00AC296A">
        <w:rPr>
          <w:lang w:val="ru-RU"/>
        </w:rPr>
        <w:t>чрезвычайно сжаты</w:t>
      </w:r>
      <w:r>
        <w:rPr>
          <w:lang w:val="ru-RU"/>
        </w:rPr>
        <w:t>х</w:t>
      </w:r>
      <w:r w:rsidRPr="00AC296A">
        <w:rPr>
          <w:lang w:val="ru-RU"/>
        </w:rPr>
        <w:t xml:space="preserve"> срок</w:t>
      </w:r>
      <w:r>
        <w:rPr>
          <w:lang w:val="ru-RU"/>
        </w:rPr>
        <w:t>ов</w:t>
      </w:r>
      <w:r w:rsidRPr="00AC296A">
        <w:rPr>
          <w:lang w:val="ru-RU"/>
        </w:rPr>
        <w:t xml:space="preserve"> уплаты индивидуальных пошлин.  Отметив, что предлагаемые поправки будут отвечать интересам всех заинтересованных сторон, поскольку они сделают Лиссабонскую систему более привлекательной, делегация подчеркнула, что такие значительные улучшения </w:t>
      </w:r>
      <w:r w:rsidR="00322490">
        <w:rPr>
          <w:lang w:val="ru-RU"/>
        </w:rPr>
        <w:t xml:space="preserve">тесно связаны </w:t>
      </w:r>
      <w:r w:rsidRPr="00AC296A">
        <w:rPr>
          <w:lang w:val="ru-RU"/>
        </w:rPr>
        <w:t xml:space="preserve">с продолжающейся компьютеризацией Лиссабонской системы и </w:t>
      </w:r>
      <w:r w:rsidR="00322490">
        <w:rPr>
          <w:lang w:val="ru-RU"/>
        </w:rPr>
        <w:t>сопутствующим</w:t>
      </w:r>
      <w:r w:rsidRPr="00AC296A">
        <w:rPr>
          <w:lang w:val="ru-RU"/>
        </w:rPr>
        <w:t xml:space="preserve"> сокращением расходов, связанных с за</w:t>
      </w:r>
      <w:r w:rsidR="00322490">
        <w:rPr>
          <w:lang w:val="ru-RU"/>
        </w:rPr>
        <w:t>явками</w:t>
      </w:r>
      <w:r w:rsidRPr="00AC296A">
        <w:rPr>
          <w:lang w:val="ru-RU"/>
        </w:rPr>
        <w:t xml:space="preserve"> на регистрацию, внесением изменений и уплатой индивидуальных пошлин. </w:t>
      </w:r>
    </w:p>
    <w:p w14:paraId="78212789" w14:textId="77777777" w:rsidR="00BC03BE" w:rsidRDefault="00BC03BE">
      <w:pPr>
        <w:rPr>
          <w:lang w:val="ru-RU"/>
        </w:rPr>
      </w:pPr>
      <w:r>
        <w:rPr>
          <w:lang w:val="ru-RU"/>
        </w:rPr>
        <w:br w:type="page"/>
      </w:r>
    </w:p>
    <w:p w14:paraId="782091A1" w14:textId="773CF21D" w:rsidR="00322490" w:rsidRPr="00322490" w:rsidRDefault="00322490" w:rsidP="00322490">
      <w:pPr>
        <w:pStyle w:val="ONUME"/>
        <w:rPr>
          <w:lang w:val="ru-RU"/>
        </w:rPr>
      </w:pPr>
      <w:r w:rsidRPr="00322490">
        <w:rPr>
          <w:lang w:val="ru-RU"/>
        </w:rPr>
        <w:lastRenderedPageBreak/>
        <w:t xml:space="preserve">Делегация Чешской Республики присоединилась к заявлению, сделанному делегацией Европейского </w:t>
      </w:r>
      <w:r>
        <w:rPr>
          <w:lang w:val="ru-RU"/>
        </w:rPr>
        <w:t>с</w:t>
      </w:r>
      <w:r w:rsidRPr="00322490">
        <w:rPr>
          <w:lang w:val="ru-RU"/>
        </w:rPr>
        <w:t xml:space="preserve">оюза, и далее </w:t>
      </w:r>
      <w:r>
        <w:rPr>
          <w:lang w:val="ru-RU"/>
        </w:rPr>
        <w:t>отметила</w:t>
      </w:r>
      <w:r w:rsidRPr="00322490">
        <w:rPr>
          <w:lang w:val="ru-RU"/>
        </w:rPr>
        <w:t>, что Чешская Республика придает большое значение принятию предложенных поправок к Обще</w:t>
      </w:r>
      <w:r>
        <w:rPr>
          <w:lang w:val="ru-RU"/>
        </w:rPr>
        <w:t>й инструкции</w:t>
      </w:r>
      <w:r w:rsidRPr="00322490">
        <w:rPr>
          <w:lang w:val="ru-RU"/>
        </w:rPr>
        <w:t xml:space="preserve">, содержащихся в приложении к резюме </w:t>
      </w:r>
      <w:r>
        <w:rPr>
          <w:lang w:val="ru-RU"/>
        </w:rPr>
        <w:t>П</w:t>
      </w:r>
      <w:r w:rsidRPr="00322490">
        <w:rPr>
          <w:lang w:val="ru-RU"/>
        </w:rPr>
        <w:t xml:space="preserve">редседателя Рабочей группы от июня 2022 г.  Делегация убеждена, что предложенные поправки не только упростят процедуры в рамках Лиссабонской системы, но и повысят их эффективность, и что они будут чрезвычайно полезны как для нынешних, так и для будущих пользователей Лиссабонской системы.  В заключение делегация заявила, что будет рада продолжить сотрудничество с Секретариатом ВОИС и другими членами по дальнейшему </w:t>
      </w:r>
      <w:r>
        <w:rPr>
          <w:lang w:val="ru-RU"/>
        </w:rPr>
        <w:t xml:space="preserve">правовому </w:t>
      </w:r>
      <w:r w:rsidRPr="00322490">
        <w:rPr>
          <w:lang w:val="ru-RU"/>
        </w:rPr>
        <w:t>развитию Лиссабонской системы.</w:t>
      </w:r>
    </w:p>
    <w:p w14:paraId="2EF8A0F9" w14:textId="29B5AA00" w:rsidR="00893B28" w:rsidRPr="00893B28" w:rsidRDefault="003209D7" w:rsidP="00893B28">
      <w:pPr>
        <w:pStyle w:val="ONUME"/>
        <w:rPr>
          <w:lang w:val="ru-RU"/>
        </w:rPr>
      </w:pPr>
      <w:r>
        <w:rPr>
          <w:lang w:val="ru-RU"/>
        </w:rPr>
        <w:t>Делегация Португалии п</w:t>
      </w:r>
      <w:r w:rsidR="00893B28" w:rsidRPr="00893B28">
        <w:rPr>
          <w:lang w:val="ru-RU"/>
        </w:rPr>
        <w:t>оддержа</w:t>
      </w:r>
      <w:r>
        <w:rPr>
          <w:lang w:val="ru-RU"/>
        </w:rPr>
        <w:t>ла</w:t>
      </w:r>
      <w:r w:rsidR="00893B28" w:rsidRPr="00893B28">
        <w:rPr>
          <w:lang w:val="ru-RU"/>
        </w:rPr>
        <w:t xml:space="preserve"> заявление делегации Европейского союза</w:t>
      </w:r>
      <w:r>
        <w:rPr>
          <w:lang w:val="ru-RU"/>
        </w:rPr>
        <w:t xml:space="preserve"> и </w:t>
      </w:r>
      <w:r w:rsidR="00893B28" w:rsidRPr="00893B28">
        <w:rPr>
          <w:lang w:val="ru-RU"/>
        </w:rPr>
        <w:t xml:space="preserve">напомнила, что географические указания и наименования мест происхождения очень важны для Португалии, учитывая их значительный вклад в развитие экономики, а также в социальное и культурное развитие регионов по всему миру.  В этом контексте делегация выразила мнение, что Лиссабонская система может быть </w:t>
      </w:r>
      <w:r w:rsidR="00893B28">
        <w:rPr>
          <w:lang w:val="ru-RU"/>
        </w:rPr>
        <w:t>весьма</w:t>
      </w:r>
      <w:r w:rsidR="00893B28" w:rsidRPr="00893B28">
        <w:rPr>
          <w:lang w:val="ru-RU"/>
        </w:rPr>
        <w:t xml:space="preserve"> полезной и важной для различных государств-членов ВОИС и поэтому должна оставаться приоритетом в повестке дня ВОИС.  В этой связи делегация с удовлетворением отметила весьма позитивный прогресс, достигнутый за последние несколько лет, включая значительное увеличение числа членов Лиссабонского союза.  Далее делегация заявила, что </w:t>
      </w:r>
      <w:r w:rsidR="00893B28">
        <w:rPr>
          <w:lang w:val="ru-RU"/>
        </w:rPr>
        <w:t xml:space="preserve">следует продолжать работу по продвижению </w:t>
      </w:r>
      <w:r w:rsidR="00893B28" w:rsidRPr="00893B28">
        <w:rPr>
          <w:lang w:val="ru-RU"/>
        </w:rPr>
        <w:t>Лиссабонск</w:t>
      </w:r>
      <w:r w:rsidR="00893B28">
        <w:rPr>
          <w:lang w:val="ru-RU"/>
        </w:rPr>
        <w:t>ой</w:t>
      </w:r>
      <w:r w:rsidR="00893B28" w:rsidRPr="00893B28">
        <w:rPr>
          <w:lang w:val="ru-RU"/>
        </w:rPr>
        <w:t xml:space="preserve"> систем</w:t>
      </w:r>
      <w:r w:rsidR="00893B28">
        <w:rPr>
          <w:lang w:val="ru-RU"/>
        </w:rPr>
        <w:t>ы</w:t>
      </w:r>
      <w:r w:rsidR="00893B28" w:rsidRPr="00893B28">
        <w:rPr>
          <w:lang w:val="ru-RU"/>
        </w:rPr>
        <w:t xml:space="preserve">, </w:t>
      </w:r>
      <w:r w:rsidR="00893B28">
        <w:rPr>
          <w:lang w:val="ru-RU"/>
        </w:rPr>
        <w:t xml:space="preserve">с тем </w:t>
      </w:r>
      <w:r w:rsidR="00893B28" w:rsidRPr="00893B28">
        <w:rPr>
          <w:lang w:val="ru-RU"/>
        </w:rPr>
        <w:t xml:space="preserve">чтобы повысить понимание этой системы </w:t>
      </w:r>
      <w:r w:rsidR="00893B28">
        <w:rPr>
          <w:lang w:val="ru-RU"/>
        </w:rPr>
        <w:t xml:space="preserve">всеми сторонами </w:t>
      </w:r>
      <w:r w:rsidR="00893B28" w:rsidRPr="00893B28">
        <w:rPr>
          <w:lang w:val="ru-RU"/>
        </w:rPr>
        <w:t xml:space="preserve">и тем самым увеличить число членов, что также может положительно сказаться на получаемых доходах.  </w:t>
      </w:r>
      <w:r w:rsidR="004152AB">
        <w:rPr>
          <w:lang w:val="ru-RU"/>
        </w:rPr>
        <w:t xml:space="preserve">Делегация заявила, что Португалия в настоящее время находится в процессе завершения ратификации </w:t>
      </w:r>
      <w:r w:rsidR="00893B28" w:rsidRPr="00893B28">
        <w:rPr>
          <w:lang w:val="ru-RU"/>
        </w:rPr>
        <w:t xml:space="preserve">Женевского акта Лиссабонского соглашения. </w:t>
      </w:r>
      <w:r w:rsidR="004152AB">
        <w:rPr>
          <w:lang w:val="ru-RU"/>
        </w:rPr>
        <w:t xml:space="preserve"> Кроме того, делегация согласилась с предлагаемыми поправками к Общей инструкции</w:t>
      </w:r>
      <w:r w:rsidR="00F06797">
        <w:rPr>
          <w:lang w:val="ru-RU"/>
        </w:rPr>
        <w:t>,</w:t>
      </w:r>
      <w:r w:rsidR="004152AB">
        <w:rPr>
          <w:lang w:val="ru-RU"/>
        </w:rPr>
        <w:t xml:space="preserve"> подчеркну</w:t>
      </w:r>
      <w:r w:rsidR="00F06797">
        <w:rPr>
          <w:lang w:val="ru-RU"/>
        </w:rPr>
        <w:t>в</w:t>
      </w:r>
      <w:r w:rsidR="004152AB">
        <w:rPr>
          <w:lang w:val="ru-RU"/>
        </w:rPr>
        <w:t xml:space="preserve"> усилия в направлении упрощения </w:t>
      </w:r>
      <w:r w:rsidR="00F06797">
        <w:rPr>
          <w:lang w:val="ru-RU"/>
        </w:rPr>
        <w:t>Лиссабонской системы, движимые обсуждениями в Рабочей группе.</w:t>
      </w:r>
    </w:p>
    <w:p w14:paraId="06AB7C19" w14:textId="5071F9A2" w:rsidR="00893B28" w:rsidRPr="00893B28" w:rsidRDefault="00893B28" w:rsidP="00893B28">
      <w:pPr>
        <w:pStyle w:val="ONUME"/>
        <w:rPr>
          <w:lang w:val="ru-RU"/>
        </w:rPr>
      </w:pPr>
      <w:r w:rsidRPr="00893B28">
        <w:rPr>
          <w:lang w:val="ru-RU"/>
        </w:rPr>
        <w:t xml:space="preserve">Делегация Венгрии присоединилась к заявлению делегации Европейского </w:t>
      </w:r>
      <w:r>
        <w:rPr>
          <w:lang w:val="ru-RU"/>
        </w:rPr>
        <w:t>с</w:t>
      </w:r>
      <w:r w:rsidRPr="00893B28">
        <w:rPr>
          <w:lang w:val="ru-RU"/>
        </w:rPr>
        <w:t xml:space="preserve">оюза и далее уточнила, что полностью поддерживает принятие поправок к </w:t>
      </w:r>
      <w:r>
        <w:rPr>
          <w:lang w:val="ru-RU"/>
        </w:rPr>
        <w:t>п</w:t>
      </w:r>
      <w:r w:rsidRPr="00893B28">
        <w:rPr>
          <w:lang w:val="ru-RU"/>
        </w:rPr>
        <w:t>равилам 7, 8, 9, 15 и 16 Обще</w:t>
      </w:r>
      <w:r>
        <w:rPr>
          <w:lang w:val="ru-RU"/>
        </w:rPr>
        <w:t>й инструкции</w:t>
      </w:r>
      <w:r w:rsidRPr="00893B28">
        <w:rPr>
          <w:lang w:val="ru-RU"/>
        </w:rPr>
        <w:t xml:space="preserve">, рекомендованных Рабочей группой после плодотворного обсуждения, с датой вступления в силу 1 января 2023 г.  Делегация выразила мнение, что концепция, лежащая в основе предложения, ясна и разумна, и </w:t>
      </w:r>
      <w:r>
        <w:rPr>
          <w:lang w:val="ru-RU"/>
        </w:rPr>
        <w:t>в этой связи</w:t>
      </w:r>
      <w:r w:rsidRPr="00893B28">
        <w:rPr>
          <w:lang w:val="ru-RU"/>
        </w:rPr>
        <w:t xml:space="preserve"> рассматривает предложенные поправки как необходимые для упрощения и оптимизации процедур в рамках Лиссабонской системы на благо пользователей.</w:t>
      </w:r>
    </w:p>
    <w:p w14:paraId="0E486966" w14:textId="7D8BC453" w:rsidR="00893B28" w:rsidRPr="00893B28" w:rsidRDefault="00893B28" w:rsidP="00893B28">
      <w:pPr>
        <w:pStyle w:val="ONUME"/>
        <w:rPr>
          <w:lang w:val="ru-RU"/>
        </w:rPr>
      </w:pPr>
      <w:r w:rsidRPr="00893B28">
        <w:rPr>
          <w:lang w:val="ru-RU"/>
        </w:rPr>
        <w:t>Делегация Грузии поддержала предложенные поправки к Обще</w:t>
      </w:r>
      <w:r>
        <w:rPr>
          <w:lang w:val="ru-RU"/>
        </w:rPr>
        <w:t>й инструкции</w:t>
      </w:r>
      <w:r w:rsidRPr="00893B28">
        <w:rPr>
          <w:lang w:val="ru-RU"/>
        </w:rPr>
        <w:t>, поскольку</w:t>
      </w:r>
      <w:r>
        <w:rPr>
          <w:lang w:val="ru-RU"/>
        </w:rPr>
        <w:t>, по ее мнению,</w:t>
      </w:r>
      <w:r w:rsidRPr="00893B28">
        <w:rPr>
          <w:lang w:val="ru-RU"/>
        </w:rPr>
        <w:t xml:space="preserve"> предложенные поправки будут способствовать укреплению Лиссабонского союза, а также позволят членам Лиссабонского союза найти разумное и сбалансированное решение для создания финансово устойчивой </w:t>
      </w:r>
      <w:r>
        <w:rPr>
          <w:lang w:val="ru-RU"/>
        </w:rPr>
        <w:t xml:space="preserve">в долгосрочной перспективе </w:t>
      </w:r>
      <w:r w:rsidRPr="00893B28">
        <w:rPr>
          <w:lang w:val="ru-RU"/>
        </w:rPr>
        <w:t xml:space="preserve">системы.  В заключение делегация заявила, что Грузия </w:t>
      </w:r>
      <w:r>
        <w:rPr>
          <w:lang w:val="ru-RU"/>
        </w:rPr>
        <w:t xml:space="preserve">приняла решение о </w:t>
      </w:r>
      <w:r w:rsidRPr="00893B28">
        <w:rPr>
          <w:lang w:val="ru-RU"/>
        </w:rPr>
        <w:t>присоедин</w:t>
      </w:r>
      <w:r>
        <w:rPr>
          <w:lang w:val="ru-RU"/>
        </w:rPr>
        <w:t>ении</w:t>
      </w:r>
      <w:r w:rsidRPr="00893B28">
        <w:rPr>
          <w:lang w:val="ru-RU"/>
        </w:rPr>
        <w:t xml:space="preserve"> к Женевскому акту Лиссабонского соглашения.</w:t>
      </w:r>
    </w:p>
    <w:p w14:paraId="37F8EDC6" w14:textId="7E5754EC" w:rsidR="00893B28" w:rsidRPr="00893B28" w:rsidRDefault="00893B28" w:rsidP="00893B28">
      <w:pPr>
        <w:pStyle w:val="ONUME"/>
        <w:rPr>
          <w:lang w:val="en-GB"/>
        </w:rPr>
      </w:pPr>
      <w:r w:rsidRPr="00893B28">
        <w:rPr>
          <w:lang w:val="ru-RU"/>
        </w:rPr>
        <w:t>Делегация Российской Федерации приветствовала предложенные поправки к правилам 7, 8, 9, 15 и 16 Обще</w:t>
      </w:r>
      <w:r>
        <w:rPr>
          <w:lang w:val="ru-RU"/>
        </w:rPr>
        <w:t>й инструкции</w:t>
      </w:r>
      <w:r w:rsidRPr="00893B28">
        <w:rPr>
          <w:lang w:val="ru-RU"/>
        </w:rPr>
        <w:t>, после чего напомнила, что в декабре 2021</w:t>
      </w:r>
      <w:r>
        <w:rPr>
          <w:lang w:val="ru-RU"/>
        </w:rPr>
        <w:t xml:space="preserve"> г. </w:t>
      </w:r>
      <w:r w:rsidR="003E05FB">
        <w:rPr>
          <w:lang w:val="ru-RU"/>
        </w:rPr>
        <w:t xml:space="preserve">в </w:t>
      </w:r>
      <w:r w:rsidRPr="00893B28">
        <w:rPr>
          <w:lang w:val="ru-RU"/>
        </w:rPr>
        <w:t>Российск</w:t>
      </w:r>
      <w:r w:rsidR="003E05FB">
        <w:rPr>
          <w:lang w:val="ru-RU"/>
        </w:rPr>
        <w:t>ой</w:t>
      </w:r>
      <w:r w:rsidRPr="00893B28">
        <w:rPr>
          <w:lang w:val="ru-RU"/>
        </w:rPr>
        <w:t xml:space="preserve"> Федераци</w:t>
      </w:r>
      <w:r w:rsidR="003E05FB">
        <w:rPr>
          <w:lang w:val="ru-RU"/>
        </w:rPr>
        <w:t>и был подписан закон о</w:t>
      </w:r>
      <w:r w:rsidRPr="00893B28">
        <w:rPr>
          <w:lang w:val="ru-RU"/>
        </w:rPr>
        <w:t xml:space="preserve"> присоединение Российской Федерации к Женевскому акту Лиссабонского соглашения.  Далее делегация сообщила, что </w:t>
      </w:r>
      <w:r w:rsidR="003E05FB">
        <w:rPr>
          <w:lang w:val="ru-RU"/>
        </w:rPr>
        <w:t xml:space="preserve">в настоящий момент в </w:t>
      </w:r>
      <w:r w:rsidRPr="00893B28">
        <w:rPr>
          <w:lang w:val="ru-RU"/>
        </w:rPr>
        <w:t>Российск</w:t>
      </w:r>
      <w:r w:rsidR="003E05FB">
        <w:rPr>
          <w:lang w:val="ru-RU"/>
        </w:rPr>
        <w:t>ой</w:t>
      </w:r>
      <w:r w:rsidRPr="00893B28">
        <w:rPr>
          <w:lang w:val="ru-RU"/>
        </w:rPr>
        <w:t xml:space="preserve"> Федераци</w:t>
      </w:r>
      <w:r w:rsidR="003E05FB">
        <w:rPr>
          <w:lang w:val="ru-RU"/>
        </w:rPr>
        <w:t xml:space="preserve">и завершается подготовка и внесение изменений в нормативно-правовые акты </w:t>
      </w:r>
      <w:r w:rsidR="00A76CC2">
        <w:rPr>
          <w:lang w:val="ru-RU"/>
        </w:rPr>
        <w:t>для интеграции всех возможностей Лиссабонской системы в национальное законодательство</w:t>
      </w:r>
      <w:r w:rsidRPr="00893B28">
        <w:rPr>
          <w:lang w:val="ru-RU"/>
        </w:rPr>
        <w:t xml:space="preserve">.  В этой связи делегация </w:t>
      </w:r>
      <w:r w:rsidRPr="00893B28">
        <w:rPr>
          <w:lang w:val="ru-RU"/>
        </w:rPr>
        <w:lastRenderedPageBreak/>
        <w:t xml:space="preserve">указала, что в начале следующего года Российская Федерация официально </w:t>
      </w:r>
      <w:r w:rsidR="00A76CC2">
        <w:rPr>
          <w:lang w:val="ru-RU"/>
        </w:rPr>
        <w:t>передаст</w:t>
      </w:r>
      <w:r w:rsidRPr="00893B28">
        <w:rPr>
          <w:lang w:val="ru-RU"/>
        </w:rPr>
        <w:t xml:space="preserve"> на хранение Генеральному директору ВОИС свой документ о присоединении.  Делегация выразила мнение, что участие Российской Федерации в Лиссабонской системе поможет Российской Федерации </w:t>
      </w:r>
      <w:r w:rsidR="00A76CC2">
        <w:rPr>
          <w:lang w:val="ru-RU"/>
        </w:rPr>
        <w:t>упростить</w:t>
      </w:r>
      <w:r w:rsidRPr="00893B28">
        <w:rPr>
          <w:lang w:val="ru-RU"/>
        </w:rPr>
        <w:t xml:space="preserve"> процедур</w:t>
      </w:r>
      <w:r w:rsidR="00A76CC2">
        <w:rPr>
          <w:lang w:val="ru-RU"/>
        </w:rPr>
        <w:t>у</w:t>
      </w:r>
      <w:r w:rsidRPr="00893B28">
        <w:rPr>
          <w:lang w:val="ru-RU"/>
        </w:rPr>
        <w:t xml:space="preserve"> получения правовой охраны наименований мест происхождения и географических указаний в других Договаривающихся сторонах Лиссабонской системы.  Кроме того, по мнению делегации, участие Российской Федерации в Лиссабонской системе </w:t>
      </w:r>
      <w:r w:rsidR="00A76CC2">
        <w:rPr>
          <w:lang w:val="ru-RU"/>
        </w:rPr>
        <w:t>создаст</w:t>
      </w:r>
      <w:r w:rsidRPr="00893B28">
        <w:rPr>
          <w:lang w:val="ru-RU"/>
        </w:rPr>
        <w:t xml:space="preserve"> новые возможности для экономического развития в регионах и поддерж</w:t>
      </w:r>
      <w:r w:rsidR="00A76CC2">
        <w:rPr>
          <w:lang w:val="ru-RU"/>
        </w:rPr>
        <w:t>ки</w:t>
      </w:r>
      <w:r w:rsidRPr="00893B28">
        <w:rPr>
          <w:lang w:val="ru-RU"/>
        </w:rPr>
        <w:t xml:space="preserve"> местных производителей, а также обеспечит дальнейшую интеграцию </w:t>
      </w:r>
      <w:proofErr w:type="spellStart"/>
      <w:r>
        <w:rPr>
          <w:lang w:val="en-GB"/>
        </w:rPr>
        <w:t>Российской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Федерации</w:t>
      </w:r>
      <w:proofErr w:type="spellEnd"/>
      <w:r>
        <w:rPr>
          <w:lang w:val="en-GB"/>
        </w:rPr>
        <w:t xml:space="preserve"> в </w:t>
      </w:r>
      <w:proofErr w:type="spellStart"/>
      <w:r>
        <w:rPr>
          <w:lang w:val="en-GB"/>
        </w:rPr>
        <w:t>глобальную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систему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охраны</w:t>
      </w:r>
      <w:proofErr w:type="spellEnd"/>
      <w:r>
        <w:rPr>
          <w:lang w:val="en-GB"/>
        </w:rPr>
        <w:t xml:space="preserve"> ИС.</w:t>
      </w:r>
    </w:p>
    <w:p w14:paraId="00568F40" w14:textId="7DEE6F38" w:rsidR="00A76CC2" w:rsidRPr="00A76CC2" w:rsidRDefault="00A76CC2" w:rsidP="00A76CC2">
      <w:pPr>
        <w:pStyle w:val="ONUME"/>
        <w:rPr>
          <w:lang w:val="ru-RU"/>
        </w:rPr>
      </w:pPr>
      <w:r w:rsidRPr="00A76CC2">
        <w:rPr>
          <w:lang w:val="ru-RU"/>
        </w:rPr>
        <w:t xml:space="preserve">Делегация Словакии </w:t>
      </w:r>
      <w:r>
        <w:rPr>
          <w:lang w:val="ru-RU"/>
        </w:rPr>
        <w:t>поддержала</w:t>
      </w:r>
      <w:r w:rsidRPr="00A76CC2">
        <w:rPr>
          <w:lang w:val="ru-RU"/>
        </w:rPr>
        <w:t xml:space="preserve"> принятие предложенных поправок к Обще</w:t>
      </w:r>
      <w:r>
        <w:rPr>
          <w:lang w:val="ru-RU"/>
        </w:rPr>
        <w:t xml:space="preserve">й инструкции </w:t>
      </w:r>
      <w:r w:rsidRPr="00A76CC2">
        <w:rPr>
          <w:lang w:val="ru-RU"/>
        </w:rPr>
        <w:t xml:space="preserve">с датой вступления в силу 1 января 2023 г.  </w:t>
      </w:r>
      <w:r>
        <w:rPr>
          <w:lang w:val="ru-RU"/>
        </w:rPr>
        <w:t>По мнению д</w:t>
      </w:r>
      <w:r w:rsidRPr="00A76CC2">
        <w:rPr>
          <w:lang w:val="ru-RU"/>
        </w:rPr>
        <w:t>елегаци</w:t>
      </w:r>
      <w:r>
        <w:rPr>
          <w:lang w:val="ru-RU"/>
        </w:rPr>
        <w:t>и</w:t>
      </w:r>
      <w:r w:rsidRPr="00A76CC2">
        <w:rPr>
          <w:lang w:val="ru-RU"/>
        </w:rPr>
        <w:t xml:space="preserve">, такие поправки помогут соответствующим субъектам и заинтересованным сторонам, а также сделают Лиссабонскую систему более привлекательной.  Делегация подчеркнула, что предложенные поправки также снизят административную нагрузку на процедуры в рамках Лиссабонской системы и могут прочно войти в практику, что будет выгодно всем государствам-членам.  Делегация </w:t>
      </w:r>
      <w:r>
        <w:rPr>
          <w:lang w:val="ru-RU"/>
        </w:rPr>
        <w:t>вновь заявила о своей полной поддержке</w:t>
      </w:r>
      <w:r w:rsidRPr="00A76CC2">
        <w:rPr>
          <w:lang w:val="ru-RU"/>
        </w:rPr>
        <w:t xml:space="preserve"> предложенны</w:t>
      </w:r>
      <w:r>
        <w:rPr>
          <w:lang w:val="ru-RU"/>
        </w:rPr>
        <w:t>х</w:t>
      </w:r>
      <w:r w:rsidRPr="00A76CC2">
        <w:rPr>
          <w:lang w:val="ru-RU"/>
        </w:rPr>
        <w:t xml:space="preserve"> поправ</w:t>
      </w:r>
      <w:r>
        <w:rPr>
          <w:lang w:val="ru-RU"/>
        </w:rPr>
        <w:t>ок</w:t>
      </w:r>
      <w:r w:rsidRPr="00A76CC2">
        <w:rPr>
          <w:lang w:val="ru-RU"/>
        </w:rPr>
        <w:t>, которые были согласованы на предыдущей сессии Рабочей группы в июне 2022 г.</w:t>
      </w:r>
    </w:p>
    <w:p w14:paraId="5860022C" w14:textId="01CF1EC7" w:rsidR="00A76CC2" w:rsidRPr="00A76CC2" w:rsidRDefault="00A76CC2" w:rsidP="00A76CC2">
      <w:pPr>
        <w:pStyle w:val="ONUME"/>
        <w:rPr>
          <w:lang w:val="ru-RU"/>
        </w:rPr>
      </w:pPr>
      <w:r w:rsidRPr="00A76CC2">
        <w:rPr>
          <w:lang w:val="ru-RU"/>
        </w:rPr>
        <w:t>Делегация Италии присоединилась к заявлению делегации Европейского союза и выразила решительную поддержку позиции делегаци</w:t>
      </w:r>
      <w:r>
        <w:rPr>
          <w:lang w:val="ru-RU"/>
        </w:rPr>
        <w:t>и</w:t>
      </w:r>
      <w:r w:rsidRPr="00A76CC2">
        <w:rPr>
          <w:lang w:val="ru-RU"/>
        </w:rPr>
        <w:t xml:space="preserve"> Франции в отношении Лиссабонского союза.</w:t>
      </w:r>
    </w:p>
    <w:p w14:paraId="6F69CCB6" w14:textId="2B0FE18B" w:rsidR="00A76CC2" w:rsidRPr="00A76CC2" w:rsidRDefault="00A76CC2" w:rsidP="00A76CC2">
      <w:pPr>
        <w:pStyle w:val="ONUME"/>
        <w:rPr>
          <w:lang w:val="ru-RU"/>
        </w:rPr>
      </w:pPr>
      <w:r w:rsidRPr="00A76CC2">
        <w:rPr>
          <w:lang w:val="ru-RU"/>
        </w:rPr>
        <w:t>Представитель Латиноамериканской школы интеллектуальной собственности (</w:t>
      </w:r>
      <w:r>
        <w:t>ELAPI</w:t>
      </w:r>
      <w:r w:rsidRPr="00A76CC2">
        <w:rPr>
          <w:lang w:val="ru-RU"/>
        </w:rPr>
        <w:t>) поддержал предложенные поправки к Обще</w:t>
      </w:r>
      <w:r>
        <w:rPr>
          <w:lang w:val="ru-RU"/>
        </w:rPr>
        <w:t>й</w:t>
      </w:r>
      <w:r w:rsidRPr="00A76CC2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A76CC2">
        <w:rPr>
          <w:lang w:val="ru-RU"/>
        </w:rPr>
        <w:t xml:space="preserve">, поскольку, по его мнению, предложенные поправки помогут Лиссабонскому союзу достичь целей, поставленных на предыдущих </w:t>
      </w:r>
      <w:r w:rsidR="00483F90">
        <w:rPr>
          <w:lang w:val="ru-RU"/>
        </w:rPr>
        <w:t>заседаниях</w:t>
      </w:r>
      <w:r w:rsidRPr="00A76CC2">
        <w:rPr>
          <w:lang w:val="ru-RU"/>
        </w:rPr>
        <w:t xml:space="preserve">.  Далее он подчеркнул необходимость поиска рационального подхода к установлению пошлин за внесение изменений в международную регистрацию и </w:t>
      </w:r>
      <w:r w:rsidR="00483F90">
        <w:rPr>
          <w:lang w:val="ru-RU"/>
        </w:rPr>
        <w:t>заявил</w:t>
      </w:r>
      <w:r w:rsidRPr="00A76CC2">
        <w:rPr>
          <w:lang w:val="ru-RU"/>
        </w:rPr>
        <w:t xml:space="preserve">, что </w:t>
      </w:r>
      <w:r>
        <w:t>ELAPI</w:t>
      </w:r>
      <w:r w:rsidRPr="00A76CC2">
        <w:rPr>
          <w:lang w:val="ru-RU"/>
        </w:rPr>
        <w:t xml:space="preserve"> придает большое значение</w:t>
      </w:r>
      <w:r w:rsidR="00483F90">
        <w:rPr>
          <w:lang w:val="ru-RU"/>
        </w:rPr>
        <w:t xml:space="preserve"> предоставлению</w:t>
      </w:r>
      <w:r w:rsidRPr="00A76CC2">
        <w:rPr>
          <w:lang w:val="ru-RU"/>
        </w:rPr>
        <w:t xml:space="preserve"> скидк</w:t>
      </w:r>
      <w:r w:rsidR="00483F90">
        <w:rPr>
          <w:lang w:val="ru-RU"/>
        </w:rPr>
        <w:t>и</w:t>
      </w:r>
      <w:r w:rsidRPr="00A76CC2">
        <w:rPr>
          <w:lang w:val="ru-RU"/>
        </w:rPr>
        <w:t xml:space="preserve"> в размере 50% для международных регистраций, происходящих из географическо</w:t>
      </w:r>
      <w:r w:rsidR="00483F90">
        <w:rPr>
          <w:lang w:val="ru-RU"/>
        </w:rPr>
        <w:t>го</w:t>
      </w:r>
      <w:r w:rsidRPr="00A76CC2">
        <w:rPr>
          <w:lang w:val="ru-RU"/>
        </w:rPr>
        <w:t xml:space="preserve"> </w:t>
      </w:r>
      <w:r w:rsidR="00483F90">
        <w:rPr>
          <w:lang w:val="ru-RU"/>
        </w:rPr>
        <w:t>района</w:t>
      </w:r>
      <w:r w:rsidRPr="00A76CC2">
        <w:rPr>
          <w:lang w:val="ru-RU"/>
        </w:rPr>
        <w:t xml:space="preserve"> происхождения, расположенно</w:t>
      </w:r>
      <w:r w:rsidR="00483F90">
        <w:rPr>
          <w:lang w:val="ru-RU"/>
        </w:rPr>
        <w:t>го</w:t>
      </w:r>
      <w:r w:rsidRPr="00A76CC2">
        <w:rPr>
          <w:lang w:val="ru-RU"/>
        </w:rPr>
        <w:t xml:space="preserve"> в наименее развит</w:t>
      </w:r>
      <w:r w:rsidR="00483F90">
        <w:rPr>
          <w:lang w:val="ru-RU"/>
        </w:rPr>
        <w:t>ых</w:t>
      </w:r>
      <w:r w:rsidRPr="00A76CC2">
        <w:rPr>
          <w:lang w:val="ru-RU"/>
        </w:rPr>
        <w:t xml:space="preserve"> стран</w:t>
      </w:r>
      <w:r w:rsidR="00483F90">
        <w:rPr>
          <w:lang w:val="ru-RU"/>
        </w:rPr>
        <w:t>ах</w:t>
      </w:r>
      <w:r w:rsidRPr="00A76CC2">
        <w:rPr>
          <w:lang w:val="ru-RU"/>
        </w:rPr>
        <w:t xml:space="preserve"> (НРС).  В заключение он сказал, что многие страны и потенциальные пользователи, стремящиеся </w:t>
      </w:r>
      <w:r w:rsidR="00483F90">
        <w:rPr>
          <w:lang w:val="ru-RU"/>
        </w:rPr>
        <w:t>обеспечить</w:t>
      </w:r>
      <w:r w:rsidRPr="00A76CC2">
        <w:rPr>
          <w:lang w:val="ru-RU"/>
        </w:rPr>
        <w:t xml:space="preserve"> охрану своих географических указаний, будут чрезвычайно рады такой скидке, поскольку сумма </w:t>
      </w:r>
      <w:r w:rsidR="00483F90">
        <w:rPr>
          <w:lang w:val="ru-RU"/>
        </w:rPr>
        <w:t xml:space="preserve">необходимых к уплате </w:t>
      </w:r>
      <w:r w:rsidRPr="00A76CC2">
        <w:rPr>
          <w:lang w:val="ru-RU"/>
        </w:rPr>
        <w:t xml:space="preserve">пошлин </w:t>
      </w:r>
      <w:r w:rsidR="00483F90">
        <w:rPr>
          <w:lang w:val="ru-RU"/>
        </w:rPr>
        <w:t>зачастую</w:t>
      </w:r>
      <w:r w:rsidRPr="00A76CC2">
        <w:rPr>
          <w:lang w:val="ru-RU"/>
        </w:rPr>
        <w:t xml:space="preserve"> затрудняет подачу заявок.  </w:t>
      </w:r>
    </w:p>
    <w:p w14:paraId="13A04E1A" w14:textId="11BB9B6B" w:rsidR="009B020C" w:rsidRPr="00F80A34" w:rsidRDefault="00F80A34" w:rsidP="00052F5D">
      <w:pPr>
        <w:pStyle w:val="ONUME"/>
        <w:tabs>
          <w:tab w:val="clear" w:pos="567"/>
          <w:tab w:val="left" w:pos="1080"/>
        </w:tabs>
        <w:ind w:left="540"/>
        <w:rPr>
          <w:lang w:val="ru-RU"/>
        </w:rPr>
      </w:pPr>
      <w:r>
        <w:rPr>
          <w:lang w:val="ru-RU"/>
        </w:rPr>
        <w:t>Ассамблея Лиссабонского союза приняла поправки к Общей инструкции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 в том виде, в каком они изложены в приложении к документу LI/A/39/1, с датой вступления в силу 1 января 2023 г</w:t>
      </w:r>
      <w:r w:rsidR="009B020C" w:rsidRPr="00F80A34">
        <w:rPr>
          <w:lang w:val="ru-RU"/>
        </w:rPr>
        <w:t>.</w:t>
      </w:r>
    </w:p>
    <w:p w14:paraId="1B38F463" w14:textId="5ACB0C1F" w:rsidR="00483F90" w:rsidRPr="00483F90" w:rsidRDefault="00483F90" w:rsidP="00483F90">
      <w:pPr>
        <w:pStyle w:val="ONUME"/>
        <w:rPr>
          <w:lang w:val="ru-RU"/>
        </w:rPr>
      </w:pPr>
      <w:r w:rsidRPr="00483F90">
        <w:rPr>
          <w:lang w:val="ru-RU"/>
        </w:rPr>
        <w:t xml:space="preserve">Для удобства в </w:t>
      </w:r>
      <w:r>
        <w:rPr>
          <w:lang w:val="ru-RU"/>
        </w:rPr>
        <w:t>п</w:t>
      </w:r>
      <w:r w:rsidRPr="00483F90">
        <w:rPr>
          <w:lang w:val="ru-RU"/>
        </w:rPr>
        <w:t>риложении к настоящему отчету приведены поправки к Обще</w:t>
      </w:r>
      <w:r>
        <w:rPr>
          <w:lang w:val="ru-RU"/>
        </w:rPr>
        <w:t>й инструкции</w:t>
      </w:r>
      <w:r w:rsidRPr="00483F90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483F90">
        <w:rPr>
          <w:lang w:val="ru-RU"/>
        </w:rPr>
        <w:t>Лиссабонско</w:t>
      </w:r>
      <w:r>
        <w:rPr>
          <w:lang w:val="ru-RU"/>
        </w:rPr>
        <w:t>му</w:t>
      </w:r>
      <w:r w:rsidRPr="00483F90">
        <w:rPr>
          <w:lang w:val="ru-RU"/>
        </w:rPr>
        <w:t xml:space="preserve"> соглашени</w:t>
      </w:r>
      <w:r>
        <w:rPr>
          <w:lang w:val="ru-RU"/>
        </w:rPr>
        <w:t>ю</w:t>
      </w:r>
      <w:r w:rsidRPr="00483F90">
        <w:rPr>
          <w:lang w:val="ru-RU"/>
        </w:rPr>
        <w:t xml:space="preserve"> и Женевскому акту Лиссабонского соглашения, принятые решением, изложенным в пункте 16 выше.</w:t>
      </w:r>
    </w:p>
    <w:p w14:paraId="5F0079F3" w14:textId="77777777" w:rsidR="009B020C" w:rsidRPr="00BE7DC4" w:rsidRDefault="009B020C">
      <w:pPr>
        <w:ind w:left="5529"/>
        <w:rPr>
          <w:szCs w:val="22"/>
          <w:lang w:val="ru-RU"/>
        </w:rPr>
      </w:pPr>
      <w:r w:rsidRPr="00BE7DC4">
        <w:rPr>
          <w:szCs w:val="22"/>
          <w:lang w:val="ru-RU"/>
        </w:rPr>
        <w:t>[</w:t>
      </w:r>
      <w:r w:rsidR="00F80A34">
        <w:rPr>
          <w:szCs w:val="22"/>
          <w:lang w:val="ru-RU"/>
        </w:rPr>
        <w:t>Приложение следует</w:t>
      </w:r>
      <w:r w:rsidRPr="00BE7DC4">
        <w:rPr>
          <w:szCs w:val="22"/>
          <w:lang w:val="ru-RU"/>
        </w:rPr>
        <w:t>]</w:t>
      </w:r>
    </w:p>
    <w:p w14:paraId="30535B6F" w14:textId="77777777" w:rsidR="009B020C" w:rsidRPr="00BE7DC4" w:rsidRDefault="009B020C">
      <w:pPr>
        <w:rPr>
          <w:lang w:val="ru-RU"/>
        </w:rPr>
        <w:sectPr w:rsidR="009B020C" w:rsidRPr="00BE7DC4" w:rsidSect="00F80A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09" w:right="1440" w:bottom="1440" w:left="1440" w:header="708" w:footer="708" w:gutter="0"/>
          <w:cols w:space="708"/>
          <w:titlePg/>
          <w:docGrid w:linePitch="360"/>
        </w:sectPr>
      </w:pPr>
    </w:p>
    <w:p w14:paraId="08E78A58" w14:textId="77777777" w:rsidR="00F80A34" w:rsidRDefault="00F80A34" w:rsidP="00F80A34">
      <w:pPr>
        <w:jc w:val="center"/>
        <w:rPr>
          <w:rFonts w:eastAsia="MS Mincho"/>
          <w:b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lastRenderedPageBreak/>
        <w:t>Общая инструкция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</w:t>
      </w:r>
    </w:p>
    <w:p w14:paraId="35B2FD5A" w14:textId="77777777" w:rsidR="00F80A34" w:rsidRDefault="00F80A34" w:rsidP="00F80A34">
      <w:pPr>
        <w:spacing w:before="240" w:after="720"/>
        <w:jc w:val="center"/>
        <w:rPr>
          <w:rFonts w:eastAsia="MS Mincho"/>
          <w:szCs w:val="22"/>
          <w:lang w:val="ru-RU" w:eastAsia="en-US"/>
        </w:rPr>
      </w:pPr>
      <w:r>
        <w:rPr>
          <w:rFonts w:eastAsia="MS Mincho"/>
          <w:szCs w:val="22"/>
          <w:lang w:val="ru-RU" w:eastAsia="en-US"/>
        </w:rPr>
        <w:t xml:space="preserve">действует с 1 января 2023 г. </w:t>
      </w:r>
    </w:p>
    <w:p w14:paraId="2EAE460E" w14:textId="77777777" w:rsidR="00F80A34" w:rsidRDefault="00F80A34" w:rsidP="00F80A34">
      <w:pPr>
        <w:keepNext/>
        <w:spacing w:after="120"/>
        <w:rPr>
          <w:lang w:val="ru-RU"/>
        </w:rPr>
      </w:pPr>
      <w:r>
        <w:rPr>
          <w:lang w:val="ru-RU"/>
        </w:rPr>
        <w:t>[…]</w:t>
      </w:r>
    </w:p>
    <w:p w14:paraId="6EC25130" w14:textId="77777777" w:rsidR="00F80A34" w:rsidRDefault="00F80A34" w:rsidP="00F80A34">
      <w:pPr>
        <w:keepNext/>
        <w:spacing w:after="480"/>
        <w:jc w:val="center"/>
        <w:rPr>
          <w:b/>
          <w:bCs/>
          <w:lang w:val="ru-RU"/>
        </w:rPr>
      </w:pPr>
      <w:r>
        <w:rPr>
          <w:b/>
          <w:lang w:val="ru-RU"/>
        </w:rPr>
        <w:t xml:space="preserve">Глава </w:t>
      </w:r>
      <w:r>
        <w:rPr>
          <w:b/>
        </w:rPr>
        <w:t>II</w:t>
      </w:r>
      <w:r>
        <w:rPr>
          <w:b/>
          <w:lang w:val="ru-RU"/>
        </w:rPr>
        <w:br/>
        <w:t>Заявка и международная регистрация</w:t>
      </w:r>
    </w:p>
    <w:p w14:paraId="2FB190EE" w14:textId="77777777" w:rsidR="00F80A34" w:rsidRDefault="00F80A34" w:rsidP="00F80A34">
      <w:pPr>
        <w:tabs>
          <w:tab w:val="left" w:pos="630"/>
          <w:tab w:val="left" w:pos="1170"/>
        </w:tabs>
        <w:spacing w:before="120" w:after="120"/>
        <w:jc w:val="center"/>
        <w:rPr>
          <w:rFonts w:eastAsia="Times New Roman"/>
          <w:color w:val="1A1A1A"/>
          <w:szCs w:val="22"/>
          <w:lang w:val="ru-RU" w:eastAsia="en-US"/>
        </w:rPr>
      </w:pPr>
      <w:r>
        <w:rPr>
          <w:rFonts w:eastAsia="Times New Roman"/>
          <w:b/>
          <w:bCs/>
          <w:color w:val="1A1A1A"/>
          <w:szCs w:val="22"/>
          <w:lang w:val="ru-RU" w:eastAsia="en-US"/>
        </w:rPr>
        <w:t>Правило 7</w:t>
      </w:r>
      <w:r>
        <w:rPr>
          <w:rFonts w:eastAsia="Times New Roman"/>
          <w:b/>
          <w:bCs/>
          <w:color w:val="1A1A1A"/>
          <w:szCs w:val="22"/>
          <w:lang w:val="ru-RU" w:eastAsia="en-US"/>
        </w:rPr>
        <w:br/>
      </w:r>
      <w:r>
        <w:rPr>
          <w:rFonts w:eastAsia="Times New Roman"/>
          <w:bCs/>
          <w:color w:val="1A1A1A"/>
          <w:szCs w:val="22"/>
          <w:lang w:val="ru-RU" w:eastAsia="en-US"/>
        </w:rPr>
        <w:t>Внесение в Международный реестр</w:t>
      </w:r>
    </w:p>
    <w:p w14:paraId="4A11C2EB" w14:textId="77777777" w:rsidR="00F80A34" w:rsidRDefault="00F80A34" w:rsidP="00F80A34">
      <w:pPr>
        <w:spacing w:before="120" w:after="120"/>
        <w:rPr>
          <w:rFonts w:eastAsia="Times New Roman"/>
          <w:color w:val="1A1A1A"/>
          <w:szCs w:val="22"/>
          <w:lang w:val="ru-RU" w:eastAsia="en-US"/>
        </w:rPr>
      </w:pPr>
      <w:r>
        <w:rPr>
          <w:rFonts w:eastAsia="Times New Roman"/>
          <w:color w:val="1A1A1A"/>
          <w:szCs w:val="22"/>
          <w:lang w:val="ru-RU" w:eastAsia="en-US"/>
        </w:rPr>
        <w:t>[…]</w:t>
      </w:r>
    </w:p>
    <w:p w14:paraId="266F7DA6" w14:textId="77777777" w:rsidR="00F80A34" w:rsidRDefault="00F80A34" w:rsidP="00F80A34">
      <w:pPr>
        <w:tabs>
          <w:tab w:val="left" w:pos="630"/>
        </w:tabs>
        <w:spacing w:before="120" w:after="120"/>
        <w:rPr>
          <w:rFonts w:eastAsia="Times New Roman"/>
          <w:color w:val="1A1A1A"/>
          <w:szCs w:val="22"/>
          <w:lang w:val="ru-RU" w:eastAsia="en-US"/>
        </w:rPr>
      </w:pPr>
      <w:r>
        <w:rPr>
          <w:rFonts w:eastAsia="Times New Roman"/>
          <w:color w:val="1A1A1A"/>
          <w:szCs w:val="22"/>
          <w:lang w:val="ru-RU" w:eastAsia="en-US"/>
        </w:rPr>
        <w:t>(4)</w:t>
      </w:r>
      <w:r>
        <w:rPr>
          <w:rFonts w:eastAsia="Times New Roman"/>
          <w:color w:val="1A1A1A"/>
          <w:szCs w:val="22"/>
          <w:lang w:eastAsia="en-US"/>
        </w:rPr>
        <w:t> </w:t>
      </w:r>
      <w:r>
        <w:rPr>
          <w:rFonts w:eastAsia="Times New Roman"/>
          <w:color w:val="1A1A1A"/>
          <w:szCs w:val="22"/>
          <w:lang w:val="ru-RU" w:eastAsia="en-US"/>
        </w:rPr>
        <w:tab/>
      </w:r>
      <w:r>
        <w:rPr>
          <w:i/>
          <w:lang w:val="ru-RU"/>
        </w:rPr>
        <w:t>[Выполнение статей 29(4) и 31(1)</w:t>
      </w:r>
      <w:r>
        <w:rPr>
          <w:lang w:val="ru-RU"/>
        </w:rPr>
        <w:t xml:space="preserve"> </w:t>
      </w:r>
      <w:r>
        <w:rPr>
          <w:i/>
          <w:lang w:val="ru-RU"/>
        </w:rPr>
        <w:t>Женевского акта</w:t>
      </w:r>
      <w:r w:rsidR="00BE7DC4">
        <w:rPr>
          <w:i/>
          <w:lang w:val="ru-RU"/>
        </w:rPr>
        <w:t xml:space="preserve"> Лиссабонского соглашения</w:t>
      </w:r>
      <w:r>
        <w:rPr>
          <w:i/>
          <w:lang w:val="ru-RU"/>
        </w:rPr>
        <w:t>]</w:t>
      </w:r>
    </w:p>
    <w:p w14:paraId="1E341FB3" w14:textId="77777777" w:rsidR="00F80A34" w:rsidRDefault="00F80A34" w:rsidP="00F80A34">
      <w:pPr>
        <w:tabs>
          <w:tab w:val="left" w:pos="630"/>
          <w:tab w:val="left" w:pos="1170"/>
        </w:tabs>
        <w:spacing w:before="120" w:after="120"/>
        <w:rPr>
          <w:rFonts w:eastAsia="Times New Roman"/>
          <w:color w:val="1A1A1A"/>
          <w:szCs w:val="22"/>
          <w:lang w:val="ru-RU" w:eastAsia="en-US"/>
        </w:rPr>
      </w:pPr>
      <w:r>
        <w:rPr>
          <w:rFonts w:eastAsia="Times New Roman"/>
          <w:color w:val="1A1A1A"/>
          <w:szCs w:val="22"/>
          <w:lang w:val="ru-RU" w:eastAsia="en-US"/>
        </w:rPr>
        <w:tab/>
        <w:t>(</w:t>
      </w:r>
      <w:r>
        <w:rPr>
          <w:rFonts w:eastAsia="Times New Roman"/>
          <w:color w:val="1A1A1A"/>
          <w:szCs w:val="22"/>
          <w:lang w:eastAsia="en-US"/>
        </w:rPr>
        <w:t>a</w:t>
      </w:r>
      <w:r>
        <w:rPr>
          <w:rFonts w:eastAsia="Times New Roman"/>
          <w:color w:val="1A1A1A"/>
          <w:szCs w:val="22"/>
          <w:lang w:val="ru-RU" w:eastAsia="en-US"/>
        </w:rPr>
        <w:t>)</w:t>
      </w:r>
      <w:r>
        <w:rPr>
          <w:rFonts w:eastAsia="Times New Roman"/>
          <w:color w:val="1A1A1A"/>
          <w:szCs w:val="22"/>
          <w:lang w:val="ru-RU" w:eastAsia="en-US"/>
        </w:rPr>
        <w:tab/>
      </w:r>
      <w:r>
        <w:rPr>
          <w:lang w:val="ru-RU"/>
        </w:rPr>
        <w:t xml:space="preserve">В случае ратификации Женевского акта </w:t>
      </w:r>
      <w:r w:rsidR="00BE7DC4">
        <w:rPr>
          <w:lang w:val="ru-RU"/>
        </w:rPr>
        <w:t xml:space="preserve">Лиссабонского соглашения </w:t>
      </w:r>
      <w:r>
        <w:rPr>
          <w:lang w:val="ru-RU"/>
        </w:rPr>
        <w:t>государством, которое является стороной Акта 1967 г., или присоединения к нему такого государства правило 5(2)–(4) применяется mutatis mutandis к международным регистрациям и наименованиям мест происхождения, действующим в отношении этого государства в соответствии с Актом 1967 г.  Международное бюро вместе с соответствующим компетентным органом проверяет, не следует ли внести какие-либо изменения с учетом требований правил 3(1) и 5(2)–(4) в целях их регистрации в соответствии с Женевским актом</w:t>
      </w:r>
      <w:r w:rsidR="00BE7DC4">
        <w:rPr>
          <w:lang w:val="ru-RU"/>
        </w:rPr>
        <w:t xml:space="preserve"> Лиссабонского соглашения</w:t>
      </w:r>
      <w:r>
        <w:rPr>
          <w:lang w:val="ru-RU"/>
        </w:rPr>
        <w:t>, и уведомляет о произведенных таким образом международных регистрациях все другие Договаривающиеся стороны, являющиеся сторонами Женевского акта</w:t>
      </w:r>
      <w:r w:rsidR="00BE7DC4">
        <w:rPr>
          <w:lang w:val="ru-RU"/>
        </w:rPr>
        <w:t xml:space="preserve"> Лиссабонского соглашения</w:t>
      </w:r>
      <w:r>
        <w:rPr>
          <w:lang w:val="ru-RU"/>
        </w:rPr>
        <w:t>.  Изменения</w:t>
      </w:r>
      <w:r w:rsidRPr="00BE7DC4">
        <w:rPr>
          <w:lang w:val="ru-RU"/>
        </w:rPr>
        <w:t>, к</w:t>
      </w:r>
      <w:r>
        <w:rPr>
          <w:lang w:val="ru-RU"/>
        </w:rPr>
        <w:t>асающиеся правила 5(2), вносятся при условии уплаты пошлины, предусмотренной правилом 8(1)(ii).</w:t>
      </w:r>
    </w:p>
    <w:p w14:paraId="50B0DA10" w14:textId="77777777" w:rsidR="00F80A34" w:rsidRDefault="00F80A34" w:rsidP="00F80A34">
      <w:pPr>
        <w:spacing w:before="120" w:after="360"/>
        <w:rPr>
          <w:rFonts w:eastAsia="Times New Roman"/>
          <w:bCs/>
          <w:color w:val="1A1A1A"/>
          <w:szCs w:val="22"/>
          <w:lang w:val="ru-RU" w:eastAsia="en-US"/>
        </w:rPr>
      </w:pPr>
      <w:bookmarkStart w:id="6" w:name="rule7bis"/>
      <w:bookmarkEnd w:id="6"/>
      <w:r>
        <w:rPr>
          <w:rFonts w:eastAsia="Times New Roman"/>
          <w:bCs/>
          <w:color w:val="1A1A1A"/>
          <w:szCs w:val="22"/>
          <w:lang w:val="ru-RU" w:eastAsia="en-US"/>
        </w:rPr>
        <w:t>[…]</w:t>
      </w:r>
    </w:p>
    <w:p w14:paraId="2BAA6EF5" w14:textId="77777777" w:rsidR="00F80A34" w:rsidRDefault="00F80A34" w:rsidP="00F80A34">
      <w:pPr>
        <w:keepNext/>
        <w:jc w:val="center"/>
        <w:rPr>
          <w:b/>
          <w:lang w:val="ru-RU"/>
        </w:rPr>
      </w:pPr>
      <w:r>
        <w:rPr>
          <w:b/>
          <w:lang w:val="ru-RU"/>
        </w:rPr>
        <w:t>Правило 8</w:t>
      </w:r>
    </w:p>
    <w:p w14:paraId="446F69FF" w14:textId="77777777" w:rsidR="00F80A34" w:rsidRDefault="00F80A34" w:rsidP="00F80A34">
      <w:pPr>
        <w:keepNext/>
        <w:spacing w:after="240"/>
        <w:jc w:val="center"/>
        <w:rPr>
          <w:lang w:val="ru-RU"/>
        </w:rPr>
      </w:pPr>
      <w:r>
        <w:rPr>
          <w:lang w:val="ru-RU"/>
        </w:rPr>
        <w:t>Пошлины</w:t>
      </w:r>
    </w:p>
    <w:p w14:paraId="01422FEF" w14:textId="77777777" w:rsidR="00F80A34" w:rsidRDefault="00F80A34" w:rsidP="00F80A34">
      <w:pPr>
        <w:keepNext/>
        <w:tabs>
          <w:tab w:val="left" w:pos="567"/>
          <w:tab w:val="left" w:pos="1134"/>
        </w:tabs>
        <w:rPr>
          <w:lang w:val="ru-RU"/>
        </w:rPr>
      </w:pPr>
      <w:r>
        <w:rPr>
          <w:lang w:val="ru-RU"/>
        </w:rPr>
        <w:t>(1)</w:t>
      </w:r>
      <w:r>
        <w:rPr>
          <w:lang w:val="ru-RU"/>
        </w:rPr>
        <w:tab/>
      </w:r>
      <w:r>
        <w:rPr>
          <w:i/>
          <w:lang w:val="ru-RU"/>
        </w:rPr>
        <w:t>[Размер пошлин]  </w:t>
      </w:r>
      <w:r>
        <w:rPr>
          <w:lang w:val="ru-RU"/>
        </w:rPr>
        <w:t>Международное бюро взимает следующие пошлины, уплачиваемые в швейцарских франках:</w:t>
      </w:r>
    </w:p>
    <w:p w14:paraId="6335A48F" w14:textId="77777777" w:rsidR="00F80A34" w:rsidRDefault="00F80A34" w:rsidP="00F80A34">
      <w:pPr>
        <w:tabs>
          <w:tab w:val="left" w:pos="1134"/>
          <w:tab w:val="left" w:pos="1701"/>
          <w:tab w:val="right" w:pos="9072"/>
        </w:tabs>
        <w:rPr>
          <w:lang w:val="ru-RU"/>
        </w:rPr>
      </w:pPr>
      <w:r>
        <w:rPr>
          <w:lang w:val="ru-RU"/>
        </w:rPr>
        <w:tab/>
        <w:t>(</w:t>
      </w:r>
      <w:proofErr w:type="spellStart"/>
      <w:r>
        <w:t>i</w:t>
      </w:r>
      <w:proofErr w:type="spellEnd"/>
      <w:r>
        <w:rPr>
          <w:lang w:val="ru-RU"/>
        </w:rPr>
        <w:t>)</w:t>
      </w:r>
      <w:r>
        <w:rPr>
          <w:lang w:val="ru-RU"/>
        </w:rPr>
        <w:tab/>
        <w:t>пошлину за международную регистрацию</w:t>
      </w:r>
      <w:r>
        <w:rPr>
          <w:b/>
          <w:bCs/>
          <w:vertAlign w:val="superscript"/>
          <w:lang w:val="ru-RU"/>
        </w:rPr>
        <w:t>3</w:t>
      </w:r>
      <w:r>
        <w:rPr>
          <w:lang w:val="ru-RU"/>
        </w:rPr>
        <w:tab/>
        <w:t>1000</w:t>
      </w:r>
    </w:p>
    <w:p w14:paraId="1BF6FFC2" w14:textId="77777777" w:rsidR="00F80A34" w:rsidRDefault="00F80A34" w:rsidP="00F80A34">
      <w:pPr>
        <w:tabs>
          <w:tab w:val="left" w:pos="1134"/>
          <w:tab w:val="left" w:pos="1701"/>
          <w:tab w:val="right" w:pos="9072"/>
        </w:tabs>
        <w:rPr>
          <w:lang w:val="ru-RU"/>
        </w:rPr>
      </w:pPr>
      <w:r>
        <w:rPr>
          <w:lang w:val="ru-RU"/>
        </w:rPr>
        <w:tab/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  <w:t>пошлину за одно изменение международной регистрации</w:t>
      </w:r>
      <w:r>
        <w:rPr>
          <w:vertAlign w:val="superscript"/>
          <w:lang w:val="ru-RU"/>
        </w:rPr>
        <w:footnoteReference w:customMarkFollows="1" w:id="2"/>
        <w:t>3</w:t>
      </w:r>
      <w:r>
        <w:rPr>
          <w:lang w:val="ru-RU"/>
        </w:rPr>
        <w:tab/>
        <w:t>500</w:t>
      </w:r>
    </w:p>
    <w:p w14:paraId="6DBE7371" w14:textId="77777777" w:rsidR="00F80A34" w:rsidRDefault="00F80A34" w:rsidP="00F80A34">
      <w:pPr>
        <w:tabs>
          <w:tab w:val="left" w:pos="1134"/>
          <w:tab w:val="left" w:pos="1701"/>
          <w:tab w:val="right" w:pos="9072"/>
        </w:tabs>
        <w:ind w:left="1701"/>
        <w:rPr>
          <w:lang w:val="ru-RU"/>
        </w:rPr>
      </w:pPr>
      <w:r>
        <w:rPr>
          <w:lang w:val="ru-RU"/>
        </w:rPr>
        <w:t xml:space="preserve">добавочную пошлину за дополнительное (-ые) изменение (-я), </w:t>
      </w:r>
      <w:r>
        <w:rPr>
          <w:lang w:val="ru-RU"/>
        </w:rPr>
        <w:br/>
        <w:t>представленное (-ые) в рамках той же просьбы</w:t>
      </w:r>
      <w:r>
        <w:rPr>
          <w:lang w:val="ru-RU"/>
        </w:rPr>
        <w:tab/>
        <w:t>300</w:t>
      </w:r>
    </w:p>
    <w:p w14:paraId="3E5F9835" w14:textId="77777777" w:rsidR="00F80A34" w:rsidRDefault="00F80A34" w:rsidP="00F80A34">
      <w:pPr>
        <w:tabs>
          <w:tab w:val="left" w:pos="1134"/>
          <w:tab w:val="left" w:pos="1701"/>
          <w:tab w:val="right" w:pos="9072"/>
        </w:tabs>
        <w:rPr>
          <w:lang w:val="ru-RU"/>
        </w:rPr>
      </w:pPr>
      <w:r>
        <w:rPr>
          <w:lang w:val="ru-RU"/>
        </w:rPr>
        <w:tab/>
        <w:t>(</w:t>
      </w:r>
      <w:r>
        <w:t>iii</w:t>
      </w:r>
      <w:r>
        <w:rPr>
          <w:lang w:val="ru-RU"/>
        </w:rPr>
        <w:t>)</w:t>
      </w:r>
      <w:r>
        <w:rPr>
          <w:lang w:val="ru-RU"/>
        </w:rPr>
        <w:tab/>
        <w:t>пошлину за предоставление выписки из Международного реестра</w:t>
      </w:r>
      <w:r>
        <w:rPr>
          <w:lang w:val="ru-RU"/>
        </w:rPr>
        <w:tab/>
        <w:t>150</w:t>
      </w:r>
    </w:p>
    <w:p w14:paraId="745F014B" w14:textId="77777777" w:rsidR="00F80A34" w:rsidRDefault="00F80A34" w:rsidP="00F80A34">
      <w:pPr>
        <w:tabs>
          <w:tab w:val="left" w:pos="1134"/>
          <w:tab w:val="left" w:pos="1701"/>
          <w:tab w:val="right" w:pos="9072"/>
        </w:tabs>
        <w:rPr>
          <w:lang w:val="ru-RU"/>
        </w:rPr>
      </w:pPr>
      <w:r>
        <w:rPr>
          <w:lang w:val="ru-RU"/>
        </w:rPr>
        <w:lastRenderedPageBreak/>
        <w:tab/>
        <w:t>(</w:t>
      </w:r>
      <w:r>
        <w:t>iv</w:t>
      </w:r>
      <w:r>
        <w:rPr>
          <w:lang w:val="ru-RU"/>
        </w:rPr>
        <w:t>)</w:t>
      </w:r>
      <w:r>
        <w:rPr>
          <w:lang w:val="ru-RU"/>
        </w:rPr>
        <w:tab/>
        <w:t>пошлину за предоставление справки или любой иной письменной информации, касающейся содержания Международного реестра</w:t>
      </w:r>
      <w:r>
        <w:rPr>
          <w:lang w:val="ru-RU"/>
        </w:rPr>
        <w:tab/>
        <w:t>100</w:t>
      </w:r>
    </w:p>
    <w:p w14:paraId="7BC1847E" w14:textId="77777777" w:rsidR="00F80A34" w:rsidRDefault="00F80A34" w:rsidP="00F80A34">
      <w:pPr>
        <w:tabs>
          <w:tab w:val="left" w:pos="1134"/>
          <w:tab w:val="left" w:pos="1701"/>
          <w:tab w:val="left" w:pos="8460"/>
          <w:tab w:val="left" w:pos="8640"/>
          <w:tab w:val="left" w:pos="9000"/>
        </w:tabs>
        <w:rPr>
          <w:lang w:val="ru-RU"/>
        </w:rPr>
      </w:pPr>
      <w:r>
        <w:rPr>
          <w:lang w:val="ru-RU"/>
        </w:rPr>
        <w:tab/>
        <w:t>(</w:t>
      </w:r>
      <w:r>
        <w:t>v</w:t>
      </w:r>
      <w:r>
        <w:rPr>
          <w:lang w:val="ru-RU"/>
        </w:rPr>
        <w:t>)</w:t>
      </w:r>
      <w:r>
        <w:rPr>
          <w:lang w:val="ru-RU"/>
        </w:rPr>
        <w:tab/>
        <w:t>индивидуальные пошлины, упомянутые в пункте (2).</w:t>
      </w:r>
    </w:p>
    <w:p w14:paraId="4A04C57E" w14:textId="77777777" w:rsidR="00F80A34" w:rsidRDefault="00F80A34" w:rsidP="00F80A34">
      <w:pPr>
        <w:spacing w:before="120" w:after="120"/>
        <w:rPr>
          <w:rFonts w:eastAsia="Times New Roman"/>
          <w:bCs/>
          <w:color w:val="1A1A1A"/>
          <w:szCs w:val="22"/>
          <w:lang w:val="ru-RU" w:eastAsia="en-US"/>
        </w:rPr>
      </w:pPr>
      <w:r>
        <w:rPr>
          <w:rFonts w:eastAsia="Times New Roman"/>
          <w:bCs/>
          <w:color w:val="1A1A1A"/>
          <w:szCs w:val="22"/>
          <w:lang w:val="ru-RU" w:eastAsia="en-US"/>
        </w:rPr>
        <w:t>[…]</w:t>
      </w:r>
    </w:p>
    <w:p w14:paraId="34194605" w14:textId="77777777" w:rsidR="00F80A34" w:rsidRDefault="00F80A34" w:rsidP="00F80A34">
      <w:pPr>
        <w:spacing w:before="360" w:after="480"/>
        <w:jc w:val="center"/>
        <w:rPr>
          <w:rFonts w:eastAsia="Times New Roman"/>
          <w:color w:val="1A1A1A"/>
          <w:szCs w:val="22"/>
          <w:lang w:val="ru-RU" w:eastAsia="en-US"/>
        </w:rPr>
      </w:pPr>
      <w:bookmarkStart w:id="7" w:name="chapter3"/>
      <w:bookmarkEnd w:id="7"/>
      <w:r>
        <w:rPr>
          <w:rFonts w:eastAsia="Times New Roman"/>
          <w:b/>
          <w:bCs/>
          <w:color w:val="1A1A1A"/>
          <w:szCs w:val="22"/>
          <w:lang w:val="ru-RU" w:eastAsia="en-US"/>
        </w:rPr>
        <w:t xml:space="preserve">Глава </w:t>
      </w:r>
      <w:r>
        <w:rPr>
          <w:rFonts w:eastAsia="Times New Roman"/>
          <w:b/>
          <w:bCs/>
          <w:color w:val="1A1A1A"/>
          <w:szCs w:val="22"/>
          <w:lang w:eastAsia="en-US"/>
        </w:rPr>
        <w:t>III</w:t>
      </w:r>
      <w:r>
        <w:rPr>
          <w:rFonts w:eastAsia="Times New Roman"/>
          <w:b/>
          <w:bCs/>
          <w:color w:val="1A1A1A"/>
          <w:szCs w:val="22"/>
          <w:lang w:val="ru-RU" w:eastAsia="en-US"/>
        </w:rPr>
        <w:br/>
        <w:t>Отказ и другие действия в отношении международной регистрации</w:t>
      </w:r>
    </w:p>
    <w:p w14:paraId="48A00016" w14:textId="77777777" w:rsidR="00F80A34" w:rsidRDefault="00F80A34" w:rsidP="00F80A34">
      <w:pPr>
        <w:keepNext/>
        <w:jc w:val="center"/>
        <w:rPr>
          <w:b/>
          <w:lang w:val="ru-RU"/>
        </w:rPr>
      </w:pPr>
      <w:r>
        <w:rPr>
          <w:b/>
          <w:lang w:val="ru-RU"/>
        </w:rPr>
        <w:t>Правило 9</w:t>
      </w:r>
    </w:p>
    <w:p w14:paraId="3D3036C4" w14:textId="77777777" w:rsidR="00F80A34" w:rsidRDefault="00F80A34" w:rsidP="00F80A34">
      <w:pPr>
        <w:keepNext/>
        <w:spacing w:after="240"/>
        <w:jc w:val="center"/>
        <w:rPr>
          <w:lang w:val="ru-RU"/>
        </w:rPr>
      </w:pPr>
      <w:r>
        <w:rPr>
          <w:lang w:val="ru-RU"/>
        </w:rPr>
        <w:t>Отказ</w:t>
      </w:r>
    </w:p>
    <w:p w14:paraId="7DB1D0D2" w14:textId="77777777" w:rsidR="00F80A34" w:rsidRDefault="00F80A34" w:rsidP="00F80A34">
      <w:pPr>
        <w:keepNext/>
        <w:tabs>
          <w:tab w:val="left" w:pos="567"/>
        </w:tabs>
        <w:spacing w:after="120"/>
        <w:rPr>
          <w:iCs/>
          <w:lang w:val="ru-RU"/>
        </w:rPr>
      </w:pPr>
      <w:r>
        <w:rPr>
          <w:lang w:val="ru-RU"/>
        </w:rPr>
        <w:t>(1)</w:t>
      </w:r>
      <w:r>
        <w:rPr>
          <w:lang w:val="ru-RU"/>
        </w:rPr>
        <w:tab/>
      </w:r>
      <w:r>
        <w:rPr>
          <w:i/>
          <w:iCs/>
          <w:lang w:val="ru-RU"/>
        </w:rPr>
        <w:t>[Уведомление в адрес Международного бюро]</w:t>
      </w:r>
    </w:p>
    <w:p w14:paraId="29A4FD67" w14:textId="77777777" w:rsidR="00F80A34" w:rsidRDefault="00F80A34" w:rsidP="00F80A34">
      <w:pPr>
        <w:keepNext/>
        <w:tabs>
          <w:tab w:val="left" w:pos="567"/>
        </w:tabs>
        <w:spacing w:before="120" w:after="120"/>
        <w:rPr>
          <w:lang w:val="ru-RU"/>
        </w:rPr>
      </w:pPr>
      <w:r>
        <w:rPr>
          <w:lang w:val="ru-RU"/>
        </w:rPr>
        <w:t>[…]</w:t>
      </w:r>
    </w:p>
    <w:p w14:paraId="399A2EA9" w14:textId="77777777" w:rsidR="00F80A34" w:rsidRDefault="00F80A34" w:rsidP="00F80A34">
      <w:pPr>
        <w:tabs>
          <w:tab w:val="left" w:pos="567"/>
          <w:tab w:val="left" w:pos="1134"/>
        </w:tabs>
        <w:spacing w:before="120" w:after="120"/>
        <w:rPr>
          <w:lang w:val="ru-RU"/>
        </w:rPr>
      </w:pPr>
      <w:r>
        <w:rPr>
          <w:lang w:val="ru-RU"/>
        </w:rPr>
        <w:tab/>
        <w:t>(</w:t>
      </w:r>
      <w:r>
        <w:t>b</w:t>
      </w:r>
      <w:r>
        <w:rPr>
          <w:lang w:val="ru-RU"/>
        </w:rPr>
        <w:t>)</w:t>
      </w:r>
      <w:r>
        <w:rPr>
          <w:lang w:val="ru-RU"/>
        </w:rPr>
        <w:tab/>
        <w:t>Отказ доводится до сведения не позднее одного года с момента получения уведомления о международной регистрации в соответствии со статьей 5(2) Акта 1967 г. или в соответствии со статьей 6(4) Женевского акта</w:t>
      </w:r>
      <w:r w:rsidR="00BE7DC4">
        <w:rPr>
          <w:lang w:val="ru-RU"/>
        </w:rPr>
        <w:t xml:space="preserve"> Лиссабонского соглашения</w:t>
      </w:r>
      <w:r>
        <w:rPr>
          <w:lang w:val="ru-RU"/>
        </w:rPr>
        <w:t xml:space="preserve">. В случае применения статьи 29(4) Женевского акта </w:t>
      </w:r>
      <w:r w:rsidR="00BE7DC4">
        <w:rPr>
          <w:lang w:val="ru-RU"/>
        </w:rPr>
        <w:t xml:space="preserve">Лиссабонского соглашения </w:t>
      </w:r>
      <w:r>
        <w:rPr>
          <w:lang w:val="ru-RU"/>
        </w:rPr>
        <w:t>этот срок может быть продлен еще на один год.</w:t>
      </w:r>
    </w:p>
    <w:p w14:paraId="6AFCE5DB" w14:textId="77777777" w:rsidR="00F80A34" w:rsidRDefault="00F80A34" w:rsidP="00F80A34">
      <w:pPr>
        <w:tabs>
          <w:tab w:val="left" w:pos="567"/>
          <w:tab w:val="left" w:pos="1134"/>
        </w:tabs>
        <w:spacing w:before="120" w:after="120"/>
        <w:ind w:firstLine="540"/>
        <w:rPr>
          <w:lang w:val="ru-RU"/>
        </w:rPr>
      </w:pPr>
      <w:r>
        <w:rPr>
          <w:lang w:val="ru-RU"/>
        </w:rPr>
        <w:t>(</w:t>
      </w:r>
      <w:r>
        <w:t>c</w:t>
      </w:r>
      <w:r>
        <w:rPr>
          <w:lang w:val="ru-RU"/>
        </w:rPr>
        <w:t>)</w:t>
      </w:r>
      <w:r>
        <w:rPr>
          <w:lang w:val="ru-RU"/>
        </w:rPr>
        <w:tab/>
        <w:t>Если только компетентный орган, упомянутый в подпункте (a), не докажет обратное, уведомление о международной регистрации, упомянутое в подпункте (b), считается полученным компетентным органом по истечении 20 дней с даты, указанной в уведомлении.</w:t>
      </w:r>
    </w:p>
    <w:p w14:paraId="030AE1F2" w14:textId="77777777" w:rsidR="00F80A34" w:rsidRDefault="00F80A34" w:rsidP="00F80A34">
      <w:pPr>
        <w:spacing w:before="120" w:after="360"/>
        <w:jc w:val="both"/>
        <w:rPr>
          <w:lang w:val="ru-RU"/>
        </w:rPr>
      </w:pPr>
      <w:r>
        <w:rPr>
          <w:lang w:val="ru-RU"/>
        </w:rPr>
        <w:t>[…]</w:t>
      </w:r>
    </w:p>
    <w:p w14:paraId="538ABD3B" w14:textId="77777777" w:rsidR="00F80A34" w:rsidRDefault="00F80A34" w:rsidP="00F80A34">
      <w:pPr>
        <w:keepNext/>
        <w:spacing w:after="240"/>
        <w:jc w:val="center"/>
        <w:rPr>
          <w:lang w:val="ru-RU"/>
        </w:rPr>
      </w:pPr>
      <w:r>
        <w:rPr>
          <w:b/>
          <w:lang w:val="ru-RU"/>
        </w:rPr>
        <w:t>Правило 15</w:t>
      </w:r>
      <w:r>
        <w:rPr>
          <w:lang w:val="ru-RU"/>
        </w:rPr>
        <w:br/>
        <w:t>Изменения</w:t>
      </w:r>
    </w:p>
    <w:p w14:paraId="0C8A62BF" w14:textId="77777777" w:rsidR="00F80A34" w:rsidRDefault="00F80A34" w:rsidP="00F80A34">
      <w:pPr>
        <w:keepNext/>
        <w:tabs>
          <w:tab w:val="left" w:pos="567"/>
        </w:tabs>
        <w:rPr>
          <w:lang w:val="ru-RU"/>
        </w:rPr>
      </w:pPr>
      <w:r>
        <w:rPr>
          <w:lang w:val="ru-RU"/>
        </w:rPr>
        <w:t>(1)</w:t>
      </w:r>
      <w:r>
        <w:rPr>
          <w:lang w:val="ru-RU"/>
        </w:rPr>
        <w:tab/>
      </w:r>
      <w:r>
        <w:rPr>
          <w:i/>
          <w:iCs/>
          <w:lang w:val="ru-RU"/>
        </w:rPr>
        <w:t>[Допустимые изменения]  </w:t>
      </w:r>
      <w:r>
        <w:rPr>
          <w:lang w:val="ru-RU"/>
        </w:rPr>
        <w:t>В Международный реестр могут вноситься следующие изменения:</w:t>
      </w:r>
    </w:p>
    <w:p w14:paraId="33FAE97E" w14:textId="77777777" w:rsidR="00F80A34" w:rsidRDefault="00F80A34" w:rsidP="00F80A34">
      <w:pPr>
        <w:keepNext/>
        <w:tabs>
          <w:tab w:val="left" w:pos="1710"/>
        </w:tabs>
        <w:ind w:firstLine="1134"/>
        <w:rPr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>
        <w:rPr>
          <w:lang w:val="ru-RU"/>
        </w:rPr>
        <w:t>)</w:t>
      </w:r>
      <w:r>
        <w:rPr>
          <w:lang w:val="ru-RU"/>
        </w:rPr>
        <w:tab/>
        <w:t>изменение бенефициаров, которое заключается в добавлении или исключении бенефициара или нескольких бенефициаров, или изменение имен или адресов бенефициаров или физического или юридического лица, упомянутого в статье 5(2)(</w:t>
      </w:r>
      <w:r>
        <w:t>ii</w:t>
      </w:r>
      <w:r>
        <w:rPr>
          <w:lang w:val="ru-RU"/>
        </w:rPr>
        <w:t>) Женевского акта;</w:t>
      </w:r>
    </w:p>
    <w:p w14:paraId="3BDC51C7" w14:textId="77777777" w:rsidR="00F80A34" w:rsidRDefault="00F80A34" w:rsidP="00F80A34">
      <w:pPr>
        <w:tabs>
          <w:tab w:val="left" w:pos="1710"/>
        </w:tabs>
        <w:ind w:firstLine="1134"/>
        <w:rPr>
          <w:lang w:val="ru-RU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  <w:t>[Исключено]</w:t>
      </w:r>
      <w:r w:rsidR="00BE7DC4">
        <w:rPr>
          <w:lang w:val="ru-RU"/>
        </w:rPr>
        <w:t>;</w:t>
      </w:r>
    </w:p>
    <w:p w14:paraId="0E3A1251" w14:textId="77777777" w:rsidR="00F80A34" w:rsidRDefault="00F80A34" w:rsidP="00F80A34">
      <w:pPr>
        <w:tabs>
          <w:tab w:val="left" w:pos="1710"/>
        </w:tabs>
        <w:ind w:firstLine="1134"/>
        <w:rPr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>)</w:t>
      </w:r>
      <w:r>
        <w:rPr>
          <w:lang w:val="ru-RU"/>
        </w:rPr>
        <w:tab/>
        <w:t>изменение границ географического района производства или географического района происхождения товара или товаров, к которым применяется наименование места происхождения или географическое указание;</w:t>
      </w:r>
    </w:p>
    <w:p w14:paraId="64DD6ACA" w14:textId="77777777" w:rsidR="00F80A34" w:rsidRDefault="00F80A34" w:rsidP="00F80A34">
      <w:pPr>
        <w:tabs>
          <w:tab w:val="left" w:pos="1710"/>
        </w:tabs>
        <w:ind w:firstLine="1134"/>
        <w:rPr>
          <w:lang w:val="ru-RU"/>
        </w:rPr>
      </w:pPr>
      <w:r>
        <w:rPr>
          <w:lang w:val="ru-RU"/>
        </w:rPr>
        <w:t>(i</w:t>
      </w:r>
      <w:r>
        <w:t>v</w:t>
      </w:r>
      <w:r>
        <w:rPr>
          <w:lang w:val="ru-RU"/>
        </w:rPr>
        <w:t>)</w:t>
      </w:r>
      <w:r>
        <w:rPr>
          <w:lang w:val="ru-RU"/>
        </w:rPr>
        <w:tab/>
        <w:t>изменение, касающееся законодательного или административного акта, судебного или административного решения или регистрации, упомянутых в правиле 5(2)(a)(vii);</w:t>
      </w:r>
    </w:p>
    <w:p w14:paraId="1D56BE85" w14:textId="77777777" w:rsidR="00F80A34" w:rsidRDefault="00F80A34" w:rsidP="00F80A34">
      <w:pPr>
        <w:tabs>
          <w:tab w:val="left" w:pos="1710"/>
        </w:tabs>
        <w:ind w:firstLine="1134"/>
        <w:rPr>
          <w:lang w:val="ru-RU"/>
        </w:rPr>
      </w:pPr>
      <w:r>
        <w:rPr>
          <w:lang w:val="ru-RU"/>
        </w:rPr>
        <w:t>(</w:t>
      </w:r>
      <w:r>
        <w:t>v</w:t>
      </w:r>
      <w:r>
        <w:rPr>
          <w:lang w:val="ru-RU"/>
        </w:rPr>
        <w:t>)</w:t>
      </w:r>
      <w:r>
        <w:rPr>
          <w:lang w:val="ru-RU"/>
        </w:rPr>
        <w:tab/>
        <w:t>изменение, касающееся Договаривающейся стороны происхождения, но не затрагивающее географического района производства или географический район происхождения товара или товаров, к которым применяется наименование места происхождения или географическое указание;</w:t>
      </w:r>
    </w:p>
    <w:p w14:paraId="23D7C6D1" w14:textId="77777777" w:rsidR="00F80A34" w:rsidRDefault="00F80A34" w:rsidP="00F80A34">
      <w:pPr>
        <w:tabs>
          <w:tab w:val="left" w:pos="1710"/>
        </w:tabs>
        <w:ind w:left="414" w:firstLine="720"/>
        <w:rPr>
          <w:lang w:val="ru-RU"/>
        </w:rPr>
      </w:pPr>
      <w:r>
        <w:rPr>
          <w:lang w:val="ru-RU"/>
        </w:rPr>
        <w:t>(</w:t>
      </w:r>
      <w:r>
        <w:t>vi</w:t>
      </w:r>
      <w:r>
        <w:rPr>
          <w:lang w:val="ru-RU"/>
        </w:rPr>
        <w:t>)</w:t>
      </w:r>
      <w:r>
        <w:rPr>
          <w:lang w:val="ru-RU"/>
        </w:rPr>
        <w:tab/>
        <w:t>[Исключено]</w:t>
      </w:r>
    </w:p>
    <w:p w14:paraId="27F2F2E1" w14:textId="77777777" w:rsidR="00F80A34" w:rsidRDefault="00F80A34" w:rsidP="00F80A34">
      <w:pPr>
        <w:spacing w:before="360" w:after="120"/>
        <w:rPr>
          <w:lang w:val="ru-RU"/>
        </w:rPr>
      </w:pPr>
      <w:r>
        <w:rPr>
          <w:lang w:val="ru-RU"/>
        </w:rPr>
        <w:t>[…]</w:t>
      </w:r>
    </w:p>
    <w:p w14:paraId="2E5C68FF" w14:textId="77777777" w:rsidR="00F80A34" w:rsidRDefault="00F80A34" w:rsidP="00F80A34">
      <w:pPr>
        <w:rPr>
          <w:lang w:val="ru-RU"/>
        </w:rPr>
      </w:pPr>
      <w:r>
        <w:rPr>
          <w:lang w:val="ru-RU"/>
        </w:rPr>
        <w:br w:type="page"/>
      </w:r>
    </w:p>
    <w:p w14:paraId="2A34CE83" w14:textId="77777777" w:rsidR="00F80A34" w:rsidRDefault="00F80A34" w:rsidP="00F80A34">
      <w:pPr>
        <w:spacing w:after="120"/>
        <w:jc w:val="center"/>
        <w:rPr>
          <w:rFonts w:eastAsia="Times New Roman"/>
          <w:color w:val="1A1A1A"/>
          <w:szCs w:val="22"/>
          <w:lang w:val="ru-RU" w:eastAsia="en-US"/>
        </w:rPr>
      </w:pPr>
      <w:r>
        <w:rPr>
          <w:rFonts w:eastAsia="Times New Roman"/>
          <w:b/>
          <w:bCs/>
          <w:color w:val="1A1A1A"/>
          <w:szCs w:val="22"/>
          <w:lang w:val="ru-RU" w:eastAsia="en-US"/>
        </w:rPr>
        <w:lastRenderedPageBreak/>
        <w:t>Правило 16</w:t>
      </w:r>
      <w:r>
        <w:rPr>
          <w:rFonts w:eastAsia="Times New Roman"/>
          <w:b/>
          <w:bCs/>
          <w:color w:val="1A1A1A"/>
          <w:szCs w:val="22"/>
          <w:lang w:val="ru-RU" w:eastAsia="en-US"/>
        </w:rPr>
        <w:br/>
      </w:r>
      <w:r>
        <w:rPr>
          <w:rFonts w:eastAsia="Times New Roman"/>
          <w:bCs/>
          <w:color w:val="1A1A1A"/>
          <w:szCs w:val="22"/>
          <w:lang w:val="ru-RU" w:eastAsia="en-US"/>
        </w:rPr>
        <w:t>Отказ от охраны</w:t>
      </w:r>
    </w:p>
    <w:p w14:paraId="46E34331" w14:textId="77777777" w:rsidR="00F80A34" w:rsidRDefault="00F80A34" w:rsidP="00F80A34">
      <w:pPr>
        <w:spacing w:before="120" w:after="120"/>
        <w:rPr>
          <w:rFonts w:eastAsia="Times New Roman"/>
          <w:color w:val="1A1A1A"/>
          <w:szCs w:val="22"/>
          <w:lang w:val="ru-RU" w:eastAsia="en-US"/>
        </w:rPr>
      </w:pPr>
      <w:r>
        <w:rPr>
          <w:rFonts w:eastAsia="Times New Roman"/>
          <w:color w:val="1A1A1A"/>
          <w:szCs w:val="22"/>
          <w:lang w:val="ru-RU" w:eastAsia="en-US"/>
        </w:rPr>
        <w:t>[…]</w:t>
      </w:r>
    </w:p>
    <w:p w14:paraId="17959335" w14:textId="77777777" w:rsidR="00F80A34" w:rsidRDefault="00F80A34" w:rsidP="00F80A34">
      <w:pPr>
        <w:tabs>
          <w:tab w:val="left" w:pos="567"/>
        </w:tabs>
        <w:rPr>
          <w:lang w:val="ru-RU"/>
        </w:rPr>
      </w:pPr>
      <w:r>
        <w:rPr>
          <w:lang w:val="ru-RU"/>
        </w:rPr>
        <w:t>(2)</w:t>
      </w:r>
      <w:r>
        <w:rPr>
          <w:lang w:val="ru-RU"/>
        </w:rPr>
        <w:tab/>
      </w:r>
      <w:r>
        <w:rPr>
          <w:i/>
          <w:lang w:val="ru-RU"/>
        </w:rPr>
        <w:t>[Отзыв отказа]  </w:t>
      </w:r>
      <w:r>
        <w:rPr>
          <w:lang w:val="ru-RU"/>
        </w:rPr>
        <w:t>(a) Любой отказ, включая отказ в соответствии с правилом 6(1)(d), может быть в любое время отозван полностью или частично компетентным органом Договаривающейся стороны происхождения или, в случае применения статьи 5(3) Женевского акта</w:t>
      </w:r>
      <w:r w:rsidR="00BE7DC4">
        <w:rPr>
          <w:lang w:val="ru-RU"/>
        </w:rPr>
        <w:t xml:space="preserve"> Лиссабонского соглашения</w:t>
      </w:r>
      <w:r>
        <w:rPr>
          <w:lang w:val="ru-RU"/>
        </w:rPr>
        <w:t xml:space="preserve">, бенефициарами или физическим или юридическим лицом, упомянутым в статье 5(2)(ii) этого Акта, или компетентным органом Договаривающейся стороны происхождения при условии исправления несоблюдения </w:t>
      </w:r>
      <w:r w:rsidRPr="00BE7DC4">
        <w:rPr>
          <w:lang w:val="ru-RU"/>
        </w:rPr>
        <w:t>правил</w:t>
      </w:r>
      <w:r w:rsidRPr="00BE7DC4">
        <w:rPr>
          <w:color w:val="0070C0"/>
          <w:lang w:val="ru-RU"/>
        </w:rPr>
        <w:t xml:space="preserve"> </w:t>
      </w:r>
      <w:r w:rsidRPr="00BE7DC4">
        <w:rPr>
          <w:lang w:val="ru-RU"/>
        </w:rPr>
        <w:t>в</w:t>
      </w:r>
      <w:r>
        <w:rPr>
          <w:lang w:val="ru-RU"/>
        </w:rPr>
        <w:t xml:space="preserve"> случае отказа в соответствии с правилом</w:t>
      </w:r>
      <w:r>
        <w:t> </w:t>
      </w:r>
      <w:r>
        <w:rPr>
          <w:lang w:val="ru-RU"/>
        </w:rPr>
        <w:t>6(1)(</w:t>
      </w:r>
      <w:r>
        <w:t>d</w:t>
      </w:r>
      <w:r>
        <w:rPr>
          <w:lang w:val="ru-RU"/>
        </w:rPr>
        <w:t>).</w:t>
      </w:r>
    </w:p>
    <w:p w14:paraId="603D1B03" w14:textId="77777777" w:rsidR="00F80A34" w:rsidRDefault="00F80A34" w:rsidP="00F80A34">
      <w:pPr>
        <w:spacing w:before="120" w:after="720"/>
        <w:rPr>
          <w:rFonts w:eastAsia="Times New Roman"/>
          <w:color w:val="1A1A1A"/>
          <w:szCs w:val="22"/>
          <w:lang w:eastAsia="en-US"/>
        </w:rPr>
      </w:pPr>
      <w:bookmarkStart w:id="8" w:name="rule24"/>
      <w:bookmarkEnd w:id="8"/>
      <w:r>
        <w:rPr>
          <w:rFonts w:eastAsia="Times New Roman"/>
          <w:color w:val="1A1A1A"/>
          <w:szCs w:val="22"/>
          <w:lang w:eastAsia="en-US"/>
        </w:rPr>
        <w:t>[…]</w:t>
      </w:r>
    </w:p>
    <w:p w14:paraId="23423C3A" w14:textId="77777777" w:rsidR="00F80A34" w:rsidRDefault="00F80A34" w:rsidP="00F80A3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t>[</w:t>
      </w:r>
      <w:r>
        <w:rPr>
          <w:lang w:val="ru-RU"/>
        </w:rPr>
        <w:t>Конец приложения и документа</w:t>
      </w:r>
      <w: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3F0D3365" w14:textId="77777777" w:rsidR="002D1A88" w:rsidRPr="002D1A88" w:rsidRDefault="002D1A88" w:rsidP="00052F5D">
      <w:pPr>
        <w:pStyle w:val="ONUME"/>
        <w:numPr>
          <w:ilvl w:val="0"/>
          <w:numId w:val="0"/>
        </w:numPr>
        <w:ind w:left="5533"/>
      </w:pPr>
    </w:p>
    <w:p w14:paraId="7879779D" w14:textId="77777777" w:rsidR="002928D3" w:rsidRDefault="002928D3" w:rsidP="002D1A88">
      <w:pPr>
        <w:spacing w:after="220"/>
      </w:pPr>
    </w:p>
    <w:sectPr w:rsidR="002928D3" w:rsidSect="00F80A34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78FD3" w14:textId="77777777" w:rsidR="00A77345" w:rsidRDefault="00A77345">
      <w:r>
        <w:separator/>
      </w:r>
    </w:p>
  </w:endnote>
  <w:endnote w:type="continuationSeparator" w:id="0">
    <w:p w14:paraId="31A32691" w14:textId="77777777" w:rsidR="00A77345" w:rsidRDefault="00A77345" w:rsidP="003B38C1">
      <w:r>
        <w:separator/>
      </w:r>
    </w:p>
    <w:p w14:paraId="5B0B46DD" w14:textId="77777777" w:rsidR="00A77345" w:rsidRPr="003B38C1" w:rsidRDefault="00A773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A7DB8DC" w14:textId="77777777" w:rsidR="00A77345" w:rsidRPr="003B38C1" w:rsidRDefault="00A773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BB07A" w14:textId="77777777" w:rsidR="00F06797" w:rsidRDefault="00F06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C498F" w14:textId="77777777" w:rsidR="00F06797" w:rsidRDefault="00F067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257D4" w14:textId="77777777" w:rsidR="00F06797" w:rsidRDefault="00F06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3B429" w14:textId="77777777" w:rsidR="00A77345" w:rsidRDefault="00A77345">
      <w:r>
        <w:separator/>
      </w:r>
    </w:p>
  </w:footnote>
  <w:footnote w:type="continuationSeparator" w:id="0">
    <w:p w14:paraId="4F4EFA7B" w14:textId="77777777" w:rsidR="00A77345" w:rsidRDefault="00A77345" w:rsidP="008B60B2">
      <w:r>
        <w:separator/>
      </w:r>
    </w:p>
    <w:p w14:paraId="23EC2D8E" w14:textId="77777777" w:rsidR="00A77345" w:rsidRPr="00ED77FB" w:rsidRDefault="00A773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BA15E51" w14:textId="77777777" w:rsidR="00A77345" w:rsidRPr="00ED77FB" w:rsidRDefault="00A773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7E9BF95" w14:textId="77777777" w:rsidR="00F80A34" w:rsidRDefault="00F80A34" w:rsidP="00F80A34">
      <w:pPr>
        <w:pStyle w:val="FootnoteText"/>
        <w:rPr>
          <w:sz w:val="20"/>
          <w:lang w:val="ru-RU"/>
        </w:rPr>
      </w:pPr>
      <w:r>
        <w:rPr>
          <w:rStyle w:val="FootnoteReference"/>
          <w:lang w:val="ru-RU"/>
        </w:rPr>
        <w:t>3</w:t>
      </w:r>
      <w:r>
        <w:rPr>
          <w:sz w:val="20"/>
          <w:lang w:val="ru-RU"/>
        </w:rPr>
        <w:t xml:space="preserve"> </w:t>
      </w:r>
      <w:r>
        <w:rPr>
          <w:sz w:val="20"/>
          <w:lang w:val="ru-RU"/>
        </w:rPr>
        <w:tab/>
        <w:t>Для международной регистрации, относящейся к географическому району, который расположен в наименее развитой стране (НРС), отнесенной к списку таковых Организацией Объединенных Наций, пошлина снижается до 50 процентов от установленной суммы (с округлением до ближайшего целого числа).  В таком случае пошлина будет составлять 500 шв. франков за международную регистрацию, относящуюся к географическому району происхождения, расположенному в НРС, 250 шв. франков за одно изменение международной регистрации, относящейся к географическому району происхождения, расположенному в НРС</w:t>
      </w:r>
      <w:r>
        <w:rPr>
          <w:sz w:val="20"/>
          <w:u w:val="single"/>
          <w:lang w:val="ru-RU"/>
        </w:rPr>
        <w:t xml:space="preserve">, </w:t>
      </w:r>
      <w:r>
        <w:rPr>
          <w:sz w:val="20"/>
          <w:lang w:val="ru-RU"/>
        </w:rPr>
        <w:t>и 150 шв. франков в качестве добавочной пошлины за дополнительное (-ые) изменение (-я),</w:t>
      </w:r>
      <w:r>
        <w:rPr>
          <w:sz w:val="20"/>
          <w:u w:val="single"/>
          <w:lang w:val="ru-RU"/>
        </w:rPr>
        <w:t xml:space="preserve"> </w:t>
      </w:r>
      <w:r>
        <w:rPr>
          <w:sz w:val="20"/>
          <w:lang w:val="ru-RU"/>
        </w:rPr>
        <w:t>представленное (-ые) в рамках той же просьбы. Данные сниженные пошлины будут применяться по истечении трех лет с даты вступления в силу Женевского акта</w:t>
      </w:r>
      <w:r w:rsidR="00BE7DC4">
        <w:rPr>
          <w:sz w:val="20"/>
          <w:lang w:val="ru-RU"/>
        </w:rPr>
        <w:t xml:space="preserve"> Лиссабонского соглашения</w:t>
      </w:r>
      <w:r>
        <w:rPr>
          <w:sz w:val="20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C5608" w14:textId="77777777" w:rsidR="00F06797" w:rsidRDefault="00F06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63879" w14:textId="0685C06C" w:rsidR="009B020C" w:rsidRDefault="009B020C" w:rsidP="00052F5D">
    <w:pPr>
      <w:pStyle w:val="Header"/>
      <w:jc w:val="right"/>
    </w:pPr>
    <w:r>
      <w:t>LI/A/39/2</w:t>
    </w:r>
  </w:p>
  <w:p w14:paraId="5B1154FE" w14:textId="2CB8E6BC" w:rsidR="009B020C" w:rsidRPr="009B020C" w:rsidRDefault="00F80A34" w:rsidP="00052F5D">
    <w:pPr>
      <w:pStyle w:val="Header"/>
      <w:jc w:val="right"/>
    </w:pPr>
    <w:r>
      <w:rPr>
        <w:lang w:val="ru-RU"/>
      </w:rPr>
      <w:t>стр</w:t>
    </w:r>
    <w:r w:rsidRPr="00F80A34">
      <w:t>.</w:t>
    </w:r>
    <w:r w:rsidR="009B020C" w:rsidRPr="009B020C">
      <w:t xml:space="preserve"> </w:t>
    </w:r>
    <w:r w:rsidR="009B020C" w:rsidRPr="009B020C">
      <w:fldChar w:fldCharType="begin"/>
    </w:r>
    <w:r w:rsidR="009B020C" w:rsidRPr="009B020C">
      <w:instrText xml:space="preserve"> PAGE  \* MERGEFORMAT </w:instrText>
    </w:r>
    <w:r w:rsidR="009B020C" w:rsidRPr="009B020C">
      <w:fldChar w:fldCharType="separate"/>
    </w:r>
    <w:r w:rsidR="00A15B61">
      <w:rPr>
        <w:noProof/>
      </w:rPr>
      <w:t>5</w:t>
    </w:r>
    <w:r w:rsidR="009B020C" w:rsidRPr="009B020C">
      <w:fldChar w:fldCharType="end"/>
    </w:r>
  </w:p>
  <w:p w14:paraId="42F688B6" w14:textId="77777777" w:rsidR="009B020C" w:rsidRDefault="009B020C" w:rsidP="00052F5D">
    <w:pPr>
      <w:pStyle w:val="Header"/>
      <w:jc w:val="right"/>
    </w:pPr>
  </w:p>
  <w:p w14:paraId="06E7924D" w14:textId="77777777" w:rsidR="009B020C" w:rsidRDefault="009B020C" w:rsidP="00052F5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22DFE" w14:textId="77777777" w:rsidR="00F06797" w:rsidRDefault="00F0679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E4226" w14:textId="2A5FFC3F" w:rsidR="002D1A88" w:rsidRPr="00BE7DC4" w:rsidRDefault="002D1A88" w:rsidP="002D1A88">
    <w:pPr>
      <w:pStyle w:val="Header"/>
      <w:jc w:val="right"/>
      <w:rPr>
        <w:lang w:val="ru-RU"/>
      </w:rPr>
    </w:pPr>
    <w:r>
      <w:t>LI</w:t>
    </w:r>
    <w:r w:rsidRPr="00BE7DC4">
      <w:rPr>
        <w:lang w:val="ru-RU"/>
      </w:rPr>
      <w:t>/</w:t>
    </w:r>
    <w:r>
      <w:t>A</w:t>
    </w:r>
    <w:r w:rsidRPr="00BE7DC4">
      <w:rPr>
        <w:lang w:val="ru-RU"/>
      </w:rPr>
      <w:t>/39/2</w:t>
    </w:r>
  </w:p>
  <w:p w14:paraId="2CFC8772" w14:textId="114E1E47" w:rsidR="002D1A88" w:rsidRPr="009B020C" w:rsidRDefault="00F80A34" w:rsidP="002D1A88">
    <w:pPr>
      <w:pStyle w:val="Header"/>
      <w:jc w:val="right"/>
    </w:pPr>
    <w:r>
      <w:rPr>
        <w:lang w:val="ru-RU"/>
      </w:rPr>
      <w:t>Приложение</w:t>
    </w:r>
    <w:r w:rsidR="002D1A88" w:rsidRPr="00BE7DC4">
      <w:rPr>
        <w:lang w:val="ru-RU"/>
      </w:rPr>
      <w:t xml:space="preserve">, </w:t>
    </w:r>
    <w:r>
      <w:rPr>
        <w:lang w:val="ru-RU"/>
      </w:rPr>
      <w:t>стр</w:t>
    </w:r>
    <w:r w:rsidRPr="00BE7DC4">
      <w:rPr>
        <w:lang w:val="ru-RU"/>
      </w:rPr>
      <w:t>.</w:t>
    </w:r>
    <w:r w:rsidR="002D1A88" w:rsidRPr="00BE7DC4">
      <w:rPr>
        <w:lang w:val="ru-RU"/>
      </w:rPr>
      <w:t xml:space="preserve"> </w:t>
    </w:r>
    <w:r w:rsidR="002D1A88" w:rsidRPr="009B020C">
      <w:fldChar w:fldCharType="begin"/>
    </w:r>
    <w:r w:rsidR="002D1A88" w:rsidRPr="00BE7DC4">
      <w:rPr>
        <w:lang w:val="ru-RU"/>
      </w:rPr>
      <w:instrText xml:space="preserve"> </w:instrText>
    </w:r>
    <w:r w:rsidR="002D1A88" w:rsidRPr="009B020C">
      <w:instrText>PAGE</w:instrText>
    </w:r>
    <w:r w:rsidR="002D1A88" w:rsidRPr="00BE7DC4">
      <w:rPr>
        <w:lang w:val="ru-RU"/>
      </w:rPr>
      <w:instrText xml:space="preserve">  \* </w:instrText>
    </w:r>
    <w:r w:rsidR="002D1A88" w:rsidRPr="009B020C">
      <w:instrText>MERGEFORMAT</w:instrText>
    </w:r>
    <w:r w:rsidR="002D1A88" w:rsidRPr="00BE7DC4">
      <w:rPr>
        <w:lang w:val="ru-RU"/>
      </w:rPr>
      <w:instrText xml:space="preserve"> </w:instrText>
    </w:r>
    <w:r w:rsidR="002D1A88" w:rsidRPr="009B020C">
      <w:fldChar w:fldCharType="separate"/>
    </w:r>
    <w:r w:rsidR="00A15B61">
      <w:rPr>
        <w:noProof/>
      </w:rPr>
      <w:t>3</w:t>
    </w:r>
    <w:r w:rsidR="002D1A88" w:rsidRPr="009B020C">
      <w:fldChar w:fldCharType="end"/>
    </w:r>
  </w:p>
  <w:p w14:paraId="6EE4D982" w14:textId="77777777" w:rsidR="002D1A88" w:rsidRDefault="002D1A88" w:rsidP="002D1A88">
    <w:pPr>
      <w:pStyle w:val="Header"/>
      <w:jc w:val="right"/>
    </w:pPr>
  </w:p>
  <w:p w14:paraId="5C7939CD" w14:textId="77777777" w:rsidR="002D1A88" w:rsidRDefault="002D1A88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DE22" w14:textId="38A97454" w:rsidR="002D1A88" w:rsidRDefault="002D1A88" w:rsidP="00AD367E">
    <w:pPr>
      <w:pStyle w:val="Header"/>
      <w:jc w:val="right"/>
    </w:pPr>
    <w:r>
      <w:t>LI/A/39/2</w:t>
    </w:r>
  </w:p>
  <w:p w14:paraId="684B8A67" w14:textId="77777777" w:rsidR="002D1A88" w:rsidRPr="00F80A34" w:rsidRDefault="00F80A34" w:rsidP="00AD367E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35097945" w14:textId="77777777" w:rsidR="002D1A88" w:rsidRDefault="002D1A88" w:rsidP="00AD367E">
    <w:pPr>
      <w:pStyle w:val="Header"/>
      <w:jc w:val="right"/>
    </w:pPr>
  </w:p>
  <w:p w14:paraId="477E1C77" w14:textId="77777777" w:rsidR="002D1A88" w:rsidRDefault="002D1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557"/>
        </w:tabs>
        <w:ind w:left="99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96"/>
    <w:rsid w:val="0001647B"/>
    <w:rsid w:val="00043CAA"/>
    <w:rsid w:val="00052F5D"/>
    <w:rsid w:val="00075432"/>
    <w:rsid w:val="000968ED"/>
    <w:rsid w:val="000A7640"/>
    <w:rsid w:val="000F5E56"/>
    <w:rsid w:val="001024FE"/>
    <w:rsid w:val="001362EE"/>
    <w:rsid w:val="00142868"/>
    <w:rsid w:val="001832A6"/>
    <w:rsid w:val="001C6808"/>
    <w:rsid w:val="00207CB9"/>
    <w:rsid w:val="002121FA"/>
    <w:rsid w:val="002634C4"/>
    <w:rsid w:val="00287C40"/>
    <w:rsid w:val="002928D3"/>
    <w:rsid w:val="002D1A88"/>
    <w:rsid w:val="002F1FE6"/>
    <w:rsid w:val="002F4E68"/>
    <w:rsid w:val="00312F7F"/>
    <w:rsid w:val="003209D7"/>
    <w:rsid w:val="00322490"/>
    <w:rsid w:val="003228B7"/>
    <w:rsid w:val="003508A3"/>
    <w:rsid w:val="003673CF"/>
    <w:rsid w:val="003845C1"/>
    <w:rsid w:val="00395727"/>
    <w:rsid w:val="003A6F89"/>
    <w:rsid w:val="003B38C1"/>
    <w:rsid w:val="003E05FB"/>
    <w:rsid w:val="00410C0F"/>
    <w:rsid w:val="004152AB"/>
    <w:rsid w:val="00423E3E"/>
    <w:rsid w:val="00427AF4"/>
    <w:rsid w:val="004400E2"/>
    <w:rsid w:val="00461632"/>
    <w:rsid w:val="004647DA"/>
    <w:rsid w:val="00474062"/>
    <w:rsid w:val="00477D6B"/>
    <w:rsid w:val="00483F90"/>
    <w:rsid w:val="004D39C4"/>
    <w:rsid w:val="0053057A"/>
    <w:rsid w:val="00560A29"/>
    <w:rsid w:val="00573B00"/>
    <w:rsid w:val="00594D27"/>
    <w:rsid w:val="005F5C9C"/>
    <w:rsid w:val="00601760"/>
    <w:rsid w:val="00605827"/>
    <w:rsid w:val="0062702A"/>
    <w:rsid w:val="00646050"/>
    <w:rsid w:val="006464F5"/>
    <w:rsid w:val="006713CA"/>
    <w:rsid w:val="00676C5C"/>
    <w:rsid w:val="00695558"/>
    <w:rsid w:val="006D5E0F"/>
    <w:rsid w:val="006E38F6"/>
    <w:rsid w:val="007058FB"/>
    <w:rsid w:val="007124C9"/>
    <w:rsid w:val="007B6A58"/>
    <w:rsid w:val="007D1613"/>
    <w:rsid w:val="00865814"/>
    <w:rsid w:val="00873EE5"/>
    <w:rsid w:val="00893B28"/>
    <w:rsid w:val="008B2CC1"/>
    <w:rsid w:val="008B4B5E"/>
    <w:rsid w:val="008B60B2"/>
    <w:rsid w:val="008C19D8"/>
    <w:rsid w:val="0090731E"/>
    <w:rsid w:val="00916EE2"/>
    <w:rsid w:val="00966A22"/>
    <w:rsid w:val="0096722F"/>
    <w:rsid w:val="00980843"/>
    <w:rsid w:val="00985B93"/>
    <w:rsid w:val="00990DFA"/>
    <w:rsid w:val="009B020C"/>
    <w:rsid w:val="009B3B17"/>
    <w:rsid w:val="009E2791"/>
    <w:rsid w:val="009E3F6F"/>
    <w:rsid w:val="009E442A"/>
    <w:rsid w:val="009F3BF9"/>
    <w:rsid w:val="009F499F"/>
    <w:rsid w:val="00A15B61"/>
    <w:rsid w:val="00A16C24"/>
    <w:rsid w:val="00A37EC5"/>
    <w:rsid w:val="00A42DAF"/>
    <w:rsid w:val="00A45BD8"/>
    <w:rsid w:val="00A76CC2"/>
    <w:rsid w:val="00A77345"/>
    <w:rsid w:val="00A778BF"/>
    <w:rsid w:val="00A85B8E"/>
    <w:rsid w:val="00AC205C"/>
    <w:rsid w:val="00AC296A"/>
    <w:rsid w:val="00AD367E"/>
    <w:rsid w:val="00AF5C73"/>
    <w:rsid w:val="00B05A69"/>
    <w:rsid w:val="00B40598"/>
    <w:rsid w:val="00B50B99"/>
    <w:rsid w:val="00B62CD9"/>
    <w:rsid w:val="00B9734B"/>
    <w:rsid w:val="00BB33C9"/>
    <w:rsid w:val="00BC03BE"/>
    <w:rsid w:val="00BE7DC4"/>
    <w:rsid w:val="00C031D4"/>
    <w:rsid w:val="00C11BFE"/>
    <w:rsid w:val="00C25D03"/>
    <w:rsid w:val="00C92E6D"/>
    <w:rsid w:val="00C94629"/>
    <w:rsid w:val="00CE65D4"/>
    <w:rsid w:val="00D01F73"/>
    <w:rsid w:val="00D45252"/>
    <w:rsid w:val="00D71B4D"/>
    <w:rsid w:val="00D93D55"/>
    <w:rsid w:val="00E161A2"/>
    <w:rsid w:val="00E335FE"/>
    <w:rsid w:val="00E5021F"/>
    <w:rsid w:val="00E671A6"/>
    <w:rsid w:val="00EA58AD"/>
    <w:rsid w:val="00EC4E49"/>
    <w:rsid w:val="00ED0796"/>
    <w:rsid w:val="00ED77FB"/>
    <w:rsid w:val="00F021A6"/>
    <w:rsid w:val="00F06797"/>
    <w:rsid w:val="00F11D94"/>
    <w:rsid w:val="00F66152"/>
    <w:rsid w:val="00F8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2A871"/>
  <w15:docId w15:val="{A2CC94DD-7C65-4C9E-935A-D07ECB02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155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basedOn w:val="DefaultParagraphFont"/>
    <w:link w:val="ONUME"/>
    <w:rsid w:val="009B020C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B020C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B020C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9B020C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rsid w:val="009B02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7CC59-956E-4682-9E92-941BC512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2244</Words>
  <Characters>15510</Characters>
  <Application>Microsoft Office Word</Application>
  <DocSecurity>0</DocSecurity>
  <Lines>287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LI/A/39/2 Prov.</vt:lpstr>
      <vt:lpstr>LI/A/39/2 Prov.</vt:lpstr>
    </vt:vector>
  </TitlesOfParts>
  <Company>WIPO</Company>
  <LinksUpToDate>false</LinksUpToDate>
  <CharactersWithSpaces>17739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LI/A/39/2</dc:title>
  <dc:creator>WIPO</dc:creator>
  <cp:keywords>PUBLIC</cp:keywords>
  <cp:lastModifiedBy>HÄFLIGER Patience</cp:lastModifiedBy>
  <cp:revision>6</cp:revision>
  <cp:lastPrinted>2011-02-15T11:56:00Z</cp:lastPrinted>
  <dcterms:created xsi:type="dcterms:W3CDTF">2022-09-23T14:27:00Z</dcterms:created>
  <dcterms:modified xsi:type="dcterms:W3CDTF">2022-09-28T13:48:00Z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652cd49b-8cdc-4dbd-8a7e-4a8ffaf65ad3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