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9E" w:rsidRDefault="00C9099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B0059E" w:rsidRDefault="00295704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>
            <wp:extent cx="1739265" cy="1290320"/>
            <wp:effectExtent l="0" t="0" r="0" b="0"/>
            <wp:docPr id="1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9E" w:rsidRPr="00AB5625" w:rsidRDefault="00C9099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PCT</w:t>
      </w:r>
      <w:r w:rsidRPr="00AB5625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A</w:t>
      </w:r>
      <w:r w:rsidRPr="00AB5625">
        <w:rPr>
          <w:rFonts w:ascii="Arial Black" w:hAnsi="Arial Black"/>
          <w:b/>
          <w:caps/>
          <w:sz w:val="15"/>
          <w:lang w:val="ru-RU"/>
        </w:rPr>
        <w:t>/51/</w:t>
      </w:r>
      <w:bookmarkStart w:id="0" w:name="Code"/>
      <w:bookmarkEnd w:id="0"/>
      <w:r w:rsidRPr="00AB5625">
        <w:rPr>
          <w:rFonts w:ascii="Arial Black" w:hAnsi="Arial Black"/>
          <w:b/>
          <w:caps/>
          <w:sz w:val="15"/>
          <w:lang w:val="ru-RU"/>
        </w:rPr>
        <w:t>4</w:t>
      </w:r>
    </w:p>
    <w:p w:rsidR="00B0059E" w:rsidRPr="00AB5625" w:rsidRDefault="00C9099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AB5625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B0059E" w:rsidRDefault="00C9099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bookmarkStart w:id="2" w:name="_GoBack"/>
      <w:r>
        <w:rPr>
          <w:rFonts w:ascii="Arial Black" w:hAnsi="Arial Black"/>
          <w:b/>
          <w:caps/>
          <w:sz w:val="15"/>
          <w:lang w:val="ru-RU"/>
        </w:rPr>
        <w:t xml:space="preserve">ДАТА: </w:t>
      </w:r>
      <w:r w:rsidR="009E0AD1">
        <w:rPr>
          <w:rFonts w:ascii="Arial Black" w:hAnsi="Arial Black"/>
          <w:b/>
          <w:caps/>
          <w:sz w:val="15"/>
          <w:lang w:val="ru-RU"/>
        </w:rPr>
        <w:t>13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9E0AD1">
        <w:rPr>
          <w:rFonts w:ascii="Arial Black" w:hAnsi="Arial Black"/>
          <w:b/>
          <w:caps/>
          <w:sz w:val="15"/>
          <w:lang w:val="ru-RU"/>
        </w:rPr>
        <w:t>декабря</w:t>
      </w:r>
      <w:r>
        <w:rPr>
          <w:rFonts w:ascii="Arial Black" w:hAnsi="Arial Black"/>
          <w:b/>
          <w:caps/>
          <w:sz w:val="15"/>
          <w:lang w:val="ru-RU"/>
        </w:rPr>
        <w:t xml:space="preserve"> 2019 Г.</w:t>
      </w:r>
    </w:p>
    <w:bookmarkEnd w:id="2"/>
    <w:p w:rsidR="00B0059E" w:rsidRDefault="00C9099F">
      <w:pPr>
        <w:pStyle w:val="Heading1"/>
        <w:rPr>
          <w:lang w:val="ru-RU"/>
        </w:rPr>
      </w:pPr>
      <w:r>
        <w:rPr>
          <w:lang w:val="ru-RU"/>
        </w:rPr>
        <w:t>Международный союз патентной кооперации (Союз РСТ)</w:t>
      </w:r>
    </w:p>
    <w:p w:rsidR="00B0059E" w:rsidRDefault="00C9099F">
      <w:pPr>
        <w:pStyle w:val="Heading1"/>
        <w:rPr>
          <w:bCs w:val="0"/>
          <w:kern w:val="0"/>
          <w:sz w:val="24"/>
          <w:szCs w:val="20"/>
          <w:lang w:val="ru-RU"/>
        </w:rPr>
      </w:pPr>
      <w:r w:rsidRPr="00AB5625">
        <w:rPr>
          <w:lang w:val="ru-RU"/>
        </w:rPr>
        <w:t>Ассамблея</w:t>
      </w:r>
    </w:p>
    <w:p w:rsidR="00B0059E" w:rsidRDefault="00C9099F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 (22-я очередная) сессия</w:t>
      </w:r>
      <w:r>
        <w:rPr>
          <w:b/>
          <w:sz w:val="24"/>
          <w:lang w:val="ru-RU"/>
        </w:rPr>
        <w:br/>
        <w:t xml:space="preserve">Женева, 30 сентября </w:t>
      </w:r>
      <w:r>
        <w:rPr>
          <w:rFonts w:eastAsia="+mn-ea"/>
          <w:b/>
          <w:sz w:val="24"/>
          <w:lang w:val="ru-RU" w:eastAsia="en-US"/>
        </w:rPr>
        <w:t>–</w:t>
      </w:r>
      <w:r>
        <w:rPr>
          <w:b/>
          <w:sz w:val="24"/>
          <w:lang w:val="ru-RU"/>
        </w:rPr>
        <w:t xml:space="preserve"> 9 октября 2019 года</w:t>
      </w:r>
    </w:p>
    <w:p w:rsidR="00B0059E" w:rsidRDefault="00311F6C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</w:rPr>
        <w:t>отчет</w:t>
      </w:r>
    </w:p>
    <w:p w:rsidR="00B0059E" w:rsidRPr="00311F6C" w:rsidRDefault="00311F6C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Ассамблеей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Ассамблея рассмотрела следующие пункты сводной повестки дня (документ А/59/1): 1-6, 8, 11 (ii), 13, 14, 23, 32 и 33.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Доклады по указанным пунктам, за исключением пункта 23, содержатся в </w:t>
      </w:r>
      <w:r w:rsidR="00311F6C">
        <w:rPr>
          <w:lang w:val="ru-RU"/>
        </w:rPr>
        <w:t>О</w:t>
      </w:r>
      <w:r>
        <w:rPr>
          <w:lang w:val="ru-RU"/>
        </w:rPr>
        <w:t>бще</w:t>
      </w:r>
      <w:r w:rsidR="00311F6C">
        <w:rPr>
          <w:lang w:val="ru-RU"/>
        </w:rPr>
        <w:t>м</w:t>
      </w:r>
      <w:r>
        <w:rPr>
          <w:lang w:val="ru-RU"/>
        </w:rPr>
        <w:t xml:space="preserve"> отчет</w:t>
      </w:r>
      <w:r w:rsidR="00311F6C">
        <w:rPr>
          <w:lang w:val="ru-RU"/>
        </w:rPr>
        <w:t>е</w:t>
      </w:r>
      <w:r>
        <w:rPr>
          <w:lang w:val="ru-RU"/>
        </w:rPr>
        <w:t xml:space="preserve"> (документ </w:t>
      </w:r>
      <w:r>
        <w:t>A</w:t>
      </w:r>
      <w:r>
        <w:rPr>
          <w:lang w:val="ru-RU"/>
        </w:rPr>
        <w:t>/59/14).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Доклад по пункту 23 содержится в настоящем документе.</w:t>
      </w:r>
    </w:p>
    <w:p w:rsidR="00B0059E" w:rsidRPr="00AB5625" w:rsidRDefault="00C9099F">
      <w:pPr>
        <w:pStyle w:val="ONUME"/>
        <w:rPr>
          <w:lang w:val="ru-RU"/>
        </w:rPr>
      </w:pPr>
      <w:r>
        <w:rPr>
          <w:lang w:val="ru-RU"/>
        </w:rPr>
        <w:t xml:space="preserve">Председателем Ассамблеи был избран г-н Сандрис Лагановскис (Латвия); заместителями председателя были избраны </w:t>
      </w:r>
      <w:r w:rsidR="00AB5625" w:rsidRPr="00AB5625">
        <w:rPr>
          <w:lang w:val="ru-RU"/>
        </w:rPr>
        <w:t>г-н Абдулазиз Мохаммед Альсвалям (Саудовская Аравия</w:t>
      </w:r>
      <w:r w:rsidRPr="00AB5625">
        <w:rPr>
          <w:lang w:val="ru-RU"/>
        </w:rPr>
        <w:t>)</w:t>
      </w:r>
      <w:r w:rsidR="00AB5625" w:rsidRPr="00AB5625">
        <w:rPr>
          <w:lang w:val="ru-RU"/>
        </w:rPr>
        <w:t>, г-жа Грейс Иссак (Гана)</w:t>
      </w:r>
      <w:r w:rsidRPr="00AB5625">
        <w:rPr>
          <w:lang w:val="ru-RU"/>
        </w:rPr>
        <w:t xml:space="preserve"> </w:t>
      </w:r>
      <w:r w:rsidR="00A1070A">
        <w:rPr>
          <w:lang w:val="ru-RU"/>
        </w:rPr>
        <w:t xml:space="preserve">(2019-2020 годы) </w:t>
      </w:r>
      <w:r w:rsidRPr="00AB5625">
        <w:rPr>
          <w:lang w:val="ru-RU"/>
        </w:rPr>
        <w:t xml:space="preserve">и </w:t>
      </w:r>
      <w:r w:rsidR="00AB5625" w:rsidRPr="00AB5625">
        <w:rPr>
          <w:lang w:val="ru-RU"/>
        </w:rPr>
        <w:t>г-н Шень Чанюй</w:t>
      </w:r>
      <w:r w:rsidRPr="00AB5625">
        <w:rPr>
          <w:lang w:val="ru-RU"/>
        </w:rPr>
        <w:t xml:space="preserve"> (</w:t>
      </w:r>
      <w:r w:rsidR="00AB5625" w:rsidRPr="00AB5625">
        <w:rPr>
          <w:lang w:val="ru-RU"/>
        </w:rPr>
        <w:t>Китай</w:t>
      </w:r>
      <w:r w:rsidRPr="00AB5625">
        <w:rPr>
          <w:lang w:val="ru-RU"/>
        </w:rPr>
        <w:t>)</w:t>
      </w:r>
      <w:r w:rsidR="00A1070A">
        <w:rPr>
          <w:lang w:val="ru-RU"/>
        </w:rPr>
        <w:t xml:space="preserve"> (2020-2021 годы)</w:t>
      </w:r>
      <w:r w:rsidRPr="00AB5625">
        <w:rPr>
          <w:lang w:val="ru-RU"/>
        </w:rPr>
        <w:t>.</w:t>
      </w:r>
    </w:p>
    <w:p w:rsidR="00A1070A" w:rsidRDefault="00A1070A">
      <w:pPr>
        <w:rPr>
          <w:b/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B0059E" w:rsidRPr="00A1070A" w:rsidRDefault="00C9099F" w:rsidP="00A1070A">
      <w:pPr>
        <w:pStyle w:val="Heading2"/>
        <w:keepNext/>
        <w:rPr>
          <w:b w:val="0"/>
          <w:lang w:val="ru-RU"/>
        </w:rPr>
      </w:pPr>
      <w:r w:rsidRPr="00A1070A">
        <w:rPr>
          <w:b w:val="0"/>
          <w:lang w:val="ru-RU"/>
        </w:rPr>
        <w:lastRenderedPageBreak/>
        <w:t>ПУНКТ 23 сводной ПОВЕСТКИ ДНЯ</w:t>
      </w:r>
    </w:p>
    <w:p w:rsidR="00B0059E" w:rsidRPr="00A1070A" w:rsidRDefault="00C9099F" w:rsidP="00A1070A">
      <w:pPr>
        <w:pStyle w:val="Heading2"/>
        <w:keepNext/>
        <w:rPr>
          <w:b w:val="0"/>
          <w:lang w:val="ru-RU"/>
        </w:rPr>
      </w:pPr>
      <w:r w:rsidRPr="00807E1E">
        <w:rPr>
          <w:b w:val="0"/>
          <w:lang w:val="ru-RU"/>
        </w:rPr>
        <w:t>система</w:t>
      </w:r>
      <w:r w:rsidRPr="00A1070A">
        <w:rPr>
          <w:b w:val="0"/>
          <w:lang w:val="ru-RU"/>
        </w:rPr>
        <w:t xml:space="preserve"> РСТ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Председатель приветствовал присоединение Самоа к Союзу РСТ после сдачи на хранение его документа о присоединении 2 октября 2019 года, в результате чего число Договаривающихся Государств РСТ достигло 153. Председатель также пожелал Ведомству интеллектуальной собственности Филиппин успехов в </w:t>
      </w:r>
      <w:r w:rsidR="008C24C7" w:rsidRPr="008C24C7">
        <w:rPr>
          <w:lang w:val="ru-RU"/>
        </w:rPr>
        <w:t>работ</w:t>
      </w:r>
      <w:r w:rsidR="008C24C7">
        <w:rPr>
          <w:lang w:val="ru-RU"/>
        </w:rPr>
        <w:t>е</w:t>
      </w:r>
      <w:r>
        <w:rPr>
          <w:lang w:val="ru-RU"/>
        </w:rPr>
        <w:t xml:space="preserve"> в качестве международного поискового органа и органа предварительной экспертизы, которая началась после предыдущей сессии Ассамблеи, состоявшейся в октябре 2018 года. </w:t>
      </w:r>
    </w:p>
    <w:p w:rsidR="00B0059E" w:rsidRPr="00A1070A" w:rsidRDefault="00C9099F" w:rsidP="00A1070A">
      <w:pPr>
        <w:pStyle w:val="Heading3"/>
      </w:pPr>
      <w:r w:rsidRPr="00A1070A">
        <w:t>О</w:t>
      </w:r>
      <w:r w:rsidR="00A1070A" w:rsidRPr="00A1070A">
        <w:rPr>
          <w:caps w:val="0"/>
        </w:rPr>
        <w:t xml:space="preserve">тчет о работе </w:t>
      </w:r>
      <w:r w:rsidR="00A1070A" w:rsidRPr="00A1070A">
        <w:t>Р</w:t>
      </w:r>
      <w:r w:rsidR="00A1070A" w:rsidRPr="00A1070A">
        <w:rPr>
          <w:caps w:val="0"/>
        </w:rPr>
        <w:t>абочей группы по</w:t>
      </w:r>
      <w:r w:rsidR="00A1070A" w:rsidRPr="00A1070A">
        <w:t xml:space="preserve"> </w:t>
      </w:r>
      <w:r w:rsidRPr="00A1070A">
        <w:t>РСТ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Обсуждения проводились на основе документа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>/51/1.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Секретариат представил документ, содержащий отчет о работе двенадцатой сессии Рабочей группы по РСТ. Для сессии была подготовлена полная повестка дня, содержавшая 25 пунктов повестки дня и 23 рабочих документа. Это свидетельствует о сохраняющемся интересе к развитию системы РСТ как стержневого элемента международной патентной системы для обеспечения дальнейшего повышения уровня ее работы в интересах ведомств и пользователей. </w:t>
      </w:r>
      <w:r w:rsidR="008C24C7">
        <w:rPr>
          <w:lang w:val="ru-RU"/>
        </w:rPr>
        <w:t xml:space="preserve">В целях </w:t>
      </w:r>
      <w:r>
        <w:rPr>
          <w:lang w:val="ru-RU"/>
        </w:rPr>
        <w:t xml:space="preserve">принятия решения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 xml:space="preserve">е Ассамблеи был представлен отдельный документ (документ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 xml:space="preserve">/51/2), содержащий изменения к Инструкции к РСТ, утвержденные Рабочей группой. Рабочая группа также рассмотрела критерии определенных сокращений пошлин, которые Ассамблея </w:t>
      </w:r>
      <w:r w:rsidR="008C24C7">
        <w:rPr>
          <w:lang w:val="ru-RU"/>
        </w:rPr>
        <w:t xml:space="preserve">обязана </w:t>
      </w:r>
      <w:r>
        <w:rPr>
          <w:lang w:val="ru-RU"/>
        </w:rPr>
        <w:t xml:space="preserve">периодически утверждать, и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 xml:space="preserve">е Ассамблеи был вынесен отдельный документ (документ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 xml:space="preserve">/51/3) для принятия решения по этому вопросу. В </w:t>
      </w:r>
      <w:r w:rsidR="008C24C7">
        <w:rPr>
          <w:lang w:val="ru-RU"/>
        </w:rPr>
        <w:t xml:space="preserve">приложенном к документу </w:t>
      </w:r>
      <w:r>
        <w:rPr>
          <w:lang w:val="ru-RU"/>
        </w:rPr>
        <w:t>резюме Председателя</w:t>
      </w:r>
      <w:r w:rsidR="008C24C7">
        <w:rPr>
          <w:lang w:val="ru-RU"/>
        </w:rPr>
        <w:t xml:space="preserve"> </w:t>
      </w:r>
      <w:r>
        <w:rPr>
          <w:lang w:val="ru-RU"/>
        </w:rPr>
        <w:t>содержится обзор всех пунктов повестки дня, обсуждавшихся в ходе сессии.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Делегация Колумбии заявила о своей поддержке идеи созыва заседания Рабочей группы по РСТ в период между нынешней сессией Ассамблеи и сессией Ассамблеи осенью 2020 года, а также предложения о предоставлении финансовой помощи</w:t>
      </w:r>
      <w:r w:rsidR="008C24C7">
        <w:rPr>
          <w:lang w:val="ru-RU"/>
        </w:rPr>
        <w:t xml:space="preserve"> в том же </w:t>
      </w:r>
      <w:r w:rsidR="008C24C7" w:rsidRPr="008C24C7">
        <w:rPr>
          <w:lang w:val="ru-RU"/>
        </w:rPr>
        <w:t>объе</w:t>
      </w:r>
      <w:r w:rsidR="008C24C7">
        <w:rPr>
          <w:lang w:val="ru-RU"/>
        </w:rPr>
        <w:t>ме</w:t>
      </w:r>
      <w:r>
        <w:rPr>
          <w:lang w:val="ru-RU"/>
        </w:rPr>
        <w:t xml:space="preserve">, </w:t>
      </w:r>
      <w:r w:rsidR="008C24C7">
        <w:rPr>
          <w:lang w:val="ru-RU"/>
        </w:rPr>
        <w:t xml:space="preserve">что и </w:t>
      </w:r>
      <w:r>
        <w:rPr>
          <w:lang w:val="ru-RU"/>
        </w:rPr>
        <w:t xml:space="preserve">на предыдущих сессиях Рабочей группы, с тем чтобы обеспечить участие большего числа делегаций. Делегация также </w:t>
      </w:r>
      <w:r>
        <w:rPr>
          <w:rFonts w:eastAsia="Calibri"/>
          <w:color w:val="000000"/>
          <w:szCs w:val="22"/>
          <w:lang w:val="ru-RU" w:eastAsia="en-US"/>
        </w:rPr>
        <w:t>заявила</w:t>
      </w:r>
      <w:r>
        <w:rPr>
          <w:lang w:val="ru-RU"/>
        </w:rPr>
        <w:t xml:space="preserve">, что считает целесообразным принять предлагаемые изменения к РСТ, касающиеся </w:t>
      </w:r>
      <w:r w:rsidR="008C24C7">
        <w:rPr>
          <w:lang w:val="ru-RU"/>
        </w:rPr>
        <w:t>защитных мер</w:t>
      </w:r>
      <w:r>
        <w:rPr>
          <w:lang w:val="ru-RU"/>
        </w:rPr>
        <w:t xml:space="preserve"> в случае сбоев в</w:t>
      </w:r>
      <w:r w:rsidR="008C24C7">
        <w:rPr>
          <w:lang w:val="ru-RU"/>
        </w:rPr>
        <w:t> </w:t>
      </w:r>
      <w:r>
        <w:rPr>
          <w:lang w:val="ru-RU"/>
        </w:rPr>
        <w:t>работе систем, которые могут случаться в ведомствах, предусмотреть возможность исправления или дополнения сведений, предусмотренных правилом 4.11, поданных по ошибке элементов и частей международной заявки и перевода пошлин РСТ. Наконец, делегация поддержала сохранение критериев</w:t>
      </w:r>
      <w:r w:rsidR="008C24C7">
        <w:rPr>
          <w:lang w:val="ru-RU"/>
        </w:rPr>
        <w:t>, используемых при составлении</w:t>
      </w:r>
      <w:r>
        <w:rPr>
          <w:lang w:val="ru-RU"/>
        </w:rPr>
        <w:t xml:space="preserve"> </w:t>
      </w:r>
      <w:r w:rsidR="008C24C7">
        <w:rPr>
          <w:lang w:val="ru-RU"/>
        </w:rPr>
        <w:t xml:space="preserve">перечня </w:t>
      </w:r>
      <w:r>
        <w:rPr>
          <w:lang w:val="ru-RU"/>
        </w:rPr>
        <w:t xml:space="preserve">государств, граждане и резиденты которых имеют право на сокращение размеров пошлин РСТ. Делегация добавила, что данные, представленные Рабочей группе </w:t>
      </w:r>
      <w:r w:rsidR="008C24C7">
        <w:rPr>
          <w:lang w:val="ru-RU"/>
        </w:rPr>
        <w:t xml:space="preserve">по </w:t>
      </w:r>
      <w:r>
        <w:rPr>
          <w:lang w:val="ru-RU"/>
        </w:rPr>
        <w:t xml:space="preserve">РСТ, свидетельствуют о важности применения сокращений пошлин для физических лиц, проживающих в странах, для которых предусмотрены такие сокращения, учитывая сокращение числа международных заявок, поступающих из стран, где </w:t>
      </w:r>
      <w:r w:rsidR="008C24C7">
        <w:rPr>
          <w:lang w:val="ru-RU"/>
        </w:rPr>
        <w:t xml:space="preserve">такие </w:t>
      </w:r>
      <w:r>
        <w:rPr>
          <w:lang w:val="ru-RU"/>
        </w:rPr>
        <w:t>сокращения пошлин перестали действовать.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Делегация Российской Федерации приняла к сведению документ, посвященный вопросам функционирования системы РСТ, и выразила признательность Международному бюро за его деятельность, связанную с РСТ. Делегация остановилась, в частности, на онлайновых сервисах, созданных для заявителей и ведомств. Федеральная служба по интеллектуальной собственности (Роспатент), выступающая в</w:t>
      </w:r>
      <w:r w:rsidR="008C24C7">
        <w:rPr>
          <w:lang w:val="ru-RU"/>
        </w:rPr>
        <w:t> </w:t>
      </w:r>
      <w:r>
        <w:rPr>
          <w:lang w:val="ru-RU"/>
        </w:rPr>
        <w:t xml:space="preserve">качестве получающего ведомства, международного поискового органа и органа международной предварительной экспертизы, использует онлайновые сервисы ВОИС и РСТ, например, при обмене документами с другими ведомствами. Делегация отметила рост числа российских заявителей, использующих </w:t>
      </w:r>
      <w:proofErr w:type="spellStart"/>
      <w:r>
        <w:t>ePCT</w:t>
      </w:r>
      <w:proofErr w:type="spellEnd"/>
      <w:r>
        <w:rPr>
          <w:lang w:val="ru-RU"/>
        </w:rPr>
        <w:t xml:space="preserve">. Она также поддержала планы </w:t>
      </w:r>
      <w:r>
        <w:rPr>
          <w:lang w:val="ru-RU"/>
        </w:rPr>
        <w:lastRenderedPageBreak/>
        <w:t xml:space="preserve">обеспечения эффективного использования системы РСТ в ходе международной фазы и создания сервисов для перевода документов, используемых в ходе национальной фазы, и выразила надежду на продолжение этой работы. Делегация выразила признательность Международному бюро за его конструктивную работу по поиску компромиссного решения для введения сокращения пошлин РСТ для университетов и научно-исследовательских учреждений развивающихся и наименее развитых стран (НРС) и выразила надежду на то, что это предложение получит поддержку, </w:t>
      </w:r>
      <w:r w:rsidR="008C24C7">
        <w:rPr>
          <w:lang w:val="ru-RU"/>
        </w:rPr>
        <w:t>необходимую для его принятия</w:t>
      </w:r>
      <w:r>
        <w:rPr>
          <w:lang w:val="ru-RU"/>
        </w:rPr>
        <w:t xml:space="preserve">. В заключение делегация заявила, что она не возражает против поправок к Инструкции к PCT, предложенных для принятия на сессии. </w:t>
      </w:r>
    </w:p>
    <w:p w:rsidR="00B0059E" w:rsidRDefault="00C9099F">
      <w:pPr>
        <w:pStyle w:val="ONUME"/>
        <w:ind w:left="567"/>
      </w:pPr>
      <w:proofErr w:type="spellStart"/>
      <w:r>
        <w:t>Ассамблея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РСТ:</w:t>
      </w:r>
    </w:p>
    <w:p w:rsidR="00B0059E" w:rsidRDefault="00C9099F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приняла к сведению «Отчет о работе Рабочей группы по PCT» (документ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 xml:space="preserve">/51/1); и </w:t>
      </w:r>
    </w:p>
    <w:p w:rsidR="00B0059E" w:rsidRDefault="00C9099F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одобрила созыв сессии Рабочей группы </w:t>
      </w:r>
      <w:r w:rsidR="008C24C7">
        <w:rPr>
          <w:lang w:val="ru-RU"/>
        </w:rPr>
        <w:t xml:space="preserve">по </w:t>
      </w:r>
      <w:r>
        <w:rPr>
          <w:lang w:val="ru-RU"/>
        </w:rPr>
        <w:t>РСТ, как это предусмотрено в</w:t>
      </w:r>
      <w:r w:rsidR="008C24C7">
        <w:rPr>
          <w:lang w:val="ru-RU"/>
        </w:rPr>
        <w:t> </w:t>
      </w:r>
      <w:r>
        <w:rPr>
          <w:lang w:val="ru-RU"/>
        </w:rPr>
        <w:t>пункте 4 указанного документа.</w:t>
      </w:r>
    </w:p>
    <w:p w:rsidR="00B0059E" w:rsidRDefault="00A1070A" w:rsidP="00A1070A">
      <w:pPr>
        <w:pStyle w:val="Heading3"/>
      </w:pPr>
      <w:r>
        <w:rPr>
          <w:caps w:val="0"/>
        </w:rPr>
        <w:t>Предлагаемые поправки к Инструкции к РСТ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Обсуждения проводились на основе документа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>/51/2.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Секретариат представил документ, содержащий предлагаемые поправки к</w:t>
      </w:r>
      <w:r w:rsidR="008C24C7">
        <w:rPr>
          <w:lang w:val="ru-RU"/>
        </w:rPr>
        <w:t> </w:t>
      </w:r>
      <w:r>
        <w:rPr>
          <w:lang w:val="ru-RU"/>
        </w:rPr>
        <w:t xml:space="preserve">Инструкции к РСТ. Рабочая группа РСТ обсудила поправки и приняла единогласное решение рекомендовать Ассамблее принять поправки в предложенном виде. Поправки делились на пять групп. В приложении </w:t>
      </w:r>
      <w:r>
        <w:t>I</w:t>
      </w:r>
      <w:r>
        <w:rPr>
          <w:lang w:val="ru-RU"/>
        </w:rPr>
        <w:t xml:space="preserve"> к документу излагались положения, касающиеся защитных мер</w:t>
      </w:r>
      <w:r w:rsidR="008C24C7">
        <w:rPr>
          <w:lang w:val="ru-RU"/>
        </w:rPr>
        <w:t xml:space="preserve">, применяемых </w:t>
      </w:r>
      <w:r>
        <w:rPr>
          <w:lang w:val="ru-RU"/>
        </w:rPr>
        <w:t xml:space="preserve">в случае сбоев в работе систем ведомств, основанные на предложении, первоначально внесенном Европейским патентным ведомством, о том, чтобы разрешить ведомствам упростить процедуру допущения несоблюдения определенных сроков </w:t>
      </w:r>
      <w:r w:rsidR="008C24C7" w:rsidRPr="008C24C7">
        <w:rPr>
          <w:lang w:val="ru-RU"/>
        </w:rPr>
        <w:t>в случае</w:t>
      </w:r>
      <w:r w:rsidR="008C24C7">
        <w:rPr>
          <w:lang w:val="ru-RU"/>
        </w:rPr>
        <w:t xml:space="preserve"> </w:t>
      </w:r>
      <w:r>
        <w:rPr>
          <w:lang w:val="ru-RU"/>
        </w:rPr>
        <w:t xml:space="preserve">сбоев в работе электронных систем. В приложении </w:t>
      </w:r>
      <w:r>
        <w:t>II</w:t>
      </w:r>
      <w:r>
        <w:rPr>
          <w:lang w:val="ru-RU"/>
        </w:rPr>
        <w:t xml:space="preserve"> излагались положения, касающиеся возможности исправления или дополнения сведений в </w:t>
      </w:r>
      <w:r>
        <w:rPr>
          <w:rFonts w:eastAsia="Calibri"/>
          <w:lang w:val="ru-RU"/>
        </w:rPr>
        <w:t>заяв</w:t>
      </w:r>
      <w:r>
        <w:rPr>
          <w:lang w:val="ru-RU"/>
        </w:rPr>
        <w:t>лении, предусмотренном правилом 4.11, основанные на предложении, первоначально внесенном Соединенными Штатами Америки, о том, чтобы допускать исправление ошибок или упущений</w:t>
      </w:r>
      <w:r w:rsidR="008C24C7">
        <w:rPr>
          <w:lang w:val="ru-RU"/>
        </w:rPr>
        <w:t xml:space="preserve">, </w:t>
      </w:r>
      <w:r w:rsidR="008C24C7" w:rsidRPr="008C24C7">
        <w:rPr>
          <w:lang w:val="ru-RU"/>
        </w:rPr>
        <w:t>касающихся</w:t>
      </w:r>
      <w:r w:rsidR="008C24C7">
        <w:rPr>
          <w:lang w:val="ru-RU"/>
        </w:rPr>
        <w:t xml:space="preserve"> указания</w:t>
      </w:r>
      <w:r>
        <w:rPr>
          <w:lang w:val="ru-RU"/>
        </w:rPr>
        <w:t xml:space="preserve"> вида охраны, испрашиваемой на национальной фазе. В приложении </w:t>
      </w:r>
      <w:r>
        <w:t>III</w:t>
      </w:r>
      <w:r>
        <w:rPr>
          <w:lang w:val="ru-RU"/>
        </w:rPr>
        <w:t xml:space="preserve"> содержатся положения, касающиеся ошибочно поданных элементов и частей международной заявки. </w:t>
      </w:r>
      <w:r w:rsidR="008C24C7">
        <w:rPr>
          <w:lang w:val="ru-RU"/>
        </w:rPr>
        <w:t>Целью э</w:t>
      </w:r>
      <w:r>
        <w:rPr>
          <w:lang w:val="ru-RU"/>
        </w:rPr>
        <w:t>ти</w:t>
      </w:r>
      <w:r w:rsidR="008C24C7">
        <w:rPr>
          <w:lang w:val="ru-RU"/>
        </w:rPr>
        <w:t xml:space="preserve">х поправок было </w:t>
      </w:r>
      <w:r>
        <w:rPr>
          <w:lang w:val="ru-RU"/>
        </w:rPr>
        <w:t>согласовать практику работы получающих ведомств и указанных или выбранных ведомств в том особом случае, когда заявитель ошибочно представ</w:t>
      </w:r>
      <w:r w:rsidR="008C24C7">
        <w:rPr>
          <w:lang w:val="ru-RU"/>
        </w:rPr>
        <w:t xml:space="preserve">ляет </w:t>
      </w:r>
      <w:r>
        <w:rPr>
          <w:lang w:val="ru-RU"/>
        </w:rPr>
        <w:t xml:space="preserve">неверный элемент или часть </w:t>
      </w:r>
      <w:r w:rsidR="008C24C7">
        <w:rPr>
          <w:lang w:val="ru-RU"/>
        </w:rPr>
        <w:t xml:space="preserve">элемента </w:t>
      </w:r>
      <w:r>
        <w:rPr>
          <w:lang w:val="ru-RU"/>
        </w:rPr>
        <w:t xml:space="preserve">международной заявки. Кроме того, в пункте 7 документа представлены две предлагаемые Ассамблеей Договоренности, направленные на дальнейшее повышение согласованности применения ведомствами положений исправленной Инструкции. В приложении </w:t>
      </w:r>
      <w:r>
        <w:t>IV</w:t>
      </w:r>
      <w:r>
        <w:rPr>
          <w:lang w:val="ru-RU"/>
        </w:rPr>
        <w:t xml:space="preserve"> были изложены положения, касающиеся перевода пошлин РСТ. </w:t>
      </w:r>
      <w:r w:rsidR="008C24C7">
        <w:rPr>
          <w:lang w:val="ru-RU"/>
        </w:rPr>
        <w:t>Речь идет о разрешающих</w:t>
      </w:r>
      <w:r>
        <w:rPr>
          <w:lang w:val="ru-RU"/>
        </w:rPr>
        <w:t xml:space="preserve"> положения</w:t>
      </w:r>
      <w:r w:rsidR="008C24C7">
        <w:rPr>
          <w:lang w:val="ru-RU"/>
        </w:rPr>
        <w:t>х, допускающих</w:t>
      </w:r>
      <w:r>
        <w:rPr>
          <w:lang w:val="ru-RU"/>
        </w:rPr>
        <w:t xml:space="preserve"> </w:t>
      </w:r>
      <w:r w:rsidR="00A037DC" w:rsidRPr="00A037DC">
        <w:rPr>
          <w:lang w:val="ru-RU"/>
        </w:rPr>
        <w:t>подготовк</w:t>
      </w:r>
      <w:r w:rsidR="00A037DC">
        <w:rPr>
          <w:lang w:val="ru-RU"/>
        </w:rPr>
        <w:t xml:space="preserve">у </w:t>
      </w:r>
      <w:r>
        <w:rPr>
          <w:lang w:val="ru-RU"/>
        </w:rPr>
        <w:t>пунктов Административной инструкции</w:t>
      </w:r>
      <w:r w:rsidR="00A037DC">
        <w:rPr>
          <w:lang w:val="ru-RU"/>
        </w:rPr>
        <w:t>, описывающих единый порядок</w:t>
      </w:r>
      <w:r>
        <w:rPr>
          <w:lang w:val="ru-RU"/>
        </w:rPr>
        <w:t xml:space="preserve"> перевода пошлин одним ведомством другому через Международное бюро. Это позволит формализовать «пилотный проект сальдирования пошлин», в котором участвовали многие ведомства, признав</w:t>
      </w:r>
      <w:r w:rsidR="00A037DC">
        <w:rPr>
          <w:lang w:val="ru-RU"/>
        </w:rPr>
        <w:t>шие</w:t>
      </w:r>
      <w:r>
        <w:rPr>
          <w:lang w:val="ru-RU"/>
        </w:rPr>
        <w:t xml:space="preserve"> этот подход позитивным. Секретариат подчеркнул, что такие положения будут удобны для ведомств, которые хотели бы использовать новый механизм, но не </w:t>
      </w:r>
      <w:r w:rsidR="00A037DC">
        <w:rPr>
          <w:lang w:val="ru-RU"/>
        </w:rPr>
        <w:t xml:space="preserve">создают </w:t>
      </w:r>
      <w:r>
        <w:rPr>
          <w:lang w:val="ru-RU"/>
        </w:rPr>
        <w:t xml:space="preserve">новых обязательств для ведомств, сталкивающихся с юридическими или административными трудностями при внедрении такого подхода. В приложении </w:t>
      </w:r>
      <w:r>
        <w:t>V</w:t>
      </w:r>
      <w:r>
        <w:rPr>
          <w:lang w:val="ru-RU"/>
        </w:rPr>
        <w:t xml:space="preserve"> содержались положения, касающиеся обеспечения доступности дел, хранящихся в</w:t>
      </w:r>
      <w:r w:rsidR="00A037DC">
        <w:rPr>
          <w:lang w:val="ru-RU"/>
        </w:rPr>
        <w:t> </w:t>
      </w:r>
      <w:r>
        <w:rPr>
          <w:lang w:val="ru-RU"/>
        </w:rPr>
        <w:t xml:space="preserve">органе международной предварительной экспертизы, основанные на предложении, первоначально представленном Сингапуром, о повышении уровня транспарентности путем предоставления общественности доступа к большему числу документов, относящихся к процедуре международной предварительной экспертизы. В документе </w:t>
      </w:r>
      <w:r>
        <w:rPr>
          <w:lang w:val="ru-RU"/>
        </w:rPr>
        <w:lastRenderedPageBreak/>
        <w:t xml:space="preserve">предлагалось ввести в силу все предложенные поправки к Инструкции с 1 июля 2020 года и </w:t>
      </w:r>
      <w:r w:rsidR="00A037DC" w:rsidRPr="00A037DC">
        <w:rPr>
          <w:lang w:val="ru-RU"/>
        </w:rPr>
        <w:t>распростран</w:t>
      </w:r>
      <w:r w:rsidR="00A037DC">
        <w:rPr>
          <w:lang w:val="ru-RU"/>
        </w:rPr>
        <w:t>ить на них действие переходных положений, изложенных</w:t>
      </w:r>
      <w:r>
        <w:rPr>
          <w:lang w:val="ru-RU"/>
        </w:rPr>
        <w:t xml:space="preserve"> в </w:t>
      </w:r>
      <w:r w:rsidR="00A037DC">
        <w:rPr>
          <w:lang w:val="ru-RU"/>
        </w:rPr>
        <w:t>пункте 6 документа, направленных</w:t>
      </w:r>
      <w:r>
        <w:rPr>
          <w:lang w:val="ru-RU"/>
        </w:rPr>
        <w:t xml:space="preserve"> на обеспечение желаемых </w:t>
      </w:r>
      <w:r>
        <w:rPr>
          <w:szCs w:val="22"/>
          <w:lang w:val="ru-RU"/>
        </w:rPr>
        <w:t>результат</w:t>
      </w:r>
      <w:r>
        <w:rPr>
          <w:lang w:val="ru-RU"/>
        </w:rPr>
        <w:t>ов в кратчайшие реальные сроки при минимизации соответствующих административных издержек для национальных ведомств.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Представитель Международной федерации поверенных в области интеллектуальной собственности (</w:t>
      </w:r>
      <w:r>
        <w:t>FICPI</w:t>
      </w:r>
      <w:r>
        <w:rPr>
          <w:lang w:val="ru-RU"/>
        </w:rPr>
        <w:t xml:space="preserve">) заявил, что по мнению </w:t>
      </w:r>
      <w:r>
        <w:t>FICPI</w:t>
      </w:r>
      <w:r>
        <w:rPr>
          <w:lang w:val="ru-RU"/>
        </w:rPr>
        <w:t xml:space="preserve"> заявителям должно быть разрешено исправлять очень формальные и очевидные ошибки без </w:t>
      </w:r>
      <w:r w:rsidR="00A037DC">
        <w:rPr>
          <w:lang w:val="ru-RU"/>
        </w:rPr>
        <w:t xml:space="preserve">утраты </w:t>
      </w:r>
      <w:r>
        <w:rPr>
          <w:lang w:val="ru-RU"/>
        </w:rPr>
        <w:t xml:space="preserve">материальных прав. В этой связи </w:t>
      </w:r>
      <w:r>
        <w:t>FICPI</w:t>
      </w:r>
      <w:r>
        <w:rPr>
          <w:lang w:val="ru-RU"/>
        </w:rPr>
        <w:t xml:space="preserve"> поддержала цели договора о патентном праве (</w:t>
      </w:r>
      <w:r>
        <w:t>PLT</w:t>
      </w:r>
      <w:r>
        <w:rPr>
          <w:lang w:val="ru-RU"/>
        </w:rPr>
        <w:t xml:space="preserve">) и приветствовала включение в </w:t>
      </w:r>
      <w:r>
        <w:t>PCT</w:t>
      </w:r>
      <w:r>
        <w:rPr>
          <w:lang w:val="ru-RU"/>
        </w:rPr>
        <w:t xml:space="preserve"> положений, подобных положениям </w:t>
      </w:r>
      <w:r>
        <w:t>PLT</w:t>
      </w:r>
      <w:r>
        <w:rPr>
          <w:lang w:val="ru-RU"/>
        </w:rPr>
        <w:t xml:space="preserve">. Очевидно, что те положения, которые были добавлены в РСТ, были призваны служить тем же целям, что и соответствующие положения </w:t>
      </w:r>
      <w:r>
        <w:t>PLT</w:t>
      </w:r>
      <w:r>
        <w:rPr>
          <w:lang w:val="ru-RU"/>
        </w:rPr>
        <w:t xml:space="preserve">, то есть сделать патентную систему более удобной для пользователей, сохраняя при этом надлежащий баланс интересов различных заинтересованных сторон. С точки зрения </w:t>
      </w:r>
      <w:r>
        <w:t>FICPI</w:t>
      </w:r>
      <w:r>
        <w:rPr>
          <w:lang w:val="ru-RU"/>
        </w:rPr>
        <w:t xml:space="preserve"> этот принцип должен распространяться и на замену ошибочно поданных элементов или их частей правильными элементами или частями, содержащимися в полном объеме в одной или нескольких приоритетных заявках, при условии соблюдения требований правила 20, </w:t>
      </w:r>
      <w:r w:rsidR="00A037DC" w:rsidRPr="00A037DC">
        <w:rPr>
          <w:lang w:val="ru-RU"/>
        </w:rPr>
        <w:t>при условии</w:t>
      </w:r>
      <w:r>
        <w:rPr>
          <w:lang w:val="ru-RU"/>
        </w:rPr>
        <w:t xml:space="preserve"> </w:t>
      </w:r>
      <w:r w:rsidR="00A037DC" w:rsidRPr="00A037DC">
        <w:rPr>
          <w:snapToGrid w:val="0"/>
          <w:lang w:val="ru-RU"/>
        </w:rPr>
        <w:t>применени</w:t>
      </w:r>
      <w:r w:rsidR="00A037DC">
        <w:rPr>
          <w:lang w:val="ru-RU"/>
        </w:rPr>
        <w:t>я</w:t>
      </w:r>
      <w:r>
        <w:rPr>
          <w:lang w:val="ru-RU"/>
        </w:rPr>
        <w:t xml:space="preserve"> определенных защитных мер, как было указано </w:t>
      </w:r>
      <w:r>
        <w:t>FICPI</w:t>
      </w:r>
      <w:r>
        <w:rPr>
          <w:lang w:val="ru-RU"/>
        </w:rPr>
        <w:t xml:space="preserve"> на рабочем совещании, организованном Международным бюро в июне 2018 года. Представитель выразил обеспокоенность по поводу того, что предлагаемые поправки к Инструкции к</w:t>
      </w:r>
      <w:r w:rsidR="00A037DC">
        <w:rPr>
          <w:lang w:val="ru-RU"/>
        </w:rPr>
        <w:t> </w:t>
      </w:r>
      <w:r>
        <w:rPr>
          <w:lang w:val="ru-RU"/>
        </w:rPr>
        <w:t>РСТ, которые Рабочая группа по РСТ рекомендовала представить для рассмотрения на этой сессии Ассамблеи, не достигнут цели, которая перед ними ставилась: согласования методов работы в части включения элементов или частей, имеющихся в</w:t>
      </w:r>
      <w:r w:rsidR="00A037DC">
        <w:rPr>
          <w:lang w:val="ru-RU"/>
        </w:rPr>
        <w:t> </w:t>
      </w:r>
      <w:r>
        <w:rPr>
          <w:lang w:val="ru-RU"/>
        </w:rPr>
        <w:t>приоритетной заявке</w:t>
      </w:r>
      <w:r w:rsidR="00A037DC">
        <w:rPr>
          <w:lang w:val="ru-RU"/>
        </w:rPr>
        <w:t>, путем отсылки</w:t>
      </w:r>
      <w:r>
        <w:rPr>
          <w:lang w:val="ru-RU"/>
        </w:rPr>
        <w:t>. Эти предложения</w:t>
      </w:r>
      <w:r w:rsidR="00A037DC">
        <w:rPr>
          <w:lang w:val="ru-RU"/>
        </w:rPr>
        <w:t xml:space="preserve"> скорее</w:t>
      </w:r>
      <w:r>
        <w:rPr>
          <w:lang w:val="ru-RU"/>
        </w:rPr>
        <w:t xml:space="preserve"> вызовут новую неопределенность и расхождения в практике работы разных ведомств. Расширение использования системы </w:t>
      </w:r>
      <w:proofErr w:type="spellStart"/>
      <w:r>
        <w:t>ePCT</w:t>
      </w:r>
      <w:proofErr w:type="spellEnd"/>
      <w:r>
        <w:rPr>
          <w:lang w:val="ru-RU"/>
        </w:rPr>
        <w:t xml:space="preserve"> повышает риск загрузки неправильных документов из компьютера в систему, и именно поэтому возникает потребность в положении, позволяющем исправлять ошибки. Особую озабоченность вызывают ситуации, когда неправильный элемент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документ другого типа, например</w:t>
      </w:r>
      <w:r w:rsidR="00A037DC">
        <w:rPr>
          <w:lang w:val="ru-RU"/>
        </w:rPr>
        <w:t>,</w:t>
      </w:r>
      <w:r>
        <w:rPr>
          <w:lang w:val="ru-RU"/>
        </w:rPr>
        <w:t xml:space="preserve"> набор пунктов формулы </w:t>
      </w:r>
      <w:r>
        <w:rPr>
          <w:szCs w:val="22"/>
          <w:lang w:val="ru-RU"/>
        </w:rPr>
        <w:t>изобретени</w:t>
      </w:r>
      <w:r>
        <w:rPr>
          <w:lang w:val="ru-RU"/>
        </w:rPr>
        <w:t xml:space="preserve">я вместо описания, или когда он явно относится к другому изобретению и, </w:t>
      </w:r>
      <w:r w:rsidR="00A037DC" w:rsidRPr="00A037DC">
        <w:rPr>
          <w:lang w:val="ru-RU"/>
        </w:rPr>
        <w:t>возможн</w:t>
      </w:r>
      <w:r w:rsidR="00A037DC">
        <w:rPr>
          <w:lang w:val="ru-RU"/>
        </w:rPr>
        <w:t>о</w:t>
      </w:r>
      <w:r>
        <w:rPr>
          <w:lang w:val="ru-RU"/>
        </w:rPr>
        <w:t xml:space="preserve">, предназначен для другого клиента. В таких ситуациях даже после введения предлагаемых изменений Инструкции </w:t>
      </w:r>
      <w:r w:rsidR="00A037DC">
        <w:rPr>
          <w:lang w:val="ru-RU"/>
        </w:rPr>
        <w:t xml:space="preserve">сохранится </w:t>
      </w:r>
      <w:r>
        <w:rPr>
          <w:lang w:val="ru-RU"/>
        </w:rPr>
        <w:t xml:space="preserve">неопределенность в отношении того, отсутствует ли </w:t>
      </w:r>
      <w:r w:rsidR="00A037DC">
        <w:rPr>
          <w:lang w:val="ru-RU"/>
        </w:rPr>
        <w:t xml:space="preserve">тот или иной </w:t>
      </w:r>
      <w:r>
        <w:rPr>
          <w:lang w:val="ru-RU"/>
        </w:rPr>
        <w:t xml:space="preserve">«элемент» </w:t>
      </w:r>
      <w:r w:rsidR="00A037DC">
        <w:rPr>
          <w:lang w:val="ru-RU"/>
        </w:rPr>
        <w:t>в рассматриваемой заявке</w:t>
      </w:r>
      <w:r>
        <w:rPr>
          <w:lang w:val="ru-RU"/>
        </w:rPr>
        <w:t xml:space="preserve"> или он подан по ошибке. Если такое происходит в</w:t>
      </w:r>
      <w:r w:rsidR="00A037DC">
        <w:rPr>
          <w:lang w:val="ru-RU"/>
        </w:rPr>
        <w:t> </w:t>
      </w:r>
      <w:r>
        <w:rPr>
          <w:lang w:val="ru-RU"/>
        </w:rPr>
        <w:t>коммерческой практике и такой документ ненамеренно отсылается какой-либо стороне, такая сторона либо возвращает его</w:t>
      </w:r>
      <w:r w:rsidR="00A037DC">
        <w:rPr>
          <w:lang w:val="ru-RU"/>
        </w:rPr>
        <w:t>, не сохраняя у себя его копию</w:t>
      </w:r>
      <w:r>
        <w:rPr>
          <w:lang w:val="ru-RU"/>
        </w:rPr>
        <w:t xml:space="preserve">, либо уничтожает все его копии. </w:t>
      </w:r>
      <w:r>
        <w:t>FICPI</w:t>
      </w:r>
      <w:r>
        <w:rPr>
          <w:lang w:val="ru-RU"/>
        </w:rPr>
        <w:t xml:space="preserve"> считает правильным, чтобы Международное бюро или получающее ведомство поступали так же, и поэтому не поддерживает процедуру, в результате </w:t>
      </w:r>
      <w:r>
        <w:rPr>
          <w:snapToGrid w:val="0"/>
          <w:lang w:val="ru-RU"/>
        </w:rPr>
        <w:t>применени</w:t>
      </w:r>
      <w:r>
        <w:rPr>
          <w:lang w:val="ru-RU"/>
        </w:rPr>
        <w:t xml:space="preserve">я которой такой неправильно отправленный документ сохраняется в базе данных ВОИС. По мнению </w:t>
      </w:r>
      <w:r>
        <w:t>FICPI</w:t>
      </w:r>
      <w:r>
        <w:rPr>
          <w:lang w:val="ru-RU"/>
        </w:rPr>
        <w:t>, ни публикация документа с пометкой «подан ошибочно», как это предлагается делать, ни сохранение неопубликованного документа в делах ВОИС после поступлени</w:t>
      </w:r>
      <w:r w:rsidR="00A037DC">
        <w:rPr>
          <w:lang w:val="ru-RU"/>
        </w:rPr>
        <w:t>я</w:t>
      </w:r>
      <w:r>
        <w:rPr>
          <w:lang w:val="ru-RU"/>
        </w:rPr>
        <w:t xml:space="preserve"> просьбы в соответствии с правилом 48.2 (</w:t>
      </w:r>
      <w:r>
        <w:t>l</w:t>
      </w:r>
      <w:r>
        <w:rPr>
          <w:lang w:val="ru-RU"/>
        </w:rPr>
        <w:t xml:space="preserve">), не отвечает интересам никаких заинтересованных сторон. Таким образом, </w:t>
      </w:r>
      <w:r>
        <w:t>FICPI</w:t>
      </w:r>
      <w:r>
        <w:rPr>
          <w:lang w:val="ru-RU"/>
        </w:rPr>
        <w:t xml:space="preserve"> считает целесообразным, чтобы Международное бюро и Рабочая группа по РСТ решили эту проблему путем внесения в Инструкцию к РСТ дополнительных или альтернативных изменений правил, которые обеспечат лучшее согласование действий различных органов РСТ в случаях включения путем ссылки элементов или частей, имеющихся в приоритетных заявках. Неправильно включенный документ должен полностью удаляться из заявочной документации, и, возможно, следует ввести новое правило, предусматривающее такое удаление.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Отвечая на замечания представителя </w:t>
      </w:r>
      <w:r>
        <w:t>FICPI</w:t>
      </w:r>
      <w:r>
        <w:rPr>
          <w:lang w:val="ru-RU"/>
        </w:rPr>
        <w:t xml:space="preserve">, Секретариат заявил, что по мнению Международного бюро правила, предложенные утверждению, </w:t>
      </w:r>
      <w:r>
        <w:rPr>
          <w:rStyle w:val="BodyTextChar"/>
          <w:lang w:val="ru-RU"/>
        </w:rPr>
        <w:t>являются</w:t>
      </w:r>
      <w:r>
        <w:rPr>
          <w:lang w:val="ru-RU"/>
        </w:rPr>
        <w:t xml:space="preserve"> для заявителей шагом вперед в урегулировании проблем, вызываемых ошибками при выполнении процедуры подачи заявки. Секретариат признал, что эти предложения идут не так далеко, </w:t>
      </w:r>
      <w:r>
        <w:rPr>
          <w:lang w:val="ru-RU"/>
        </w:rPr>
        <w:lastRenderedPageBreak/>
        <w:t xml:space="preserve">как хотелось бы </w:t>
      </w:r>
      <w:r>
        <w:t>FICPI</w:t>
      </w:r>
      <w:r>
        <w:rPr>
          <w:lang w:val="ru-RU"/>
        </w:rPr>
        <w:t xml:space="preserve">. Однако в ходе обсуждений, состоявшихся в рамках Рабочей группы по РСТ, стало ясно, что государства-члены не готовы к тому, чтобы какой-либо элемент полностью исключался из досье без </w:t>
      </w:r>
      <w:r>
        <w:rPr>
          <w:snapToGrid w:val="0"/>
          <w:lang w:val="ru-RU"/>
        </w:rPr>
        <w:t>одновременн</w:t>
      </w:r>
      <w:r>
        <w:rPr>
          <w:lang w:val="ru-RU"/>
        </w:rPr>
        <w:t xml:space="preserve">ого изменения даты международной подачи, отражающего момент соответствующего изменения. В связи с этим Секретариат по-прежнему рекомендует принять поправки в том виде, как они были предложены. Тем не менее Секретариат призвал группы пользователей продолжить обсуждение вопросов, вызывающих их озабоченность в этой связи со своими соответствующими национальными и региональными ведомствами. Если государства-члены сочтут, что имеется реальная возможность для дальнейшего совершенствования этих защитных положений в будущем, Международное бюро радо будет представить дополнительные предложения Рабочей группе по РСТ. Международное бюро </w:t>
      </w:r>
      <w:r>
        <w:rPr>
          <w:rFonts w:eastAsia="Calibri"/>
          <w:color w:val="000000"/>
          <w:szCs w:val="22"/>
          <w:lang w:val="ru-RU" w:eastAsia="en-US"/>
        </w:rPr>
        <w:t>заявило</w:t>
      </w:r>
      <w:r>
        <w:rPr>
          <w:lang w:val="ru-RU"/>
        </w:rPr>
        <w:t xml:space="preserve">, что пока оно включит в Руководство РСТ для заявителей четкие разъяснения по поводу того, как правильнее устранять ошибки, допущенные при подаче </w:t>
      </w:r>
      <w:r>
        <w:rPr>
          <w:rFonts w:eastAsia="Calibri"/>
          <w:lang w:val="ru-RU"/>
        </w:rPr>
        <w:t>заяв</w:t>
      </w:r>
      <w:r>
        <w:rPr>
          <w:lang w:val="ru-RU"/>
        </w:rPr>
        <w:t>ок. Вместе с тем оно подчеркнуло необходимость крайне тщательного подхода к отбору документов для подачи международной заявки, поскольку некоторые ошибки не могут быть исправлены.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>Представитель организации «</w:t>
      </w:r>
      <w:r>
        <w:t>Knowledge</w:t>
      </w:r>
      <w:r>
        <w:rPr>
          <w:lang w:val="ru-RU"/>
        </w:rPr>
        <w:t xml:space="preserve"> </w:t>
      </w:r>
      <w:r>
        <w:t>Ecology</w:t>
      </w:r>
      <w:r>
        <w:rPr>
          <w:lang w:val="ru-RU"/>
        </w:rPr>
        <w:t xml:space="preserve"> </w:t>
      </w:r>
      <w:r>
        <w:t>International</w:t>
      </w:r>
      <w:r>
        <w:rPr>
          <w:lang w:val="ru-RU"/>
        </w:rPr>
        <w:t>» (</w:t>
      </w:r>
      <w:r>
        <w:t>KEI</w:t>
      </w:r>
      <w:r>
        <w:rPr>
          <w:lang w:val="ru-RU"/>
        </w:rPr>
        <w:t xml:space="preserve">) предложил рассмотреть вопрос о различных областях, дополнительная информация по которым могла бы вводиться в патентные базы системы </w:t>
      </w:r>
      <w:r>
        <w:t>PCT</w:t>
      </w:r>
      <w:r>
        <w:rPr>
          <w:lang w:val="ru-RU"/>
        </w:rPr>
        <w:t xml:space="preserve">, хотя бы на добровольной основе. Например, можно было бы повысить публичную доступность информации о лицензиях, связанных с патентами, о результатах поиска по предшествующему уровню техники, проводившегося в различных юрисдикциях, в которых подавались патентные заявки, или о международных непатентованных наименованиях медицинских препаратов, связанных с патентом. 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Отвечая на замечания представителя </w:t>
      </w:r>
      <w:r>
        <w:t>KEI</w:t>
      </w:r>
      <w:r>
        <w:rPr>
          <w:lang w:val="ru-RU"/>
        </w:rPr>
        <w:t xml:space="preserve">, Секретариат отметил, что часть упомянутой информации уже доступна для общественности в базах данных ВОИС. Секретариат выразил готовность обсудить с </w:t>
      </w:r>
      <w:r>
        <w:t>KEI</w:t>
      </w:r>
      <w:r>
        <w:rPr>
          <w:lang w:val="ru-RU"/>
        </w:rPr>
        <w:t xml:space="preserve"> или другими заинтересованными сторонами вопрос о способах дополнительного информирования заявителей и широкой общественности о возможных вариантах предоставления или использования такой информации, а также о том, как расширить эти возможности в будущем, будь то на административном уровне или путем внесения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 xml:space="preserve">е Рабочей группы по РСТ новых предложений по улучшению Инструкции к </w:t>
      </w:r>
      <w:r>
        <w:t>PCT</w:t>
      </w:r>
      <w:r w:rsidRPr="00C9099F">
        <w:rPr>
          <w:lang w:val="ru-RU"/>
        </w:rPr>
        <w:t xml:space="preserve"> </w:t>
      </w:r>
      <w:r>
        <w:rPr>
          <w:lang w:val="ru-RU"/>
        </w:rPr>
        <w:t>с целью повышения полезности Системы РСТ для всех заинтересованных сторон.</w:t>
      </w:r>
    </w:p>
    <w:p w:rsidR="00B0059E" w:rsidRDefault="00C9099F">
      <w:pPr>
        <w:pStyle w:val="ONUME"/>
        <w:ind w:left="567"/>
      </w:pPr>
      <w:proofErr w:type="spellStart"/>
      <w:r>
        <w:t>Ассамблея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РСТ:</w:t>
      </w:r>
    </w:p>
    <w:p w:rsidR="00B0059E" w:rsidRDefault="00C9099F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приняла предлагаемые поправки к Инструкции к РСТ, изложенные в приложениях </w:t>
      </w:r>
      <w:r>
        <w:t>I</w:t>
      </w:r>
      <w:r>
        <w:rPr>
          <w:lang w:val="ru-RU"/>
        </w:rPr>
        <w:t>-</w:t>
      </w:r>
      <w:r>
        <w:t>V</w:t>
      </w:r>
      <w:r>
        <w:rPr>
          <w:lang w:val="ru-RU"/>
        </w:rPr>
        <w:t xml:space="preserve"> к документу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>/51/2, а также положения о порядке их введения в силу и переходных положениях, изложенные в пункте 6 того же документа; и</w:t>
      </w:r>
    </w:p>
    <w:p w:rsidR="00B0059E" w:rsidRDefault="00C9099F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утвердила Договоренность, изложенную в пункте 7 документа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>/51/2.</w:t>
      </w:r>
    </w:p>
    <w:p w:rsidR="00B0059E" w:rsidRDefault="00A1070A" w:rsidP="00A1070A">
      <w:pPr>
        <w:pStyle w:val="Heading3"/>
      </w:pPr>
      <w:r>
        <w:rPr>
          <w:caps w:val="0"/>
        </w:rPr>
        <w:t>Рассмотрение критериев для снижения пошлин для заявителей из некоторых стран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Обсуждения проводились на основе документа </w:t>
      </w:r>
      <w:r>
        <w:t>PCT</w:t>
      </w:r>
      <w:r>
        <w:rPr>
          <w:lang w:val="ru-RU"/>
        </w:rPr>
        <w:t>/</w:t>
      </w:r>
      <w:r>
        <w:t>A</w:t>
      </w:r>
      <w:r>
        <w:rPr>
          <w:lang w:val="ru-RU"/>
        </w:rPr>
        <w:t>/51/3.</w:t>
      </w:r>
    </w:p>
    <w:p w:rsidR="00B0059E" w:rsidRDefault="00C9099F">
      <w:pPr>
        <w:pStyle w:val="ONUME"/>
        <w:rPr>
          <w:lang w:val="ru-RU"/>
        </w:rPr>
      </w:pPr>
      <w:r>
        <w:rPr>
          <w:lang w:val="ru-RU"/>
        </w:rPr>
        <w:t xml:space="preserve">Секретариат представил документ, пояснив, что на своей сорок шестой сессии в 2014 году Ассамблея приняла поправки к Перечню пошлин, касающиеся критериев определения прав на сокращение некоторых пошлин РСТ. Исправленный таким образом Перечень пошлин содержал положение о том, что Ассамблея должна рассматривать эти критерии не реже одного раза в пять лет. Документ содержал информацию о критериях определения прав на сокращение пошлин в соответствии с пунктом 5 Перечня пошлин, </w:t>
      </w:r>
      <w:r>
        <w:rPr>
          <w:lang w:val="ru-RU"/>
        </w:rPr>
        <w:lastRenderedPageBreak/>
        <w:t>количестве заявок, на которые распространялось сокращение пошлин, и количестве заявок, поданных различными категориями заявителей до и после вступления в силу с 1 июля 2015 года поправок к перечням государств, имеющих право на сокращение пошлин. Рабочая группа по РСТ обсудила информацию, представленную в документе, и единогласно рекомендовала Ассамблее сохранить критерии в их нынешнем виде и вернуться к их рассмотрению через пять лет. В документе Ассамблее предлагается рассмотреть эти критерии и выполнить рекомендацию Рабочей группы.</w:t>
      </w:r>
    </w:p>
    <w:p w:rsidR="00B0059E" w:rsidRDefault="00C9099F">
      <w:pPr>
        <w:pStyle w:val="ONUME"/>
        <w:ind w:left="567"/>
      </w:pPr>
      <w:proofErr w:type="spellStart"/>
      <w:r>
        <w:t>Ассамблея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РСТ:</w:t>
      </w:r>
    </w:p>
    <w:p w:rsidR="00B0059E" w:rsidRDefault="00C9099F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рассмотрев критерии, изложенные в пункте 5 Перечня пошлин РСТ, постановила сохранить эти критерии; и</w:t>
      </w:r>
    </w:p>
    <w:p w:rsidR="00B0059E" w:rsidRDefault="00C9099F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постановила, что Ассамблея вновь рассмотрит эти критерии через пять лет, как это предусмотрено указанным Перечнем.</w:t>
      </w:r>
      <w:bookmarkStart w:id="5" w:name="a"/>
      <w:bookmarkEnd w:id="5"/>
    </w:p>
    <w:p w:rsidR="00B0059E" w:rsidRDefault="00C9099F">
      <w:pPr>
        <w:pStyle w:val="Endofdocument-Annex"/>
        <w:rPr>
          <w:lang w:val="ru-RU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sectPr w:rsidR="00B0059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9E" w:rsidRDefault="00C9099F">
      <w:r>
        <w:separator/>
      </w:r>
    </w:p>
  </w:endnote>
  <w:endnote w:type="continuationSeparator" w:id="0">
    <w:p w:rsidR="00B0059E" w:rsidRDefault="00C9099F">
      <w:r>
        <w:separator/>
      </w:r>
    </w:p>
    <w:p w:rsidR="00B0059E" w:rsidRDefault="00C9099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0059E" w:rsidRDefault="00C9099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9E" w:rsidRDefault="00C9099F">
      <w:r>
        <w:separator/>
      </w:r>
    </w:p>
  </w:footnote>
  <w:footnote w:type="continuationSeparator" w:id="0">
    <w:p w:rsidR="00B0059E" w:rsidRDefault="00C9099F">
      <w:r>
        <w:separator/>
      </w:r>
    </w:p>
    <w:p w:rsidR="00B0059E" w:rsidRDefault="00C9099F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B0059E" w:rsidRDefault="00C9099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9E" w:rsidRDefault="00C9099F">
    <w:pPr>
      <w:jc w:val="right"/>
    </w:pPr>
    <w:bookmarkStart w:id="6" w:name="Code2"/>
    <w:bookmarkEnd w:id="6"/>
    <w:r>
      <w:t>PCT/A/51/4</w:t>
    </w:r>
  </w:p>
  <w:p w:rsidR="00B0059E" w:rsidRDefault="008C24C7">
    <w:pPr>
      <w:jc w:val="right"/>
    </w:pPr>
    <w:r>
      <w:rPr>
        <w:lang w:val="ru-RU"/>
      </w:rPr>
      <w:t>стр</w:t>
    </w:r>
    <w:r w:rsidRPr="008C24C7">
      <w:t xml:space="preserve">. </w:t>
    </w:r>
    <w:r w:rsidR="00C9099F">
      <w:fldChar w:fldCharType="begin"/>
    </w:r>
    <w:r w:rsidR="00C9099F">
      <w:instrText xml:space="preserve"> PAGE  \* MERGEFORMAT </w:instrText>
    </w:r>
    <w:r w:rsidR="00C9099F">
      <w:fldChar w:fldCharType="separate"/>
    </w:r>
    <w:r w:rsidR="006B674D">
      <w:rPr>
        <w:noProof/>
      </w:rPr>
      <w:t>6</w:t>
    </w:r>
    <w:r w:rsidR="00C9099F">
      <w:fldChar w:fldCharType="end"/>
    </w:r>
  </w:p>
  <w:p w:rsidR="00B0059E" w:rsidRDefault="00B0059E">
    <w:pPr>
      <w:jc w:val="right"/>
    </w:pPr>
  </w:p>
  <w:p w:rsidR="00B0059E" w:rsidRDefault="00B005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4"/>
    <w:rsid w:val="00295704"/>
    <w:rsid w:val="00311F6C"/>
    <w:rsid w:val="00325B84"/>
    <w:rsid w:val="006B674D"/>
    <w:rsid w:val="00807E1E"/>
    <w:rsid w:val="008C24C7"/>
    <w:rsid w:val="009E0AD1"/>
    <w:rsid w:val="00A037DC"/>
    <w:rsid w:val="00A1070A"/>
    <w:rsid w:val="00AB5625"/>
    <w:rsid w:val="00B0059E"/>
    <w:rsid w:val="00C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2AF33E33-7F8C-4665-B654-BE3745C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1070A"/>
    <w:pPr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1070A"/>
    <w:pPr>
      <w:keepNext/>
      <w:spacing w:before="240" w:after="220"/>
      <w:outlineLvl w:val="2"/>
    </w:pPr>
    <w:rPr>
      <w:bCs/>
      <w:caps/>
      <w:szCs w:val="26"/>
      <w:u w:val="single"/>
      <w:lang w:val="ru-RU"/>
    </w:rPr>
  </w:style>
  <w:style w:type="paragraph" w:styleId="Heading4">
    <w:name w:val="heading 4"/>
    <w:basedOn w:val="Normal"/>
    <w:next w:val="Normal"/>
    <w:autoRedefine/>
    <w:qFormat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pPr>
      <w:keepNext/>
      <w:keepLines/>
      <w:spacing w:before="240" w:after="22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spacing w:before="720"/>
      <w:ind w:left="5530"/>
    </w:pPr>
  </w:style>
  <w:style w:type="paragraph" w:styleId="BodyText">
    <w:name w:val="Body Text"/>
    <w:aliases w:val="tst,BT,BodyText,VE 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Pr>
      <w:rFonts w:ascii="Arial" w:eastAsia="SimSun" w:hAnsi="Arial" w:cs="Times New Roman"/>
      <w:i/>
      <w:sz w:val="22"/>
      <w:lang w:val="en-US" w:eastAsia="zh-CN"/>
    </w:rPr>
  </w:style>
  <w:style w:type="character" w:customStyle="1" w:styleId="ONUMEChar">
    <w:name w:val="ONUM E Char"/>
    <w:link w:val="ONUME"/>
    <w:locked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2069</Words>
  <Characters>13967</Characters>
  <Application>Microsoft Office Word</Application>
  <DocSecurity>0</DocSecurity>
  <Lines>231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PCT/A/51/4 Prov.</vt:lpstr>
      <vt:lpstr>PCT/A/51/4 Prov.</vt:lpstr>
    </vt:vector>
  </TitlesOfParts>
  <Company>WIPO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PCT/A/51/4 Prov.</dc:title>
  <dc:subject>Fifty-Ninth Series of Meetings</dc:subject>
  <dc:creator>MARLOW Thomas</dc:creator>
  <cp:keywords>PUBLIC</cp:keywords>
  <cp:lastModifiedBy>HÄFLIGER Patience</cp:lastModifiedBy>
  <cp:revision>6</cp:revision>
  <cp:lastPrinted>2019-10-04T11:51:00Z</cp:lastPrinted>
  <dcterms:created xsi:type="dcterms:W3CDTF">2019-12-05T15:17:00Z</dcterms:created>
  <dcterms:modified xsi:type="dcterms:W3CDTF">2019-12-12T14:56:00Z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c1716779-2ab4-4b71-94e4-2e33871576d3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