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4E81E" w14:textId="5C1EE4E2" w:rsidR="008B2CC1" w:rsidRPr="00F043DE" w:rsidRDefault="00511711" w:rsidP="00805BD5">
      <w:pPr>
        <w:spacing w:before="360" w:after="240"/>
        <w:jc w:val="right"/>
        <w:rPr>
          <w:b/>
          <w:sz w:val="32"/>
          <w:szCs w:val="40"/>
        </w:rPr>
      </w:pPr>
      <w:bookmarkStart w:id="0" w:name="_Hlk39225599"/>
      <w:bookmarkStart w:id="1" w:name="_GoBack"/>
      <w:bookmarkEnd w:id="0"/>
      <w:bookmarkEnd w:id="1"/>
      <w:r w:rsidRPr="009133CB">
        <w:rPr>
          <w:noProof/>
          <w:sz w:val="28"/>
          <w:szCs w:val="28"/>
          <w:lang w:eastAsia="en-US"/>
        </w:rPr>
        <w:drawing>
          <wp:inline distT="0" distB="0" distL="0" distR="0" wp14:anchorId="4390F9B8" wp14:editId="768A984D">
            <wp:extent cx="3246120" cy="1630680"/>
            <wp:effectExtent l="0" t="0" r="0" b="7620"/>
            <wp:docPr id="6" name="Picture 6"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10E99E45" w14:textId="45D9E483" w:rsidR="008B2CC1" w:rsidRPr="0049526D" w:rsidRDefault="006961B9" w:rsidP="00805BD5">
      <w:pPr>
        <w:pBdr>
          <w:top w:val="single" w:sz="4" w:space="9" w:color="auto"/>
        </w:pBdr>
        <w:jc w:val="right"/>
        <w:rPr>
          <w:rFonts w:ascii="Arial Black" w:hAnsi="Arial Black"/>
          <w:caps/>
          <w:sz w:val="15"/>
          <w:szCs w:val="15"/>
          <w:lang w:val="ru-RU"/>
        </w:rPr>
      </w:pPr>
      <w:r w:rsidRPr="005E27B1">
        <w:rPr>
          <w:rFonts w:ascii="Arial Black" w:hAnsi="Arial Black"/>
          <w:caps/>
          <w:sz w:val="15"/>
          <w:szCs w:val="15"/>
        </w:rPr>
        <w:t>WO</w:t>
      </w:r>
      <w:r w:rsidRPr="0049526D">
        <w:rPr>
          <w:rFonts w:ascii="Arial Black" w:hAnsi="Arial Black"/>
          <w:caps/>
          <w:sz w:val="15"/>
          <w:szCs w:val="15"/>
          <w:lang w:val="ru-RU"/>
        </w:rPr>
        <w:t>/</w:t>
      </w:r>
      <w:r w:rsidRPr="005E27B1">
        <w:rPr>
          <w:rFonts w:ascii="Arial Black" w:hAnsi="Arial Black"/>
          <w:caps/>
          <w:sz w:val="15"/>
          <w:szCs w:val="15"/>
        </w:rPr>
        <w:t>GA</w:t>
      </w:r>
      <w:r w:rsidRPr="0049526D">
        <w:rPr>
          <w:rFonts w:ascii="Arial Black" w:hAnsi="Arial Black"/>
          <w:caps/>
          <w:sz w:val="15"/>
          <w:szCs w:val="15"/>
          <w:lang w:val="ru-RU"/>
        </w:rPr>
        <w:t>/5</w:t>
      </w:r>
      <w:r w:rsidR="00DC0370" w:rsidRPr="0049526D">
        <w:rPr>
          <w:rFonts w:ascii="Arial Black" w:hAnsi="Arial Black"/>
          <w:caps/>
          <w:sz w:val="15"/>
          <w:szCs w:val="15"/>
          <w:lang w:val="ru-RU"/>
        </w:rPr>
        <w:t>3</w:t>
      </w:r>
      <w:r w:rsidRPr="0049526D">
        <w:rPr>
          <w:rFonts w:ascii="Arial Black" w:hAnsi="Arial Black"/>
          <w:caps/>
          <w:sz w:val="15"/>
          <w:szCs w:val="15"/>
          <w:lang w:val="ru-RU"/>
        </w:rPr>
        <w:t>/</w:t>
      </w:r>
      <w:bookmarkStart w:id="2" w:name="Code"/>
      <w:r w:rsidR="007D1432" w:rsidRPr="0049526D">
        <w:rPr>
          <w:rFonts w:ascii="Arial Black" w:hAnsi="Arial Black"/>
          <w:caps/>
          <w:sz w:val="15"/>
          <w:szCs w:val="15"/>
          <w:lang w:val="ru-RU"/>
        </w:rPr>
        <w:t>2</w:t>
      </w:r>
    </w:p>
    <w:bookmarkEnd w:id="2"/>
    <w:p w14:paraId="6D696899" w14:textId="740BEE84" w:rsidR="008B2CC1" w:rsidRPr="00511711" w:rsidRDefault="00511711" w:rsidP="00EB2F76">
      <w:pPr>
        <w:jc w:val="right"/>
        <w:rPr>
          <w:rFonts w:ascii="Arial Black" w:hAnsi="Arial Black"/>
          <w:caps/>
          <w:sz w:val="15"/>
          <w:szCs w:val="15"/>
          <w:lang w:val="ru-RU"/>
        </w:rPr>
      </w:pPr>
      <w:r>
        <w:rPr>
          <w:rFonts w:ascii="Arial Black" w:hAnsi="Arial Black"/>
          <w:caps/>
          <w:sz w:val="15"/>
          <w:szCs w:val="15"/>
          <w:lang w:val="ru-RU"/>
        </w:rPr>
        <w:t>оригинал</w:t>
      </w:r>
      <w:r w:rsidR="00EB2F76" w:rsidRPr="00511711">
        <w:rPr>
          <w:rFonts w:ascii="Arial Black" w:hAnsi="Arial Black"/>
          <w:caps/>
          <w:sz w:val="15"/>
          <w:szCs w:val="15"/>
          <w:lang w:val="ru-RU"/>
        </w:rPr>
        <w:t>:</w:t>
      </w:r>
      <w:r w:rsidR="00BB5A5A" w:rsidRPr="00511711">
        <w:rPr>
          <w:rFonts w:ascii="Arial Black" w:hAnsi="Arial Black"/>
          <w:caps/>
          <w:sz w:val="15"/>
          <w:szCs w:val="15"/>
          <w:lang w:val="ru-RU"/>
        </w:rPr>
        <w:t xml:space="preserve"> </w:t>
      </w:r>
      <w:r w:rsidR="00EB2F76" w:rsidRPr="00511711">
        <w:rPr>
          <w:rFonts w:ascii="Arial Black" w:hAnsi="Arial Black"/>
          <w:caps/>
          <w:sz w:val="15"/>
          <w:szCs w:val="15"/>
          <w:lang w:val="ru-RU"/>
        </w:rPr>
        <w:t xml:space="preserve"> </w:t>
      </w:r>
      <w:bookmarkStart w:id="3" w:name="Original"/>
      <w:r>
        <w:rPr>
          <w:rFonts w:ascii="Arial Black" w:hAnsi="Arial Black"/>
          <w:caps/>
          <w:sz w:val="15"/>
          <w:szCs w:val="15"/>
          <w:lang w:val="ru-RU"/>
        </w:rPr>
        <w:t>английский</w:t>
      </w:r>
    </w:p>
    <w:bookmarkEnd w:id="3"/>
    <w:p w14:paraId="7FDEA3DF" w14:textId="2317D66C" w:rsidR="008B2CC1" w:rsidRPr="00511711" w:rsidRDefault="00511711" w:rsidP="00FC7E97">
      <w:pPr>
        <w:spacing w:after="1200"/>
        <w:jc w:val="right"/>
        <w:rPr>
          <w:rFonts w:ascii="Arial Black" w:hAnsi="Arial Black"/>
          <w:caps/>
          <w:sz w:val="15"/>
          <w:szCs w:val="15"/>
          <w:lang w:val="ru-RU"/>
        </w:rPr>
      </w:pPr>
      <w:r>
        <w:rPr>
          <w:rFonts w:ascii="Arial Black" w:hAnsi="Arial Black"/>
          <w:caps/>
          <w:sz w:val="15"/>
          <w:szCs w:val="15"/>
          <w:lang w:val="ru-RU"/>
        </w:rPr>
        <w:t>дата</w:t>
      </w:r>
      <w:r w:rsidR="00EB2F76" w:rsidRPr="00511711">
        <w:rPr>
          <w:rFonts w:ascii="Arial Black" w:hAnsi="Arial Black"/>
          <w:caps/>
          <w:sz w:val="15"/>
          <w:szCs w:val="15"/>
          <w:lang w:val="ru-RU"/>
        </w:rPr>
        <w:t xml:space="preserve">: </w:t>
      </w:r>
      <w:bookmarkStart w:id="4" w:name="Date"/>
      <w:r w:rsidR="00BB5A5A" w:rsidRPr="00511711">
        <w:rPr>
          <w:rFonts w:ascii="Arial Black" w:hAnsi="Arial Black"/>
          <w:caps/>
          <w:sz w:val="15"/>
          <w:szCs w:val="15"/>
          <w:lang w:val="ru-RU"/>
        </w:rPr>
        <w:t xml:space="preserve"> </w:t>
      </w:r>
      <w:r w:rsidR="0049526D" w:rsidRPr="00835E02">
        <w:rPr>
          <w:rFonts w:ascii="Arial Black" w:hAnsi="Arial Black"/>
          <w:caps/>
          <w:sz w:val="15"/>
          <w:szCs w:val="15"/>
          <w:lang w:val="ru-RU"/>
        </w:rPr>
        <w:t xml:space="preserve">21 </w:t>
      </w:r>
      <w:r w:rsidR="0049526D">
        <w:rPr>
          <w:rFonts w:ascii="Arial Black" w:hAnsi="Arial Black"/>
          <w:caps/>
          <w:sz w:val="15"/>
          <w:szCs w:val="15"/>
          <w:lang w:val="ru-RU"/>
        </w:rPr>
        <w:t>июля</w:t>
      </w:r>
      <w:r>
        <w:rPr>
          <w:rFonts w:ascii="Arial Black" w:hAnsi="Arial Black"/>
          <w:caps/>
          <w:sz w:val="15"/>
          <w:szCs w:val="15"/>
          <w:lang w:val="ru-RU"/>
        </w:rPr>
        <w:t xml:space="preserve"> 2020 г.</w:t>
      </w:r>
    </w:p>
    <w:p w14:paraId="1B41B09A" w14:textId="71AF84BF" w:rsidR="008B2CC1" w:rsidRPr="00511711" w:rsidRDefault="00511711" w:rsidP="00217391">
      <w:pPr>
        <w:pStyle w:val="Heading1"/>
        <w:spacing w:before="0" w:after="600"/>
        <w:rPr>
          <w:sz w:val="28"/>
          <w:szCs w:val="28"/>
          <w:lang w:val="ru-RU"/>
        </w:rPr>
      </w:pPr>
      <w:bookmarkStart w:id="5" w:name="_Toc40299717"/>
      <w:bookmarkEnd w:id="4"/>
      <w:r>
        <w:rPr>
          <w:caps w:val="0"/>
          <w:sz w:val="28"/>
          <w:szCs w:val="28"/>
          <w:lang w:val="ru-RU"/>
        </w:rPr>
        <w:t>Генеральная Ассамблея ВОИС</w:t>
      </w:r>
      <w:bookmarkEnd w:id="5"/>
    </w:p>
    <w:p w14:paraId="4220D0E6" w14:textId="25DC2E2B" w:rsidR="008B2CC1" w:rsidRPr="00850193" w:rsidRDefault="00511711" w:rsidP="00217391">
      <w:pPr>
        <w:spacing w:after="720"/>
        <w:outlineLvl w:val="1"/>
        <w:rPr>
          <w:b/>
          <w:sz w:val="24"/>
          <w:szCs w:val="24"/>
          <w:lang w:val="ru-RU"/>
        </w:rPr>
      </w:pPr>
      <w:r w:rsidRPr="00511711">
        <w:rPr>
          <w:b/>
          <w:sz w:val="24"/>
          <w:szCs w:val="24"/>
          <w:lang w:val="ru-RU"/>
        </w:rPr>
        <w:t>Пятьдесят</w:t>
      </w:r>
      <w:r w:rsidRPr="00850193">
        <w:rPr>
          <w:b/>
          <w:sz w:val="24"/>
          <w:szCs w:val="24"/>
          <w:lang w:val="ru-RU"/>
        </w:rPr>
        <w:t xml:space="preserve"> </w:t>
      </w:r>
      <w:r>
        <w:rPr>
          <w:b/>
          <w:sz w:val="24"/>
          <w:szCs w:val="24"/>
          <w:lang w:val="ru-RU"/>
        </w:rPr>
        <w:t>третья</w:t>
      </w:r>
      <w:r w:rsidRPr="00850193">
        <w:rPr>
          <w:b/>
          <w:sz w:val="24"/>
          <w:szCs w:val="24"/>
          <w:lang w:val="ru-RU"/>
        </w:rPr>
        <w:t xml:space="preserve"> (2</w:t>
      </w:r>
      <w:r w:rsidR="00850193" w:rsidRPr="00850193">
        <w:rPr>
          <w:b/>
          <w:sz w:val="24"/>
          <w:szCs w:val="24"/>
          <w:lang w:val="ru-RU"/>
        </w:rPr>
        <w:t>9</w:t>
      </w:r>
      <w:r w:rsidRPr="00850193">
        <w:rPr>
          <w:b/>
          <w:sz w:val="24"/>
          <w:szCs w:val="24"/>
          <w:lang w:val="ru-RU"/>
        </w:rPr>
        <w:t>-</w:t>
      </w:r>
      <w:r w:rsidRPr="00511711">
        <w:rPr>
          <w:b/>
          <w:sz w:val="24"/>
          <w:szCs w:val="24"/>
          <w:lang w:val="ru-RU"/>
        </w:rPr>
        <w:t>я</w:t>
      </w:r>
      <w:r w:rsidRPr="00850193">
        <w:rPr>
          <w:b/>
          <w:sz w:val="24"/>
          <w:szCs w:val="24"/>
          <w:lang w:val="ru-RU"/>
        </w:rPr>
        <w:t xml:space="preserve"> </w:t>
      </w:r>
      <w:r w:rsidR="00A61AD6">
        <w:rPr>
          <w:b/>
          <w:sz w:val="24"/>
          <w:szCs w:val="24"/>
          <w:lang w:val="ru-RU"/>
        </w:rPr>
        <w:t>вне</w:t>
      </w:r>
      <w:r w:rsidRPr="00511711">
        <w:rPr>
          <w:b/>
          <w:sz w:val="24"/>
          <w:szCs w:val="24"/>
          <w:lang w:val="ru-RU"/>
        </w:rPr>
        <w:t>очередная</w:t>
      </w:r>
      <w:r w:rsidRPr="00850193">
        <w:rPr>
          <w:b/>
          <w:sz w:val="24"/>
          <w:szCs w:val="24"/>
          <w:lang w:val="ru-RU"/>
        </w:rPr>
        <w:t xml:space="preserve">) </w:t>
      </w:r>
      <w:r w:rsidRPr="00511711">
        <w:rPr>
          <w:b/>
          <w:sz w:val="24"/>
          <w:szCs w:val="24"/>
          <w:lang w:val="ru-RU"/>
        </w:rPr>
        <w:t>сессия</w:t>
      </w:r>
      <w:r w:rsidRPr="00850193">
        <w:rPr>
          <w:b/>
          <w:sz w:val="24"/>
          <w:szCs w:val="24"/>
          <w:lang w:val="ru-RU"/>
        </w:rPr>
        <w:t xml:space="preserve"> </w:t>
      </w:r>
      <w:r w:rsidR="006961B9" w:rsidRPr="00850193">
        <w:rPr>
          <w:b/>
          <w:sz w:val="24"/>
          <w:szCs w:val="24"/>
          <w:lang w:val="ru-RU"/>
        </w:rPr>
        <w:br/>
      </w:r>
      <w:r w:rsidR="00850193">
        <w:rPr>
          <w:b/>
          <w:sz w:val="24"/>
          <w:szCs w:val="24"/>
          <w:lang w:val="ru-RU"/>
        </w:rPr>
        <w:t xml:space="preserve">Женева, 21-29 сентября 2020 г.  </w:t>
      </w:r>
    </w:p>
    <w:p w14:paraId="7FFACFEF" w14:textId="6AC566FD" w:rsidR="00FC7E97" w:rsidRPr="00850193" w:rsidRDefault="00850193" w:rsidP="00FC7E97">
      <w:pPr>
        <w:spacing w:after="360"/>
        <w:rPr>
          <w:caps/>
          <w:sz w:val="24"/>
          <w:lang w:val="ru-RU"/>
        </w:rPr>
      </w:pPr>
      <w:bookmarkStart w:id="6" w:name="TitleOfDoc"/>
      <w:r w:rsidRPr="00850193">
        <w:rPr>
          <w:caps/>
          <w:sz w:val="24"/>
          <w:lang w:val="ru-RU"/>
        </w:rPr>
        <w:t xml:space="preserve">ГОДОВОЙ ОТЧЕТ ДИРЕКТОРА ОТДЕЛА ВНУТРЕННЕГО НАДЗОРА (ОВН) </w:t>
      </w:r>
    </w:p>
    <w:bookmarkEnd w:id="6"/>
    <w:p w14:paraId="5407EF7F" w14:textId="30FAC8FF" w:rsidR="00FC7E97" w:rsidRPr="00850193" w:rsidRDefault="00850193" w:rsidP="00FC7E97">
      <w:pPr>
        <w:spacing w:after="960"/>
        <w:rPr>
          <w:i/>
        </w:rPr>
      </w:pPr>
      <w:r>
        <w:rPr>
          <w:i/>
          <w:lang w:val="ru-RU"/>
        </w:rPr>
        <w:t>подготовлен</w:t>
      </w:r>
      <w:r w:rsidRPr="00850193">
        <w:rPr>
          <w:i/>
        </w:rPr>
        <w:t xml:space="preserve"> </w:t>
      </w:r>
      <w:r>
        <w:rPr>
          <w:i/>
          <w:lang w:val="ru-RU"/>
        </w:rPr>
        <w:t>Секретариатом</w:t>
      </w:r>
      <w:r w:rsidRPr="00850193">
        <w:rPr>
          <w:i/>
        </w:rPr>
        <w:t xml:space="preserve"> </w:t>
      </w:r>
    </w:p>
    <w:p w14:paraId="6AD80BBD" w14:textId="77777777" w:rsidR="00DB6BA7" w:rsidRDefault="0068488E" w:rsidP="00046C7F">
      <w:pPr>
        <w:pStyle w:val="ONUME"/>
        <w:numPr>
          <w:ilvl w:val="0"/>
          <w:numId w:val="4"/>
        </w:numPr>
        <w:rPr>
          <w:lang w:val="ru-RU"/>
        </w:rPr>
      </w:pPr>
      <w:r w:rsidRPr="00DB6BA7">
        <w:rPr>
          <w:lang w:val="ru-RU"/>
        </w:rPr>
        <w:t xml:space="preserve">В настоящем документе содержится «Годовой отчет директора Отдела внутреннего надзора (ОВН)» (документ </w:t>
      </w:r>
      <w:r w:rsidRPr="0068488E">
        <w:t>WO</w:t>
      </w:r>
      <w:r w:rsidRPr="00DB6BA7">
        <w:rPr>
          <w:lang w:val="ru-RU"/>
        </w:rPr>
        <w:t>/</w:t>
      </w:r>
      <w:r w:rsidRPr="0068488E">
        <w:t>PBC</w:t>
      </w:r>
      <w:r w:rsidRPr="00DB6BA7">
        <w:rPr>
          <w:lang w:val="ru-RU"/>
        </w:rPr>
        <w:t>/31/4), представленный Комитету ВОИС по программе и бюджету (КПБ) для рассмотрения на его тридцать первой сессии (</w:t>
      </w:r>
      <w:r w:rsidR="0049526D" w:rsidRPr="00DB6BA7">
        <w:rPr>
          <w:lang w:val="ru-RU"/>
        </w:rPr>
        <w:t>8</w:t>
      </w:r>
      <w:r w:rsidRPr="00DB6BA7">
        <w:rPr>
          <w:lang w:val="ru-RU"/>
        </w:rPr>
        <w:t>–11</w:t>
      </w:r>
      <w:r w:rsidRPr="0068488E">
        <w:t> </w:t>
      </w:r>
      <w:r w:rsidRPr="00DB6BA7">
        <w:rPr>
          <w:lang w:val="ru-RU"/>
        </w:rPr>
        <w:t>сентября 2020</w:t>
      </w:r>
      <w:r w:rsidRPr="0068488E">
        <w:t> </w:t>
      </w:r>
      <w:r w:rsidRPr="00DB6BA7">
        <w:rPr>
          <w:lang w:val="ru-RU"/>
        </w:rPr>
        <w:t xml:space="preserve">г.). </w:t>
      </w:r>
    </w:p>
    <w:p w14:paraId="57F76B33" w14:textId="1C2FA4F5" w:rsidR="001D4107" w:rsidRPr="00DB6BA7" w:rsidRDefault="0068488E" w:rsidP="00046C7F">
      <w:pPr>
        <w:pStyle w:val="ONUME"/>
        <w:numPr>
          <w:ilvl w:val="0"/>
          <w:numId w:val="4"/>
        </w:numPr>
        <w:rPr>
          <w:lang w:val="ru-RU"/>
        </w:rPr>
      </w:pPr>
      <w:r w:rsidRPr="00DB6BA7">
        <w:rPr>
          <w:lang w:val="ru-RU"/>
        </w:rPr>
        <w:t xml:space="preserve">Все решения КПБ в отношении этого документа будут отражены в «Перечне решений, принятых Комитетом по программе и бюджету» (документ </w:t>
      </w:r>
      <w:r w:rsidRPr="0068488E">
        <w:t>A</w:t>
      </w:r>
      <w:r w:rsidRPr="00DB6BA7">
        <w:rPr>
          <w:lang w:val="ru-RU"/>
        </w:rPr>
        <w:t xml:space="preserve">/61/6). </w:t>
      </w:r>
    </w:p>
    <w:p w14:paraId="49D85A12" w14:textId="77777777" w:rsidR="00DC7B07" w:rsidRPr="00F504CE" w:rsidRDefault="00DC7B07" w:rsidP="00DC7B07">
      <w:pPr>
        <w:pStyle w:val="ONUME"/>
        <w:numPr>
          <w:ilvl w:val="0"/>
          <w:numId w:val="0"/>
        </w:numPr>
        <w:tabs>
          <w:tab w:val="left" w:pos="6096"/>
        </w:tabs>
        <w:spacing w:after="0"/>
        <w:ind w:left="5533"/>
        <w:rPr>
          <w:i/>
          <w:lang w:val="ru-RU"/>
        </w:rPr>
      </w:pPr>
    </w:p>
    <w:p w14:paraId="0C043684" w14:textId="20E4E5E4" w:rsidR="00DC7B07" w:rsidRPr="0068488E" w:rsidRDefault="00DC7B07" w:rsidP="00DC7B07">
      <w:pPr>
        <w:pStyle w:val="Endofdocument-Annex"/>
        <w:rPr>
          <w:lang w:val="ru-RU"/>
        </w:rPr>
      </w:pPr>
      <w:r w:rsidRPr="0068488E">
        <w:rPr>
          <w:lang w:val="ru-RU"/>
        </w:rPr>
        <w:t>[</w:t>
      </w:r>
      <w:r w:rsidR="0068488E">
        <w:rPr>
          <w:lang w:val="ru-RU"/>
        </w:rPr>
        <w:t>Документ</w:t>
      </w:r>
      <w:r w:rsidRPr="0068488E">
        <w:rPr>
          <w:lang w:val="ru-RU"/>
        </w:rPr>
        <w:t xml:space="preserve"> </w:t>
      </w:r>
      <w:r w:rsidRPr="00AD25E7">
        <w:t>WO</w:t>
      </w:r>
      <w:r w:rsidRPr="0068488E">
        <w:rPr>
          <w:lang w:val="ru-RU"/>
        </w:rPr>
        <w:t>/</w:t>
      </w:r>
      <w:r>
        <w:t>PBC</w:t>
      </w:r>
      <w:r w:rsidRPr="0068488E">
        <w:rPr>
          <w:lang w:val="ru-RU"/>
        </w:rPr>
        <w:t>/31/</w:t>
      </w:r>
      <w:r w:rsidR="005370EC" w:rsidRPr="0068488E">
        <w:rPr>
          <w:lang w:val="ru-RU"/>
        </w:rPr>
        <w:t>4</w:t>
      </w:r>
      <w:r w:rsidRPr="0068488E">
        <w:rPr>
          <w:lang w:val="ru-RU"/>
        </w:rPr>
        <w:t xml:space="preserve"> </w:t>
      </w:r>
      <w:r w:rsidR="0068488E">
        <w:rPr>
          <w:lang w:val="ru-RU"/>
        </w:rPr>
        <w:t>следует</w:t>
      </w:r>
      <w:r w:rsidRPr="0068488E">
        <w:rPr>
          <w:lang w:val="ru-RU"/>
        </w:rPr>
        <w:t>]</w:t>
      </w:r>
    </w:p>
    <w:p w14:paraId="18AC0E7E" w14:textId="77777777" w:rsidR="00DC7B07" w:rsidRPr="0068488E" w:rsidRDefault="00DC7B07" w:rsidP="00DC7B07">
      <w:pPr>
        <w:pStyle w:val="Endofdocument-Annex"/>
        <w:rPr>
          <w:lang w:val="ru-RU"/>
        </w:rPr>
      </w:pPr>
    </w:p>
    <w:p w14:paraId="72282CC1" w14:textId="77777777" w:rsidR="00DC7B07" w:rsidRPr="0068488E" w:rsidRDefault="00DC7B07" w:rsidP="00DC7B07">
      <w:pPr>
        <w:pStyle w:val="Endofdocument-Annex"/>
        <w:jc w:val="both"/>
        <w:rPr>
          <w:lang w:val="ru-RU"/>
        </w:rPr>
        <w:sectPr w:rsidR="00DC7B07" w:rsidRPr="0068488E" w:rsidSect="00E60513">
          <w:headerReference w:type="default" r:id="rId9"/>
          <w:endnotePr>
            <w:numFmt w:val="decimal"/>
          </w:endnotePr>
          <w:pgSz w:w="11907" w:h="16840" w:code="9"/>
          <w:pgMar w:top="567" w:right="1134" w:bottom="1418" w:left="1418" w:header="510" w:footer="1021" w:gutter="0"/>
          <w:cols w:space="720"/>
          <w:titlePg/>
          <w:docGrid w:linePitch="299"/>
        </w:sectPr>
      </w:pPr>
    </w:p>
    <w:p w14:paraId="0A49E326" w14:textId="77777777" w:rsidR="00DC7B07" w:rsidRPr="0068488E" w:rsidRDefault="00DC7B07" w:rsidP="00DC7B07">
      <w:pPr>
        <w:pStyle w:val="Endofdocument-Annex"/>
        <w:rPr>
          <w:lang w:val="ru-RU"/>
        </w:rPr>
        <w:sectPr w:rsidR="00DC7B07" w:rsidRPr="0068488E" w:rsidSect="00E60513">
          <w:endnotePr>
            <w:numFmt w:val="decimal"/>
          </w:endnotePr>
          <w:pgSz w:w="11907" w:h="16840" w:code="9"/>
          <w:pgMar w:top="567" w:right="1134" w:bottom="1418" w:left="1418" w:header="510" w:footer="1021" w:gutter="0"/>
          <w:cols w:space="720"/>
          <w:titlePg/>
          <w:docGrid w:linePitch="299"/>
        </w:sectPr>
      </w:pPr>
    </w:p>
    <w:p w14:paraId="4F9BE62C" w14:textId="5453E091" w:rsidR="0039415E" w:rsidRPr="0068488E" w:rsidRDefault="0068488E" w:rsidP="0039415E">
      <w:pPr>
        <w:widowControl w:val="0"/>
        <w:jc w:val="right"/>
        <w:rPr>
          <w:b/>
          <w:sz w:val="2"/>
          <w:szCs w:val="40"/>
          <w:lang w:val="en-GB"/>
        </w:rPr>
      </w:pPr>
      <w:r>
        <w:rPr>
          <w:b/>
          <w:sz w:val="40"/>
          <w:szCs w:val="40"/>
          <w:lang w:val="en-GB"/>
        </w:rPr>
        <w:lastRenderedPageBreak/>
        <w:t>R</w:t>
      </w:r>
    </w:p>
    <w:p w14:paraId="2AD9F6C2" w14:textId="1CD2D13A" w:rsidR="0039415E" w:rsidRDefault="0068488E" w:rsidP="0039415E">
      <w:pPr>
        <w:spacing w:line="360" w:lineRule="auto"/>
        <w:ind w:left="4592"/>
        <w:rPr>
          <w:rFonts w:ascii="Arial Black" w:hAnsi="Arial Black"/>
          <w:caps/>
          <w:sz w:val="15"/>
        </w:rPr>
      </w:pPr>
      <w:r>
        <w:rPr>
          <w:noProof/>
          <w:lang w:eastAsia="en-US"/>
        </w:rPr>
        <w:drawing>
          <wp:inline distT="0" distB="0" distL="0" distR="0" wp14:anchorId="4380C144" wp14:editId="0D85D792">
            <wp:extent cx="1879600" cy="1391920"/>
            <wp:effectExtent l="0" t="0" r="6350" b="0"/>
            <wp:docPr id="11" name="Рисунок 51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20" name="Рисунок 512" descr="Description: WIPO-R-BW"/>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9600" cy="1391920"/>
                    </a:xfrm>
                    <a:prstGeom prst="rect">
                      <a:avLst/>
                    </a:prstGeom>
                    <a:noFill/>
                    <a:ln>
                      <a:noFill/>
                    </a:ln>
                  </pic:spPr>
                </pic:pic>
              </a:graphicData>
            </a:graphic>
          </wp:inline>
        </w:drawing>
      </w:r>
    </w:p>
    <w:p w14:paraId="06DC42FA" w14:textId="77777777" w:rsidR="0039415E" w:rsidRPr="00D01054" w:rsidRDefault="0039415E" w:rsidP="0039415E">
      <w:pPr>
        <w:pBdr>
          <w:top w:val="single" w:sz="4" w:space="10" w:color="auto"/>
        </w:pBdr>
        <w:spacing w:before="120"/>
        <w:jc w:val="right"/>
        <w:rPr>
          <w:rFonts w:ascii="Arial Black" w:hAnsi="Arial Black"/>
          <w:b/>
          <w:caps/>
          <w:sz w:val="15"/>
          <w:lang w:val="ru-RU"/>
        </w:rPr>
      </w:pPr>
      <w:r>
        <w:rPr>
          <w:rFonts w:ascii="Arial Black" w:hAnsi="Arial Black"/>
          <w:b/>
          <w:caps/>
          <w:sz w:val="15"/>
        </w:rPr>
        <w:t>WO</w:t>
      </w:r>
      <w:r w:rsidRPr="00D01054">
        <w:rPr>
          <w:rFonts w:ascii="Arial Black" w:hAnsi="Arial Black"/>
          <w:b/>
          <w:caps/>
          <w:sz w:val="15"/>
          <w:lang w:val="ru-RU"/>
        </w:rPr>
        <w:t>/</w:t>
      </w:r>
      <w:r>
        <w:rPr>
          <w:rFonts w:ascii="Arial Black" w:hAnsi="Arial Black"/>
          <w:b/>
          <w:caps/>
          <w:sz w:val="15"/>
        </w:rPr>
        <w:t>PBC</w:t>
      </w:r>
      <w:r w:rsidRPr="00D01054">
        <w:rPr>
          <w:rFonts w:ascii="Arial Black" w:hAnsi="Arial Black"/>
          <w:b/>
          <w:caps/>
          <w:sz w:val="15"/>
          <w:lang w:val="ru-RU"/>
        </w:rPr>
        <w:t>/31/4</w:t>
      </w:r>
    </w:p>
    <w:p w14:paraId="4B0223C5" w14:textId="2AE842F3" w:rsidR="0039415E" w:rsidRPr="0068488E" w:rsidRDefault="0068488E" w:rsidP="0039415E">
      <w:pPr>
        <w:jc w:val="right"/>
        <w:rPr>
          <w:rFonts w:ascii="Arial Black" w:hAnsi="Arial Black"/>
          <w:b/>
          <w:caps/>
          <w:sz w:val="15"/>
          <w:lang w:val="ru-RU"/>
        </w:rPr>
      </w:pPr>
      <w:r>
        <w:rPr>
          <w:rFonts w:ascii="Arial Black" w:hAnsi="Arial Black"/>
          <w:b/>
          <w:caps/>
          <w:sz w:val="15"/>
          <w:lang w:val="ru-RU"/>
        </w:rPr>
        <w:t>оригинал</w:t>
      </w:r>
      <w:r w:rsidR="0039415E" w:rsidRPr="0068488E">
        <w:rPr>
          <w:rFonts w:ascii="Arial Black" w:hAnsi="Arial Black"/>
          <w:b/>
          <w:caps/>
          <w:sz w:val="15"/>
          <w:lang w:val="ru-RU"/>
        </w:rPr>
        <w:t xml:space="preserve">: </w:t>
      </w:r>
      <w:r w:rsidR="00BB5A5A" w:rsidRPr="0068488E">
        <w:rPr>
          <w:rFonts w:ascii="Arial Black" w:hAnsi="Arial Black"/>
          <w:b/>
          <w:caps/>
          <w:sz w:val="15"/>
          <w:lang w:val="ru-RU"/>
        </w:rPr>
        <w:t xml:space="preserve"> </w:t>
      </w:r>
      <w:r>
        <w:rPr>
          <w:rFonts w:ascii="Arial Black" w:hAnsi="Arial Black"/>
          <w:b/>
          <w:caps/>
          <w:sz w:val="15"/>
          <w:lang w:val="ru-RU"/>
        </w:rPr>
        <w:t>английский</w:t>
      </w:r>
    </w:p>
    <w:p w14:paraId="2C232A30" w14:textId="454C1ED6" w:rsidR="0039415E" w:rsidRPr="0068488E" w:rsidRDefault="0068488E" w:rsidP="0039415E">
      <w:pPr>
        <w:spacing w:line="1680" w:lineRule="auto"/>
        <w:jc w:val="right"/>
        <w:rPr>
          <w:rFonts w:ascii="Arial Black" w:hAnsi="Arial Black"/>
          <w:b/>
          <w:caps/>
          <w:sz w:val="15"/>
          <w:lang w:val="ru-RU"/>
        </w:rPr>
      </w:pPr>
      <w:r>
        <w:rPr>
          <w:rFonts w:ascii="Arial Black" w:hAnsi="Arial Black"/>
          <w:b/>
          <w:caps/>
          <w:sz w:val="15"/>
          <w:lang w:val="ru-RU"/>
        </w:rPr>
        <w:t>дата</w:t>
      </w:r>
      <w:r w:rsidR="0039415E" w:rsidRPr="0068488E">
        <w:rPr>
          <w:rFonts w:ascii="Arial Black" w:hAnsi="Arial Black"/>
          <w:b/>
          <w:caps/>
          <w:sz w:val="15"/>
          <w:lang w:val="ru-RU"/>
        </w:rPr>
        <w:t>:</w:t>
      </w:r>
      <w:r w:rsidR="00BB5A5A" w:rsidRPr="0068488E">
        <w:rPr>
          <w:rFonts w:ascii="Arial Black" w:hAnsi="Arial Black"/>
          <w:b/>
          <w:caps/>
          <w:sz w:val="15"/>
          <w:lang w:val="ru-RU"/>
        </w:rPr>
        <w:t xml:space="preserve"> </w:t>
      </w:r>
      <w:r w:rsidR="0039415E" w:rsidRPr="0068488E">
        <w:rPr>
          <w:rFonts w:ascii="Arial Black" w:hAnsi="Arial Black"/>
          <w:b/>
          <w:caps/>
          <w:sz w:val="15"/>
          <w:lang w:val="ru-RU"/>
        </w:rPr>
        <w:t xml:space="preserve"> </w:t>
      </w:r>
      <w:r w:rsidR="00CE0303">
        <w:rPr>
          <w:rFonts w:ascii="Arial Black" w:hAnsi="Arial Black"/>
          <w:b/>
          <w:caps/>
          <w:sz w:val="15"/>
          <w:lang w:val="ru-RU"/>
        </w:rPr>
        <w:t>19 июня</w:t>
      </w:r>
      <w:r w:rsidR="0039415E" w:rsidRPr="0068488E">
        <w:rPr>
          <w:rFonts w:ascii="Arial Black" w:hAnsi="Arial Black"/>
          <w:b/>
          <w:caps/>
          <w:sz w:val="15"/>
          <w:lang w:val="ru-RU"/>
        </w:rPr>
        <w:t xml:space="preserve"> 2020</w:t>
      </w:r>
      <w:r>
        <w:rPr>
          <w:rFonts w:ascii="Arial Black" w:hAnsi="Arial Black"/>
          <w:b/>
          <w:caps/>
          <w:sz w:val="15"/>
          <w:lang w:val="ru-RU"/>
        </w:rPr>
        <w:t xml:space="preserve"> г.</w:t>
      </w:r>
    </w:p>
    <w:p w14:paraId="5C16434F" w14:textId="5D744F05" w:rsidR="0039415E" w:rsidRPr="0068488E" w:rsidRDefault="0068488E" w:rsidP="0039415E">
      <w:pPr>
        <w:spacing w:before="1000" w:after="600"/>
        <w:rPr>
          <w:b/>
          <w:sz w:val="28"/>
          <w:szCs w:val="28"/>
          <w:lang w:val="ru-RU"/>
        </w:rPr>
      </w:pPr>
      <w:r>
        <w:rPr>
          <w:b/>
          <w:sz w:val="28"/>
          <w:szCs w:val="28"/>
          <w:lang w:val="ru-RU"/>
        </w:rPr>
        <w:t xml:space="preserve">Комитет по программе и бюджету </w:t>
      </w:r>
    </w:p>
    <w:p w14:paraId="5D211FAA" w14:textId="383562C9" w:rsidR="0039415E" w:rsidRPr="0068488E" w:rsidRDefault="0068488E" w:rsidP="0039415E">
      <w:pPr>
        <w:rPr>
          <w:b/>
          <w:sz w:val="24"/>
          <w:lang w:val="ru-RU"/>
        </w:rPr>
      </w:pPr>
      <w:r>
        <w:rPr>
          <w:b/>
          <w:sz w:val="24"/>
          <w:lang w:val="ru-RU"/>
        </w:rPr>
        <w:t>Тридцать первая сессия</w:t>
      </w:r>
    </w:p>
    <w:p w14:paraId="5AC8A129" w14:textId="6642C43E" w:rsidR="0039415E" w:rsidRPr="0068488E" w:rsidRDefault="0068488E" w:rsidP="0039415E">
      <w:pPr>
        <w:spacing w:after="720"/>
        <w:rPr>
          <w:b/>
          <w:sz w:val="24"/>
          <w:lang w:val="ru-RU"/>
        </w:rPr>
      </w:pPr>
      <w:r>
        <w:rPr>
          <w:b/>
          <w:sz w:val="24"/>
          <w:lang w:val="ru-RU"/>
        </w:rPr>
        <w:t xml:space="preserve">Женева, </w:t>
      </w:r>
      <w:r w:rsidR="009C27E1">
        <w:rPr>
          <w:b/>
          <w:sz w:val="24"/>
          <w:lang w:val="ru-RU"/>
        </w:rPr>
        <w:t>7</w:t>
      </w:r>
      <w:r>
        <w:rPr>
          <w:b/>
          <w:sz w:val="24"/>
          <w:lang w:val="ru-RU"/>
        </w:rPr>
        <w:t xml:space="preserve">-11 сентября 2020 г. </w:t>
      </w:r>
    </w:p>
    <w:p w14:paraId="5DDB8B04" w14:textId="0DEAEB94" w:rsidR="0039415E" w:rsidRPr="0068488E" w:rsidRDefault="0068488E" w:rsidP="0039415E">
      <w:pPr>
        <w:spacing w:after="360"/>
        <w:rPr>
          <w:sz w:val="24"/>
          <w:lang w:val="ru-RU"/>
        </w:rPr>
      </w:pPr>
      <w:r w:rsidRPr="0068488E">
        <w:rPr>
          <w:sz w:val="24"/>
          <w:lang w:val="ru-RU"/>
        </w:rPr>
        <w:t>ГОДОВОЙ ОТЧЕТ ДИРЕКТОРА ОТДЕЛА ВНУТРЕННЕГО НАДЗОРА (ОВН)</w:t>
      </w:r>
    </w:p>
    <w:p w14:paraId="4A711296" w14:textId="04321A20" w:rsidR="0039415E" w:rsidRDefault="0068488E" w:rsidP="0039415E">
      <w:pPr>
        <w:spacing w:after="960"/>
        <w:rPr>
          <w:i/>
          <w:sz w:val="24"/>
        </w:rPr>
      </w:pPr>
      <w:r>
        <w:rPr>
          <w:i/>
          <w:sz w:val="24"/>
          <w:lang w:val="ru-RU"/>
        </w:rPr>
        <w:t xml:space="preserve">подготовлен Секретариатом </w:t>
      </w:r>
      <w:bookmarkStart w:id="7" w:name="Prepared"/>
      <w:bookmarkEnd w:id="7"/>
    </w:p>
    <w:p w14:paraId="6EE2E12D" w14:textId="6D09FC86" w:rsidR="0039415E" w:rsidRPr="0068488E" w:rsidRDefault="0068488E" w:rsidP="002C23BF">
      <w:pPr>
        <w:pStyle w:val="ONUME"/>
        <w:numPr>
          <w:ilvl w:val="0"/>
          <w:numId w:val="5"/>
        </w:numPr>
        <w:rPr>
          <w:lang w:val="ru-RU"/>
        </w:rPr>
      </w:pPr>
      <w:r w:rsidRPr="0068488E">
        <w:rPr>
          <w:lang w:val="ru-RU"/>
        </w:rPr>
        <w:t>В соответствии с пунктом 47 Устава внутреннего надзора (УВН) директор Отдела внутреннего надзора (ОВН) ежегодно представляет Генеральной Ассамблее ВОИС через Комитет по программе и бюджету (КПБ) сводный отчет. В настоящем отчете содержится общий обзор деятельности по внутреннему надзору, проведенной в течение отчетного периода с 1 июля 201</w:t>
      </w:r>
      <w:r w:rsidR="00EF06A7">
        <w:rPr>
          <w:lang w:val="ru-RU"/>
        </w:rPr>
        <w:t>9</w:t>
      </w:r>
      <w:r w:rsidRPr="0068488E">
        <w:rPr>
          <w:lang w:val="ru-RU"/>
        </w:rPr>
        <w:t> г. по 3</w:t>
      </w:r>
      <w:r w:rsidR="00EF06A7">
        <w:rPr>
          <w:lang w:val="ru-RU"/>
        </w:rPr>
        <w:t>1</w:t>
      </w:r>
      <w:r w:rsidRPr="0068488E">
        <w:rPr>
          <w:lang w:val="ru-RU"/>
        </w:rPr>
        <w:t> </w:t>
      </w:r>
      <w:r w:rsidR="00EF06A7">
        <w:rPr>
          <w:lang w:val="ru-RU"/>
        </w:rPr>
        <w:t xml:space="preserve">декабря </w:t>
      </w:r>
      <w:r w:rsidRPr="0068488E">
        <w:rPr>
          <w:lang w:val="ru-RU"/>
        </w:rPr>
        <w:t>2019 г.</w:t>
      </w:r>
      <w:r w:rsidR="00EF06A7">
        <w:rPr>
          <w:lang w:val="ru-RU"/>
        </w:rPr>
        <w:t xml:space="preserve">, поскольку </w:t>
      </w:r>
      <w:r w:rsidR="00A61AD6">
        <w:rPr>
          <w:lang w:val="ru-RU"/>
        </w:rPr>
        <w:t>по</w:t>
      </w:r>
      <w:r w:rsidR="00EF06A7">
        <w:rPr>
          <w:lang w:val="ru-RU"/>
        </w:rPr>
        <w:t xml:space="preserve"> рекомендации внешних аудиторов отчетный период был изменен с июля-июня на январь-декабрь каждого года.  </w:t>
      </w:r>
    </w:p>
    <w:p w14:paraId="10E56FA4" w14:textId="604DAE79" w:rsidR="0039415E" w:rsidRPr="00136900" w:rsidRDefault="00EF06A7" w:rsidP="002C23BF">
      <w:pPr>
        <w:pStyle w:val="ONUME"/>
        <w:numPr>
          <w:ilvl w:val="0"/>
          <w:numId w:val="4"/>
        </w:numPr>
        <w:rPr>
          <w:i/>
        </w:rPr>
      </w:pPr>
      <w:r>
        <w:rPr>
          <w:lang w:val="ru-RU"/>
        </w:rPr>
        <w:t>Предлагается</w:t>
      </w:r>
      <w:r w:rsidRPr="00EF06A7">
        <w:t xml:space="preserve"> </w:t>
      </w:r>
      <w:r>
        <w:rPr>
          <w:lang w:val="ru-RU"/>
        </w:rPr>
        <w:t>следующий</w:t>
      </w:r>
      <w:r w:rsidRPr="00EF06A7">
        <w:t xml:space="preserve"> </w:t>
      </w:r>
      <w:r>
        <w:rPr>
          <w:lang w:val="ru-RU"/>
        </w:rPr>
        <w:t>пункт</w:t>
      </w:r>
      <w:r w:rsidRPr="00EF06A7">
        <w:t xml:space="preserve"> </w:t>
      </w:r>
      <w:r>
        <w:rPr>
          <w:lang w:val="ru-RU"/>
        </w:rPr>
        <w:t>решения</w:t>
      </w:r>
      <w:r w:rsidRPr="00EF06A7">
        <w:t xml:space="preserve">. </w:t>
      </w:r>
    </w:p>
    <w:p w14:paraId="4CF89675" w14:textId="253D610F" w:rsidR="0039415E" w:rsidRPr="00F504CE" w:rsidRDefault="0039415E" w:rsidP="0047206B">
      <w:pPr>
        <w:spacing w:after="220"/>
        <w:ind w:left="5533"/>
        <w:rPr>
          <w:i/>
          <w:lang w:val="ru-RU"/>
        </w:rPr>
      </w:pPr>
      <w:r w:rsidRPr="00EF06A7">
        <w:rPr>
          <w:i/>
          <w:lang w:val="ru-RU"/>
        </w:rPr>
        <w:t>3.</w:t>
      </w:r>
      <w:r w:rsidRPr="00EF06A7">
        <w:rPr>
          <w:i/>
          <w:lang w:val="ru-RU"/>
        </w:rPr>
        <w:tab/>
      </w:r>
      <w:r w:rsidR="00EF06A7" w:rsidRPr="00EF06A7">
        <w:rPr>
          <w:i/>
          <w:lang w:val="ru-RU"/>
        </w:rPr>
        <w:t xml:space="preserve">Комитет по программе и бюджету (КПБ) принял к сведению </w:t>
      </w:r>
      <w:r w:rsidR="00EF06A7">
        <w:rPr>
          <w:i/>
          <w:lang w:val="ru-RU"/>
        </w:rPr>
        <w:t>«</w:t>
      </w:r>
      <w:r w:rsidR="00EF06A7" w:rsidRPr="00EF06A7">
        <w:rPr>
          <w:i/>
          <w:lang w:val="ru-RU"/>
        </w:rPr>
        <w:t>Годовой отчет директора Отдела внутреннего надзора</w:t>
      </w:r>
      <w:r w:rsidR="00EA7AA8">
        <w:rPr>
          <w:i/>
          <w:lang w:val="ru-RU"/>
        </w:rPr>
        <w:t>»</w:t>
      </w:r>
      <w:r w:rsidR="00EF06A7" w:rsidRPr="00EF06A7">
        <w:rPr>
          <w:i/>
          <w:lang w:val="ru-RU"/>
        </w:rPr>
        <w:t xml:space="preserve"> (ОВН) (документ </w:t>
      </w:r>
      <w:r w:rsidR="00EF06A7" w:rsidRPr="00EF06A7">
        <w:rPr>
          <w:i/>
        </w:rPr>
        <w:t>WO</w:t>
      </w:r>
      <w:r w:rsidR="00EF06A7" w:rsidRPr="00EF06A7">
        <w:rPr>
          <w:i/>
          <w:lang w:val="ru-RU"/>
        </w:rPr>
        <w:t>/</w:t>
      </w:r>
      <w:r w:rsidR="00EF06A7" w:rsidRPr="00EF06A7">
        <w:rPr>
          <w:i/>
        </w:rPr>
        <w:t>PBC</w:t>
      </w:r>
      <w:r w:rsidR="00EF06A7" w:rsidRPr="00EF06A7">
        <w:rPr>
          <w:i/>
          <w:lang w:val="ru-RU"/>
        </w:rPr>
        <w:t>/3</w:t>
      </w:r>
      <w:r w:rsidR="00771DA7">
        <w:rPr>
          <w:i/>
          <w:lang w:val="ru-RU"/>
        </w:rPr>
        <w:t>1</w:t>
      </w:r>
      <w:r w:rsidR="00EF06A7" w:rsidRPr="00EF06A7">
        <w:rPr>
          <w:i/>
          <w:lang w:val="ru-RU"/>
        </w:rPr>
        <w:t>/</w:t>
      </w:r>
      <w:r w:rsidR="00771DA7">
        <w:rPr>
          <w:i/>
          <w:lang w:val="ru-RU"/>
        </w:rPr>
        <w:t>4</w:t>
      </w:r>
      <w:r w:rsidR="00EF06A7" w:rsidRPr="00EF06A7">
        <w:rPr>
          <w:i/>
          <w:lang w:val="ru-RU"/>
        </w:rPr>
        <w:t xml:space="preserve">). </w:t>
      </w:r>
    </w:p>
    <w:p w14:paraId="77B0E2F6" w14:textId="6B72AA7F" w:rsidR="0039415E" w:rsidRPr="00771DA7" w:rsidRDefault="0039415E" w:rsidP="0039415E">
      <w:pPr>
        <w:ind w:left="5534"/>
        <w:rPr>
          <w:lang w:val="ru-RU"/>
        </w:rPr>
        <w:sectPr w:rsidR="0039415E" w:rsidRPr="00771DA7" w:rsidSect="00E60513">
          <w:endnotePr>
            <w:numFmt w:val="decimal"/>
          </w:endnotePr>
          <w:pgSz w:w="11907" w:h="16840" w:code="9"/>
          <w:pgMar w:top="567" w:right="1134" w:bottom="1418" w:left="1418" w:header="510" w:footer="1021" w:gutter="0"/>
          <w:pgNumType w:start="2"/>
          <w:cols w:space="720"/>
          <w:titlePg/>
          <w:docGrid w:linePitch="299"/>
        </w:sectPr>
      </w:pPr>
      <w:r w:rsidRPr="00771DA7">
        <w:rPr>
          <w:lang w:val="ru-RU"/>
        </w:rPr>
        <w:t>[</w:t>
      </w:r>
      <w:r w:rsidR="00771DA7">
        <w:rPr>
          <w:lang w:val="ru-RU"/>
        </w:rPr>
        <w:t>Годовой</w:t>
      </w:r>
      <w:r w:rsidR="00771DA7" w:rsidRPr="00771DA7">
        <w:rPr>
          <w:lang w:val="ru-RU"/>
        </w:rPr>
        <w:t xml:space="preserve"> </w:t>
      </w:r>
      <w:r w:rsidR="00771DA7">
        <w:rPr>
          <w:lang w:val="ru-RU"/>
        </w:rPr>
        <w:t>отчет</w:t>
      </w:r>
      <w:r w:rsidR="00771DA7" w:rsidRPr="00771DA7">
        <w:rPr>
          <w:lang w:val="ru-RU"/>
        </w:rPr>
        <w:t xml:space="preserve"> </w:t>
      </w:r>
      <w:r w:rsidR="00771DA7">
        <w:rPr>
          <w:lang w:val="ru-RU"/>
        </w:rPr>
        <w:t>Директора</w:t>
      </w:r>
      <w:r w:rsidR="00771DA7" w:rsidRPr="00771DA7">
        <w:rPr>
          <w:lang w:val="ru-RU"/>
        </w:rPr>
        <w:t xml:space="preserve"> </w:t>
      </w:r>
      <w:r w:rsidR="00771DA7">
        <w:rPr>
          <w:lang w:val="ru-RU"/>
        </w:rPr>
        <w:t>ОВН</w:t>
      </w:r>
      <w:r w:rsidR="00771DA7" w:rsidRPr="00771DA7">
        <w:rPr>
          <w:lang w:val="ru-RU"/>
        </w:rPr>
        <w:t xml:space="preserve"> </w:t>
      </w:r>
      <w:r w:rsidR="00771DA7">
        <w:rPr>
          <w:lang w:val="ru-RU"/>
        </w:rPr>
        <w:t>следует</w:t>
      </w:r>
      <w:r w:rsidRPr="00771DA7">
        <w:rPr>
          <w:lang w:val="ru-RU"/>
        </w:rPr>
        <w:t>]</w:t>
      </w:r>
    </w:p>
    <w:p w14:paraId="4DF3BC67" w14:textId="3AAB34A1" w:rsidR="00C46B12" w:rsidRPr="00771DA7" w:rsidRDefault="00771DA7" w:rsidP="00C46B12">
      <w:pPr>
        <w:jc w:val="center"/>
        <w:rPr>
          <w:b/>
          <w:lang w:val="ru-RU"/>
        </w:rPr>
      </w:pPr>
      <w:r>
        <w:rPr>
          <w:b/>
          <w:lang w:val="ru-RU"/>
        </w:rPr>
        <w:lastRenderedPageBreak/>
        <w:t>ГОДОВОЙ</w:t>
      </w:r>
      <w:r w:rsidRPr="00771DA7">
        <w:rPr>
          <w:b/>
          <w:lang w:val="ru-RU"/>
        </w:rPr>
        <w:t xml:space="preserve"> </w:t>
      </w:r>
      <w:r>
        <w:rPr>
          <w:b/>
          <w:lang w:val="ru-RU"/>
        </w:rPr>
        <w:t>ОТЧЕТ</w:t>
      </w:r>
      <w:r w:rsidRPr="00771DA7">
        <w:rPr>
          <w:b/>
          <w:lang w:val="ru-RU"/>
        </w:rPr>
        <w:t xml:space="preserve"> </w:t>
      </w:r>
      <w:r>
        <w:rPr>
          <w:b/>
          <w:lang w:val="ru-RU"/>
        </w:rPr>
        <w:t>ДИРЕКТОРА</w:t>
      </w:r>
      <w:r w:rsidRPr="00771DA7">
        <w:rPr>
          <w:b/>
          <w:lang w:val="ru-RU"/>
        </w:rPr>
        <w:t xml:space="preserve"> </w:t>
      </w:r>
      <w:r>
        <w:rPr>
          <w:b/>
          <w:lang w:val="ru-RU"/>
        </w:rPr>
        <w:t>ОТДЕЛА</w:t>
      </w:r>
      <w:r w:rsidRPr="00771DA7">
        <w:rPr>
          <w:b/>
          <w:lang w:val="ru-RU"/>
        </w:rPr>
        <w:t xml:space="preserve"> </w:t>
      </w:r>
      <w:r>
        <w:rPr>
          <w:b/>
          <w:lang w:val="ru-RU"/>
        </w:rPr>
        <w:t>ВНУТРЕННЕГО</w:t>
      </w:r>
      <w:r w:rsidRPr="00771DA7">
        <w:rPr>
          <w:b/>
          <w:lang w:val="ru-RU"/>
        </w:rPr>
        <w:t xml:space="preserve"> </w:t>
      </w:r>
      <w:r>
        <w:rPr>
          <w:b/>
          <w:lang w:val="ru-RU"/>
        </w:rPr>
        <w:t>НАДЗОРА</w:t>
      </w:r>
      <w:r w:rsidRPr="00771DA7">
        <w:rPr>
          <w:b/>
          <w:lang w:val="ru-RU"/>
        </w:rPr>
        <w:t xml:space="preserve"> </w:t>
      </w:r>
    </w:p>
    <w:p w14:paraId="1A8F8D9E" w14:textId="77777777" w:rsidR="00C46B12" w:rsidRPr="00771DA7" w:rsidRDefault="00C46B12" w:rsidP="00C46B12">
      <w:pPr>
        <w:keepLines/>
        <w:rPr>
          <w:lang w:val="ru-RU"/>
        </w:rPr>
      </w:pPr>
    </w:p>
    <w:p w14:paraId="1038A3D8" w14:textId="76E37C26" w:rsidR="00C46B12" w:rsidRPr="00D01054" w:rsidRDefault="00771DA7" w:rsidP="00046C7F">
      <w:pPr>
        <w:keepLines/>
        <w:spacing w:after="720"/>
        <w:jc w:val="center"/>
        <w:rPr>
          <w:lang w:val="ru-RU"/>
        </w:rPr>
      </w:pPr>
      <w:r w:rsidRPr="00D01054">
        <w:rPr>
          <w:lang w:val="ru-RU"/>
        </w:rPr>
        <w:t>1</w:t>
      </w:r>
      <w:r w:rsidRPr="00771DA7">
        <w:t> </w:t>
      </w:r>
      <w:r w:rsidRPr="00771DA7">
        <w:rPr>
          <w:lang w:val="ru-RU"/>
        </w:rPr>
        <w:t>июля</w:t>
      </w:r>
      <w:r w:rsidRPr="00D01054">
        <w:rPr>
          <w:lang w:val="ru-RU"/>
        </w:rPr>
        <w:t xml:space="preserve"> 2019</w:t>
      </w:r>
      <w:r w:rsidRPr="00771DA7">
        <w:t> </w:t>
      </w:r>
      <w:r w:rsidRPr="00771DA7">
        <w:rPr>
          <w:lang w:val="ru-RU"/>
        </w:rPr>
        <w:t>г</w:t>
      </w:r>
      <w:r w:rsidRPr="00D01054">
        <w:rPr>
          <w:lang w:val="ru-RU"/>
        </w:rPr>
        <w:t>.</w:t>
      </w:r>
      <w:r>
        <w:rPr>
          <w:lang w:val="ru-RU"/>
        </w:rPr>
        <w:t xml:space="preserve"> </w:t>
      </w:r>
      <w:r w:rsidRPr="00D01054">
        <w:rPr>
          <w:lang w:val="ru-RU"/>
        </w:rPr>
        <w:t>— 31</w:t>
      </w:r>
      <w:r w:rsidRPr="00771DA7">
        <w:t> </w:t>
      </w:r>
      <w:r>
        <w:rPr>
          <w:lang w:val="ru-RU"/>
        </w:rPr>
        <w:t>декабря</w:t>
      </w:r>
      <w:r w:rsidRPr="00D01054">
        <w:rPr>
          <w:lang w:val="ru-RU"/>
        </w:rPr>
        <w:t xml:space="preserve"> 2019</w:t>
      </w:r>
      <w:r w:rsidRPr="00771DA7">
        <w:t> </w:t>
      </w:r>
      <w:r w:rsidRPr="00771DA7">
        <w:rPr>
          <w:lang w:val="ru-RU"/>
        </w:rPr>
        <w:t>г</w:t>
      </w:r>
      <w:r w:rsidRPr="00D01054">
        <w:rPr>
          <w:lang w:val="ru-RU"/>
        </w:rPr>
        <w:t xml:space="preserve">. </w:t>
      </w:r>
    </w:p>
    <w:p w14:paraId="4202F2A6" w14:textId="2DBCE5DC" w:rsidR="00C46B12" w:rsidRPr="00D01054" w:rsidRDefault="00771DA7" w:rsidP="00C46B12">
      <w:pPr>
        <w:jc w:val="center"/>
        <w:rPr>
          <w:b/>
          <w:lang w:val="ru-RU"/>
        </w:rPr>
      </w:pPr>
      <w:r>
        <w:rPr>
          <w:b/>
          <w:lang w:val="ru-RU"/>
        </w:rPr>
        <w:t>СОДЕРЖАНИЕ</w:t>
      </w:r>
    </w:p>
    <w:p w14:paraId="5F99A61B" w14:textId="586B3DB3" w:rsidR="00256FF6" w:rsidRPr="00D01054" w:rsidRDefault="00256FF6" w:rsidP="00C46B12">
      <w:pPr>
        <w:keepLines/>
        <w:rPr>
          <w:lang w:val="ru-RU"/>
        </w:rPr>
      </w:pPr>
    </w:p>
    <w:p w14:paraId="0A10C370" w14:textId="5A95AC15" w:rsidR="00A61AD6" w:rsidRDefault="00A61AD6">
      <w:pPr>
        <w:pStyle w:val="TOC1"/>
        <w:rPr>
          <w:rFonts w:asciiTheme="minorHAnsi" w:eastAsiaTheme="minorEastAsia" w:hAnsiTheme="minorHAnsi" w:cstheme="minorBidi"/>
          <w:noProof/>
          <w:szCs w:val="22"/>
          <w:lang w:eastAsia="en-US"/>
        </w:rPr>
      </w:pPr>
      <w:r>
        <w:fldChar w:fldCharType="begin"/>
      </w:r>
      <w:r w:rsidRPr="00D01054">
        <w:rPr>
          <w:lang w:val="ru-RU"/>
        </w:rPr>
        <w:instrText xml:space="preserve"> </w:instrText>
      </w:r>
      <w:r>
        <w:instrText>TOC</w:instrText>
      </w:r>
      <w:r w:rsidRPr="00D01054">
        <w:rPr>
          <w:lang w:val="ru-RU"/>
        </w:rPr>
        <w:instrText xml:space="preserve"> \</w:instrText>
      </w:r>
      <w:r>
        <w:instrText>o</w:instrText>
      </w:r>
      <w:r w:rsidRPr="00D01054">
        <w:rPr>
          <w:lang w:val="ru-RU"/>
        </w:rPr>
        <w:instrText xml:space="preserve"> \</w:instrText>
      </w:r>
      <w:r>
        <w:instrText>h</w:instrText>
      </w:r>
      <w:r w:rsidRPr="00D01054">
        <w:rPr>
          <w:lang w:val="ru-RU"/>
        </w:rPr>
        <w:instrText xml:space="preserve"> \</w:instrText>
      </w:r>
      <w:r>
        <w:instrText>z</w:instrText>
      </w:r>
      <w:r w:rsidRPr="00D01054">
        <w:rPr>
          <w:lang w:val="ru-RU"/>
        </w:rPr>
        <w:instrText xml:space="preserve"> </w:instrText>
      </w:r>
      <w:r>
        <w:fldChar w:fldCharType="separate"/>
      </w:r>
      <w:hyperlink w:anchor="_Toc40299718" w:history="1">
        <w:r w:rsidRPr="00DE238E">
          <w:rPr>
            <w:rStyle w:val="Hyperlink"/>
            <w:noProof/>
            <w:lang w:val="ru-RU"/>
          </w:rPr>
          <w:t>СПИСОК СОКРАЩЕНИЙ</w:t>
        </w:r>
        <w:r>
          <w:rPr>
            <w:noProof/>
            <w:webHidden/>
          </w:rPr>
          <w:tab/>
        </w:r>
        <w:r w:rsidR="00D67501">
          <w:rPr>
            <w:noProof/>
            <w:webHidden/>
            <w:lang w:val="ru-RU"/>
          </w:rPr>
          <w:t>3</w:t>
        </w:r>
      </w:hyperlink>
    </w:p>
    <w:p w14:paraId="40264D2B" w14:textId="3AF7819D" w:rsidR="00A61AD6" w:rsidRDefault="00D3276F">
      <w:pPr>
        <w:pStyle w:val="TOC1"/>
        <w:rPr>
          <w:rFonts w:asciiTheme="minorHAnsi" w:eastAsiaTheme="minorEastAsia" w:hAnsiTheme="minorHAnsi" w:cstheme="minorBidi"/>
          <w:noProof/>
          <w:szCs w:val="22"/>
          <w:lang w:eastAsia="en-US"/>
        </w:rPr>
      </w:pPr>
      <w:hyperlink w:anchor="_Toc40299719" w:history="1">
        <w:r w:rsidR="00A61AD6" w:rsidRPr="00DE238E">
          <w:rPr>
            <w:rStyle w:val="Hyperlink"/>
            <w:noProof/>
            <w:lang w:val="ru-RU"/>
          </w:rPr>
          <w:t>СПРАВОЧНАЯ ИНФОРМАЦИЯ</w:t>
        </w:r>
        <w:r w:rsidR="00A61AD6">
          <w:rPr>
            <w:noProof/>
            <w:webHidden/>
          </w:rPr>
          <w:tab/>
        </w:r>
        <w:r w:rsidR="00D67501">
          <w:rPr>
            <w:noProof/>
            <w:webHidden/>
            <w:lang w:val="ru-RU"/>
          </w:rPr>
          <w:t>4</w:t>
        </w:r>
      </w:hyperlink>
    </w:p>
    <w:p w14:paraId="186B4E47" w14:textId="443431A9" w:rsidR="00A61AD6" w:rsidRDefault="00D3276F">
      <w:pPr>
        <w:pStyle w:val="TOC1"/>
        <w:rPr>
          <w:rFonts w:asciiTheme="minorHAnsi" w:eastAsiaTheme="minorEastAsia" w:hAnsiTheme="minorHAnsi" w:cstheme="minorBidi"/>
          <w:noProof/>
          <w:szCs w:val="22"/>
          <w:lang w:eastAsia="en-US"/>
        </w:rPr>
      </w:pPr>
      <w:hyperlink w:anchor="_Toc40299720" w:history="1">
        <w:r w:rsidR="00A61AD6" w:rsidRPr="00DE238E">
          <w:rPr>
            <w:rStyle w:val="Hyperlink"/>
            <w:noProof/>
            <w:lang w:val="ru-RU"/>
          </w:rPr>
          <w:t>НЕКОТОРЫЕ КЛЮЧЕВЫЕ МОМЕНТЫ РАССМАТРИВАЕМОГО ПЕРИОДА</w:t>
        </w:r>
        <w:r w:rsidR="00A61AD6">
          <w:rPr>
            <w:noProof/>
            <w:webHidden/>
          </w:rPr>
          <w:tab/>
        </w:r>
        <w:r w:rsidR="00D67501">
          <w:rPr>
            <w:noProof/>
            <w:webHidden/>
            <w:lang w:val="ru-RU"/>
          </w:rPr>
          <w:t>4</w:t>
        </w:r>
      </w:hyperlink>
    </w:p>
    <w:p w14:paraId="67A6C398" w14:textId="21620121" w:rsidR="00A61AD6" w:rsidRDefault="00D3276F">
      <w:pPr>
        <w:pStyle w:val="TOC1"/>
        <w:rPr>
          <w:rFonts w:asciiTheme="minorHAnsi" w:eastAsiaTheme="minorEastAsia" w:hAnsiTheme="minorHAnsi" w:cstheme="minorBidi"/>
          <w:noProof/>
          <w:szCs w:val="22"/>
          <w:lang w:eastAsia="en-US"/>
        </w:rPr>
      </w:pPr>
      <w:hyperlink w:anchor="_Toc40299721" w:history="1">
        <w:r w:rsidR="00A61AD6" w:rsidRPr="00DE238E">
          <w:rPr>
            <w:rStyle w:val="Hyperlink"/>
            <w:noProof/>
            <w:lang w:val="ru-RU"/>
          </w:rPr>
          <w:t>ПРИНЦИПЫ ПЛАНИРОВАНИЯ</w:t>
        </w:r>
        <w:r w:rsidR="00A61AD6">
          <w:rPr>
            <w:noProof/>
            <w:webHidden/>
          </w:rPr>
          <w:tab/>
        </w:r>
        <w:r w:rsidR="00D67501">
          <w:rPr>
            <w:noProof/>
            <w:webHidden/>
            <w:lang w:val="ru-RU"/>
          </w:rPr>
          <w:t>5</w:t>
        </w:r>
      </w:hyperlink>
    </w:p>
    <w:p w14:paraId="03AA9B34" w14:textId="4776D16D" w:rsidR="00A61AD6" w:rsidRDefault="00D3276F">
      <w:pPr>
        <w:pStyle w:val="TOC1"/>
        <w:rPr>
          <w:noProof/>
        </w:rPr>
      </w:pPr>
      <w:hyperlink w:anchor="_Toc40299722" w:history="1">
        <w:r w:rsidR="00A61AD6" w:rsidRPr="00DE238E">
          <w:rPr>
            <w:rStyle w:val="Hyperlink"/>
            <w:noProof/>
            <w:lang w:val="ru-RU"/>
          </w:rPr>
          <w:t>ПРОФЕССИОНАЛЬНЫЕ СТАНДАРТЫ</w:t>
        </w:r>
        <w:r w:rsidR="00A61AD6">
          <w:rPr>
            <w:noProof/>
            <w:webHidden/>
          </w:rPr>
          <w:tab/>
        </w:r>
        <w:r w:rsidR="00A61AD6">
          <w:rPr>
            <w:noProof/>
            <w:webHidden/>
          </w:rPr>
          <w:fldChar w:fldCharType="begin"/>
        </w:r>
        <w:r w:rsidR="00A61AD6">
          <w:rPr>
            <w:noProof/>
            <w:webHidden/>
          </w:rPr>
          <w:instrText xml:space="preserve"> PAGEREF _Toc40299722 \h </w:instrText>
        </w:r>
        <w:r w:rsidR="00A61AD6">
          <w:rPr>
            <w:noProof/>
            <w:webHidden/>
          </w:rPr>
        </w:r>
        <w:r w:rsidR="00A61AD6">
          <w:rPr>
            <w:noProof/>
            <w:webHidden/>
          </w:rPr>
          <w:fldChar w:fldCharType="separate"/>
        </w:r>
        <w:r w:rsidR="009C27E1">
          <w:rPr>
            <w:noProof/>
            <w:webHidden/>
          </w:rPr>
          <w:t>6</w:t>
        </w:r>
        <w:r w:rsidR="00A61AD6">
          <w:rPr>
            <w:noProof/>
            <w:webHidden/>
          </w:rPr>
          <w:fldChar w:fldCharType="end"/>
        </w:r>
      </w:hyperlink>
    </w:p>
    <w:p w14:paraId="0E082DDA" w14:textId="455EAFED" w:rsidR="00256FF6" w:rsidRPr="00256FF6" w:rsidRDefault="00256FF6" w:rsidP="00256FF6">
      <w:pPr>
        <w:rPr>
          <w:noProof/>
          <w:lang w:val="ru-RU"/>
        </w:rPr>
      </w:pPr>
      <w:r>
        <w:rPr>
          <w:noProof/>
          <w:lang w:val="ru-RU"/>
        </w:rPr>
        <w:t>ПРИДАНИЕ ГЕНДЕРНОЙ ПРОБЛЕМАТИКЕ МАГИСТРАЛЬНОГО ЗНАЧЕНИЯ…………...…</w:t>
      </w:r>
      <w:r w:rsidR="00D67501" w:rsidRPr="00D67501">
        <w:rPr>
          <w:noProof/>
          <w:lang w:val="ru-RU"/>
        </w:rPr>
        <w:t>6</w:t>
      </w:r>
      <w:r>
        <w:rPr>
          <w:noProof/>
          <w:lang w:val="ru-RU"/>
        </w:rPr>
        <w:t xml:space="preserve"> </w:t>
      </w:r>
    </w:p>
    <w:p w14:paraId="4310CC78" w14:textId="344D23A1" w:rsidR="00A61AD6" w:rsidRPr="00256FF6" w:rsidRDefault="00D01054">
      <w:pPr>
        <w:pStyle w:val="TOC1"/>
        <w:rPr>
          <w:rFonts w:asciiTheme="minorHAnsi" w:eastAsiaTheme="minorEastAsia" w:hAnsiTheme="minorHAnsi" w:cstheme="minorBidi"/>
          <w:noProof/>
          <w:szCs w:val="22"/>
          <w:lang w:val="ru-RU" w:eastAsia="en-US"/>
        </w:rPr>
      </w:pPr>
      <w:r>
        <w:rPr>
          <w:noProof/>
          <w:lang w:val="ru-RU"/>
        </w:rPr>
        <w:t xml:space="preserve">ОСНОВНЫЕ </w:t>
      </w:r>
      <w:hyperlink w:anchor="_Toc40299723" w:history="1">
        <w:r w:rsidR="00A61AD6" w:rsidRPr="00DE238E">
          <w:rPr>
            <w:rStyle w:val="Hyperlink"/>
            <w:noProof/>
            <w:lang w:val="ru-RU"/>
          </w:rPr>
          <w:t>В</w:t>
        </w:r>
        <w:r>
          <w:rPr>
            <w:rStyle w:val="Hyperlink"/>
            <w:noProof/>
            <w:lang w:val="ru-RU"/>
          </w:rPr>
          <w:t>ЫВОДЫ</w:t>
        </w:r>
        <w:r w:rsidR="00A61AD6" w:rsidRPr="00DE238E">
          <w:rPr>
            <w:rStyle w:val="Hyperlink"/>
            <w:noProof/>
            <w:lang w:val="ru-RU"/>
          </w:rPr>
          <w:t xml:space="preserve"> И ПРИОРИТЕТНЫЕ РЕКОМЕНДАЦИИ ПО ИТОГАМ НАДЗОРА</w:t>
        </w:r>
        <w:r w:rsidR="00A61AD6" w:rsidRPr="00256FF6">
          <w:rPr>
            <w:noProof/>
            <w:webHidden/>
            <w:lang w:val="ru-RU"/>
          </w:rPr>
          <w:tab/>
        </w:r>
        <w:r w:rsidR="00D67501" w:rsidRPr="00D67501">
          <w:rPr>
            <w:noProof/>
          </w:rPr>
          <w:t>6</w:t>
        </w:r>
      </w:hyperlink>
    </w:p>
    <w:p w14:paraId="377CC4DA" w14:textId="0E5CB9F3" w:rsidR="00A61AD6" w:rsidRDefault="00D3276F">
      <w:pPr>
        <w:pStyle w:val="TOC1"/>
        <w:rPr>
          <w:rFonts w:asciiTheme="minorHAnsi" w:eastAsiaTheme="minorEastAsia" w:hAnsiTheme="minorHAnsi" w:cstheme="minorBidi"/>
          <w:noProof/>
          <w:szCs w:val="22"/>
          <w:lang w:eastAsia="en-US"/>
        </w:rPr>
      </w:pPr>
      <w:hyperlink w:anchor="_Toc40299729" w:history="1">
        <w:r w:rsidR="00A61AD6" w:rsidRPr="00DE238E">
          <w:rPr>
            <w:rStyle w:val="Hyperlink"/>
            <w:noProof/>
            <w:lang w:val="ru-RU"/>
          </w:rPr>
          <w:t>РАССЛЕДОВАНИЯ</w:t>
        </w:r>
        <w:r w:rsidR="00A61AD6">
          <w:rPr>
            <w:noProof/>
            <w:webHidden/>
          </w:rPr>
          <w:tab/>
        </w:r>
        <w:r w:rsidR="00D67501">
          <w:rPr>
            <w:noProof/>
            <w:webHidden/>
            <w:lang w:val="ru-RU"/>
          </w:rPr>
          <w:t>12</w:t>
        </w:r>
      </w:hyperlink>
    </w:p>
    <w:p w14:paraId="7EDFE639" w14:textId="16564651" w:rsidR="00A61AD6" w:rsidRDefault="00D3276F">
      <w:pPr>
        <w:pStyle w:val="TOC1"/>
        <w:rPr>
          <w:rFonts w:asciiTheme="minorHAnsi" w:eastAsiaTheme="minorEastAsia" w:hAnsiTheme="minorHAnsi" w:cstheme="minorBidi"/>
          <w:noProof/>
          <w:szCs w:val="22"/>
          <w:lang w:eastAsia="en-US"/>
        </w:rPr>
      </w:pPr>
      <w:hyperlink w:anchor="_Toc40299732" w:history="1">
        <w:r w:rsidR="00A61AD6" w:rsidRPr="00DE238E">
          <w:rPr>
            <w:rStyle w:val="Hyperlink"/>
            <w:noProof/>
            <w:lang w:val="ru-RU"/>
          </w:rPr>
          <w:t>СЛУЧАИ ОТКАЗА В ПРЕДОСТАВЛЕНИИ ИНФОРМАЦИИ ИЛИ ОКАЗАНИИ ПОДДЕРЖКИ</w:t>
        </w:r>
        <w:r w:rsidR="00A61AD6">
          <w:rPr>
            <w:noProof/>
            <w:webHidden/>
          </w:rPr>
          <w:tab/>
        </w:r>
        <w:r w:rsidR="00D67501">
          <w:rPr>
            <w:noProof/>
            <w:webHidden/>
            <w:lang w:val="ru-RU"/>
          </w:rPr>
          <w:t>1</w:t>
        </w:r>
      </w:hyperlink>
      <w:r w:rsidR="00D67501" w:rsidRPr="00D67501">
        <w:rPr>
          <w:noProof/>
        </w:rPr>
        <w:t>6</w:t>
      </w:r>
    </w:p>
    <w:p w14:paraId="6E90189B" w14:textId="06D45D42" w:rsidR="00A61AD6" w:rsidRDefault="00D3276F">
      <w:pPr>
        <w:pStyle w:val="TOC1"/>
        <w:rPr>
          <w:rFonts w:asciiTheme="minorHAnsi" w:eastAsiaTheme="minorEastAsia" w:hAnsiTheme="minorHAnsi" w:cstheme="minorBidi"/>
          <w:noProof/>
          <w:szCs w:val="22"/>
          <w:lang w:eastAsia="en-US"/>
        </w:rPr>
      </w:pPr>
      <w:hyperlink w:anchor="_Toc40299733" w:history="1">
        <w:r w:rsidR="00A61AD6" w:rsidRPr="00DE238E">
          <w:rPr>
            <w:rStyle w:val="Hyperlink"/>
            <w:noProof/>
            <w:lang w:val="ru-RU"/>
          </w:rPr>
          <w:t>ВЫПОЛНЕНИЕ РЕКОМЕНДАЦИЙ В ОБЛАСТИ ВНУТРЕННЕГО НАДЗОРА</w:t>
        </w:r>
        <w:r w:rsidR="00A61AD6">
          <w:rPr>
            <w:noProof/>
            <w:webHidden/>
          </w:rPr>
          <w:tab/>
        </w:r>
        <w:r w:rsidR="00D67501">
          <w:rPr>
            <w:noProof/>
            <w:webHidden/>
            <w:lang w:val="ru-RU"/>
          </w:rPr>
          <w:t>1</w:t>
        </w:r>
      </w:hyperlink>
      <w:r w:rsidR="00D67501" w:rsidRPr="00D67501">
        <w:rPr>
          <w:noProof/>
        </w:rPr>
        <w:t>6</w:t>
      </w:r>
    </w:p>
    <w:p w14:paraId="290CF4E9" w14:textId="1C0A5990" w:rsidR="00A61AD6" w:rsidRDefault="00D3276F">
      <w:pPr>
        <w:pStyle w:val="TOC1"/>
        <w:rPr>
          <w:rFonts w:asciiTheme="minorHAnsi" w:eastAsiaTheme="minorEastAsia" w:hAnsiTheme="minorHAnsi" w:cstheme="minorBidi"/>
          <w:noProof/>
          <w:szCs w:val="22"/>
          <w:lang w:eastAsia="en-US"/>
        </w:rPr>
      </w:pPr>
      <w:hyperlink w:anchor="_Toc40299734" w:history="1">
        <w:r w:rsidR="00A61AD6" w:rsidRPr="00DE238E">
          <w:rPr>
            <w:rStyle w:val="Hyperlink"/>
            <w:noProof/>
            <w:lang w:val="ru-RU"/>
          </w:rPr>
          <w:t>КОНСУЛЬТА</w:t>
        </w:r>
        <w:r w:rsidR="00A61AD6">
          <w:rPr>
            <w:rStyle w:val="Hyperlink"/>
            <w:noProof/>
            <w:lang w:val="ru-RU"/>
          </w:rPr>
          <w:t>ТИВНАЯ И СПРАВОЧНАЯ</w:t>
        </w:r>
        <w:r w:rsidR="00A61AD6" w:rsidRPr="00DE238E">
          <w:rPr>
            <w:rStyle w:val="Hyperlink"/>
            <w:noProof/>
            <w:lang w:val="ru-RU"/>
          </w:rPr>
          <w:t xml:space="preserve"> РАБОТА ПО ВОПРОСАМ НАДЗОРА</w:t>
        </w:r>
        <w:r w:rsidR="00A61AD6">
          <w:rPr>
            <w:noProof/>
            <w:webHidden/>
          </w:rPr>
          <w:tab/>
        </w:r>
        <w:r w:rsidR="00D67501">
          <w:rPr>
            <w:noProof/>
            <w:webHidden/>
            <w:lang w:val="ru-RU"/>
          </w:rPr>
          <w:t>19</w:t>
        </w:r>
      </w:hyperlink>
    </w:p>
    <w:p w14:paraId="711C5932" w14:textId="541A9FB6" w:rsidR="00A61AD6" w:rsidRDefault="00D3276F">
      <w:pPr>
        <w:pStyle w:val="TOC1"/>
        <w:rPr>
          <w:rFonts w:asciiTheme="minorHAnsi" w:eastAsiaTheme="minorEastAsia" w:hAnsiTheme="minorHAnsi" w:cstheme="minorBidi"/>
          <w:noProof/>
          <w:szCs w:val="22"/>
          <w:lang w:eastAsia="en-US"/>
        </w:rPr>
      </w:pPr>
      <w:hyperlink w:anchor="_Toc40299735" w:history="1">
        <w:r w:rsidR="00A61AD6" w:rsidRPr="00DE238E">
          <w:rPr>
            <w:rStyle w:val="Hyperlink"/>
            <w:noProof/>
            <w:lang w:val="ru-RU"/>
          </w:rPr>
          <w:t>СОТРУДНИЧЕСТВО С ВНЕШНИМИ НАДЗОРНЫМИ ОРГАНАМИ</w:t>
        </w:r>
        <w:r w:rsidR="00A61AD6">
          <w:rPr>
            <w:noProof/>
            <w:webHidden/>
          </w:rPr>
          <w:tab/>
        </w:r>
        <w:r w:rsidR="00D67501">
          <w:rPr>
            <w:noProof/>
            <w:webHidden/>
            <w:lang w:val="ru-RU"/>
          </w:rPr>
          <w:t>20</w:t>
        </w:r>
      </w:hyperlink>
    </w:p>
    <w:p w14:paraId="6870B470" w14:textId="1C6DDE03" w:rsidR="00A61AD6" w:rsidRDefault="00D3276F">
      <w:pPr>
        <w:pStyle w:val="TOC1"/>
        <w:rPr>
          <w:rFonts w:asciiTheme="minorHAnsi" w:eastAsiaTheme="minorEastAsia" w:hAnsiTheme="minorHAnsi" w:cstheme="minorBidi"/>
          <w:noProof/>
          <w:szCs w:val="22"/>
          <w:lang w:eastAsia="en-US"/>
        </w:rPr>
      </w:pPr>
      <w:hyperlink w:anchor="_Toc40299739" w:history="1">
        <w:r w:rsidR="00A61AD6" w:rsidRPr="00DE238E">
          <w:rPr>
            <w:rStyle w:val="Hyperlink"/>
            <w:noProof/>
            <w:lang w:val="ru-RU"/>
          </w:rPr>
          <w:t>ПРОЧИЕ НАПРАВЛЕНИЯ РАБОТЫ ПО ОБЕСПЕЧЕНИЮ НАДЗОРА</w:t>
        </w:r>
        <w:r w:rsidR="00A61AD6">
          <w:rPr>
            <w:noProof/>
            <w:webHidden/>
          </w:rPr>
          <w:tab/>
        </w:r>
        <w:r w:rsidR="00D67501">
          <w:rPr>
            <w:noProof/>
            <w:webHidden/>
            <w:lang w:val="ru-RU"/>
          </w:rPr>
          <w:t>20</w:t>
        </w:r>
      </w:hyperlink>
    </w:p>
    <w:p w14:paraId="6C4F7BF5" w14:textId="3DEAEB36" w:rsidR="00A61AD6" w:rsidRDefault="00D3276F">
      <w:pPr>
        <w:pStyle w:val="TOC1"/>
        <w:rPr>
          <w:rFonts w:asciiTheme="minorHAnsi" w:eastAsiaTheme="minorEastAsia" w:hAnsiTheme="minorHAnsi" w:cstheme="minorBidi"/>
          <w:noProof/>
          <w:szCs w:val="22"/>
          <w:lang w:eastAsia="en-US"/>
        </w:rPr>
      </w:pPr>
      <w:hyperlink w:anchor="_Toc40299743" w:history="1">
        <w:r w:rsidR="00A61AD6" w:rsidRPr="00DE238E">
          <w:rPr>
            <w:rStyle w:val="Hyperlink"/>
            <w:noProof/>
            <w:lang w:val="ru-RU"/>
          </w:rPr>
          <w:t>ОПЕРАТИВНАЯ</w:t>
        </w:r>
        <w:r w:rsidR="00A61AD6" w:rsidRPr="00DE238E">
          <w:rPr>
            <w:rStyle w:val="Hyperlink"/>
            <w:noProof/>
          </w:rPr>
          <w:t xml:space="preserve"> </w:t>
        </w:r>
        <w:r w:rsidR="00A61AD6" w:rsidRPr="00DE238E">
          <w:rPr>
            <w:rStyle w:val="Hyperlink"/>
            <w:noProof/>
            <w:lang w:val="ru-RU"/>
          </w:rPr>
          <w:t>НЕЗАВИСИМОСТЬ</w:t>
        </w:r>
        <w:r w:rsidR="00A61AD6" w:rsidRPr="00DE238E">
          <w:rPr>
            <w:rStyle w:val="Hyperlink"/>
            <w:noProof/>
          </w:rPr>
          <w:t xml:space="preserve"> </w:t>
        </w:r>
        <w:r w:rsidR="00A61AD6" w:rsidRPr="00DE238E">
          <w:rPr>
            <w:rStyle w:val="Hyperlink"/>
            <w:noProof/>
            <w:lang w:val="ru-RU"/>
          </w:rPr>
          <w:t>ОВН</w:t>
        </w:r>
        <w:r w:rsidR="00A61AD6">
          <w:rPr>
            <w:noProof/>
            <w:webHidden/>
          </w:rPr>
          <w:tab/>
        </w:r>
        <w:r w:rsidR="00D67501">
          <w:rPr>
            <w:noProof/>
            <w:webHidden/>
            <w:lang w:val="ru-RU"/>
          </w:rPr>
          <w:t>21</w:t>
        </w:r>
      </w:hyperlink>
    </w:p>
    <w:p w14:paraId="40536216" w14:textId="784E5373" w:rsidR="00A61AD6" w:rsidRDefault="00D3276F">
      <w:pPr>
        <w:pStyle w:val="TOC1"/>
        <w:rPr>
          <w:rFonts w:asciiTheme="minorHAnsi" w:eastAsiaTheme="minorEastAsia" w:hAnsiTheme="minorHAnsi" w:cstheme="minorBidi"/>
          <w:noProof/>
          <w:szCs w:val="22"/>
          <w:lang w:eastAsia="en-US"/>
        </w:rPr>
      </w:pPr>
      <w:hyperlink w:anchor="_Toc40299744" w:history="1">
        <w:r w:rsidR="00A61AD6" w:rsidRPr="00DE238E">
          <w:rPr>
            <w:rStyle w:val="Hyperlink"/>
            <w:noProof/>
            <w:lang w:val="ru-RU"/>
          </w:rPr>
          <w:t>РЕСУРСЫ ДЛЯ НАДЗОРНОЙ ДЕЯТЕЛЬНОСТИ</w:t>
        </w:r>
        <w:r w:rsidR="00A61AD6">
          <w:rPr>
            <w:noProof/>
            <w:webHidden/>
          </w:rPr>
          <w:tab/>
        </w:r>
        <w:r w:rsidR="00D67501">
          <w:rPr>
            <w:noProof/>
            <w:webHidden/>
            <w:lang w:val="ru-RU"/>
          </w:rPr>
          <w:t>21</w:t>
        </w:r>
      </w:hyperlink>
    </w:p>
    <w:p w14:paraId="2AC3F15B" w14:textId="43F1677C" w:rsidR="00C46B12" w:rsidRPr="00D01054" w:rsidRDefault="00A61AD6" w:rsidP="00C46B12">
      <w:pPr>
        <w:keepLines/>
        <w:tabs>
          <w:tab w:val="left" w:leader="dot" w:pos="8910"/>
        </w:tabs>
        <w:spacing w:before="240" w:after="120" w:line="360" w:lineRule="auto"/>
        <w:rPr>
          <w:lang w:val="ru-RU"/>
        </w:rPr>
      </w:pPr>
      <w:r>
        <w:fldChar w:fldCharType="end"/>
      </w:r>
    </w:p>
    <w:p w14:paraId="4D5CA58F" w14:textId="28F1D980" w:rsidR="00AB58BA" w:rsidRPr="009C27E1" w:rsidRDefault="0064656B" w:rsidP="009C27E1">
      <w:pPr>
        <w:keepLines/>
        <w:tabs>
          <w:tab w:val="left" w:leader="dot" w:pos="8910"/>
        </w:tabs>
        <w:spacing w:before="240" w:after="120" w:line="360" w:lineRule="auto"/>
        <w:rPr>
          <w:noProof/>
          <w:lang w:val="ru-RU"/>
        </w:rPr>
      </w:pPr>
      <w:r w:rsidRPr="009C27E1">
        <w:rPr>
          <w:noProof/>
          <w:lang w:val="ru-RU"/>
        </w:rPr>
        <w:t>ПРИЛОЖЕНИЕ</w:t>
      </w:r>
      <w:r w:rsidR="009C27E1" w:rsidRPr="009C27E1">
        <w:rPr>
          <w:noProof/>
          <w:lang w:val="ru-RU"/>
        </w:rPr>
        <w:t xml:space="preserve"> </w:t>
      </w:r>
      <w:r w:rsidR="00C46B12" w:rsidRPr="0064656B">
        <w:rPr>
          <w:noProof/>
          <w:lang w:val="ru-RU"/>
        </w:rPr>
        <w:t>–</w:t>
      </w:r>
      <w:r w:rsidR="009C27E1">
        <w:rPr>
          <w:noProof/>
          <w:lang w:val="ru-RU"/>
        </w:rPr>
        <w:t xml:space="preserve"> </w:t>
      </w:r>
      <w:r>
        <w:rPr>
          <w:noProof/>
          <w:lang w:val="ru-RU"/>
        </w:rPr>
        <w:t>Перечень отчетов ОВН</w:t>
      </w:r>
      <w:r w:rsidR="00C46B12" w:rsidRPr="0064656B">
        <w:rPr>
          <w:noProof/>
          <w:lang w:val="ru-RU"/>
        </w:rPr>
        <w:t xml:space="preserve"> </w:t>
      </w:r>
      <w:r w:rsidR="00793E3B">
        <w:rPr>
          <w:lang w:val="ru-RU"/>
        </w:rPr>
        <w:br w:type="page"/>
      </w:r>
      <w:bookmarkStart w:id="8" w:name="_Toc40299718"/>
      <w:r w:rsidRPr="00256FF6">
        <w:rPr>
          <w:b/>
          <w:bCs/>
          <w:lang w:val="ru-RU"/>
        </w:rPr>
        <w:lastRenderedPageBreak/>
        <w:t>СПИСОК СОКРАЩЕНИЙ</w:t>
      </w:r>
      <w:bookmarkEnd w:id="8"/>
    </w:p>
    <w:tbl>
      <w:tblPr>
        <w:tblStyle w:val="TableGridLight"/>
        <w:tblW w:w="0" w:type="auto"/>
        <w:tblLook w:val="01E0" w:firstRow="1" w:lastRow="1" w:firstColumn="1" w:lastColumn="1" w:noHBand="0" w:noVBand="0"/>
        <w:tblDescription w:val="Список сокращений"/>
      </w:tblPr>
      <w:tblGrid>
        <w:gridCol w:w="1701"/>
        <w:gridCol w:w="7230"/>
      </w:tblGrid>
      <w:tr w:rsidR="00EA7AA8" w:rsidRPr="00DF27E3" w14:paraId="19874DA5" w14:textId="77777777" w:rsidTr="00AB58BA">
        <w:trPr>
          <w:trHeight w:val="340"/>
          <w:tblHeader/>
        </w:trPr>
        <w:tc>
          <w:tcPr>
            <w:tcW w:w="1701" w:type="dxa"/>
          </w:tcPr>
          <w:p w14:paraId="7F3518EA" w14:textId="2E2A82B4" w:rsidR="00EA7AA8" w:rsidRDefault="00EA7AA8" w:rsidP="002670C4">
            <w:pPr>
              <w:tabs>
                <w:tab w:val="right" w:pos="6880"/>
              </w:tabs>
              <w:ind w:left="43"/>
              <w:rPr>
                <w:b/>
                <w:lang w:val="ru-RU"/>
              </w:rPr>
            </w:pPr>
            <w:r>
              <w:rPr>
                <w:b/>
                <w:lang w:val="ru-RU"/>
              </w:rPr>
              <w:t>АВС</w:t>
            </w:r>
          </w:p>
        </w:tc>
        <w:tc>
          <w:tcPr>
            <w:tcW w:w="7230" w:type="dxa"/>
          </w:tcPr>
          <w:p w14:paraId="3309C996" w14:textId="3946D5B8" w:rsidR="00EA7AA8" w:rsidRDefault="00EA7AA8" w:rsidP="002670C4">
            <w:pPr>
              <w:tabs>
                <w:tab w:val="right" w:pos="6880"/>
              </w:tabs>
              <w:ind w:left="43"/>
              <w:rPr>
                <w:lang w:val="ru-RU"/>
              </w:rPr>
            </w:pPr>
            <w:r>
              <w:rPr>
                <w:lang w:val="ru-RU"/>
              </w:rPr>
              <w:t>Консорциум доступных книг</w:t>
            </w:r>
          </w:p>
        </w:tc>
      </w:tr>
      <w:tr w:rsidR="00C46B12" w:rsidRPr="00DF27E3" w14:paraId="1DF01294" w14:textId="77777777" w:rsidTr="002670C4">
        <w:trPr>
          <w:trHeight w:val="340"/>
        </w:trPr>
        <w:tc>
          <w:tcPr>
            <w:tcW w:w="1701" w:type="dxa"/>
          </w:tcPr>
          <w:p w14:paraId="1FEF6B1C" w14:textId="23525960" w:rsidR="00C46B12" w:rsidRPr="0064656B" w:rsidRDefault="0064656B" w:rsidP="002670C4">
            <w:pPr>
              <w:tabs>
                <w:tab w:val="right" w:pos="6880"/>
              </w:tabs>
              <w:ind w:left="43"/>
              <w:rPr>
                <w:b/>
                <w:lang w:val="ru-RU"/>
              </w:rPr>
            </w:pPr>
            <w:r>
              <w:rPr>
                <w:b/>
                <w:lang w:val="ru-RU"/>
              </w:rPr>
              <w:t>ИИ</w:t>
            </w:r>
          </w:p>
        </w:tc>
        <w:tc>
          <w:tcPr>
            <w:tcW w:w="7230" w:type="dxa"/>
          </w:tcPr>
          <w:p w14:paraId="3EECCFE3" w14:textId="23FD9D55" w:rsidR="00C46B12" w:rsidRDefault="0064656B" w:rsidP="002670C4">
            <w:pPr>
              <w:tabs>
                <w:tab w:val="right" w:pos="6880"/>
              </w:tabs>
              <w:ind w:left="43"/>
            </w:pPr>
            <w:r>
              <w:rPr>
                <w:lang w:val="ru-RU"/>
              </w:rPr>
              <w:t>Искусственный интеллект</w:t>
            </w:r>
          </w:p>
        </w:tc>
      </w:tr>
      <w:tr w:rsidR="00C46B12" w:rsidRPr="00DF27E3" w14:paraId="1CBDD593" w14:textId="77777777" w:rsidTr="002670C4">
        <w:trPr>
          <w:trHeight w:val="340"/>
        </w:trPr>
        <w:tc>
          <w:tcPr>
            <w:tcW w:w="1701" w:type="dxa"/>
          </w:tcPr>
          <w:p w14:paraId="1E058CD0" w14:textId="5EB61DDA" w:rsidR="00C46B12" w:rsidRPr="0064656B" w:rsidRDefault="0064656B" w:rsidP="002670C4">
            <w:pPr>
              <w:tabs>
                <w:tab w:val="right" w:pos="6880"/>
              </w:tabs>
              <w:ind w:left="43"/>
              <w:rPr>
                <w:b/>
                <w:szCs w:val="22"/>
                <w:lang w:val="ru-RU"/>
              </w:rPr>
            </w:pPr>
            <w:r>
              <w:rPr>
                <w:b/>
                <w:szCs w:val="22"/>
                <w:lang w:val="ru-RU"/>
              </w:rPr>
              <w:t>АТР</w:t>
            </w:r>
          </w:p>
        </w:tc>
        <w:tc>
          <w:tcPr>
            <w:tcW w:w="7230" w:type="dxa"/>
          </w:tcPr>
          <w:p w14:paraId="55F7C142" w14:textId="783C6096" w:rsidR="00C46B12" w:rsidRDefault="0064656B" w:rsidP="002670C4">
            <w:pPr>
              <w:tabs>
                <w:tab w:val="right" w:pos="6880"/>
              </w:tabs>
              <w:ind w:left="43"/>
            </w:pPr>
            <w:r>
              <w:rPr>
                <w:szCs w:val="22"/>
                <w:lang w:val="ru-RU"/>
              </w:rPr>
              <w:t xml:space="preserve">Азиатско-Тихоокеанский регион </w:t>
            </w:r>
          </w:p>
        </w:tc>
      </w:tr>
      <w:tr w:rsidR="00BB5A5A" w:rsidRPr="00DF27E3" w14:paraId="783ADB7C" w14:textId="77777777" w:rsidTr="002670C4">
        <w:trPr>
          <w:trHeight w:val="340"/>
        </w:trPr>
        <w:tc>
          <w:tcPr>
            <w:tcW w:w="1701" w:type="dxa"/>
          </w:tcPr>
          <w:p w14:paraId="39B71EA7" w14:textId="5CD9CCC6" w:rsidR="00BB5A5A" w:rsidRDefault="0064656B" w:rsidP="002670C4">
            <w:pPr>
              <w:tabs>
                <w:tab w:val="right" w:pos="6880"/>
              </w:tabs>
              <w:ind w:left="43"/>
              <w:rPr>
                <w:b/>
                <w:szCs w:val="22"/>
              </w:rPr>
            </w:pPr>
            <w:r>
              <w:rPr>
                <w:b/>
                <w:szCs w:val="22"/>
                <w:lang w:val="ru-RU"/>
              </w:rPr>
              <w:t>АиУ</w:t>
            </w:r>
          </w:p>
        </w:tc>
        <w:tc>
          <w:tcPr>
            <w:tcW w:w="7230" w:type="dxa"/>
          </w:tcPr>
          <w:p w14:paraId="411FB3A0" w14:textId="30D6C658" w:rsidR="00BB5A5A" w:rsidRPr="00BD669D" w:rsidRDefault="0064656B" w:rsidP="002670C4">
            <w:pPr>
              <w:tabs>
                <w:tab w:val="right" w:pos="6880"/>
              </w:tabs>
              <w:ind w:left="43"/>
              <w:rPr>
                <w:szCs w:val="22"/>
              </w:rPr>
            </w:pPr>
            <w:r>
              <w:rPr>
                <w:lang w:val="ru-RU" w:eastAsia="en-US"/>
              </w:rPr>
              <w:t>Администрация и управление</w:t>
            </w:r>
          </w:p>
        </w:tc>
      </w:tr>
      <w:tr w:rsidR="00C46B12" w:rsidRPr="009C27E1" w14:paraId="4F128BB7" w14:textId="77777777" w:rsidTr="002670C4">
        <w:trPr>
          <w:trHeight w:val="340"/>
        </w:trPr>
        <w:tc>
          <w:tcPr>
            <w:tcW w:w="1701" w:type="dxa"/>
          </w:tcPr>
          <w:p w14:paraId="05032680" w14:textId="008BC25E" w:rsidR="00C46B12" w:rsidRPr="0064656B" w:rsidRDefault="0064656B" w:rsidP="002670C4">
            <w:pPr>
              <w:tabs>
                <w:tab w:val="right" w:pos="6880"/>
              </w:tabs>
              <w:ind w:left="43"/>
              <w:rPr>
                <w:b/>
                <w:szCs w:val="22"/>
                <w:lang w:val="ru-RU"/>
              </w:rPr>
            </w:pPr>
            <w:r>
              <w:rPr>
                <w:b/>
                <w:szCs w:val="22"/>
                <w:lang w:val="ru-RU"/>
              </w:rPr>
              <w:t>КРИС</w:t>
            </w:r>
          </w:p>
        </w:tc>
        <w:tc>
          <w:tcPr>
            <w:tcW w:w="7230" w:type="dxa"/>
          </w:tcPr>
          <w:p w14:paraId="64E8B91D" w14:textId="37A044AC" w:rsidR="00C46B12" w:rsidRPr="0064656B" w:rsidRDefault="0064656B" w:rsidP="002670C4">
            <w:pPr>
              <w:tabs>
                <w:tab w:val="right" w:pos="6880"/>
              </w:tabs>
              <w:ind w:left="43"/>
              <w:rPr>
                <w:szCs w:val="22"/>
                <w:lang w:val="ru-RU"/>
              </w:rPr>
            </w:pPr>
            <w:r>
              <w:rPr>
                <w:szCs w:val="22"/>
                <w:lang w:val="ru-RU"/>
              </w:rPr>
              <w:t>Комитет</w:t>
            </w:r>
            <w:r w:rsidRPr="0064656B">
              <w:rPr>
                <w:szCs w:val="22"/>
                <w:lang w:val="ru-RU"/>
              </w:rPr>
              <w:t xml:space="preserve"> </w:t>
            </w:r>
            <w:r>
              <w:rPr>
                <w:szCs w:val="22"/>
                <w:lang w:val="ru-RU"/>
              </w:rPr>
              <w:t>по</w:t>
            </w:r>
            <w:r w:rsidRPr="0064656B">
              <w:rPr>
                <w:szCs w:val="22"/>
                <w:lang w:val="ru-RU"/>
              </w:rPr>
              <w:t xml:space="preserve"> </w:t>
            </w:r>
            <w:r>
              <w:rPr>
                <w:szCs w:val="22"/>
                <w:lang w:val="ru-RU"/>
              </w:rPr>
              <w:t>развитию</w:t>
            </w:r>
            <w:r w:rsidRPr="0064656B">
              <w:rPr>
                <w:szCs w:val="22"/>
                <w:lang w:val="ru-RU"/>
              </w:rPr>
              <w:t xml:space="preserve"> </w:t>
            </w:r>
            <w:r>
              <w:rPr>
                <w:szCs w:val="22"/>
                <w:lang w:val="ru-RU"/>
              </w:rPr>
              <w:t>и</w:t>
            </w:r>
            <w:r w:rsidRPr="0064656B">
              <w:rPr>
                <w:szCs w:val="22"/>
                <w:lang w:val="ru-RU"/>
              </w:rPr>
              <w:t xml:space="preserve"> </w:t>
            </w:r>
            <w:r>
              <w:rPr>
                <w:szCs w:val="22"/>
                <w:lang w:val="ru-RU"/>
              </w:rPr>
              <w:t>интеллектуальной</w:t>
            </w:r>
            <w:r w:rsidRPr="0064656B">
              <w:rPr>
                <w:szCs w:val="22"/>
                <w:lang w:val="ru-RU"/>
              </w:rPr>
              <w:t xml:space="preserve"> </w:t>
            </w:r>
            <w:r>
              <w:rPr>
                <w:szCs w:val="22"/>
                <w:lang w:val="ru-RU"/>
              </w:rPr>
              <w:t>собственности</w:t>
            </w:r>
          </w:p>
        </w:tc>
      </w:tr>
      <w:tr w:rsidR="00C46B12" w:rsidRPr="00DF27E3" w14:paraId="360032D1" w14:textId="77777777" w:rsidTr="002670C4">
        <w:trPr>
          <w:trHeight w:val="340"/>
        </w:trPr>
        <w:tc>
          <w:tcPr>
            <w:tcW w:w="1701" w:type="dxa"/>
          </w:tcPr>
          <w:p w14:paraId="1586C0D4" w14:textId="734E61E9" w:rsidR="00C46B12" w:rsidRPr="0064656B" w:rsidRDefault="0064656B" w:rsidP="002670C4">
            <w:pPr>
              <w:tabs>
                <w:tab w:val="right" w:pos="6880"/>
              </w:tabs>
              <w:ind w:left="43"/>
              <w:rPr>
                <w:b/>
                <w:szCs w:val="22"/>
                <w:lang w:val="ru-RU"/>
              </w:rPr>
            </w:pPr>
            <w:r>
              <w:rPr>
                <w:b/>
                <w:szCs w:val="22"/>
                <w:lang w:val="ru-RU"/>
              </w:rPr>
              <w:t>КМС</w:t>
            </w:r>
          </w:p>
        </w:tc>
        <w:tc>
          <w:tcPr>
            <w:tcW w:w="7230" w:type="dxa"/>
          </w:tcPr>
          <w:p w14:paraId="6DA03438" w14:textId="73BBD007" w:rsidR="00C46B12" w:rsidRPr="00DF27E3" w:rsidRDefault="0064656B" w:rsidP="002670C4">
            <w:pPr>
              <w:tabs>
                <w:tab w:val="right" w:pos="6880"/>
              </w:tabs>
              <w:ind w:left="43"/>
              <w:rPr>
                <w:szCs w:val="22"/>
              </w:rPr>
            </w:pPr>
            <w:r>
              <w:rPr>
                <w:szCs w:val="22"/>
                <w:lang w:val="ru-RU"/>
              </w:rPr>
              <w:t>Конференция</w:t>
            </w:r>
            <w:r w:rsidRPr="0064656B">
              <w:rPr>
                <w:szCs w:val="22"/>
              </w:rPr>
              <w:t xml:space="preserve"> </w:t>
            </w:r>
            <w:r>
              <w:rPr>
                <w:szCs w:val="22"/>
                <w:lang w:val="ru-RU"/>
              </w:rPr>
              <w:t>международных</w:t>
            </w:r>
            <w:r w:rsidRPr="0064656B">
              <w:rPr>
                <w:szCs w:val="22"/>
              </w:rPr>
              <w:t xml:space="preserve"> </w:t>
            </w:r>
            <w:r>
              <w:rPr>
                <w:szCs w:val="22"/>
                <w:lang w:val="ru-RU"/>
              </w:rPr>
              <w:t>следователей</w:t>
            </w:r>
          </w:p>
        </w:tc>
      </w:tr>
      <w:tr w:rsidR="00C46B12" w:rsidRPr="00DF27E3" w14:paraId="2A13956D" w14:textId="77777777" w:rsidTr="002670C4">
        <w:trPr>
          <w:trHeight w:val="340"/>
        </w:trPr>
        <w:tc>
          <w:tcPr>
            <w:tcW w:w="1701" w:type="dxa"/>
          </w:tcPr>
          <w:p w14:paraId="40AA5A1C" w14:textId="5477B2ED" w:rsidR="00C46B12" w:rsidRDefault="0064656B" w:rsidP="002670C4">
            <w:pPr>
              <w:tabs>
                <w:tab w:val="right" w:pos="6880"/>
              </w:tabs>
              <w:ind w:left="43"/>
              <w:rPr>
                <w:b/>
                <w:szCs w:val="22"/>
              </w:rPr>
            </w:pPr>
            <w:r>
              <w:rPr>
                <w:b/>
                <w:szCs w:val="22"/>
                <w:lang w:val="ru-RU"/>
              </w:rPr>
              <w:t>СУД</w:t>
            </w:r>
          </w:p>
        </w:tc>
        <w:tc>
          <w:tcPr>
            <w:tcW w:w="7230" w:type="dxa"/>
          </w:tcPr>
          <w:p w14:paraId="624FCA5F" w14:textId="16764ABE" w:rsidR="00C46B12" w:rsidRPr="00DF27E3" w:rsidRDefault="0064656B" w:rsidP="002670C4">
            <w:pPr>
              <w:tabs>
                <w:tab w:val="right" w:pos="6880"/>
              </w:tabs>
              <w:ind w:left="43"/>
              <w:rPr>
                <w:szCs w:val="22"/>
              </w:rPr>
            </w:pPr>
            <w:r>
              <w:rPr>
                <w:lang w:val="ru-RU"/>
              </w:rPr>
              <w:t>Система управления делами</w:t>
            </w:r>
          </w:p>
        </w:tc>
      </w:tr>
      <w:tr w:rsidR="00ED3A15" w:rsidRPr="00402468" w14:paraId="486C7408" w14:textId="77777777" w:rsidTr="002670C4">
        <w:trPr>
          <w:trHeight w:val="340"/>
        </w:trPr>
        <w:tc>
          <w:tcPr>
            <w:tcW w:w="1701" w:type="dxa"/>
          </w:tcPr>
          <w:p w14:paraId="4C583430" w14:textId="560557B2" w:rsidR="00ED3A15" w:rsidRDefault="00402468" w:rsidP="002670C4">
            <w:pPr>
              <w:tabs>
                <w:tab w:val="right" w:pos="6880"/>
              </w:tabs>
              <w:ind w:left="43"/>
              <w:rPr>
                <w:b/>
              </w:rPr>
            </w:pPr>
            <w:r>
              <w:rPr>
                <w:b/>
                <w:lang w:val="ru-RU"/>
              </w:rPr>
              <w:t>УИР</w:t>
            </w:r>
          </w:p>
        </w:tc>
        <w:tc>
          <w:tcPr>
            <w:tcW w:w="7230" w:type="dxa"/>
          </w:tcPr>
          <w:p w14:paraId="6ED6FB1D" w14:textId="0E340ECD" w:rsidR="00ED3A15" w:rsidRPr="00402468" w:rsidRDefault="00402468" w:rsidP="002670C4">
            <w:pPr>
              <w:tabs>
                <w:tab w:val="right" w:pos="6880"/>
              </w:tabs>
              <w:ind w:left="43"/>
              <w:rPr>
                <w:lang w:val="ru-RU"/>
              </w:rPr>
            </w:pPr>
            <w:r>
              <w:rPr>
                <w:lang w:val="ru-RU" w:eastAsia="en-US"/>
              </w:rPr>
              <w:t>Управление организационными ресурсами</w:t>
            </w:r>
          </w:p>
        </w:tc>
      </w:tr>
      <w:tr w:rsidR="007E5351" w:rsidRPr="00DF27E3" w14:paraId="63B824F6" w14:textId="77777777" w:rsidTr="002670C4">
        <w:trPr>
          <w:trHeight w:val="340"/>
        </w:trPr>
        <w:tc>
          <w:tcPr>
            <w:tcW w:w="1701" w:type="dxa"/>
          </w:tcPr>
          <w:p w14:paraId="03AC3159" w14:textId="5E1B8BA1" w:rsidR="007E5351" w:rsidRDefault="00402468" w:rsidP="002670C4">
            <w:pPr>
              <w:tabs>
                <w:tab w:val="right" w:pos="6880"/>
              </w:tabs>
              <w:ind w:left="43"/>
              <w:rPr>
                <w:b/>
                <w:szCs w:val="22"/>
              </w:rPr>
            </w:pPr>
            <w:r>
              <w:rPr>
                <w:b/>
                <w:szCs w:val="22"/>
                <w:lang w:val="ru-RU"/>
              </w:rPr>
              <w:t>ВОК</w:t>
            </w:r>
          </w:p>
        </w:tc>
        <w:tc>
          <w:tcPr>
            <w:tcW w:w="7230" w:type="dxa"/>
          </w:tcPr>
          <w:p w14:paraId="7FEDE005" w14:textId="6A9D668B" w:rsidR="007E5351" w:rsidRPr="005E30EC" w:rsidRDefault="00402468" w:rsidP="002670C4">
            <w:pPr>
              <w:tabs>
                <w:tab w:val="right" w:pos="6880"/>
              </w:tabs>
              <w:ind w:left="43"/>
              <w:rPr>
                <w:szCs w:val="22"/>
              </w:rPr>
            </w:pPr>
            <w:r>
              <w:rPr>
                <w:lang w:val="ru-RU"/>
              </w:rPr>
              <w:t>Внешняя оценка качества</w:t>
            </w:r>
          </w:p>
        </w:tc>
      </w:tr>
      <w:tr w:rsidR="00EA7AA8" w:rsidRPr="00DF27E3" w14:paraId="0F8B2E29" w14:textId="77777777" w:rsidTr="002670C4">
        <w:trPr>
          <w:trHeight w:val="340"/>
        </w:trPr>
        <w:tc>
          <w:tcPr>
            <w:tcW w:w="1701" w:type="dxa"/>
          </w:tcPr>
          <w:p w14:paraId="686BBE3F" w14:textId="034B5B4F" w:rsidR="00EA7AA8" w:rsidRDefault="00EA7AA8" w:rsidP="002670C4">
            <w:pPr>
              <w:ind w:left="43"/>
              <w:rPr>
                <w:b/>
                <w:szCs w:val="22"/>
                <w:lang w:val="ru-RU"/>
              </w:rPr>
            </w:pPr>
            <w:r>
              <w:rPr>
                <w:b/>
                <w:szCs w:val="22"/>
                <w:lang w:val="ru-RU"/>
              </w:rPr>
              <w:t>КГВ</w:t>
            </w:r>
          </w:p>
        </w:tc>
        <w:tc>
          <w:tcPr>
            <w:tcW w:w="7230" w:type="dxa"/>
          </w:tcPr>
          <w:p w14:paraId="086E6E53" w14:textId="6A563F08" w:rsidR="00EA7AA8" w:rsidRDefault="00EA7AA8" w:rsidP="002670C4">
            <w:pPr>
              <w:ind w:left="43"/>
              <w:rPr>
                <w:szCs w:val="22"/>
                <w:lang w:val="ru-RU"/>
              </w:rPr>
            </w:pPr>
            <w:r>
              <w:rPr>
                <w:szCs w:val="22"/>
                <w:lang w:val="ru-RU"/>
              </w:rPr>
              <w:t>Координатор по гендерным вопросам</w:t>
            </w:r>
          </w:p>
        </w:tc>
      </w:tr>
      <w:tr w:rsidR="00C46B12" w:rsidRPr="00DF27E3" w14:paraId="09DBDAFA" w14:textId="77777777" w:rsidTr="002670C4">
        <w:trPr>
          <w:trHeight w:val="340"/>
        </w:trPr>
        <w:tc>
          <w:tcPr>
            <w:tcW w:w="1701" w:type="dxa"/>
          </w:tcPr>
          <w:p w14:paraId="2A6EE908" w14:textId="562F3627" w:rsidR="00C46B12" w:rsidRPr="00913CE2" w:rsidRDefault="00402468" w:rsidP="002670C4">
            <w:pPr>
              <w:ind w:left="43"/>
              <w:rPr>
                <w:b/>
                <w:szCs w:val="22"/>
              </w:rPr>
            </w:pPr>
            <w:r>
              <w:rPr>
                <w:b/>
                <w:szCs w:val="22"/>
                <w:lang w:val="ru-RU"/>
              </w:rPr>
              <w:t>ДУЛР</w:t>
            </w:r>
          </w:p>
        </w:tc>
        <w:tc>
          <w:tcPr>
            <w:tcW w:w="7230" w:type="dxa"/>
          </w:tcPr>
          <w:p w14:paraId="7BEE8E73" w14:textId="25118F63" w:rsidR="00C46B12" w:rsidRPr="00DF27E3" w:rsidRDefault="00402468" w:rsidP="002670C4">
            <w:pPr>
              <w:ind w:left="43"/>
              <w:rPr>
                <w:szCs w:val="22"/>
              </w:rPr>
            </w:pPr>
            <w:r>
              <w:rPr>
                <w:szCs w:val="22"/>
                <w:lang w:val="ru-RU"/>
              </w:rPr>
              <w:t>Департамент</w:t>
            </w:r>
            <w:r w:rsidRPr="00402468">
              <w:rPr>
                <w:szCs w:val="22"/>
              </w:rPr>
              <w:t xml:space="preserve"> </w:t>
            </w:r>
            <w:r>
              <w:rPr>
                <w:szCs w:val="22"/>
                <w:lang w:val="ru-RU"/>
              </w:rPr>
              <w:t>управления</w:t>
            </w:r>
            <w:r w:rsidRPr="00402468">
              <w:rPr>
                <w:szCs w:val="22"/>
              </w:rPr>
              <w:t xml:space="preserve"> </w:t>
            </w:r>
            <w:r>
              <w:rPr>
                <w:szCs w:val="22"/>
                <w:lang w:val="ru-RU"/>
              </w:rPr>
              <w:t>людскими</w:t>
            </w:r>
            <w:r w:rsidRPr="00402468">
              <w:rPr>
                <w:szCs w:val="22"/>
              </w:rPr>
              <w:t xml:space="preserve"> </w:t>
            </w:r>
            <w:r>
              <w:rPr>
                <w:szCs w:val="22"/>
                <w:lang w:val="ru-RU"/>
              </w:rPr>
              <w:t>ресурсами</w:t>
            </w:r>
          </w:p>
        </w:tc>
      </w:tr>
      <w:tr w:rsidR="00C46B12" w:rsidRPr="00DF27E3" w14:paraId="13716FBA" w14:textId="77777777" w:rsidTr="002670C4">
        <w:trPr>
          <w:trHeight w:val="340"/>
        </w:trPr>
        <w:tc>
          <w:tcPr>
            <w:tcW w:w="1701" w:type="dxa"/>
          </w:tcPr>
          <w:p w14:paraId="526C4C69" w14:textId="5442CB06" w:rsidR="00C46B12" w:rsidRPr="00913CE2" w:rsidRDefault="00402468" w:rsidP="002670C4">
            <w:pPr>
              <w:ind w:left="43"/>
              <w:rPr>
                <w:b/>
                <w:szCs w:val="22"/>
              </w:rPr>
            </w:pPr>
            <w:r>
              <w:rPr>
                <w:b/>
                <w:szCs w:val="22"/>
                <w:lang w:val="ru-RU"/>
              </w:rPr>
              <w:t>ВА</w:t>
            </w:r>
          </w:p>
        </w:tc>
        <w:tc>
          <w:tcPr>
            <w:tcW w:w="7230" w:type="dxa"/>
          </w:tcPr>
          <w:p w14:paraId="1FBC3CB3" w14:textId="78A85F43" w:rsidR="00C46B12" w:rsidRPr="00DF27E3" w:rsidRDefault="00402468" w:rsidP="002670C4">
            <w:pPr>
              <w:ind w:left="43"/>
              <w:rPr>
                <w:szCs w:val="22"/>
              </w:rPr>
            </w:pPr>
            <w:r>
              <w:rPr>
                <w:szCs w:val="22"/>
                <w:lang w:val="ru-RU"/>
              </w:rPr>
              <w:t>Внутренний аудит</w:t>
            </w:r>
          </w:p>
        </w:tc>
      </w:tr>
      <w:tr w:rsidR="00C46B12" w:rsidRPr="009C27E1" w14:paraId="526DCF33" w14:textId="77777777" w:rsidTr="002670C4">
        <w:trPr>
          <w:trHeight w:val="340"/>
        </w:trPr>
        <w:tc>
          <w:tcPr>
            <w:tcW w:w="1701" w:type="dxa"/>
          </w:tcPr>
          <w:p w14:paraId="01D7FE1A" w14:textId="2CE9FBF5" w:rsidR="00C46B12" w:rsidRPr="00913CE2" w:rsidRDefault="00656546" w:rsidP="002670C4">
            <w:pPr>
              <w:ind w:left="43"/>
              <w:rPr>
                <w:b/>
                <w:szCs w:val="22"/>
              </w:rPr>
            </w:pPr>
            <w:r>
              <w:rPr>
                <w:b/>
                <w:szCs w:val="22"/>
                <w:lang w:val="ru-RU"/>
              </w:rPr>
              <w:t>НККН</w:t>
            </w:r>
          </w:p>
        </w:tc>
        <w:tc>
          <w:tcPr>
            <w:tcW w:w="7230" w:type="dxa"/>
          </w:tcPr>
          <w:p w14:paraId="563BE284" w14:textId="535BA181" w:rsidR="00C46B12" w:rsidRPr="00656546" w:rsidRDefault="00656546" w:rsidP="002670C4">
            <w:pPr>
              <w:ind w:left="43"/>
              <w:rPr>
                <w:szCs w:val="22"/>
                <w:lang w:val="ru-RU"/>
              </w:rPr>
            </w:pPr>
            <w:r>
              <w:rPr>
                <w:szCs w:val="22"/>
                <w:lang w:val="ru-RU"/>
              </w:rPr>
              <w:t>Независимый</w:t>
            </w:r>
            <w:r w:rsidRPr="00656546">
              <w:rPr>
                <w:szCs w:val="22"/>
                <w:lang w:val="ru-RU"/>
              </w:rPr>
              <w:t xml:space="preserve"> </w:t>
            </w:r>
            <w:r>
              <w:rPr>
                <w:szCs w:val="22"/>
                <w:lang w:val="ru-RU"/>
              </w:rPr>
              <w:t>консультативный</w:t>
            </w:r>
            <w:r w:rsidRPr="00656546">
              <w:rPr>
                <w:szCs w:val="22"/>
                <w:lang w:val="ru-RU"/>
              </w:rPr>
              <w:t xml:space="preserve"> </w:t>
            </w:r>
            <w:r>
              <w:rPr>
                <w:szCs w:val="22"/>
                <w:lang w:val="ru-RU"/>
              </w:rPr>
              <w:t>комитет</w:t>
            </w:r>
            <w:r w:rsidRPr="00656546">
              <w:rPr>
                <w:szCs w:val="22"/>
                <w:lang w:val="ru-RU"/>
              </w:rPr>
              <w:t xml:space="preserve"> </w:t>
            </w:r>
            <w:r>
              <w:rPr>
                <w:szCs w:val="22"/>
                <w:lang w:val="ru-RU"/>
              </w:rPr>
              <w:t>по надзору</w:t>
            </w:r>
          </w:p>
        </w:tc>
      </w:tr>
      <w:tr w:rsidR="00C46B12" w:rsidRPr="00DF27E3" w14:paraId="0DFF9F85" w14:textId="77777777" w:rsidTr="002670C4">
        <w:trPr>
          <w:trHeight w:val="340"/>
        </w:trPr>
        <w:tc>
          <w:tcPr>
            <w:tcW w:w="1701" w:type="dxa"/>
          </w:tcPr>
          <w:p w14:paraId="59B2C1ED" w14:textId="7CC27E5F" w:rsidR="00C46B12" w:rsidRPr="00913CE2" w:rsidRDefault="00656546" w:rsidP="002670C4">
            <w:pPr>
              <w:ind w:left="43"/>
              <w:rPr>
                <w:b/>
                <w:szCs w:val="22"/>
              </w:rPr>
            </w:pPr>
            <w:r>
              <w:rPr>
                <w:b/>
                <w:szCs w:val="22"/>
                <w:lang w:val="ru-RU"/>
              </w:rPr>
              <w:t>ИВУ</w:t>
            </w:r>
          </w:p>
        </w:tc>
        <w:tc>
          <w:tcPr>
            <w:tcW w:w="7230" w:type="dxa"/>
          </w:tcPr>
          <w:p w14:paraId="39C6783D" w14:textId="057AE711" w:rsidR="00C46B12" w:rsidRPr="00DF27E3" w:rsidRDefault="00656546" w:rsidP="002670C4">
            <w:pPr>
              <w:ind w:left="43"/>
              <w:rPr>
                <w:szCs w:val="22"/>
              </w:rPr>
            </w:pPr>
            <w:r>
              <w:rPr>
                <w:szCs w:val="22"/>
                <w:lang w:val="ru-RU"/>
              </w:rPr>
              <w:t>Институт внутренних аудиторов</w:t>
            </w:r>
          </w:p>
        </w:tc>
      </w:tr>
      <w:tr w:rsidR="00C46B12" w:rsidRPr="00DF27E3" w14:paraId="0E36F35B" w14:textId="77777777" w:rsidTr="002670C4">
        <w:trPr>
          <w:trHeight w:val="340"/>
        </w:trPr>
        <w:tc>
          <w:tcPr>
            <w:tcW w:w="1701" w:type="dxa"/>
          </w:tcPr>
          <w:p w14:paraId="22975F40" w14:textId="342B2101" w:rsidR="00C46B12" w:rsidRPr="00913CE2" w:rsidRDefault="00656546" w:rsidP="002670C4">
            <w:pPr>
              <w:ind w:left="43"/>
              <w:rPr>
                <w:b/>
                <w:szCs w:val="22"/>
              </w:rPr>
            </w:pPr>
            <w:r>
              <w:rPr>
                <w:b/>
                <w:szCs w:val="22"/>
                <w:lang w:val="ru-RU"/>
              </w:rPr>
              <w:t>УВН</w:t>
            </w:r>
          </w:p>
        </w:tc>
        <w:tc>
          <w:tcPr>
            <w:tcW w:w="7230" w:type="dxa"/>
          </w:tcPr>
          <w:p w14:paraId="242DDAFD" w14:textId="73CA86B7" w:rsidR="00C46B12" w:rsidRPr="00DF27E3" w:rsidRDefault="00656546" w:rsidP="002670C4">
            <w:pPr>
              <w:ind w:left="43"/>
              <w:rPr>
                <w:szCs w:val="22"/>
              </w:rPr>
            </w:pPr>
            <w:r>
              <w:rPr>
                <w:szCs w:val="22"/>
                <w:lang w:val="ru-RU"/>
              </w:rPr>
              <w:t xml:space="preserve">Устав внутреннего надзора </w:t>
            </w:r>
          </w:p>
        </w:tc>
      </w:tr>
      <w:tr w:rsidR="00C46B12" w:rsidRPr="00DF27E3" w14:paraId="30F401F0" w14:textId="77777777" w:rsidTr="002670C4">
        <w:trPr>
          <w:trHeight w:val="340"/>
        </w:trPr>
        <w:tc>
          <w:tcPr>
            <w:tcW w:w="1701" w:type="dxa"/>
          </w:tcPr>
          <w:p w14:paraId="6D229C8F" w14:textId="112B8EEB" w:rsidR="00C46B12" w:rsidRPr="00913CE2" w:rsidRDefault="00874EB5" w:rsidP="002670C4">
            <w:pPr>
              <w:ind w:left="43"/>
              <w:rPr>
                <w:b/>
                <w:szCs w:val="22"/>
              </w:rPr>
            </w:pPr>
            <w:r>
              <w:rPr>
                <w:b/>
                <w:szCs w:val="22"/>
                <w:lang w:val="ru-RU"/>
              </w:rPr>
              <w:t>ОВН</w:t>
            </w:r>
          </w:p>
        </w:tc>
        <w:tc>
          <w:tcPr>
            <w:tcW w:w="7230" w:type="dxa"/>
          </w:tcPr>
          <w:p w14:paraId="63DD041F" w14:textId="20448B1F" w:rsidR="00C46B12" w:rsidRPr="00874EB5" w:rsidRDefault="00874EB5" w:rsidP="002670C4">
            <w:pPr>
              <w:ind w:left="43"/>
              <w:rPr>
                <w:szCs w:val="22"/>
                <w:lang w:val="en-GB"/>
              </w:rPr>
            </w:pPr>
            <w:r>
              <w:rPr>
                <w:szCs w:val="22"/>
                <w:lang w:val="ru-RU"/>
              </w:rPr>
              <w:t xml:space="preserve">Отдел внутреннего надзора </w:t>
            </w:r>
          </w:p>
        </w:tc>
      </w:tr>
      <w:tr w:rsidR="00C46B12" w:rsidRPr="00DF27E3" w14:paraId="04515342" w14:textId="77777777" w:rsidTr="002670C4">
        <w:trPr>
          <w:trHeight w:val="340"/>
        </w:trPr>
        <w:tc>
          <w:tcPr>
            <w:tcW w:w="1701" w:type="dxa"/>
          </w:tcPr>
          <w:p w14:paraId="1BFB2483" w14:textId="4A8E48D3" w:rsidR="00C46B12" w:rsidRPr="00913CE2" w:rsidRDefault="00874EB5" w:rsidP="002670C4">
            <w:pPr>
              <w:ind w:left="43"/>
              <w:rPr>
                <w:b/>
                <w:szCs w:val="22"/>
              </w:rPr>
            </w:pPr>
            <w:r>
              <w:rPr>
                <w:b/>
                <w:szCs w:val="22"/>
                <w:lang w:val="ru-RU"/>
              </w:rPr>
              <w:t>ИС</w:t>
            </w:r>
          </w:p>
        </w:tc>
        <w:tc>
          <w:tcPr>
            <w:tcW w:w="7230" w:type="dxa"/>
          </w:tcPr>
          <w:p w14:paraId="0CB484A5" w14:textId="1979C727" w:rsidR="00C46B12" w:rsidRPr="00DF27E3" w:rsidRDefault="00874EB5" w:rsidP="002670C4">
            <w:pPr>
              <w:ind w:left="43"/>
              <w:rPr>
                <w:szCs w:val="22"/>
              </w:rPr>
            </w:pPr>
            <w:r>
              <w:rPr>
                <w:szCs w:val="22"/>
                <w:lang w:val="ru-RU"/>
              </w:rPr>
              <w:t>Интеллектуальная собственность</w:t>
            </w:r>
          </w:p>
        </w:tc>
      </w:tr>
      <w:tr w:rsidR="00C46B12" w:rsidRPr="00DF27E3" w14:paraId="5FB9845E" w14:textId="77777777" w:rsidTr="002670C4">
        <w:trPr>
          <w:trHeight w:val="340"/>
        </w:trPr>
        <w:tc>
          <w:tcPr>
            <w:tcW w:w="1701" w:type="dxa"/>
          </w:tcPr>
          <w:p w14:paraId="3EF3CFFC" w14:textId="545BFB9B" w:rsidR="00C46B12" w:rsidRPr="00913CE2" w:rsidRDefault="00874EB5" w:rsidP="002670C4">
            <w:pPr>
              <w:ind w:left="43"/>
              <w:rPr>
                <w:b/>
                <w:szCs w:val="22"/>
              </w:rPr>
            </w:pPr>
            <w:r>
              <w:rPr>
                <w:b/>
                <w:szCs w:val="22"/>
                <w:lang w:val="ru-RU"/>
              </w:rPr>
              <w:t>ОИГ</w:t>
            </w:r>
          </w:p>
        </w:tc>
        <w:tc>
          <w:tcPr>
            <w:tcW w:w="7230" w:type="dxa"/>
          </w:tcPr>
          <w:p w14:paraId="2A7EDB8D" w14:textId="6F560E48" w:rsidR="00C46B12" w:rsidRPr="00DF27E3" w:rsidRDefault="00874EB5" w:rsidP="002670C4">
            <w:pPr>
              <w:ind w:left="43"/>
              <w:rPr>
                <w:szCs w:val="22"/>
              </w:rPr>
            </w:pPr>
            <w:r>
              <w:rPr>
                <w:szCs w:val="22"/>
                <w:lang w:val="ru-RU"/>
              </w:rPr>
              <w:t>Объединенная инспекционная группа</w:t>
            </w:r>
          </w:p>
        </w:tc>
      </w:tr>
      <w:tr w:rsidR="00C46B12" w:rsidRPr="009C27E1" w14:paraId="39319E94" w14:textId="77777777" w:rsidTr="002670C4">
        <w:trPr>
          <w:trHeight w:val="340"/>
        </w:trPr>
        <w:tc>
          <w:tcPr>
            <w:tcW w:w="1701" w:type="dxa"/>
          </w:tcPr>
          <w:p w14:paraId="6B17E350" w14:textId="215B5096" w:rsidR="00C46B12" w:rsidRPr="00913CE2" w:rsidRDefault="00874EB5" w:rsidP="002670C4">
            <w:pPr>
              <w:ind w:left="43"/>
              <w:rPr>
                <w:b/>
                <w:szCs w:val="22"/>
              </w:rPr>
            </w:pPr>
            <w:r>
              <w:rPr>
                <w:b/>
                <w:szCs w:val="22"/>
                <w:lang w:val="ru-RU"/>
              </w:rPr>
              <w:t>ОРРР</w:t>
            </w:r>
          </w:p>
        </w:tc>
        <w:tc>
          <w:tcPr>
            <w:tcW w:w="7230" w:type="dxa"/>
          </w:tcPr>
          <w:p w14:paraId="0E7853C0" w14:textId="6A86E663" w:rsidR="00C46B12" w:rsidRPr="00874EB5" w:rsidRDefault="00874EB5" w:rsidP="002670C4">
            <w:pPr>
              <w:ind w:left="43"/>
              <w:rPr>
                <w:szCs w:val="22"/>
                <w:lang w:val="ru-RU"/>
              </w:rPr>
            </w:pPr>
            <w:r>
              <w:rPr>
                <w:szCs w:val="22"/>
                <w:lang w:val="ru-RU"/>
              </w:rPr>
              <w:t>Отчет о результатах расследования для руководства</w:t>
            </w:r>
          </w:p>
        </w:tc>
      </w:tr>
      <w:tr w:rsidR="00A66032" w:rsidRPr="00DF27E3" w14:paraId="3891C846" w14:textId="77777777" w:rsidTr="002670C4">
        <w:trPr>
          <w:trHeight w:val="340"/>
        </w:trPr>
        <w:tc>
          <w:tcPr>
            <w:tcW w:w="1701" w:type="dxa"/>
          </w:tcPr>
          <w:p w14:paraId="3F9D6596" w14:textId="5FB5EA4B" w:rsidR="00A66032" w:rsidRDefault="00EA2BCB" w:rsidP="002670C4">
            <w:pPr>
              <w:ind w:left="43"/>
              <w:rPr>
                <w:b/>
                <w:szCs w:val="22"/>
              </w:rPr>
            </w:pPr>
            <w:r>
              <w:rPr>
                <w:b/>
                <w:szCs w:val="22"/>
                <w:lang w:val="ru-RU"/>
              </w:rPr>
              <w:t>МоВ</w:t>
            </w:r>
          </w:p>
        </w:tc>
        <w:tc>
          <w:tcPr>
            <w:tcW w:w="7230" w:type="dxa"/>
          </w:tcPr>
          <w:p w14:paraId="144F12D2" w14:textId="5C4A7529" w:rsidR="00A66032" w:rsidRPr="00DF27E3" w:rsidRDefault="00EA2BCB" w:rsidP="002670C4">
            <w:pPr>
              <w:ind w:left="43"/>
              <w:rPr>
                <w:szCs w:val="22"/>
              </w:rPr>
            </w:pPr>
            <w:r>
              <w:rPr>
                <w:lang w:val="ru-RU"/>
              </w:rPr>
              <w:t>Меморандум о взаимопонимании</w:t>
            </w:r>
          </w:p>
        </w:tc>
      </w:tr>
      <w:tr w:rsidR="00C46B12" w:rsidRPr="009C27E1" w14:paraId="76344A82" w14:textId="77777777" w:rsidTr="002670C4">
        <w:trPr>
          <w:trHeight w:val="340"/>
        </w:trPr>
        <w:tc>
          <w:tcPr>
            <w:tcW w:w="1701" w:type="dxa"/>
          </w:tcPr>
          <w:p w14:paraId="4BBCF1EE" w14:textId="3EA4F1E1" w:rsidR="00C46B12" w:rsidRPr="00913CE2" w:rsidRDefault="00EA2BCB" w:rsidP="002670C4">
            <w:pPr>
              <w:ind w:left="43"/>
              <w:rPr>
                <w:b/>
                <w:szCs w:val="22"/>
              </w:rPr>
            </w:pPr>
            <w:r>
              <w:rPr>
                <w:b/>
                <w:szCs w:val="22"/>
                <w:lang w:val="ru-RU"/>
              </w:rPr>
              <w:t>КПБ</w:t>
            </w:r>
          </w:p>
        </w:tc>
        <w:tc>
          <w:tcPr>
            <w:tcW w:w="7230" w:type="dxa"/>
          </w:tcPr>
          <w:p w14:paraId="2A9A22C3" w14:textId="4D01AF98" w:rsidR="00C46B12" w:rsidRPr="00EA2BCB" w:rsidRDefault="00EA2BCB" w:rsidP="002670C4">
            <w:pPr>
              <w:ind w:left="43"/>
              <w:rPr>
                <w:szCs w:val="22"/>
                <w:lang w:val="ru-RU"/>
              </w:rPr>
            </w:pPr>
            <w:r>
              <w:rPr>
                <w:szCs w:val="22"/>
                <w:lang w:val="ru-RU"/>
              </w:rPr>
              <w:t>Комитет по программе и бюджету</w:t>
            </w:r>
          </w:p>
        </w:tc>
      </w:tr>
      <w:tr w:rsidR="00BB5A5A" w:rsidRPr="00DF27E3" w14:paraId="759C2E47" w14:textId="77777777" w:rsidTr="002670C4">
        <w:trPr>
          <w:trHeight w:val="340"/>
        </w:trPr>
        <w:tc>
          <w:tcPr>
            <w:tcW w:w="1701" w:type="dxa"/>
          </w:tcPr>
          <w:p w14:paraId="4F1B5BDB" w14:textId="3471F302" w:rsidR="00BB5A5A" w:rsidRDefault="00B67F6E" w:rsidP="002670C4">
            <w:pPr>
              <w:ind w:left="43"/>
              <w:rPr>
                <w:b/>
              </w:rPr>
            </w:pPr>
            <w:r>
              <w:rPr>
                <w:b/>
                <w:lang w:val="ru-RU"/>
              </w:rPr>
              <w:t>ДЗ</w:t>
            </w:r>
          </w:p>
        </w:tc>
        <w:tc>
          <w:tcPr>
            <w:tcW w:w="7230" w:type="dxa"/>
          </w:tcPr>
          <w:p w14:paraId="679FB97F" w14:textId="671557B0" w:rsidR="00BB5A5A" w:rsidRPr="00BF33B9" w:rsidRDefault="00B67F6E" w:rsidP="002670C4">
            <w:pPr>
              <w:ind w:left="43"/>
            </w:pPr>
            <w:r>
              <w:rPr>
                <w:lang w:val="ru-RU"/>
              </w:rPr>
              <w:t>Договор-заявка</w:t>
            </w:r>
          </w:p>
        </w:tc>
      </w:tr>
      <w:tr w:rsidR="00793E3B" w:rsidRPr="009C27E1" w14:paraId="239D3763" w14:textId="77777777" w:rsidTr="002670C4">
        <w:trPr>
          <w:trHeight w:val="340"/>
        </w:trPr>
        <w:tc>
          <w:tcPr>
            <w:tcW w:w="1701" w:type="dxa"/>
          </w:tcPr>
          <w:p w14:paraId="1C580DD8" w14:textId="42ABF2F3" w:rsidR="00793E3B" w:rsidRDefault="00793E3B" w:rsidP="002670C4">
            <w:pPr>
              <w:ind w:left="43"/>
              <w:rPr>
                <w:b/>
                <w:szCs w:val="22"/>
                <w:lang w:val="ru-RU"/>
              </w:rPr>
            </w:pPr>
            <w:r>
              <w:rPr>
                <w:b/>
                <w:szCs w:val="22"/>
                <w:lang w:val="ru-RU"/>
              </w:rPr>
              <w:t>ЦПТИ</w:t>
            </w:r>
          </w:p>
        </w:tc>
        <w:tc>
          <w:tcPr>
            <w:tcW w:w="7230" w:type="dxa"/>
          </w:tcPr>
          <w:p w14:paraId="7917DD99" w14:textId="34113028" w:rsidR="00793E3B" w:rsidRDefault="00793E3B" w:rsidP="002670C4">
            <w:pPr>
              <w:ind w:left="43"/>
              <w:rPr>
                <w:szCs w:val="22"/>
                <w:lang w:val="ru-RU"/>
              </w:rPr>
            </w:pPr>
            <w:r>
              <w:rPr>
                <w:szCs w:val="22"/>
                <w:lang w:val="ru-RU"/>
              </w:rPr>
              <w:t>Центр поддержки технологий и инноваций</w:t>
            </w:r>
          </w:p>
        </w:tc>
      </w:tr>
      <w:tr w:rsidR="00C46B12" w:rsidRPr="00DF27E3" w14:paraId="3DF34D6A" w14:textId="77777777" w:rsidTr="002670C4">
        <w:trPr>
          <w:trHeight w:val="340"/>
        </w:trPr>
        <w:tc>
          <w:tcPr>
            <w:tcW w:w="1701" w:type="dxa"/>
          </w:tcPr>
          <w:p w14:paraId="03A83E47" w14:textId="187247C3" w:rsidR="00C46B12" w:rsidRPr="00913CE2" w:rsidRDefault="00B67F6E" w:rsidP="002670C4">
            <w:pPr>
              <w:ind w:left="43"/>
              <w:rPr>
                <w:b/>
                <w:szCs w:val="22"/>
              </w:rPr>
            </w:pPr>
            <w:r>
              <w:rPr>
                <w:b/>
                <w:szCs w:val="22"/>
                <w:lang w:val="ru-RU"/>
              </w:rPr>
              <w:t>ООН</w:t>
            </w:r>
          </w:p>
        </w:tc>
        <w:tc>
          <w:tcPr>
            <w:tcW w:w="7230" w:type="dxa"/>
          </w:tcPr>
          <w:p w14:paraId="6869CD3B" w14:textId="0FD90AB8" w:rsidR="00C46B12" w:rsidRPr="00DF27E3" w:rsidRDefault="00B67F6E" w:rsidP="002670C4">
            <w:pPr>
              <w:ind w:left="43"/>
              <w:rPr>
                <w:szCs w:val="22"/>
              </w:rPr>
            </w:pPr>
            <w:r>
              <w:rPr>
                <w:szCs w:val="22"/>
                <w:lang w:val="ru-RU"/>
              </w:rPr>
              <w:t xml:space="preserve">Организация Объединенных Наций </w:t>
            </w:r>
          </w:p>
        </w:tc>
      </w:tr>
      <w:tr w:rsidR="00C46B12" w:rsidRPr="009C27E1" w14:paraId="2F74AE11" w14:textId="77777777" w:rsidTr="002670C4">
        <w:trPr>
          <w:trHeight w:val="340"/>
        </w:trPr>
        <w:tc>
          <w:tcPr>
            <w:tcW w:w="1701" w:type="dxa"/>
          </w:tcPr>
          <w:p w14:paraId="39EDB473" w14:textId="6D0048E8" w:rsidR="00C46B12" w:rsidRPr="00913CE2" w:rsidRDefault="00B67F6E" w:rsidP="002670C4">
            <w:pPr>
              <w:ind w:left="43"/>
              <w:rPr>
                <w:b/>
                <w:szCs w:val="22"/>
              </w:rPr>
            </w:pPr>
            <w:r>
              <w:rPr>
                <w:b/>
                <w:szCs w:val="22"/>
                <w:lang w:val="ru-RU"/>
              </w:rPr>
              <w:t>ЮНЕГ</w:t>
            </w:r>
          </w:p>
        </w:tc>
        <w:tc>
          <w:tcPr>
            <w:tcW w:w="7230" w:type="dxa"/>
          </w:tcPr>
          <w:p w14:paraId="6F306A8E" w14:textId="124D3C78" w:rsidR="00C46B12" w:rsidRPr="00B67F6E" w:rsidRDefault="00B67F6E" w:rsidP="002670C4">
            <w:pPr>
              <w:ind w:left="43"/>
              <w:rPr>
                <w:szCs w:val="22"/>
                <w:lang w:val="ru-RU"/>
              </w:rPr>
            </w:pPr>
            <w:r>
              <w:rPr>
                <w:szCs w:val="22"/>
                <w:lang w:val="ru-RU"/>
              </w:rPr>
              <w:t xml:space="preserve">Группа Организации Объединенных Наций по оценке </w:t>
            </w:r>
          </w:p>
        </w:tc>
      </w:tr>
      <w:tr w:rsidR="00C46B12" w:rsidRPr="009C27E1" w14:paraId="74937B69" w14:textId="77777777" w:rsidTr="002670C4">
        <w:trPr>
          <w:trHeight w:val="340"/>
        </w:trPr>
        <w:tc>
          <w:tcPr>
            <w:tcW w:w="1701" w:type="dxa"/>
          </w:tcPr>
          <w:p w14:paraId="2A468BFB" w14:textId="58E27676" w:rsidR="00C46B12" w:rsidRPr="00913CE2" w:rsidRDefault="00B67F6E" w:rsidP="002670C4">
            <w:pPr>
              <w:ind w:left="43"/>
              <w:rPr>
                <w:b/>
                <w:szCs w:val="22"/>
              </w:rPr>
            </w:pPr>
            <w:r w:rsidRPr="00B67F6E">
              <w:rPr>
                <w:b/>
                <w:szCs w:val="22"/>
                <w:lang w:val="ru-RU"/>
              </w:rPr>
              <w:t>ПСВА ООН</w:t>
            </w:r>
            <w:r w:rsidRPr="00B67F6E">
              <w:rPr>
                <w:b/>
                <w:szCs w:val="22"/>
              </w:rPr>
              <w:t xml:space="preserve"> </w:t>
            </w:r>
          </w:p>
        </w:tc>
        <w:tc>
          <w:tcPr>
            <w:tcW w:w="7230" w:type="dxa"/>
          </w:tcPr>
          <w:p w14:paraId="6F74F2CC" w14:textId="6E815003" w:rsidR="00C46B12" w:rsidRPr="00B67F6E" w:rsidRDefault="00B67F6E" w:rsidP="002670C4">
            <w:pPr>
              <w:ind w:left="43"/>
              <w:rPr>
                <w:szCs w:val="22"/>
                <w:lang w:val="ru-RU"/>
              </w:rPr>
            </w:pPr>
            <w:r w:rsidRPr="00B67F6E">
              <w:rPr>
                <w:szCs w:val="22"/>
                <w:lang w:val="ru-RU"/>
              </w:rPr>
              <w:t>Представители служб внутреннего аудита организаций системы О</w:t>
            </w:r>
            <w:r>
              <w:rPr>
                <w:szCs w:val="22"/>
                <w:lang w:val="ru-RU"/>
              </w:rPr>
              <w:t>рганизации</w:t>
            </w:r>
            <w:r w:rsidRPr="00B67F6E">
              <w:rPr>
                <w:szCs w:val="22"/>
                <w:lang w:val="ru-RU"/>
              </w:rPr>
              <w:t xml:space="preserve"> О</w:t>
            </w:r>
            <w:r>
              <w:rPr>
                <w:szCs w:val="22"/>
                <w:lang w:val="ru-RU"/>
              </w:rPr>
              <w:t xml:space="preserve">бъединенных </w:t>
            </w:r>
            <w:r w:rsidRPr="00B67F6E">
              <w:rPr>
                <w:szCs w:val="22"/>
                <w:lang w:val="ru-RU"/>
              </w:rPr>
              <w:t>Н</w:t>
            </w:r>
            <w:r>
              <w:rPr>
                <w:szCs w:val="22"/>
                <w:lang w:val="ru-RU"/>
              </w:rPr>
              <w:t>аций</w:t>
            </w:r>
          </w:p>
        </w:tc>
      </w:tr>
      <w:tr w:rsidR="00C46B12" w:rsidRPr="009C27E1" w14:paraId="52D2B07D" w14:textId="77777777" w:rsidTr="002670C4">
        <w:trPr>
          <w:trHeight w:val="340"/>
        </w:trPr>
        <w:tc>
          <w:tcPr>
            <w:tcW w:w="1701" w:type="dxa"/>
          </w:tcPr>
          <w:p w14:paraId="58F25C5C" w14:textId="1CCE18A6" w:rsidR="00C46B12" w:rsidRPr="00913CE2" w:rsidRDefault="00B67F6E" w:rsidP="002670C4">
            <w:pPr>
              <w:ind w:left="43"/>
              <w:rPr>
                <w:b/>
                <w:szCs w:val="22"/>
              </w:rPr>
            </w:pPr>
            <w:r w:rsidRPr="00B67F6E">
              <w:rPr>
                <w:b/>
                <w:szCs w:val="22"/>
                <w:lang w:val="ru-RU"/>
              </w:rPr>
              <w:t>ПСР ООН</w:t>
            </w:r>
            <w:r w:rsidRPr="00B67F6E">
              <w:rPr>
                <w:b/>
                <w:szCs w:val="22"/>
              </w:rPr>
              <w:t xml:space="preserve"> </w:t>
            </w:r>
          </w:p>
        </w:tc>
        <w:tc>
          <w:tcPr>
            <w:tcW w:w="7230" w:type="dxa"/>
          </w:tcPr>
          <w:p w14:paraId="64CE20F1" w14:textId="131955DB" w:rsidR="00C46B12" w:rsidRPr="00B67F6E" w:rsidRDefault="00B67F6E" w:rsidP="002670C4">
            <w:pPr>
              <w:ind w:left="43"/>
              <w:rPr>
                <w:szCs w:val="22"/>
                <w:lang w:val="ru-RU"/>
              </w:rPr>
            </w:pPr>
            <w:r>
              <w:rPr>
                <w:szCs w:val="22"/>
                <w:lang w:val="ru-RU"/>
              </w:rPr>
              <w:t>Представители</w:t>
            </w:r>
            <w:r w:rsidRPr="00B67F6E">
              <w:rPr>
                <w:szCs w:val="22"/>
                <w:lang w:val="ru-RU"/>
              </w:rPr>
              <w:t xml:space="preserve"> </w:t>
            </w:r>
            <w:r>
              <w:rPr>
                <w:szCs w:val="22"/>
                <w:lang w:val="ru-RU"/>
              </w:rPr>
              <w:t>служб</w:t>
            </w:r>
            <w:r w:rsidRPr="00B67F6E">
              <w:rPr>
                <w:szCs w:val="22"/>
                <w:lang w:val="ru-RU"/>
              </w:rPr>
              <w:t xml:space="preserve"> </w:t>
            </w:r>
            <w:r>
              <w:rPr>
                <w:szCs w:val="22"/>
                <w:lang w:val="ru-RU"/>
              </w:rPr>
              <w:t xml:space="preserve">расследований организаций системы Организации Объединенных Наций </w:t>
            </w:r>
          </w:p>
        </w:tc>
      </w:tr>
      <w:tr w:rsidR="007E5351" w:rsidRPr="00DF27E3" w14:paraId="42D9447B" w14:textId="77777777" w:rsidTr="002670C4">
        <w:trPr>
          <w:trHeight w:val="340"/>
        </w:trPr>
        <w:tc>
          <w:tcPr>
            <w:tcW w:w="1701" w:type="dxa"/>
          </w:tcPr>
          <w:p w14:paraId="77C99DAC" w14:textId="3CB18E53" w:rsidR="007E5351" w:rsidRDefault="00B67F6E" w:rsidP="002670C4">
            <w:pPr>
              <w:ind w:left="43"/>
              <w:rPr>
                <w:b/>
                <w:szCs w:val="22"/>
              </w:rPr>
            </w:pPr>
            <w:r>
              <w:rPr>
                <w:b/>
                <w:szCs w:val="22"/>
                <w:lang w:val="ru-RU"/>
              </w:rPr>
              <w:t xml:space="preserve">ОПД ООН </w:t>
            </w:r>
          </w:p>
        </w:tc>
        <w:tc>
          <w:tcPr>
            <w:tcW w:w="7230" w:type="dxa"/>
          </w:tcPr>
          <w:p w14:paraId="0CB2CFC4" w14:textId="68CF7593" w:rsidR="007E5351" w:rsidRPr="00DF27E3" w:rsidRDefault="00B67F6E" w:rsidP="007E5351">
            <w:pPr>
              <w:ind w:left="43"/>
              <w:rPr>
                <w:szCs w:val="22"/>
              </w:rPr>
            </w:pPr>
            <w:r>
              <w:rPr>
                <w:lang w:val="ru-RU"/>
              </w:rPr>
              <w:t>Общесистемный план действий ООН</w:t>
            </w:r>
          </w:p>
        </w:tc>
      </w:tr>
      <w:tr w:rsidR="00C46B12" w:rsidRPr="00B67F6E" w14:paraId="448084C1" w14:textId="77777777" w:rsidTr="002670C4">
        <w:trPr>
          <w:trHeight w:val="340"/>
        </w:trPr>
        <w:tc>
          <w:tcPr>
            <w:tcW w:w="1701" w:type="dxa"/>
          </w:tcPr>
          <w:p w14:paraId="2424F7F4" w14:textId="3B54D132" w:rsidR="00C46B12" w:rsidRPr="00913CE2" w:rsidRDefault="00B67F6E" w:rsidP="002670C4">
            <w:pPr>
              <w:ind w:left="43"/>
              <w:rPr>
                <w:b/>
                <w:szCs w:val="22"/>
              </w:rPr>
            </w:pPr>
            <w:r>
              <w:rPr>
                <w:b/>
                <w:szCs w:val="22"/>
                <w:lang w:val="ru-RU"/>
              </w:rPr>
              <w:t>ВОИС</w:t>
            </w:r>
          </w:p>
        </w:tc>
        <w:tc>
          <w:tcPr>
            <w:tcW w:w="7230" w:type="dxa"/>
          </w:tcPr>
          <w:p w14:paraId="39491A3E" w14:textId="6DA98AA8" w:rsidR="00C46B12" w:rsidRPr="00B67F6E" w:rsidRDefault="00B67F6E" w:rsidP="002670C4">
            <w:pPr>
              <w:ind w:left="43"/>
              <w:rPr>
                <w:szCs w:val="22"/>
                <w:lang w:val="ru-RU"/>
              </w:rPr>
            </w:pPr>
            <w:r>
              <w:rPr>
                <w:szCs w:val="22"/>
                <w:lang w:val="ru-RU"/>
              </w:rPr>
              <w:t>Всемирная</w:t>
            </w:r>
            <w:r w:rsidRPr="00B67F6E">
              <w:rPr>
                <w:szCs w:val="22"/>
                <w:lang w:val="ru-RU"/>
              </w:rPr>
              <w:t xml:space="preserve"> </w:t>
            </w:r>
            <w:r>
              <w:rPr>
                <w:szCs w:val="22"/>
                <w:lang w:val="ru-RU"/>
              </w:rPr>
              <w:t>организация</w:t>
            </w:r>
            <w:r w:rsidRPr="00B67F6E">
              <w:rPr>
                <w:szCs w:val="22"/>
                <w:lang w:val="ru-RU"/>
              </w:rPr>
              <w:t xml:space="preserve"> </w:t>
            </w:r>
            <w:r>
              <w:rPr>
                <w:szCs w:val="22"/>
                <w:lang w:val="ru-RU"/>
              </w:rPr>
              <w:t>интеллектуальной</w:t>
            </w:r>
            <w:r w:rsidRPr="00B67F6E">
              <w:rPr>
                <w:szCs w:val="22"/>
                <w:lang w:val="ru-RU"/>
              </w:rPr>
              <w:t xml:space="preserve"> </w:t>
            </w:r>
            <w:r>
              <w:rPr>
                <w:szCs w:val="22"/>
                <w:lang w:val="ru-RU"/>
              </w:rPr>
              <w:t>собственности</w:t>
            </w:r>
          </w:p>
        </w:tc>
      </w:tr>
    </w:tbl>
    <w:p w14:paraId="1171BDDA" w14:textId="77777777" w:rsidR="00C46B12" w:rsidRPr="00B67F6E" w:rsidRDefault="00C46B12" w:rsidP="00C46B12">
      <w:pPr>
        <w:rPr>
          <w:b/>
          <w:lang w:val="ru-RU"/>
        </w:rPr>
      </w:pPr>
      <w:bookmarkStart w:id="9" w:name="_Toc392160703"/>
      <w:bookmarkStart w:id="10" w:name="_Toc392160740"/>
      <w:bookmarkStart w:id="11" w:name="_Toc423530309"/>
      <w:bookmarkStart w:id="12" w:name="_Toc423533365"/>
      <w:bookmarkStart w:id="13" w:name="_Toc423533509"/>
      <w:bookmarkStart w:id="14" w:name="_Toc452648468"/>
      <w:r w:rsidRPr="00B67F6E">
        <w:rPr>
          <w:b/>
          <w:lang w:val="ru-RU"/>
        </w:rPr>
        <w:br w:type="page"/>
      </w:r>
    </w:p>
    <w:p w14:paraId="538D1096" w14:textId="5E3A129A" w:rsidR="00C46B12" w:rsidRPr="00186810" w:rsidRDefault="00B67F6E" w:rsidP="00C46B12">
      <w:pPr>
        <w:pStyle w:val="Heading1"/>
      </w:pPr>
      <w:bookmarkStart w:id="15" w:name="_Toc420663565"/>
      <w:bookmarkStart w:id="16" w:name="_Toc40299719"/>
      <w:bookmarkEnd w:id="9"/>
      <w:bookmarkEnd w:id="10"/>
      <w:bookmarkEnd w:id="11"/>
      <w:bookmarkEnd w:id="12"/>
      <w:bookmarkEnd w:id="13"/>
      <w:bookmarkEnd w:id="14"/>
      <w:r>
        <w:rPr>
          <w:lang w:val="ru-RU"/>
        </w:rPr>
        <w:lastRenderedPageBreak/>
        <w:t>справочная информация</w:t>
      </w:r>
      <w:bookmarkEnd w:id="15"/>
      <w:bookmarkEnd w:id="16"/>
    </w:p>
    <w:p w14:paraId="65C233C4" w14:textId="5DCD185A" w:rsidR="00C46B12" w:rsidRPr="00F504CE" w:rsidRDefault="00F504CE" w:rsidP="00F736B0">
      <w:pPr>
        <w:pStyle w:val="ONUME"/>
        <w:rPr>
          <w:lang w:val="ru-RU"/>
        </w:rPr>
      </w:pPr>
      <w:r w:rsidRPr="00F504CE">
        <w:rPr>
          <w:lang w:val="ru-RU"/>
        </w:rPr>
        <w:t>Задача Отдела внутреннего надзора (ОВН) ВОИС состоит в обеспечении независимого и эффективного внутреннего надзора в ВОИС в соответствии с положениями Устава внутреннего надзора (УВН).</w:t>
      </w:r>
    </w:p>
    <w:p w14:paraId="6648C7E8" w14:textId="26F59D34" w:rsidR="00C46B12" w:rsidRPr="00F504CE" w:rsidRDefault="00F504CE" w:rsidP="00F736B0">
      <w:pPr>
        <w:pStyle w:val="ONUME"/>
        <w:rPr>
          <w:lang w:val="ru-RU"/>
        </w:rPr>
      </w:pPr>
      <w:r>
        <w:rPr>
          <w:lang w:val="ru-RU"/>
        </w:rPr>
        <w:t>Согласно</w:t>
      </w:r>
      <w:r w:rsidRPr="00F504CE">
        <w:rPr>
          <w:lang w:val="ru-RU"/>
        </w:rPr>
        <w:t xml:space="preserve"> </w:t>
      </w:r>
      <w:r>
        <w:rPr>
          <w:lang w:val="ru-RU"/>
        </w:rPr>
        <w:t>требованиям</w:t>
      </w:r>
      <w:r w:rsidRPr="00F504CE">
        <w:rPr>
          <w:lang w:val="ru-RU"/>
        </w:rPr>
        <w:t xml:space="preserve"> </w:t>
      </w:r>
      <w:r>
        <w:rPr>
          <w:lang w:val="ru-RU"/>
        </w:rPr>
        <w:t>УВН</w:t>
      </w:r>
      <w:r w:rsidR="00C46B12">
        <w:rPr>
          <w:rStyle w:val="FootnoteReference"/>
        </w:rPr>
        <w:footnoteReference w:id="2"/>
      </w:r>
      <w:r w:rsidR="00C46B12" w:rsidRPr="00F504CE">
        <w:rPr>
          <w:lang w:val="ru-RU"/>
        </w:rPr>
        <w:t xml:space="preserve"> </w:t>
      </w:r>
      <w:bookmarkStart w:id="17" w:name="_Toc420663566"/>
      <w:bookmarkStart w:id="18" w:name="_Toc328920434"/>
      <w:r w:rsidRPr="00F504CE">
        <w:rPr>
          <w:lang w:val="ru-RU"/>
        </w:rPr>
        <w:t>Директор ОВН ежегодно представляет Генеральной Ассамблее ВОИС через Комитет по программе и бюджету (КПБ) сводный отчет. В годовом отчете содержится общий обзор деятельности по внутреннему надзору, проведенной в течение отчетного периода, включая охват и цели такой деятельности, сроки осуществления и достигнутый прогресс в выполнении рекомендаций в области внутреннего надзора.</w:t>
      </w:r>
      <w:r>
        <w:rPr>
          <w:lang w:val="ru-RU"/>
        </w:rPr>
        <w:t xml:space="preserve"> </w:t>
      </w:r>
    </w:p>
    <w:p w14:paraId="52FF791B" w14:textId="29F03823" w:rsidR="00F01160" w:rsidRPr="00CE0303" w:rsidRDefault="00F504CE" w:rsidP="00F01160">
      <w:pPr>
        <w:pStyle w:val="ONUME"/>
        <w:rPr>
          <w:lang w:val="ru-RU"/>
        </w:rPr>
      </w:pPr>
      <w:r>
        <w:rPr>
          <w:lang w:val="ru-RU"/>
        </w:rPr>
        <w:t>Следуя</w:t>
      </w:r>
      <w:r w:rsidRPr="00F504CE">
        <w:rPr>
          <w:lang w:val="ru-RU"/>
        </w:rPr>
        <w:t xml:space="preserve"> </w:t>
      </w:r>
      <w:r>
        <w:rPr>
          <w:lang w:val="ru-RU"/>
        </w:rPr>
        <w:t>одной</w:t>
      </w:r>
      <w:r w:rsidRPr="00F504CE">
        <w:rPr>
          <w:lang w:val="ru-RU"/>
        </w:rPr>
        <w:t xml:space="preserve"> </w:t>
      </w:r>
      <w:r>
        <w:rPr>
          <w:lang w:val="ru-RU"/>
        </w:rPr>
        <w:t>из</w:t>
      </w:r>
      <w:r w:rsidRPr="00F504CE">
        <w:rPr>
          <w:lang w:val="ru-RU"/>
        </w:rPr>
        <w:t xml:space="preserve"> </w:t>
      </w:r>
      <w:r>
        <w:rPr>
          <w:lang w:val="ru-RU"/>
        </w:rPr>
        <w:t>недавних</w:t>
      </w:r>
      <w:r w:rsidRPr="00F504CE">
        <w:rPr>
          <w:lang w:val="ru-RU"/>
        </w:rPr>
        <w:t xml:space="preserve"> </w:t>
      </w:r>
      <w:r>
        <w:rPr>
          <w:lang w:val="ru-RU"/>
        </w:rPr>
        <w:t>рекомендаций</w:t>
      </w:r>
      <w:r w:rsidRPr="00F504CE">
        <w:rPr>
          <w:lang w:val="ru-RU"/>
        </w:rPr>
        <w:t xml:space="preserve"> </w:t>
      </w:r>
      <w:r>
        <w:rPr>
          <w:lang w:val="ru-RU"/>
        </w:rPr>
        <w:t>внутренних</w:t>
      </w:r>
      <w:r w:rsidRPr="00F504CE">
        <w:rPr>
          <w:lang w:val="ru-RU"/>
        </w:rPr>
        <w:t xml:space="preserve"> </w:t>
      </w:r>
      <w:r>
        <w:rPr>
          <w:lang w:val="ru-RU"/>
        </w:rPr>
        <w:t>аудиторов</w:t>
      </w:r>
      <w:r w:rsidRPr="00F504CE">
        <w:rPr>
          <w:lang w:val="ru-RU"/>
        </w:rPr>
        <w:t xml:space="preserve">, </w:t>
      </w:r>
      <w:r>
        <w:rPr>
          <w:lang w:val="ru-RU"/>
        </w:rPr>
        <w:t>ОВН</w:t>
      </w:r>
      <w:r w:rsidRPr="00F504CE">
        <w:rPr>
          <w:lang w:val="ru-RU"/>
        </w:rPr>
        <w:t xml:space="preserve"> </w:t>
      </w:r>
      <w:r>
        <w:rPr>
          <w:lang w:val="ru-RU"/>
        </w:rPr>
        <w:t>видоизменил</w:t>
      </w:r>
      <w:r w:rsidRPr="00F504CE">
        <w:rPr>
          <w:lang w:val="ru-RU"/>
        </w:rPr>
        <w:t xml:space="preserve"> </w:t>
      </w:r>
      <w:r>
        <w:rPr>
          <w:lang w:val="ru-RU"/>
        </w:rPr>
        <w:t>период охвата</w:t>
      </w:r>
      <w:r w:rsidRPr="00F504CE">
        <w:rPr>
          <w:lang w:val="ru-RU"/>
        </w:rPr>
        <w:t xml:space="preserve"> </w:t>
      </w:r>
      <w:r>
        <w:rPr>
          <w:lang w:val="ru-RU"/>
        </w:rPr>
        <w:t>своего</w:t>
      </w:r>
      <w:r w:rsidRPr="00F504CE">
        <w:rPr>
          <w:lang w:val="ru-RU"/>
        </w:rPr>
        <w:t xml:space="preserve"> </w:t>
      </w:r>
      <w:r>
        <w:rPr>
          <w:lang w:val="ru-RU"/>
        </w:rPr>
        <w:t>годового</w:t>
      </w:r>
      <w:r w:rsidRPr="00F504CE">
        <w:rPr>
          <w:lang w:val="ru-RU"/>
        </w:rPr>
        <w:t xml:space="preserve"> </w:t>
      </w:r>
      <w:r>
        <w:rPr>
          <w:lang w:val="ru-RU"/>
        </w:rPr>
        <w:t>отчета</w:t>
      </w:r>
      <w:r w:rsidRPr="00F504CE">
        <w:rPr>
          <w:lang w:val="ru-RU"/>
        </w:rPr>
        <w:t xml:space="preserve">, </w:t>
      </w:r>
      <w:r>
        <w:rPr>
          <w:lang w:val="ru-RU"/>
        </w:rPr>
        <w:t>с</w:t>
      </w:r>
      <w:r w:rsidRPr="00F504CE">
        <w:rPr>
          <w:lang w:val="ru-RU"/>
        </w:rPr>
        <w:t xml:space="preserve"> </w:t>
      </w:r>
      <w:r>
        <w:rPr>
          <w:lang w:val="ru-RU"/>
        </w:rPr>
        <w:t>тем</w:t>
      </w:r>
      <w:r w:rsidRPr="00F504CE">
        <w:rPr>
          <w:lang w:val="ru-RU"/>
        </w:rPr>
        <w:t xml:space="preserve"> </w:t>
      </w:r>
      <w:r>
        <w:rPr>
          <w:lang w:val="ru-RU"/>
        </w:rPr>
        <w:t>чтобы</w:t>
      </w:r>
      <w:r w:rsidRPr="00F504CE">
        <w:rPr>
          <w:lang w:val="ru-RU"/>
        </w:rPr>
        <w:t xml:space="preserve"> </w:t>
      </w:r>
      <w:r>
        <w:rPr>
          <w:lang w:val="ru-RU"/>
        </w:rPr>
        <w:t>он</w:t>
      </w:r>
      <w:r w:rsidRPr="00F504CE">
        <w:rPr>
          <w:lang w:val="ru-RU"/>
        </w:rPr>
        <w:t xml:space="preserve"> </w:t>
      </w:r>
      <w:r>
        <w:rPr>
          <w:lang w:val="ru-RU"/>
        </w:rPr>
        <w:t>соответствовал</w:t>
      </w:r>
      <w:r w:rsidRPr="00F504CE">
        <w:rPr>
          <w:lang w:val="ru-RU"/>
        </w:rPr>
        <w:t xml:space="preserve"> </w:t>
      </w:r>
      <w:r>
        <w:rPr>
          <w:lang w:val="ru-RU"/>
        </w:rPr>
        <w:t>периодам охвата</w:t>
      </w:r>
      <w:r w:rsidRPr="00F504CE">
        <w:rPr>
          <w:lang w:val="ru-RU"/>
        </w:rPr>
        <w:t xml:space="preserve"> </w:t>
      </w:r>
      <w:r>
        <w:rPr>
          <w:lang w:val="ru-RU"/>
        </w:rPr>
        <w:t>финансового</w:t>
      </w:r>
      <w:r w:rsidRPr="00F504CE">
        <w:rPr>
          <w:lang w:val="ru-RU"/>
        </w:rPr>
        <w:t xml:space="preserve"> </w:t>
      </w:r>
      <w:r>
        <w:rPr>
          <w:lang w:val="ru-RU"/>
        </w:rPr>
        <w:t>отчета</w:t>
      </w:r>
      <w:r w:rsidRPr="00F504CE">
        <w:rPr>
          <w:lang w:val="ru-RU"/>
        </w:rPr>
        <w:t xml:space="preserve"> </w:t>
      </w:r>
      <w:r>
        <w:rPr>
          <w:lang w:val="ru-RU"/>
        </w:rPr>
        <w:t>и</w:t>
      </w:r>
      <w:r w:rsidRPr="00F504CE">
        <w:rPr>
          <w:lang w:val="ru-RU"/>
        </w:rPr>
        <w:t xml:space="preserve"> </w:t>
      </w:r>
      <w:r>
        <w:rPr>
          <w:lang w:val="ru-RU"/>
        </w:rPr>
        <w:t xml:space="preserve">годового </w:t>
      </w:r>
      <w:r w:rsidRPr="00F504CE">
        <w:rPr>
          <w:lang w:val="ru-RU"/>
        </w:rPr>
        <w:t xml:space="preserve">заявления о состоянии системы внутреннего контроля </w:t>
      </w:r>
      <w:r w:rsidR="00951CE5">
        <w:rPr>
          <w:lang w:val="ru-RU"/>
        </w:rPr>
        <w:t xml:space="preserve">(январь-декабрь). </w:t>
      </w:r>
      <w:r w:rsidRPr="00F504CE">
        <w:rPr>
          <w:lang w:val="ru-RU"/>
        </w:rPr>
        <w:t xml:space="preserve"> </w:t>
      </w:r>
      <w:r w:rsidR="00951CE5">
        <w:rPr>
          <w:lang w:val="ru-RU"/>
        </w:rPr>
        <w:t>Таким</w:t>
      </w:r>
      <w:r w:rsidR="00951CE5" w:rsidRPr="00951CE5">
        <w:rPr>
          <w:lang w:val="ru-RU"/>
        </w:rPr>
        <w:t xml:space="preserve"> </w:t>
      </w:r>
      <w:r w:rsidR="00951CE5">
        <w:rPr>
          <w:lang w:val="ru-RU"/>
        </w:rPr>
        <w:t>образом</w:t>
      </w:r>
      <w:r w:rsidR="00951CE5" w:rsidRPr="00951CE5">
        <w:rPr>
          <w:lang w:val="ru-RU"/>
        </w:rPr>
        <w:t xml:space="preserve">, </w:t>
      </w:r>
      <w:r w:rsidR="00951CE5">
        <w:rPr>
          <w:lang w:val="ru-RU"/>
        </w:rPr>
        <w:t>настоящий</w:t>
      </w:r>
      <w:r w:rsidR="00951CE5" w:rsidRPr="00951CE5">
        <w:rPr>
          <w:lang w:val="ru-RU"/>
        </w:rPr>
        <w:t xml:space="preserve"> </w:t>
      </w:r>
      <w:r w:rsidR="00951CE5">
        <w:rPr>
          <w:lang w:val="ru-RU"/>
        </w:rPr>
        <w:t>отчет</w:t>
      </w:r>
      <w:r w:rsidR="00951CE5" w:rsidRPr="00951CE5">
        <w:rPr>
          <w:lang w:val="ru-RU"/>
        </w:rPr>
        <w:t xml:space="preserve"> </w:t>
      </w:r>
      <w:r w:rsidR="00951CE5">
        <w:rPr>
          <w:lang w:val="ru-RU"/>
        </w:rPr>
        <w:t>охватывает</w:t>
      </w:r>
      <w:r w:rsidR="00951CE5" w:rsidRPr="00951CE5">
        <w:rPr>
          <w:lang w:val="ru-RU"/>
        </w:rPr>
        <w:t xml:space="preserve"> </w:t>
      </w:r>
      <w:r w:rsidR="00951CE5">
        <w:rPr>
          <w:lang w:val="ru-RU"/>
        </w:rPr>
        <w:t>период</w:t>
      </w:r>
      <w:r w:rsidR="00951CE5" w:rsidRPr="00951CE5">
        <w:rPr>
          <w:lang w:val="ru-RU"/>
        </w:rPr>
        <w:t xml:space="preserve"> </w:t>
      </w:r>
      <w:r w:rsidR="00951CE5">
        <w:rPr>
          <w:lang w:val="ru-RU"/>
        </w:rPr>
        <w:t>с</w:t>
      </w:r>
      <w:r w:rsidR="00951CE5" w:rsidRPr="00951CE5">
        <w:rPr>
          <w:lang w:val="ru-RU"/>
        </w:rPr>
        <w:t xml:space="preserve"> </w:t>
      </w:r>
      <w:r w:rsidR="00951CE5">
        <w:rPr>
          <w:lang w:val="ru-RU"/>
        </w:rPr>
        <w:t>июля</w:t>
      </w:r>
      <w:r w:rsidR="00951CE5" w:rsidRPr="00951CE5">
        <w:rPr>
          <w:lang w:val="ru-RU"/>
        </w:rPr>
        <w:t xml:space="preserve"> </w:t>
      </w:r>
      <w:r w:rsidR="00951CE5">
        <w:rPr>
          <w:lang w:val="ru-RU"/>
        </w:rPr>
        <w:t>по</w:t>
      </w:r>
      <w:r w:rsidR="00951CE5" w:rsidRPr="00951CE5">
        <w:rPr>
          <w:lang w:val="ru-RU"/>
        </w:rPr>
        <w:t xml:space="preserve"> </w:t>
      </w:r>
      <w:r w:rsidR="00951CE5">
        <w:rPr>
          <w:lang w:val="ru-RU"/>
        </w:rPr>
        <w:t>декабрь</w:t>
      </w:r>
      <w:r w:rsidR="00951CE5" w:rsidRPr="00951CE5">
        <w:rPr>
          <w:lang w:val="ru-RU"/>
        </w:rPr>
        <w:t xml:space="preserve"> 2019 </w:t>
      </w:r>
      <w:r w:rsidR="00951CE5">
        <w:rPr>
          <w:lang w:val="ru-RU"/>
        </w:rPr>
        <w:t>г</w:t>
      </w:r>
      <w:r w:rsidR="00951CE5" w:rsidRPr="00951CE5">
        <w:rPr>
          <w:lang w:val="ru-RU"/>
        </w:rPr>
        <w:t xml:space="preserve">., </w:t>
      </w:r>
      <w:r w:rsidR="00951CE5">
        <w:rPr>
          <w:lang w:val="ru-RU"/>
        </w:rPr>
        <w:t>а</w:t>
      </w:r>
      <w:r w:rsidR="00951CE5" w:rsidRPr="00951CE5">
        <w:rPr>
          <w:lang w:val="ru-RU"/>
        </w:rPr>
        <w:t xml:space="preserve"> 2020 </w:t>
      </w:r>
      <w:r w:rsidR="00951CE5">
        <w:rPr>
          <w:lang w:val="ru-RU"/>
        </w:rPr>
        <w:t>г</w:t>
      </w:r>
      <w:r w:rsidR="00951CE5" w:rsidRPr="00951CE5">
        <w:rPr>
          <w:lang w:val="ru-RU"/>
        </w:rPr>
        <w:t xml:space="preserve">. </w:t>
      </w:r>
      <w:r w:rsidR="00951CE5">
        <w:rPr>
          <w:lang w:val="ru-RU"/>
        </w:rPr>
        <w:t>будет</w:t>
      </w:r>
      <w:r w:rsidR="00951CE5" w:rsidRPr="00951CE5">
        <w:rPr>
          <w:lang w:val="ru-RU"/>
        </w:rPr>
        <w:t xml:space="preserve"> </w:t>
      </w:r>
      <w:r w:rsidR="00951CE5">
        <w:rPr>
          <w:lang w:val="ru-RU"/>
        </w:rPr>
        <w:t>полностью</w:t>
      </w:r>
      <w:r w:rsidR="00951CE5" w:rsidRPr="00951CE5">
        <w:rPr>
          <w:lang w:val="ru-RU"/>
        </w:rPr>
        <w:t xml:space="preserve"> </w:t>
      </w:r>
      <w:r w:rsidR="00951CE5">
        <w:rPr>
          <w:lang w:val="ru-RU"/>
        </w:rPr>
        <w:t>охвачен</w:t>
      </w:r>
      <w:r w:rsidR="00951CE5" w:rsidRPr="00951CE5">
        <w:rPr>
          <w:lang w:val="ru-RU"/>
        </w:rPr>
        <w:t xml:space="preserve"> </w:t>
      </w:r>
      <w:r w:rsidR="00951CE5">
        <w:rPr>
          <w:lang w:val="ru-RU"/>
        </w:rPr>
        <w:t>следующим</w:t>
      </w:r>
      <w:r w:rsidR="00951CE5" w:rsidRPr="00951CE5">
        <w:rPr>
          <w:lang w:val="ru-RU"/>
        </w:rPr>
        <w:t xml:space="preserve"> </w:t>
      </w:r>
      <w:r w:rsidR="00951CE5">
        <w:rPr>
          <w:lang w:val="ru-RU"/>
        </w:rPr>
        <w:t xml:space="preserve">докладом. </w:t>
      </w:r>
    </w:p>
    <w:p w14:paraId="2DD5DA6D" w14:textId="223DC627" w:rsidR="00C46B12" w:rsidRPr="00CE0303" w:rsidRDefault="00951CE5" w:rsidP="00F736B0">
      <w:pPr>
        <w:pStyle w:val="ONUME"/>
        <w:rPr>
          <w:b/>
          <w:bCs/>
          <w:caps/>
          <w:kern w:val="32"/>
          <w:szCs w:val="32"/>
          <w:lang w:val="ru-RU"/>
        </w:rPr>
      </w:pPr>
      <w:r w:rsidRPr="00951CE5">
        <w:rPr>
          <w:lang w:val="ru-RU"/>
        </w:rPr>
        <w:t xml:space="preserve">В соответствии с УВН проект годового отчета </w:t>
      </w:r>
      <w:r>
        <w:rPr>
          <w:lang w:val="ru-RU"/>
        </w:rPr>
        <w:t xml:space="preserve">был </w:t>
      </w:r>
      <w:r w:rsidRPr="00951CE5">
        <w:rPr>
          <w:lang w:val="ru-RU"/>
        </w:rPr>
        <w:t>пред</w:t>
      </w:r>
      <w:r>
        <w:rPr>
          <w:lang w:val="ru-RU"/>
        </w:rPr>
        <w:t>о</w:t>
      </w:r>
      <w:r w:rsidRPr="00951CE5">
        <w:rPr>
          <w:lang w:val="ru-RU"/>
        </w:rPr>
        <w:t>ставл</w:t>
      </w:r>
      <w:r>
        <w:rPr>
          <w:lang w:val="ru-RU"/>
        </w:rPr>
        <w:t>ен</w:t>
      </w:r>
      <w:r w:rsidRPr="00951CE5">
        <w:rPr>
          <w:lang w:val="ru-RU"/>
        </w:rPr>
        <w:t xml:space="preserve"> Генеральному директору и Независимому консультативному комитету по надзору (НККН) для комментариев</w:t>
      </w:r>
      <w:r>
        <w:rPr>
          <w:lang w:val="ru-RU"/>
        </w:rPr>
        <w:t>, которые были приняты во внимание на завершающем этапе работы над</w:t>
      </w:r>
      <w:r w:rsidRPr="00951CE5">
        <w:rPr>
          <w:lang w:val="ru-RU"/>
        </w:rPr>
        <w:t xml:space="preserve"> отчетом. </w:t>
      </w:r>
    </w:p>
    <w:p w14:paraId="0029445E" w14:textId="6325EC7A" w:rsidR="00C46B12" w:rsidRPr="00951CE5" w:rsidRDefault="00951CE5" w:rsidP="00C46B12">
      <w:pPr>
        <w:pStyle w:val="Heading1"/>
        <w:rPr>
          <w:lang w:val="ru-RU"/>
        </w:rPr>
      </w:pPr>
      <w:bookmarkStart w:id="19" w:name="_Toc11683737"/>
      <w:bookmarkStart w:id="20" w:name="_Toc40299720"/>
      <w:r w:rsidRPr="00951CE5">
        <w:rPr>
          <w:lang w:val="ru-RU"/>
        </w:rPr>
        <w:t>НЕКОТОРЫЕ КЛЮЧЕВЫЕ МОМЕНТЫ РАССМАТРИВАЕМОГО ПЕРИОДА</w:t>
      </w:r>
      <w:bookmarkEnd w:id="19"/>
      <w:bookmarkEnd w:id="20"/>
    </w:p>
    <w:p w14:paraId="4A30898A" w14:textId="182B9B5B" w:rsidR="00C46B12" w:rsidRPr="00A61AD6" w:rsidRDefault="00951CE5" w:rsidP="00F736B0">
      <w:pPr>
        <w:pStyle w:val="ONUME"/>
        <w:rPr>
          <w:lang w:val="ru-RU"/>
        </w:rPr>
      </w:pPr>
      <w:r w:rsidRPr="00951CE5">
        <w:rPr>
          <w:lang w:val="ru-RU"/>
        </w:rPr>
        <w:t xml:space="preserve">ОВН продолжает поддерживать ВОИС в укреплении контроля, подотчетности, прозрачности и </w:t>
      </w:r>
      <w:r w:rsidR="00A61AD6">
        <w:rPr>
          <w:lang w:val="ru-RU"/>
        </w:rPr>
        <w:t>профессиональной подготовки</w:t>
      </w:r>
      <w:r w:rsidRPr="00951CE5">
        <w:rPr>
          <w:lang w:val="ru-RU"/>
        </w:rPr>
        <w:t xml:space="preserve"> посредством внедрения инновационных и </w:t>
      </w:r>
      <w:r>
        <w:rPr>
          <w:lang w:val="ru-RU"/>
        </w:rPr>
        <w:t>адекватных</w:t>
      </w:r>
      <w:r w:rsidRPr="00951CE5">
        <w:rPr>
          <w:lang w:val="ru-RU"/>
        </w:rPr>
        <w:t xml:space="preserve"> инструментов и практик, которые помогают ВОИС, среди прочего, двигаться в сторону обеспечения высочайших стандартов в области управления рисками и реализации программ.</w:t>
      </w:r>
      <w:r>
        <w:rPr>
          <w:lang w:val="ru-RU"/>
        </w:rPr>
        <w:t xml:space="preserve"> </w:t>
      </w:r>
    </w:p>
    <w:p w14:paraId="4319403C" w14:textId="0124E3C6" w:rsidR="00C46B12" w:rsidRPr="00CE0303" w:rsidRDefault="005D7110" w:rsidP="00F736B0">
      <w:pPr>
        <w:pStyle w:val="ONUME"/>
        <w:rPr>
          <w:lang w:val="ru-RU"/>
        </w:rPr>
      </w:pPr>
      <w:r>
        <w:rPr>
          <w:lang w:val="ru-RU"/>
        </w:rPr>
        <w:t>Компьютеризованная</w:t>
      </w:r>
      <w:r w:rsidRPr="005D7110">
        <w:rPr>
          <w:lang w:val="ru-RU"/>
        </w:rPr>
        <w:t xml:space="preserve"> </w:t>
      </w:r>
      <w:r>
        <w:rPr>
          <w:lang w:val="ru-RU"/>
        </w:rPr>
        <w:t>Система</w:t>
      </w:r>
      <w:r w:rsidRPr="005D7110">
        <w:rPr>
          <w:lang w:val="ru-RU"/>
        </w:rPr>
        <w:t xml:space="preserve"> </w:t>
      </w:r>
      <w:r>
        <w:rPr>
          <w:lang w:val="ru-RU"/>
        </w:rPr>
        <w:t>Управления</w:t>
      </w:r>
      <w:r w:rsidRPr="005D7110">
        <w:rPr>
          <w:lang w:val="ru-RU"/>
        </w:rPr>
        <w:t xml:space="preserve"> </w:t>
      </w:r>
      <w:r>
        <w:rPr>
          <w:lang w:val="ru-RU"/>
        </w:rPr>
        <w:t>делами</w:t>
      </w:r>
      <w:r w:rsidRPr="005D7110">
        <w:rPr>
          <w:lang w:val="ru-RU"/>
        </w:rPr>
        <w:t xml:space="preserve"> (</w:t>
      </w:r>
      <w:r>
        <w:rPr>
          <w:lang w:val="ru-RU"/>
        </w:rPr>
        <w:t>СУД</w:t>
      </w:r>
      <w:r w:rsidRPr="005D7110">
        <w:rPr>
          <w:lang w:val="ru-RU"/>
        </w:rPr>
        <w:t xml:space="preserve">), </w:t>
      </w:r>
      <w:r>
        <w:rPr>
          <w:lang w:val="ru-RU"/>
        </w:rPr>
        <w:t>которая</w:t>
      </w:r>
      <w:r w:rsidRPr="005D7110">
        <w:rPr>
          <w:lang w:val="ru-RU"/>
        </w:rPr>
        <w:t xml:space="preserve"> </w:t>
      </w:r>
      <w:r>
        <w:rPr>
          <w:lang w:val="ru-RU"/>
        </w:rPr>
        <w:t>была</w:t>
      </w:r>
      <w:r w:rsidRPr="005D7110">
        <w:rPr>
          <w:lang w:val="ru-RU"/>
        </w:rPr>
        <w:t xml:space="preserve"> </w:t>
      </w:r>
      <w:r>
        <w:rPr>
          <w:lang w:val="ru-RU"/>
        </w:rPr>
        <w:t>разработана</w:t>
      </w:r>
      <w:r w:rsidRPr="005D7110">
        <w:rPr>
          <w:lang w:val="ru-RU"/>
        </w:rPr>
        <w:t xml:space="preserve"> </w:t>
      </w:r>
      <w:r>
        <w:rPr>
          <w:lang w:val="ru-RU"/>
        </w:rPr>
        <w:t>собственными</w:t>
      </w:r>
      <w:r w:rsidRPr="005D7110">
        <w:rPr>
          <w:lang w:val="ru-RU"/>
        </w:rPr>
        <w:t xml:space="preserve"> </w:t>
      </w:r>
      <w:r>
        <w:rPr>
          <w:lang w:val="ru-RU"/>
        </w:rPr>
        <w:t>силами</w:t>
      </w:r>
      <w:r w:rsidRPr="005D7110">
        <w:rPr>
          <w:lang w:val="ru-RU"/>
        </w:rPr>
        <w:t xml:space="preserve"> </w:t>
      </w:r>
      <w:r>
        <w:rPr>
          <w:lang w:val="ru-RU"/>
        </w:rPr>
        <w:t>и</w:t>
      </w:r>
      <w:r w:rsidRPr="005D7110">
        <w:rPr>
          <w:lang w:val="ru-RU"/>
        </w:rPr>
        <w:t xml:space="preserve"> </w:t>
      </w:r>
      <w:r>
        <w:rPr>
          <w:lang w:val="ru-RU"/>
        </w:rPr>
        <w:t>внедрена</w:t>
      </w:r>
      <w:r w:rsidRPr="005D7110">
        <w:rPr>
          <w:lang w:val="ru-RU"/>
        </w:rPr>
        <w:t xml:space="preserve"> </w:t>
      </w:r>
      <w:r>
        <w:rPr>
          <w:lang w:val="ru-RU"/>
        </w:rPr>
        <w:t>в</w:t>
      </w:r>
      <w:r w:rsidRPr="005D7110">
        <w:rPr>
          <w:lang w:val="ru-RU"/>
        </w:rPr>
        <w:t xml:space="preserve"> </w:t>
      </w:r>
      <w:r>
        <w:rPr>
          <w:lang w:val="ru-RU"/>
        </w:rPr>
        <w:t>Секции</w:t>
      </w:r>
      <w:r w:rsidRPr="005D7110">
        <w:rPr>
          <w:lang w:val="ru-RU"/>
        </w:rPr>
        <w:t xml:space="preserve"> </w:t>
      </w:r>
      <w:r>
        <w:rPr>
          <w:lang w:val="ru-RU"/>
        </w:rPr>
        <w:t>расследований</w:t>
      </w:r>
      <w:r w:rsidRPr="005D7110">
        <w:rPr>
          <w:lang w:val="ru-RU"/>
        </w:rPr>
        <w:t xml:space="preserve"> </w:t>
      </w:r>
      <w:r>
        <w:rPr>
          <w:lang w:val="ru-RU"/>
        </w:rPr>
        <w:t>ОВН</w:t>
      </w:r>
      <w:r w:rsidRPr="005D7110">
        <w:rPr>
          <w:lang w:val="ru-RU"/>
        </w:rPr>
        <w:t xml:space="preserve"> </w:t>
      </w:r>
      <w:r>
        <w:rPr>
          <w:lang w:val="ru-RU"/>
        </w:rPr>
        <w:t>в</w:t>
      </w:r>
      <w:r w:rsidRPr="005D7110">
        <w:rPr>
          <w:lang w:val="ru-RU"/>
        </w:rPr>
        <w:t xml:space="preserve"> </w:t>
      </w:r>
      <w:r>
        <w:rPr>
          <w:lang w:val="ru-RU"/>
        </w:rPr>
        <w:t>начале</w:t>
      </w:r>
      <w:r w:rsidRPr="005D7110">
        <w:rPr>
          <w:lang w:val="ru-RU"/>
        </w:rPr>
        <w:t xml:space="preserve"> 2019 </w:t>
      </w:r>
      <w:r>
        <w:rPr>
          <w:lang w:val="ru-RU"/>
        </w:rPr>
        <w:t>г</w:t>
      </w:r>
      <w:r w:rsidRPr="005D7110">
        <w:rPr>
          <w:lang w:val="ru-RU"/>
        </w:rPr>
        <w:t xml:space="preserve">., </w:t>
      </w:r>
      <w:r>
        <w:rPr>
          <w:lang w:val="ru-RU"/>
        </w:rPr>
        <w:t>с</w:t>
      </w:r>
      <w:r w:rsidRPr="005D7110">
        <w:rPr>
          <w:lang w:val="ru-RU"/>
        </w:rPr>
        <w:t xml:space="preserve"> </w:t>
      </w:r>
      <w:r>
        <w:rPr>
          <w:lang w:val="ru-RU"/>
        </w:rPr>
        <w:t>тех</w:t>
      </w:r>
      <w:r w:rsidRPr="005D7110">
        <w:rPr>
          <w:lang w:val="ru-RU"/>
        </w:rPr>
        <w:t xml:space="preserve"> </w:t>
      </w:r>
      <w:r>
        <w:rPr>
          <w:lang w:val="ru-RU"/>
        </w:rPr>
        <w:t>пор</w:t>
      </w:r>
      <w:r w:rsidRPr="005D7110">
        <w:rPr>
          <w:lang w:val="ru-RU"/>
        </w:rPr>
        <w:t xml:space="preserve"> </w:t>
      </w:r>
      <w:r>
        <w:rPr>
          <w:lang w:val="ru-RU"/>
        </w:rPr>
        <w:t>постоянно</w:t>
      </w:r>
      <w:r w:rsidRPr="005D7110">
        <w:rPr>
          <w:lang w:val="ru-RU"/>
        </w:rPr>
        <w:t xml:space="preserve"> </w:t>
      </w:r>
      <w:r>
        <w:rPr>
          <w:lang w:val="ru-RU"/>
        </w:rPr>
        <w:t xml:space="preserve">используется. </w:t>
      </w:r>
      <w:r w:rsidRPr="005D7110">
        <w:rPr>
          <w:lang w:val="ru-RU"/>
        </w:rPr>
        <w:t xml:space="preserve"> СУД служит хранилищем для всех записей и документов, связанных с расследованиями. Эта система позволяет вести учет всех следственных мероприятий и способствует доступу к документам и доказательствам по каждому отдельному расследованию. В СУД также предусмотрен встроенный механизм контроля за своевременностью проведения следственных действий и соблюдением процедур, а также модуль отчетности о проделанной работе.</w:t>
      </w:r>
      <w:r>
        <w:rPr>
          <w:lang w:val="ru-RU"/>
        </w:rPr>
        <w:t xml:space="preserve"> </w:t>
      </w:r>
    </w:p>
    <w:p w14:paraId="3AC22280" w14:textId="08A5ABF8" w:rsidR="00C46B12" w:rsidRPr="00CE0303" w:rsidRDefault="00AD73BB" w:rsidP="00F736B0">
      <w:pPr>
        <w:pStyle w:val="ONUME"/>
        <w:rPr>
          <w:lang w:val="ru-RU"/>
        </w:rPr>
      </w:pPr>
      <w:r w:rsidRPr="00AD73BB">
        <w:rPr>
          <w:lang w:val="ru-RU"/>
        </w:rPr>
        <w:t xml:space="preserve">ОВН намерен поощрять обучение на рабочем месте посредством разработки онлайнового модуля для изучения того, как использовать оценки в качестве части управленческого цикла. Отдел расширяет свою роль в борьбе с мошенничеством и злоупотреблениями путем проведения </w:t>
      </w:r>
      <w:r>
        <w:rPr>
          <w:lang w:val="ru-RU"/>
        </w:rPr>
        <w:t>упреждающих</w:t>
      </w:r>
      <w:r w:rsidRPr="00AD73BB">
        <w:rPr>
          <w:lang w:val="ru-RU"/>
        </w:rPr>
        <w:t xml:space="preserve"> и профилактических мероприятий, включая участие в оценке рисков мошенничества, и разработки совместно с Бюро Контролера учебного модуля по повышению осведомленности о мошенничестве. </w:t>
      </w:r>
    </w:p>
    <w:p w14:paraId="44B26722" w14:textId="7E2F89C9" w:rsidR="00C46B12" w:rsidRPr="00A61AD6" w:rsidRDefault="00AD73BB" w:rsidP="008D6E1E">
      <w:pPr>
        <w:pStyle w:val="ONUME"/>
        <w:rPr>
          <w:lang w:val="ru-RU"/>
        </w:rPr>
      </w:pPr>
      <w:r w:rsidRPr="00AD73BB">
        <w:rPr>
          <w:lang w:val="ru-RU"/>
        </w:rPr>
        <w:t xml:space="preserve">ОВН </w:t>
      </w:r>
      <w:r>
        <w:rPr>
          <w:lang w:val="ru-RU"/>
        </w:rPr>
        <w:t>продолжил</w:t>
      </w:r>
      <w:r w:rsidRPr="00AD73BB">
        <w:rPr>
          <w:lang w:val="ru-RU"/>
        </w:rPr>
        <w:t xml:space="preserve"> проведение совместных мероприятий </w:t>
      </w:r>
      <w:r>
        <w:rPr>
          <w:lang w:val="ru-RU"/>
        </w:rPr>
        <w:t>с участием всех трех организационных подразделений Отдела, в том числе в целях</w:t>
      </w:r>
      <w:r w:rsidRPr="00AD73BB">
        <w:rPr>
          <w:lang w:val="ru-RU"/>
        </w:rPr>
        <w:t xml:space="preserve"> использования потенциала для согласования усилий, </w:t>
      </w:r>
      <w:r>
        <w:rPr>
          <w:lang w:val="ru-RU"/>
        </w:rPr>
        <w:t>недопущения</w:t>
      </w:r>
      <w:r w:rsidRPr="00AD73BB">
        <w:rPr>
          <w:lang w:val="ru-RU"/>
        </w:rPr>
        <w:t xml:space="preserve"> дублирования </w:t>
      </w:r>
      <w:r>
        <w:rPr>
          <w:lang w:val="ru-RU"/>
        </w:rPr>
        <w:t xml:space="preserve">в </w:t>
      </w:r>
      <w:r w:rsidRPr="00AD73BB">
        <w:rPr>
          <w:lang w:val="ru-RU"/>
        </w:rPr>
        <w:t>работ</w:t>
      </w:r>
      <w:r>
        <w:rPr>
          <w:lang w:val="ru-RU"/>
        </w:rPr>
        <w:t>е</w:t>
      </w:r>
      <w:r w:rsidRPr="00AD73BB">
        <w:rPr>
          <w:lang w:val="ru-RU"/>
        </w:rPr>
        <w:t xml:space="preserve"> и повышения эффективности. </w:t>
      </w:r>
      <w:r>
        <w:rPr>
          <w:lang w:val="ru-RU"/>
        </w:rPr>
        <w:t>В</w:t>
      </w:r>
      <w:r w:rsidRPr="00AD73BB">
        <w:rPr>
          <w:lang w:val="ru-RU"/>
        </w:rPr>
        <w:t xml:space="preserve"> </w:t>
      </w:r>
      <w:r>
        <w:rPr>
          <w:lang w:val="ru-RU"/>
        </w:rPr>
        <w:t>течение</w:t>
      </w:r>
      <w:r w:rsidRPr="00AD73BB">
        <w:rPr>
          <w:lang w:val="ru-RU"/>
        </w:rPr>
        <w:t xml:space="preserve"> </w:t>
      </w:r>
      <w:r>
        <w:rPr>
          <w:lang w:val="ru-RU"/>
        </w:rPr>
        <w:t>отчетного</w:t>
      </w:r>
      <w:r w:rsidRPr="00AD73BB">
        <w:rPr>
          <w:lang w:val="ru-RU"/>
        </w:rPr>
        <w:t xml:space="preserve"> </w:t>
      </w:r>
      <w:r>
        <w:rPr>
          <w:lang w:val="ru-RU"/>
        </w:rPr>
        <w:t>периода</w:t>
      </w:r>
      <w:r w:rsidRPr="00AD73BB">
        <w:rPr>
          <w:lang w:val="ru-RU"/>
        </w:rPr>
        <w:t xml:space="preserve"> </w:t>
      </w:r>
      <w:r>
        <w:rPr>
          <w:lang w:val="ru-RU"/>
        </w:rPr>
        <w:t>ОВН</w:t>
      </w:r>
      <w:r w:rsidRPr="00AD73BB">
        <w:rPr>
          <w:lang w:val="ru-RU"/>
        </w:rPr>
        <w:t xml:space="preserve"> </w:t>
      </w:r>
      <w:r>
        <w:rPr>
          <w:lang w:val="ru-RU"/>
        </w:rPr>
        <w:t>завершил</w:t>
      </w:r>
      <w:r w:rsidRPr="00AD73BB">
        <w:rPr>
          <w:lang w:val="ru-RU"/>
        </w:rPr>
        <w:t xml:space="preserve"> </w:t>
      </w:r>
      <w:r>
        <w:rPr>
          <w:lang w:val="ru-RU"/>
        </w:rPr>
        <w:t>проведение</w:t>
      </w:r>
      <w:r w:rsidRPr="00AD73BB">
        <w:rPr>
          <w:lang w:val="ru-RU"/>
        </w:rPr>
        <w:t xml:space="preserve"> </w:t>
      </w:r>
      <w:r>
        <w:rPr>
          <w:lang w:val="ru-RU"/>
        </w:rPr>
        <w:t>первой</w:t>
      </w:r>
      <w:r w:rsidRPr="00AD73BB">
        <w:rPr>
          <w:lang w:val="ru-RU"/>
        </w:rPr>
        <w:t xml:space="preserve"> совместн</w:t>
      </w:r>
      <w:r>
        <w:rPr>
          <w:lang w:val="ru-RU"/>
        </w:rPr>
        <w:t>ой</w:t>
      </w:r>
      <w:r w:rsidRPr="00AD73BB">
        <w:rPr>
          <w:lang w:val="ru-RU"/>
        </w:rPr>
        <w:t xml:space="preserve"> аудиторск</w:t>
      </w:r>
      <w:r>
        <w:rPr>
          <w:lang w:val="ru-RU"/>
        </w:rPr>
        <w:t>ой</w:t>
      </w:r>
      <w:r w:rsidRPr="00AD73BB">
        <w:rPr>
          <w:lang w:val="ru-RU"/>
        </w:rPr>
        <w:t xml:space="preserve"> проверк</w:t>
      </w:r>
      <w:r>
        <w:rPr>
          <w:lang w:val="ru-RU"/>
        </w:rPr>
        <w:t>и</w:t>
      </w:r>
      <w:r w:rsidRPr="00AD73BB">
        <w:rPr>
          <w:lang w:val="ru-RU"/>
        </w:rPr>
        <w:t xml:space="preserve"> и оценк</w:t>
      </w:r>
      <w:r>
        <w:rPr>
          <w:lang w:val="ru-RU"/>
        </w:rPr>
        <w:t>и</w:t>
      </w:r>
      <w:r w:rsidR="00A61AD6">
        <w:rPr>
          <w:lang w:val="ru-RU"/>
        </w:rPr>
        <w:t xml:space="preserve"> Политики ВОИС в области гендерного равенства</w:t>
      </w:r>
      <w:r w:rsidRPr="00AD73BB">
        <w:rPr>
          <w:lang w:val="ru-RU"/>
        </w:rPr>
        <w:t xml:space="preserve">, </w:t>
      </w:r>
      <w:r>
        <w:rPr>
          <w:lang w:val="ru-RU"/>
        </w:rPr>
        <w:t>по</w:t>
      </w:r>
      <w:r w:rsidRPr="00AD73BB">
        <w:rPr>
          <w:lang w:val="ru-RU"/>
        </w:rPr>
        <w:t xml:space="preserve"> </w:t>
      </w:r>
      <w:r>
        <w:rPr>
          <w:lang w:val="ru-RU"/>
        </w:rPr>
        <w:t>итогам</w:t>
      </w:r>
      <w:r w:rsidRPr="00AD73BB">
        <w:rPr>
          <w:lang w:val="ru-RU"/>
        </w:rPr>
        <w:t xml:space="preserve"> </w:t>
      </w:r>
      <w:r>
        <w:rPr>
          <w:lang w:val="ru-RU"/>
        </w:rPr>
        <w:t>которой</w:t>
      </w:r>
      <w:r w:rsidRPr="00AD73BB">
        <w:rPr>
          <w:lang w:val="ru-RU"/>
        </w:rPr>
        <w:t xml:space="preserve"> </w:t>
      </w:r>
      <w:r>
        <w:rPr>
          <w:lang w:val="ru-RU"/>
        </w:rPr>
        <w:t>в</w:t>
      </w:r>
      <w:r w:rsidRPr="00AD73BB">
        <w:rPr>
          <w:lang w:val="ru-RU"/>
        </w:rPr>
        <w:t xml:space="preserve"> </w:t>
      </w:r>
      <w:r>
        <w:rPr>
          <w:lang w:val="ru-RU"/>
        </w:rPr>
        <w:t>рамках</w:t>
      </w:r>
      <w:r w:rsidRPr="00AD73BB">
        <w:rPr>
          <w:lang w:val="ru-RU"/>
        </w:rPr>
        <w:t xml:space="preserve"> </w:t>
      </w:r>
      <w:r>
        <w:rPr>
          <w:lang w:val="ru-RU"/>
        </w:rPr>
        <w:t>отчетности</w:t>
      </w:r>
      <w:r w:rsidRPr="00AD73BB">
        <w:rPr>
          <w:lang w:val="ru-RU"/>
        </w:rPr>
        <w:t xml:space="preserve"> </w:t>
      </w:r>
      <w:r>
        <w:rPr>
          <w:lang w:val="ru-RU"/>
        </w:rPr>
        <w:t>за</w:t>
      </w:r>
      <w:r w:rsidRPr="00AD73BB">
        <w:rPr>
          <w:lang w:val="ru-RU"/>
        </w:rPr>
        <w:t xml:space="preserve"> 2019 </w:t>
      </w:r>
      <w:r>
        <w:rPr>
          <w:lang w:val="ru-RU"/>
        </w:rPr>
        <w:t>г</w:t>
      </w:r>
      <w:r w:rsidRPr="00AD73BB">
        <w:rPr>
          <w:lang w:val="ru-RU"/>
        </w:rPr>
        <w:t xml:space="preserve">. </w:t>
      </w:r>
      <w:r>
        <w:rPr>
          <w:lang w:val="ru-RU"/>
        </w:rPr>
        <w:t>ему</w:t>
      </w:r>
      <w:r w:rsidRPr="00AD73BB">
        <w:rPr>
          <w:lang w:val="ru-RU"/>
        </w:rPr>
        <w:t xml:space="preserve"> </w:t>
      </w:r>
      <w:r>
        <w:rPr>
          <w:lang w:val="ru-RU"/>
        </w:rPr>
        <w:t>был</w:t>
      </w:r>
      <w:r w:rsidRPr="00AD73BB">
        <w:rPr>
          <w:lang w:val="ru-RU"/>
        </w:rPr>
        <w:t xml:space="preserve"> </w:t>
      </w:r>
      <w:r>
        <w:rPr>
          <w:lang w:val="ru-RU"/>
        </w:rPr>
        <w:t>присвоен</w:t>
      </w:r>
      <w:r w:rsidRPr="00AD73BB">
        <w:rPr>
          <w:lang w:val="ru-RU"/>
        </w:rPr>
        <w:t xml:space="preserve"> </w:t>
      </w:r>
      <w:r>
        <w:rPr>
          <w:lang w:val="ru-RU"/>
        </w:rPr>
        <w:t>рейтинг</w:t>
      </w:r>
      <w:r w:rsidRPr="00AD73BB">
        <w:rPr>
          <w:lang w:val="ru-RU"/>
        </w:rPr>
        <w:t xml:space="preserve"> «</w:t>
      </w:r>
      <w:r>
        <w:rPr>
          <w:lang w:val="ru-RU"/>
        </w:rPr>
        <w:t>подразделения</w:t>
      </w:r>
      <w:r w:rsidRPr="00AD73BB">
        <w:rPr>
          <w:lang w:val="ru-RU"/>
        </w:rPr>
        <w:t xml:space="preserve">, </w:t>
      </w:r>
      <w:r>
        <w:rPr>
          <w:lang w:val="ru-RU"/>
        </w:rPr>
        <w:t>перевыполнившего</w:t>
      </w:r>
      <w:r w:rsidRPr="00AD73BB">
        <w:rPr>
          <w:lang w:val="ru-RU"/>
        </w:rPr>
        <w:t xml:space="preserve"> </w:t>
      </w:r>
      <w:r>
        <w:rPr>
          <w:lang w:val="ru-RU"/>
        </w:rPr>
        <w:t>требования</w:t>
      </w:r>
      <w:r w:rsidRPr="00AD73BB">
        <w:rPr>
          <w:lang w:val="ru-RU"/>
        </w:rPr>
        <w:t>» Общесистемн</w:t>
      </w:r>
      <w:r>
        <w:rPr>
          <w:lang w:val="ru-RU"/>
        </w:rPr>
        <w:t>ого</w:t>
      </w:r>
      <w:r w:rsidRPr="00AD73BB">
        <w:rPr>
          <w:lang w:val="ru-RU"/>
        </w:rPr>
        <w:t xml:space="preserve"> план</w:t>
      </w:r>
      <w:r>
        <w:rPr>
          <w:lang w:val="ru-RU"/>
        </w:rPr>
        <w:t>а</w:t>
      </w:r>
      <w:r w:rsidRPr="00AD73BB">
        <w:rPr>
          <w:lang w:val="ru-RU"/>
        </w:rPr>
        <w:t xml:space="preserve"> действий </w:t>
      </w:r>
      <w:r>
        <w:rPr>
          <w:lang w:val="ru-RU"/>
        </w:rPr>
        <w:t>О</w:t>
      </w:r>
      <w:r w:rsidR="00DC13DA">
        <w:rPr>
          <w:lang w:val="ru-RU"/>
        </w:rPr>
        <w:t xml:space="preserve">рганизации </w:t>
      </w:r>
      <w:r>
        <w:rPr>
          <w:lang w:val="ru-RU"/>
        </w:rPr>
        <w:t>О</w:t>
      </w:r>
      <w:r w:rsidR="00DC13DA">
        <w:rPr>
          <w:lang w:val="ru-RU"/>
        </w:rPr>
        <w:t xml:space="preserve">бъединенных </w:t>
      </w:r>
      <w:r>
        <w:rPr>
          <w:lang w:val="ru-RU"/>
        </w:rPr>
        <w:t>Н</w:t>
      </w:r>
      <w:r w:rsidR="00DC13DA">
        <w:rPr>
          <w:lang w:val="ru-RU"/>
        </w:rPr>
        <w:t>аций</w:t>
      </w:r>
      <w:r w:rsidRPr="00AD73BB">
        <w:rPr>
          <w:lang w:val="ru-RU"/>
        </w:rPr>
        <w:t xml:space="preserve"> по вопросам гендерного равенства и расширения </w:t>
      </w:r>
      <w:r w:rsidRPr="00AD73BB">
        <w:rPr>
          <w:lang w:val="ru-RU"/>
        </w:rPr>
        <w:lastRenderedPageBreak/>
        <w:t xml:space="preserve">прав и возможностей женщин </w:t>
      </w:r>
      <w:r>
        <w:rPr>
          <w:lang w:val="ru-RU"/>
        </w:rPr>
        <w:t>(ОПД ООН).  Кроме</w:t>
      </w:r>
      <w:r w:rsidRPr="005A6146">
        <w:rPr>
          <w:lang w:val="ru-RU"/>
        </w:rPr>
        <w:t xml:space="preserve"> </w:t>
      </w:r>
      <w:r>
        <w:rPr>
          <w:lang w:val="ru-RU"/>
        </w:rPr>
        <w:t>того</w:t>
      </w:r>
      <w:r w:rsidRPr="005A6146">
        <w:rPr>
          <w:lang w:val="ru-RU"/>
        </w:rPr>
        <w:t xml:space="preserve">, </w:t>
      </w:r>
      <w:r>
        <w:rPr>
          <w:lang w:val="ru-RU"/>
        </w:rPr>
        <w:t>ОВН</w:t>
      </w:r>
      <w:r w:rsidRPr="005A6146">
        <w:rPr>
          <w:lang w:val="ru-RU"/>
        </w:rPr>
        <w:t xml:space="preserve"> </w:t>
      </w:r>
      <w:r>
        <w:rPr>
          <w:lang w:val="ru-RU"/>
        </w:rPr>
        <w:t>завершил</w:t>
      </w:r>
      <w:r w:rsidRPr="005A6146">
        <w:rPr>
          <w:lang w:val="ru-RU"/>
        </w:rPr>
        <w:t xml:space="preserve"> </w:t>
      </w:r>
      <w:r>
        <w:rPr>
          <w:lang w:val="ru-RU"/>
        </w:rPr>
        <w:t>совместный</w:t>
      </w:r>
      <w:r w:rsidRPr="005A6146">
        <w:rPr>
          <w:lang w:val="ru-RU"/>
        </w:rPr>
        <w:t xml:space="preserve"> </w:t>
      </w:r>
      <w:r>
        <w:rPr>
          <w:lang w:val="ru-RU"/>
        </w:rPr>
        <w:t>аудит</w:t>
      </w:r>
      <w:r w:rsidRPr="005A6146">
        <w:rPr>
          <w:lang w:val="ru-RU"/>
        </w:rPr>
        <w:t xml:space="preserve"> </w:t>
      </w:r>
      <w:r>
        <w:rPr>
          <w:lang w:val="ru-RU"/>
        </w:rPr>
        <w:t>и</w:t>
      </w:r>
      <w:r w:rsidRPr="005A6146">
        <w:rPr>
          <w:lang w:val="ru-RU"/>
        </w:rPr>
        <w:t xml:space="preserve"> </w:t>
      </w:r>
      <w:r w:rsidR="00A61AD6">
        <w:rPr>
          <w:lang w:val="ru-RU"/>
        </w:rPr>
        <w:t>комплексный</w:t>
      </w:r>
      <w:r w:rsidR="005A6146" w:rsidRPr="005A6146">
        <w:rPr>
          <w:lang w:val="ru-RU"/>
        </w:rPr>
        <w:t xml:space="preserve"> </w:t>
      </w:r>
      <w:r w:rsidR="005A6146">
        <w:rPr>
          <w:lang w:val="ru-RU"/>
        </w:rPr>
        <w:t>обзор</w:t>
      </w:r>
      <w:r w:rsidR="005A6146" w:rsidRPr="005A6146">
        <w:rPr>
          <w:lang w:val="ru-RU"/>
        </w:rPr>
        <w:t xml:space="preserve"> </w:t>
      </w:r>
      <w:r w:rsidR="005A6146">
        <w:rPr>
          <w:lang w:val="ru-RU"/>
        </w:rPr>
        <w:t>в</w:t>
      </w:r>
      <w:r w:rsidR="005A6146" w:rsidRPr="005A6146">
        <w:rPr>
          <w:lang w:val="ru-RU"/>
        </w:rPr>
        <w:t xml:space="preserve"> </w:t>
      </w:r>
      <w:r w:rsidR="005A6146">
        <w:rPr>
          <w:lang w:val="ru-RU"/>
        </w:rPr>
        <w:t>сфере</w:t>
      </w:r>
      <w:r w:rsidR="005A6146" w:rsidRPr="005A6146">
        <w:rPr>
          <w:lang w:val="ru-RU"/>
        </w:rPr>
        <w:t xml:space="preserve"> </w:t>
      </w:r>
      <w:r w:rsidR="005A6146">
        <w:rPr>
          <w:lang w:val="ru-RU"/>
        </w:rPr>
        <w:t>льгот</w:t>
      </w:r>
      <w:r w:rsidR="005A6146" w:rsidRPr="005A6146">
        <w:rPr>
          <w:lang w:val="ru-RU"/>
        </w:rPr>
        <w:t xml:space="preserve"> </w:t>
      </w:r>
      <w:r w:rsidR="005A6146">
        <w:rPr>
          <w:lang w:val="ru-RU"/>
        </w:rPr>
        <w:t>и</w:t>
      </w:r>
      <w:r w:rsidR="005A6146" w:rsidRPr="005A6146">
        <w:rPr>
          <w:lang w:val="ru-RU"/>
        </w:rPr>
        <w:t xml:space="preserve"> </w:t>
      </w:r>
      <w:r w:rsidR="005A6146">
        <w:rPr>
          <w:lang w:val="ru-RU"/>
        </w:rPr>
        <w:t>пособий</w:t>
      </w:r>
      <w:r w:rsidR="005A6146" w:rsidRPr="005A6146">
        <w:rPr>
          <w:lang w:val="ru-RU"/>
        </w:rPr>
        <w:t xml:space="preserve">, </w:t>
      </w:r>
      <w:r w:rsidR="005A6146">
        <w:rPr>
          <w:lang w:val="ru-RU"/>
        </w:rPr>
        <w:t>к</w:t>
      </w:r>
      <w:r w:rsidR="005A6146" w:rsidRPr="005A6146">
        <w:rPr>
          <w:lang w:val="ru-RU"/>
        </w:rPr>
        <w:t xml:space="preserve"> </w:t>
      </w:r>
      <w:r w:rsidR="005A6146">
        <w:rPr>
          <w:lang w:val="ru-RU"/>
        </w:rPr>
        <w:t>которому</w:t>
      </w:r>
      <w:r w:rsidR="005A6146" w:rsidRPr="005A6146">
        <w:rPr>
          <w:lang w:val="ru-RU"/>
        </w:rPr>
        <w:t xml:space="preserve"> </w:t>
      </w:r>
      <w:r w:rsidR="005A6146">
        <w:rPr>
          <w:lang w:val="ru-RU"/>
        </w:rPr>
        <w:t>были</w:t>
      </w:r>
      <w:r w:rsidR="005A6146" w:rsidRPr="005A6146">
        <w:rPr>
          <w:lang w:val="ru-RU"/>
        </w:rPr>
        <w:t xml:space="preserve"> </w:t>
      </w:r>
      <w:r w:rsidR="005A6146">
        <w:rPr>
          <w:lang w:val="ru-RU"/>
        </w:rPr>
        <w:t>привлечены</w:t>
      </w:r>
      <w:r w:rsidR="005A6146" w:rsidRPr="005A6146">
        <w:rPr>
          <w:lang w:val="ru-RU"/>
        </w:rPr>
        <w:t xml:space="preserve"> </w:t>
      </w:r>
      <w:r w:rsidR="005A6146">
        <w:rPr>
          <w:lang w:val="ru-RU"/>
        </w:rPr>
        <w:t>квалифицированные специалисты из подразделений, занимающихся вопросами ревизий и расследований.</w:t>
      </w:r>
      <w:r w:rsidR="007E5351" w:rsidRPr="005A6146">
        <w:rPr>
          <w:lang w:val="ru-RU"/>
        </w:rPr>
        <w:t xml:space="preserve"> </w:t>
      </w:r>
      <w:r w:rsidR="00F01160" w:rsidRPr="005A6146">
        <w:rPr>
          <w:lang w:val="ru-RU"/>
        </w:rPr>
        <w:t xml:space="preserve"> </w:t>
      </w:r>
      <w:r w:rsidR="005A6146">
        <w:rPr>
          <w:lang w:val="ru-RU"/>
        </w:rPr>
        <w:t>Итоговый</w:t>
      </w:r>
      <w:r w:rsidR="005A6146" w:rsidRPr="00A61AD6">
        <w:rPr>
          <w:lang w:val="ru-RU"/>
        </w:rPr>
        <w:t xml:space="preserve"> </w:t>
      </w:r>
      <w:r w:rsidR="005A6146">
        <w:rPr>
          <w:lang w:val="ru-RU"/>
        </w:rPr>
        <w:t>доклад</w:t>
      </w:r>
      <w:r w:rsidR="005A6146" w:rsidRPr="00A61AD6">
        <w:rPr>
          <w:lang w:val="ru-RU"/>
        </w:rPr>
        <w:t xml:space="preserve"> </w:t>
      </w:r>
      <w:r w:rsidR="005A6146">
        <w:rPr>
          <w:lang w:val="ru-RU"/>
        </w:rPr>
        <w:t>будет</w:t>
      </w:r>
      <w:r w:rsidR="005A6146" w:rsidRPr="00A61AD6">
        <w:rPr>
          <w:lang w:val="ru-RU"/>
        </w:rPr>
        <w:t xml:space="preserve"> </w:t>
      </w:r>
      <w:r w:rsidR="00003341">
        <w:rPr>
          <w:lang w:val="ru-RU"/>
        </w:rPr>
        <w:t>о</w:t>
      </w:r>
      <w:r w:rsidR="005A6146">
        <w:rPr>
          <w:lang w:val="ru-RU"/>
        </w:rPr>
        <w:t>публикован</w:t>
      </w:r>
      <w:r w:rsidR="005A6146" w:rsidRPr="00A61AD6">
        <w:rPr>
          <w:lang w:val="ru-RU"/>
        </w:rPr>
        <w:t xml:space="preserve"> </w:t>
      </w:r>
      <w:r w:rsidR="005A6146">
        <w:rPr>
          <w:lang w:val="ru-RU"/>
        </w:rPr>
        <w:t>в</w:t>
      </w:r>
      <w:r w:rsidR="005A6146" w:rsidRPr="00A61AD6">
        <w:rPr>
          <w:lang w:val="ru-RU"/>
        </w:rPr>
        <w:t xml:space="preserve"> 2020 </w:t>
      </w:r>
      <w:r w:rsidR="005A6146">
        <w:rPr>
          <w:lang w:val="ru-RU"/>
        </w:rPr>
        <w:t>г</w:t>
      </w:r>
      <w:r w:rsidR="005A6146" w:rsidRPr="00A61AD6">
        <w:rPr>
          <w:lang w:val="ru-RU"/>
        </w:rPr>
        <w:t xml:space="preserve">.  </w:t>
      </w:r>
    </w:p>
    <w:p w14:paraId="0B2B6D01" w14:textId="066F88DF" w:rsidR="008D6E1E" w:rsidRPr="00CE0303" w:rsidRDefault="00003341" w:rsidP="008D6E1E">
      <w:pPr>
        <w:pStyle w:val="ONUME"/>
        <w:rPr>
          <w:lang w:val="ru-RU"/>
        </w:rPr>
      </w:pPr>
      <w:r>
        <w:rPr>
          <w:lang w:val="ru-RU"/>
        </w:rPr>
        <w:t>В</w:t>
      </w:r>
      <w:r w:rsidRPr="00A55DFF">
        <w:rPr>
          <w:lang w:val="ru-RU"/>
        </w:rPr>
        <w:t xml:space="preserve"> </w:t>
      </w:r>
      <w:r>
        <w:rPr>
          <w:lang w:val="ru-RU"/>
        </w:rPr>
        <w:t>рамках</w:t>
      </w:r>
      <w:r w:rsidRPr="00A55DFF">
        <w:rPr>
          <w:lang w:val="ru-RU"/>
        </w:rPr>
        <w:t xml:space="preserve"> </w:t>
      </w:r>
      <w:r>
        <w:rPr>
          <w:lang w:val="ru-RU"/>
        </w:rPr>
        <w:t>обеспечения</w:t>
      </w:r>
      <w:r w:rsidRPr="00A55DFF">
        <w:rPr>
          <w:lang w:val="ru-RU"/>
        </w:rPr>
        <w:t xml:space="preserve"> </w:t>
      </w:r>
      <w:r>
        <w:rPr>
          <w:lang w:val="ru-RU"/>
        </w:rPr>
        <w:t>контроля</w:t>
      </w:r>
      <w:r w:rsidRPr="00A55DFF">
        <w:rPr>
          <w:lang w:val="ru-RU"/>
        </w:rPr>
        <w:t xml:space="preserve"> </w:t>
      </w:r>
      <w:r>
        <w:rPr>
          <w:lang w:val="ru-RU"/>
        </w:rPr>
        <w:t>качества</w:t>
      </w:r>
      <w:r w:rsidRPr="00A55DFF">
        <w:rPr>
          <w:lang w:val="ru-RU"/>
        </w:rPr>
        <w:t xml:space="preserve"> </w:t>
      </w:r>
      <w:r w:rsidR="00A61AD6">
        <w:rPr>
          <w:lang w:val="ru-RU"/>
        </w:rPr>
        <w:t>функции</w:t>
      </w:r>
      <w:r w:rsidRPr="00A55DFF">
        <w:rPr>
          <w:lang w:val="ru-RU"/>
        </w:rPr>
        <w:t xml:space="preserve"> </w:t>
      </w:r>
      <w:r w:rsidR="00A61AD6">
        <w:rPr>
          <w:lang w:val="ru-RU"/>
        </w:rPr>
        <w:t xml:space="preserve">оценки </w:t>
      </w:r>
      <w:r>
        <w:rPr>
          <w:lang w:val="ru-RU"/>
        </w:rPr>
        <w:t>была</w:t>
      </w:r>
      <w:r w:rsidRPr="00A55DFF">
        <w:rPr>
          <w:lang w:val="ru-RU"/>
        </w:rPr>
        <w:t xml:space="preserve"> </w:t>
      </w:r>
      <w:r>
        <w:rPr>
          <w:lang w:val="ru-RU"/>
        </w:rPr>
        <w:t>проведена</w:t>
      </w:r>
      <w:r w:rsidRPr="00A55DFF">
        <w:rPr>
          <w:lang w:val="ru-RU"/>
        </w:rPr>
        <w:t xml:space="preserve"> </w:t>
      </w:r>
      <w:r>
        <w:rPr>
          <w:lang w:val="ru-RU"/>
        </w:rPr>
        <w:t>внешняя</w:t>
      </w:r>
      <w:r w:rsidRPr="00A55DFF">
        <w:rPr>
          <w:lang w:val="ru-RU"/>
        </w:rPr>
        <w:t xml:space="preserve"> </w:t>
      </w:r>
      <w:r>
        <w:rPr>
          <w:lang w:val="ru-RU"/>
        </w:rPr>
        <w:t>оценка</w:t>
      </w:r>
      <w:r w:rsidRPr="00A55DFF">
        <w:rPr>
          <w:lang w:val="ru-RU"/>
        </w:rPr>
        <w:t xml:space="preserve"> </w:t>
      </w:r>
      <w:r>
        <w:rPr>
          <w:lang w:val="ru-RU"/>
        </w:rPr>
        <w:t>качества</w:t>
      </w:r>
      <w:r w:rsidRPr="00A55DFF">
        <w:rPr>
          <w:lang w:val="ru-RU"/>
        </w:rPr>
        <w:t xml:space="preserve"> (</w:t>
      </w:r>
      <w:r>
        <w:rPr>
          <w:lang w:val="ru-RU"/>
        </w:rPr>
        <w:t>ВОК</w:t>
      </w:r>
      <w:r w:rsidRPr="00A55DFF">
        <w:rPr>
          <w:lang w:val="ru-RU"/>
        </w:rPr>
        <w:t xml:space="preserve">) </w:t>
      </w:r>
      <w:r>
        <w:rPr>
          <w:lang w:val="ru-RU"/>
        </w:rPr>
        <w:t>на</w:t>
      </w:r>
      <w:r w:rsidRPr="00A55DFF">
        <w:rPr>
          <w:lang w:val="ru-RU"/>
        </w:rPr>
        <w:t xml:space="preserve"> </w:t>
      </w:r>
      <w:r>
        <w:rPr>
          <w:lang w:val="ru-RU"/>
        </w:rPr>
        <w:t>предмет</w:t>
      </w:r>
      <w:r w:rsidRPr="00A55DFF">
        <w:rPr>
          <w:lang w:val="ru-RU"/>
        </w:rPr>
        <w:t xml:space="preserve"> </w:t>
      </w:r>
      <w:r>
        <w:rPr>
          <w:lang w:val="ru-RU"/>
        </w:rPr>
        <w:t>соответствия</w:t>
      </w:r>
      <w:r w:rsidRPr="00A55DFF">
        <w:rPr>
          <w:lang w:val="ru-RU"/>
        </w:rPr>
        <w:t xml:space="preserve"> </w:t>
      </w:r>
      <w:r>
        <w:rPr>
          <w:lang w:val="ru-RU"/>
        </w:rPr>
        <w:t>деятельности</w:t>
      </w:r>
      <w:r w:rsidRPr="00A55DFF">
        <w:rPr>
          <w:lang w:val="ru-RU"/>
        </w:rPr>
        <w:t xml:space="preserve"> </w:t>
      </w:r>
      <w:r>
        <w:rPr>
          <w:lang w:val="ru-RU"/>
        </w:rPr>
        <w:t>Секции</w:t>
      </w:r>
      <w:r w:rsidRPr="00A55DFF">
        <w:rPr>
          <w:lang w:val="ru-RU"/>
        </w:rPr>
        <w:t xml:space="preserve"> </w:t>
      </w:r>
      <w:r>
        <w:rPr>
          <w:lang w:val="ru-RU"/>
        </w:rPr>
        <w:t>оценки</w:t>
      </w:r>
      <w:r w:rsidRPr="00A55DFF">
        <w:rPr>
          <w:lang w:val="ru-RU"/>
        </w:rPr>
        <w:t xml:space="preserve"> </w:t>
      </w:r>
      <w:r>
        <w:rPr>
          <w:lang w:val="ru-RU"/>
        </w:rPr>
        <w:t>нормам</w:t>
      </w:r>
      <w:r w:rsidRPr="00A55DFF">
        <w:rPr>
          <w:lang w:val="ru-RU"/>
        </w:rPr>
        <w:t xml:space="preserve"> </w:t>
      </w:r>
      <w:r>
        <w:rPr>
          <w:lang w:val="ru-RU"/>
        </w:rPr>
        <w:t>и</w:t>
      </w:r>
      <w:r w:rsidRPr="00A55DFF">
        <w:rPr>
          <w:lang w:val="ru-RU"/>
        </w:rPr>
        <w:t xml:space="preserve"> </w:t>
      </w:r>
      <w:r>
        <w:rPr>
          <w:lang w:val="ru-RU"/>
        </w:rPr>
        <w:t>стандартам</w:t>
      </w:r>
      <w:r w:rsidRPr="00A55DFF">
        <w:rPr>
          <w:lang w:val="ru-RU"/>
        </w:rPr>
        <w:t xml:space="preserve"> </w:t>
      </w:r>
      <w:r>
        <w:rPr>
          <w:lang w:val="ru-RU"/>
        </w:rPr>
        <w:t>оценки</w:t>
      </w:r>
      <w:r w:rsidRPr="00A55DFF">
        <w:rPr>
          <w:lang w:val="ru-RU"/>
        </w:rPr>
        <w:t xml:space="preserve"> </w:t>
      </w:r>
      <w:r>
        <w:rPr>
          <w:lang w:val="ru-RU"/>
        </w:rPr>
        <w:t>в</w:t>
      </w:r>
      <w:r w:rsidRPr="00A55DFF">
        <w:rPr>
          <w:lang w:val="ru-RU"/>
        </w:rPr>
        <w:t xml:space="preserve"> </w:t>
      </w:r>
      <w:r>
        <w:rPr>
          <w:lang w:val="ru-RU"/>
        </w:rPr>
        <w:t>системе</w:t>
      </w:r>
      <w:r w:rsidRPr="00A55DFF">
        <w:rPr>
          <w:lang w:val="ru-RU"/>
        </w:rPr>
        <w:t xml:space="preserve"> </w:t>
      </w:r>
      <w:r>
        <w:rPr>
          <w:lang w:val="ru-RU"/>
        </w:rPr>
        <w:t>ООН</w:t>
      </w:r>
      <w:r w:rsidRPr="00A55DFF">
        <w:rPr>
          <w:lang w:val="ru-RU"/>
        </w:rPr>
        <w:t xml:space="preserve">, </w:t>
      </w:r>
      <w:r>
        <w:rPr>
          <w:lang w:val="ru-RU"/>
        </w:rPr>
        <w:t>применяемым</w:t>
      </w:r>
      <w:r w:rsidR="00A55DFF" w:rsidRPr="00A55DFF">
        <w:rPr>
          <w:lang w:val="ru-RU"/>
        </w:rPr>
        <w:t xml:space="preserve"> </w:t>
      </w:r>
      <w:r w:rsidR="00A55DFF">
        <w:rPr>
          <w:lang w:val="ru-RU"/>
        </w:rPr>
        <w:t>Группой</w:t>
      </w:r>
      <w:r w:rsidR="00A55DFF" w:rsidRPr="00A55DFF">
        <w:rPr>
          <w:lang w:val="ru-RU"/>
        </w:rPr>
        <w:t xml:space="preserve"> </w:t>
      </w:r>
      <w:r w:rsidR="00DC13DA">
        <w:rPr>
          <w:lang w:val="ru-RU"/>
        </w:rPr>
        <w:t>Организации Объединенных Наций (</w:t>
      </w:r>
      <w:r w:rsidR="00A55DFF">
        <w:rPr>
          <w:lang w:val="ru-RU"/>
        </w:rPr>
        <w:t>ООН</w:t>
      </w:r>
      <w:r w:rsidR="00DC13DA">
        <w:rPr>
          <w:lang w:val="ru-RU"/>
        </w:rPr>
        <w:t>)</w:t>
      </w:r>
      <w:r w:rsidR="00A55DFF" w:rsidRPr="00A55DFF">
        <w:rPr>
          <w:lang w:val="ru-RU"/>
        </w:rPr>
        <w:t xml:space="preserve"> </w:t>
      </w:r>
      <w:r w:rsidR="00A55DFF">
        <w:rPr>
          <w:lang w:val="ru-RU"/>
        </w:rPr>
        <w:t>по</w:t>
      </w:r>
      <w:r w:rsidR="00A55DFF" w:rsidRPr="00A55DFF">
        <w:rPr>
          <w:lang w:val="ru-RU"/>
        </w:rPr>
        <w:t xml:space="preserve"> </w:t>
      </w:r>
      <w:r w:rsidR="00A55DFF">
        <w:rPr>
          <w:lang w:val="ru-RU"/>
        </w:rPr>
        <w:t>оценке</w:t>
      </w:r>
      <w:r w:rsidR="00A55DFF" w:rsidRPr="00A55DFF">
        <w:rPr>
          <w:lang w:val="ru-RU"/>
        </w:rPr>
        <w:t xml:space="preserve"> (</w:t>
      </w:r>
      <w:r w:rsidR="00A55DFF">
        <w:rPr>
          <w:lang w:val="ru-RU"/>
        </w:rPr>
        <w:t>ЮНЕГ</w:t>
      </w:r>
      <w:r w:rsidR="00A55DFF" w:rsidRPr="00A55DFF">
        <w:rPr>
          <w:lang w:val="ru-RU"/>
        </w:rPr>
        <w:t xml:space="preserve">), </w:t>
      </w:r>
      <w:r w:rsidR="00A55DFF">
        <w:rPr>
          <w:lang w:val="ru-RU"/>
        </w:rPr>
        <w:t>Уставу</w:t>
      </w:r>
      <w:r w:rsidR="00A55DFF" w:rsidRPr="00A55DFF">
        <w:rPr>
          <w:lang w:val="ru-RU"/>
        </w:rPr>
        <w:t xml:space="preserve"> </w:t>
      </w:r>
      <w:r w:rsidR="00A55DFF">
        <w:rPr>
          <w:lang w:val="ru-RU"/>
        </w:rPr>
        <w:t>внутреннего</w:t>
      </w:r>
      <w:r w:rsidR="00A55DFF" w:rsidRPr="00A55DFF">
        <w:rPr>
          <w:lang w:val="ru-RU"/>
        </w:rPr>
        <w:t xml:space="preserve"> </w:t>
      </w:r>
      <w:r w:rsidR="00A55DFF">
        <w:rPr>
          <w:lang w:val="ru-RU"/>
        </w:rPr>
        <w:t>надзора</w:t>
      </w:r>
      <w:r w:rsidR="00A55DFF" w:rsidRPr="00A55DFF">
        <w:rPr>
          <w:lang w:val="ru-RU"/>
        </w:rPr>
        <w:t xml:space="preserve"> </w:t>
      </w:r>
      <w:r w:rsidR="00A55DFF">
        <w:rPr>
          <w:lang w:val="ru-RU"/>
        </w:rPr>
        <w:t>ВОИС</w:t>
      </w:r>
      <w:r w:rsidR="00A55DFF" w:rsidRPr="00A55DFF">
        <w:rPr>
          <w:lang w:val="ru-RU"/>
        </w:rPr>
        <w:t xml:space="preserve">, </w:t>
      </w:r>
      <w:r w:rsidR="00A55DFF">
        <w:rPr>
          <w:lang w:val="ru-RU"/>
        </w:rPr>
        <w:t>а</w:t>
      </w:r>
      <w:r w:rsidR="00A55DFF" w:rsidRPr="00A55DFF">
        <w:rPr>
          <w:lang w:val="ru-RU"/>
        </w:rPr>
        <w:t xml:space="preserve"> </w:t>
      </w:r>
      <w:r w:rsidR="00A55DFF">
        <w:rPr>
          <w:lang w:val="ru-RU"/>
        </w:rPr>
        <w:t>также</w:t>
      </w:r>
      <w:r w:rsidR="00A55DFF" w:rsidRPr="00A55DFF">
        <w:rPr>
          <w:lang w:val="ru-RU"/>
        </w:rPr>
        <w:t xml:space="preserve"> </w:t>
      </w:r>
      <w:r w:rsidR="00A55DFF">
        <w:rPr>
          <w:lang w:val="ru-RU"/>
        </w:rPr>
        <w:t>ее</w:t>
      </w:r>
      <w:r w:rsidR="00A55DFF" w:rsidRPr="00A55DFF">
        <w:rPr>
          <w:lang w:val="ru-RU"/>
        </w:rPr>
        <w:t xml:space="preserve"> </w:t>
      </w:r>
      <w:r w:rsidR="00A55DFF">
        <w:rPr>
          <w:lang w:val="ru-RU"/>
        </w:rPr>
        <w:t>политике</w:t>
      </w:r>
      <w:r w:rsidR="00A55DFF" w:rsidRPr="00A55DFF">
        <w:rPr>
          <w:lang w:val="ru-RU"/>
        </w:rPr>
        <w:t xml:space="preserve"> </w:t>
      </w:r>
      <w:r w:rsidR="00A55DFF">
        <w:rPr>
          <w:lang w:val="ru-RU"/>
        </w:rPr>
        <w:t>в</w:t>
      </w:r>
      <w:r w:rsidR="00A55DFF" w:rsidRPr="00A55DFF">
        <w:rPr>
          <w:lang w:val="ru-RU"/>
        </w:rPr>
        <w:t xml:space="preserve"> </w:t>
      </w:r>
      <w:r w:rsidR="00A55DFF">
        <w:rPr>
          <w:lang w:val="ru-RU"/>
        </w:rPr>
        <w:t>области</w:t>
      </w:r>
      <w:r w:rsidR="00A55DFF" w:rsidRPr="00A55DFF">
        <w:rPr>
          <w:lang w:val="ru-RU"/>
        </w:rPr>
        <w:t xml:space="preserve"> </w:t>
      </w:r>
      <w:r w:rsidR="00A55DFF">
        <w:rPr>
          <w:lang w:val="ru-RU"/>
        </w:rPr>
        <w:t>оценки.</w:t>
      </w:r>
      <w:r w:rsidR="008D6E1E" w:rsidRPr="00A55DFF">
        <w:rPr>
          <w:lang w:val="ru-RU"/>
        </w:rPr>
        <w:t xml:space="preserve"> </w:t>
      </w:r>
      <w:r w:rsidR="00ED3A15" w:rsidRPr="00A55DFF">
        <w:rPr>
          <w:lang w:val="ru-RU"/>
        </w:rPr>
        <w:t xml:space="preserve"> </w:t>
      </w:r>
      <w:r w:rsidR="00874BB8">
        <w:rPr>
          <w:lang w:val="ru-RU"/>
        </w:rPr>
        <w:t>Кроме</w:t>
      </w:r>
      <w:r w:rsidR="00874BB8" w:rsidRPr="00DB5A51">
        <w:rPr>
          <w:lang w:val="ru-RU"/>
        </w:rPr>
        <w:t xml:space="preserve"> </w:t>
      </w:r>
      <w:r w:rsidR="00874BB8">
        <w:rPr>
          <w:lang w:val="ru-RU"/>
        </w:rPr>
        <w:t>того</w:t>
      </w:r>
      <w:r w:rsidR="00874BB8" w:rsidRPr="00DB5A51">
        <w:rPr>
          <w:lang w:val="ru-RU"/>
        </w:rPr>
        <w:t xml:space="preserve">, </w:t>
      </w:r>
      <w:r w:rsidR="00874BB8">
        <w:rPr>
          <w:lang w:val="ru-RU"/>
        </w:rPr>
        <w:t>в</w:t>
      </w:r>
      <w:r w:rsidR="00874BB8" w:rsidRPr="00DB5A51">
        <w:rPr>
          <w:lang w:val="ru-RU"/>
        </w:rPr>
        <w:t xml:space="preserve"> </w:t>
      </w:r>
      <w:r w:rsidR="00874BB8">
        <w:rPr>
          <w:lang w:val="ru-RU"/>
        </w:rPr>
        <w:t>рамках</w:t>
      </w:r>
      <w:r w:rsidR="00874BB8" w:rsidRPr="00DB5A51">
        <w:rPr>
          <w:lang w:val="ru-RU"/>
        </w:rPr>
        <w:t xml:space="preserve"> </w:t>
      </w:r>
      <w:r w:rsidR="00874BB8">
        <w:rPr>
          <w:lang w:val="ru-RU"/>
        </w:rPr>
        <w:t>ВОК</w:t>
      </w:r>
      <w:r w:rsidR="00874BB8" w:rsidRPr="00DB5A51">
        <w:rPr>
          <w:lang w:val="ru-RU"/>
        </w:rPr>
        <w:t xml:space="preserve"> </w:t>
      </w:r>
      <w:r w:rsidR="00874BB8">
        <w:rPr>
          <w:lang w:val="ru-RU"/>
        </w:rPr>
        <w:t>проводилась</w:t>
      </w:r>
      <w:r w:rsidR="00874BB8" w:rsidRPr="00DB5A51">
        <w:rPr>
          <w:lang w:val="ru-RU"/>
        </w:rPr>
        <w:t xml:space="preserve"> </w:t>
      </w:r>
      <w:r w:rsidR="00874BB8">
        <w:rPr>
          <w:lang w:val="ru-RU"/>
        </w:rPr>
        <w:t>оценка</w:t>
      </w:r>
      <w:r w:rsidR="00874BB8" w:rsidRPr="00DB5A51">
        <w:rPr>
          <w:lang w:val="ru-RU"/>
        </w:rPr>
        <w:t xml:space="preserve"> </w:t>
      </w:r>
      <w:r w:rsidR="00DB5A51">
        <w:rPr>
          <w:lang w:val="ru-RU"/>
        </w:rPr>
        <w:t>уровня</w:t>
      </w:r>
      <w:r w:rsidR="00DB5A51" w:rsidRPr="00DB5A51">
        <w:rPr>
          <w:lang w:val="ru-RU"/>
        </w:rPr>
        <w:t xml:space="preserve"> </w:t>
      </w:r>
      <w:r w:rsidR="00DB5A51">
        <w:rPr>
          <w:lang w:val="ru-RU"/>
        </w:rPr>
        <w:t>эффективности</w:t>
      </w:r>
      <w:r w:rsidR="00DB5A51" w:rsidRPr="00DB5A51">
        <w:rPr>
          <w:lang w:val="ru-RU"/>
        </w:rPr>
        <w:t xml:space="preserve">, </w:t>
      </w:r>
      <w:r w:rsidR="00DB5A51">
        <w:rPr>
          <w:lang w:val="ru-RU"/>
        </w:rPr>
        <w:t>качества</w:t>
      </w:r>
      <w:r w:rsidR="00DB5A51" w:rsidRPr="00DB5A51">
        <w:rPr>
          <w:lang w:val="ru-RU"/>
        </w:rPr>
        <w:t xml:space="preserve"> </w:t>
      </w:r>
      <w:r w:rsidR="00DB5A51">
        <w:rPr>
          <w:lang w:val="ru-RU"/>
        </w:rPr>
        <w:t>и</w:t>
      </w:r>
      <w:r w:rsidR="00DB5A51" w:rsidRPr="00DB5A51">
        <w:rPr>
          <w:lang w:val="ru-RU"/>
        </w:rPr>
        <w:t xml:space="preserve"> </w:t>
      </w:r>
      <w:r w:rsidR="00DB5A51">
        <w:rPr>
          <w:lang w:val="ru-RU"/>
        </w:rPr>
        <w:t>возможностей</w:t>
      </w:r>
      <w:r w:rsidR="00DB5A51" w:rsidRPr="00DB5A51">
        <w:rPr>
          <w:lang w:val="ru-RU"/>
        </w:rPr>
        <w:t xml:space="preserve"> </w:t>
      </w:r>
      <w:r w:rsidR="00DB5A51">
        <w:rPr>
          <w:lang w:val="ru-RU"/>
        </w:rPr>
        <w:t>процессов</w:t>
      </w:r>
      <w:r w:rsidR="00DB5A51" w:rsidRPr="00DB5A51">
        <w:rPr>
          <w:lang w:val="ru-RU"/>
        </w:rPr>
        <w:t xml:space="preserve"> </w:t>
      </w:r>
      <w:r w:rsidR="00DB5A51">
        <w:rPr>
          <w:lang w:val="ru-RU"/>
        </w:rPr>
        <w:t>и</w:t>
      </w:r>
      <w:r w:rsidR="00DB5A51" w:rsidRPr="00DB5A51">
        <w:rPr>
          <w:lang w:val="ru-RU"/>
        </w:rPr>
        <w:t xml:space="preserve"> </w:t>
      </w:r>
      <w:r w:rsidR="00DB5A51">
        <w:rPr>
          <w:lang w:val="ru-RU"/>
        </w:rPr>
        <w:t xml:space="preserve">продуктов Секции. </w:t>
      </w:r>
    </w:p>
    <w:p w14:paraId="1C017730" w14:textId="6D0EEA7E" w:rsidR="00CC6D3E" w:rsidRPr="00DB5A51" w:rsidRDefault="00DB5A51" w:rsidP="00ED3A15">
      <w:pPr>
        <w:pStyle w:val="ONUME"/>
        <w:rPr>
          <w:lang w:val="ru-RU"/>
        </w:rPr>
      </w:pPr>
      <w:r>
        <w:rPr>
          <w:lang w:val="ru-RU"/>
        </w:rPr>
        <w:t>В</w:t>
      </w:r>
      <w:r w:rsidRPr="00DB5A51">
        <w:rPr>
          <w:lang w:val="ru-RU"/>
        </w:rPr>
        <w:t xml:space="preserve"> </w:t>
      </w:r>
      <w:r w:rsidR="00A61AD6">
        <w:rPr>
          <w:lang w:val="ru-RU"/>
        </w:rPr>
        <w:t>отчете</w:t>
      </w:r>
      <w:r w:rsidRPr="00DB5A51">
        <w:rPr>
          <w:lang w:val="ru-RU"/>
        </w:rPr>
        <w:t xml:space="preserve"> </w:t>
      </w:r>
      <w:r>
        <w:rPr>
          <w:lang w:val="ru-RU"/>
        </w:rPr>
        <w:t>по</w:t>
      </w:r>
      <w:r w:rsidRPr="00DB5A51">
        <w:rPr>
          <w:lang w:val="ru-RU"/>
        </w:rPr>
        <w:t xml:space="preserve"> </w:t>
      </w:r>
      <w:r>
        <w:rPr>
          <w:lang w:val="ru-RU"/>
        </w:rPr>
        <w:t>итогам</w:t>
      </w:r>
      <w:r w:rsidRPr="00DB5A51">
        <w:rPr>
          <w:lang w:val="ru-RU"/>
        </w:rPr>
        <w:t xml:space="preserve"> </w:t>
      </w:r>
      <w:r>
        <w:rPr>
          <w:lang w:val="ru-RU"/>
        </w:rPr>
        <w:t>ВОК</w:t>
      </w:r>
      <w:r w:rsidRPr="00DB5A51">
        <w:rPr>
          <w:lang w:val="ru-RU"/>
        </w:rPr>
        <w:t xml:space="preserve"> </w:t>
      </w:r>
      <w:r>
        <w:rPr>
          <w:lang w:val="ru-RU"/>
        </w:rPr>
        <w:t>был</w:t>
      </w:r>
      <w:r w:rsidRPr="00DB5A51">
        <w:rPr>
          <w:lang w:val="ru-RU"/>
        </w:rPr>
        <w:t xml:space="preserve"> </w:t>
      </w:r>
      <w:r>
        <w:rPr>
          <w:lang w:val="ru-RU"/>
        </w:rPr>
        <w:t>сделан</w:t>
      </w:r>
      <w:r w:rsidRPr="00DB5A51">
        <w:rPr>
          <w:lang w:val="ru-RU"/>
        </w:rPr>
        <w:t xml:space="preserve"> </w:t>
      </w:r>
      <w:r>
        <w:rPr>
          <w:lang w:val="ru-RU"/>
        </w:rPr>
        <w:t>вывод</w:t>
      </w:r>
      <w:r w:rsidRPr="00DB5A51">
        <w:rPr>
          <w:lang w:val="ru-RU"/>
        </w:rPr>
        <w:t xml:space="preserve"> </w:t>
      </w:r>
      <w:r>
        <w:rPr>
          <w:lang w:val="ru-RU"/>
        </w:rPr>
        <w:t>о</w:t>
      </w:r>
      <w:r w:rsidRPr="00DB5A51">
        <w:rPr>
          <w:lang w:val="ru-RU"/>
        </w:rPr>
        <w:t xml:space="preserve"> </w:t>
      </w:r>
      <w:r>
        <w:rPr>
          <w:lang w:val="ru-RU"/>
        </w:rPr>
        <w:t>том</w:t>
      </w:r>
      <w:r w:rsidRPr="00DB5A51">
        <w:rPr>
          <w:lang w:val="ru-RU"/>
        </w:rPr>
        <w:t xml:space="preserve">, </w:t>
      </w:r>
      <w:r>
        <w:rPr>
          <w:lang w:val="ru-RU"/>
        </w:rPr>
        <w:t>что</w:t>
      </w:r>
      <w:r w:rsidRPr="00DB5A51">
        <w:rPr>
          <w:lang w:val="ru-RU"/>
        </w:rPr>
        <w:t xml:space="preserve"> </w:t>
      </w:r>
      <w:r w:rsidR="00A61AD6">
        <w:rPr>
          <w:lang w:val="ru-RU"/>
        </w:rPr>
        <w:t>функция</w:t>
      </w:r>
      <w:r w:rsidRPr="00DB5A51">
        <w:rPr>
          <w:lang w:val="ru-RU"/>
        </w:rPr>
        <w:t xml:space="preserve"> </w:t>
      </w:r>
      <w:r>
        <w:rPr>
          <w:lang w:val="ru-RU"/>
        </w:rPr>
        <w:t>оценки</w:t>
      </w:r>
      <w:r w:rsidRPr="00DB5A51">
        <w:rPr>
          <w:lang w:val="ru-RU"/>
        </w:rPr>
        <w:t xml:space="preserve"> </w:t>
      </w:r>
      <w:r>
        <w:rPr>
          <w:lang w:val="ru-RU"/>
        </w:rPr>
        <w:t>ВОИС</w:t>
      </w:r>
      <w:r w:rsidRPr="00DB5A51">
        <w:rPr>
          <w:lang w:val="ru-RU"/>
        </w:rPr>
        <w:t xml:space="preserve"> </w:t>
      </w:r>
      <w:r>
        <w:rPr>
          <w:lang w:val="ru-RU"/>
        </w:rPr>
        <w:t>во</w:t>
      </w:r>
      <w:r w:rsidRPr="00DB5A51">
        <w:rPr>
          <w:lang w:val="ru-RU"/>
        </w:rPr>
        <w:t xml:space="preserve"> </w:t>
      </w:r>
      <w:r>
        <w:rPr>
          <w:lang w:val="ru-RU"/>
        </w:rPr>
        <w:t>всех</w:t>
      </w:r>
      <w:r w:rsidRPr="00DB5A51">
        <w:rPr>
          <w:lang w:val="ru-RU"/>
        </w:rPr>
        <w:t xml:space="preserve"> </w:t>
      </w:r>
      <w:r>
        <w:rPr>
          <w:lang w:val="ru-RU"/>
        </w:rPr>
        <w:t>своих</w:t>
      </w:r>
      <w:r w:rsidRPr="00DB5A51">
        <w:rPr>
          <w:lang w:val="ru-RU"/>
        </w:rPr>
        <w:t xml:space="preserve"> </w:t>
      </w:r>
      <w:r>
        <w:rPr>
          <w:lang w:val="ru-RU"/>
        </w:rPr>
        <w:t>существенных</w:t>
      </w:r>
      <w:r w:rsidRPr="00DB5A51">
        <w:rPr>
          <w:lang w:val="ru-RU"/>
        </w:rPr>
        <w:t xml:space="preserve"> </w:t>
      </w:r>
      <w:r>
        <w:rPr>
          <w:lang w:val="ru-RU"/>
        </w:rPr>
        <w:t>аспектах</w:t>
      </w:r>
      <w:r w:rsidRPr="00DB5A51">
        <w:rPr>
          <w:lang w:val="ru-RU"/>
        </w:rPr>
        <w:t xml:space="preserve"> </w:t>
      </w:r>
      <w:r>
        <w:rPr>
          <w:lang w:val="ru-RU"/>
        </w:rPr>
        <w:t>отвечает</w:t>
      </w:r>
      <w:r w:rsidRPr="00DB5A51">
        <w:rPr>
          <w:lang w:val="ru-RU"/>
        </w:rPr>
        <w:t xml:space="preserve"> </w:t>
      </w:r>
      <w:r>
        <w:rPr>
          <w:lang w:val="ru-RU"/>
        </w:rPr>
        <w:t>соответствующим</w:t>
      </w:r>
      <w:r w:rsidRPr="00DB5A51">
        <w:rPr>
          <w:lang w:val="ru-RU"/>
        </w:rPr>
        <w:t xml:space="preserve"> </w:t>
      </w:r>
      <w:r>
        <w:rPr>
          <w:lang w:val="ru-RU"/>
        </w:rPr>
        <w:t>нормам</w:t>
      </w:r>
      <w:r w:rsidRPr="00DB5A51">
        <w:rPr>
          <w:lang w:val="ru-RU"/>
        </w:rPr>
        <w:t xml:space="preserve"> </w:t>
      </w:r>
      <w:r>
        <w:rPr>
          <w:lang w:val="ru-RU"/>
        </w:rPr>
        <w:t>и</w:t>
      </w:r>
      <w:r w:rsidRPr="00DB5A51">
        <w:rPr>
          <w:lang w:val="ru-RU"/>
        </w:rPr>
        <w:t xml:space="preserve"> </w:t>
      </w:r>
      <w:r>
        <w:rPr>
          <w:lang w:val="ru-RU"/>
        </w:rPr>
        <w:t>стандартам</w:t>
      </w:r>
      <w:r w:rsidRPr="00DB5A51">
        <w:rPr>
          <w:lang w:val="ru-RU"/>
        </w:rPr>
        <w:t xml:space="preserve"> </w:t>
      </w:r>
      <w:r>
        <w:rPr>
          <w:lang w:val="ru-RU"/>
        </w:rPr>
        <w:t>оценки</w:t>
      </w:r>
      <w:r w:rsidRPr="00DB5A51">
        <w:rPr>
          <w:lang w:val="ru-RU"/>
        </w:rPr>
        <w:t xml:space="preserve"> </w:t>
      </w:r>
      <w:r>
        <w:rPr>
          <w:lang w:val="ru-RU"/>
        </w:rPr>
        <w:t>ЮНЕГ</w:t>
      </w:r>
      <w:r w:rsidRPr="00DB5A51">
        <w:rPr>
          <w:lang w:val="ru-RU"/>
        </w:rPr>
        <w:t xml:space="preserve"> </w:t>
      </w:r>
      <w:r>
        <w:rPr>
          <w:lang w:val="ru-RU"/>
        </w:rPr>
        <w:t>и</w:t>
      </w:r>
      <w:r w:rsidRPr="00DB5A51">
        <w:rPr>
          <w:lang w:val="ru-RU"/>
        </w:rPr>
        <w:t xml:space="preserve"> </w:t>
      </w:r>
      <w:r>
        <w:rPr>
          <w:lang w:val="ru-RU"/>
        </w:rPr>
        <w:t>Устава</w:t>
      </w:r>
      <w:r w:rsidRPr="00DB5A51">
        <w:rPr>
          <w:lang w:val="ru-RU"/>
        </w:rPr>
        <w:t xml:space="preserve"> </w:t>
      </w:r>
      <w:r>
        <w:rPr>
          <w:lang w:val="ru-RU"/>
        </w:rPr>
        <w:t>внутреннего</w:t>
      </w:r>
      <w:r w:rsidRPr="00DB5A51">
        <w:rPr>
          <w:lang w:val="ru-RU"/>
        </w:rPr>
        <w:t xml:space="preserve"> </w:t>
      </w:r>
      <w:r>
        <w:rPr>
          <w:lang w:val="ru-RU"/>
        </w:rPr>
        <w:t>надзора</w:t>
      </w:r>
      <w:r w:rsidRPr="00DB5A51">
        <w:rPr>
          <w:lang w:val="ru-RU"/>
        </w:rPr>
        <w:t xml:space="preserve"> </w:t>
      </w:r>
      <w:r>
        <w:rPr>
          <w:lang w:val="ru-RU"/>
        </w:rPr>
        <w:t>ВОИС.</w:t>
      </w:r>
      <w:r w:rsidR="007271E8" w:rsidRPr="00DB5A51">
        <w:rPr>
          <w:lang w:val="ru-RU"/>
        </w:rPr>
        <w:t xml:space="preserve">  </w:t>
      </w:r>
      <w:r>
        <w:rPr>
          <w:lang w:val="ru-RU"/>
        </w:rPr>
        <w:t>Кроме</w:t>
      </w:r>
      <w:r w:rsidRPr="00DB5A51">
        <w:rPr>
          <w:lang w:val="ru-RU"/>
        </w:rPr>
        <w:t xml:space="preserve"> </w:t>
      </w:r>
      <w:r>
        <w:rPr>
          <w:lang w:val="ru-RU"/>
        </w:rPr>
        <w:t>того</w:t>
      </w:r>
      <w:r w:rsidRPr="00DB5A51">
        <w:rPr>
          <w:lang w:val="ru-RU"/>
        </w:rPr>
        <w:t xml:space="preserve">, </w:t>
      </w:r>
      <w:r>
        <w:rPr>
          <w:lang w:val="ru-RU"/>
        </w:rPr>
        <w:t>в</w:t>
      </w:r>
      <w:r w:rsidRPr="00DB5A51">
        <w:rPr>
          <w:lang w:val="ru-RU"/>
        </w:rPr>
        <w:t xml:space="preserve"> </w:t>
      </w:r>
      <w:r>
        <w:rPr>
          <w:lang w:val="ru-RU"/>
        </w:rPr>
        <w:t>ходе</w:t>
      </w:r>
      <w:r w:rsidRPr="00DB5A51">
        <w:rPr>
          <w:lang w:val="ru-RU"/>
        </w:rPr>
        <w:t xml:space="preserve"> </w:t>
      </w:r>
      <w:r>
        <w:rPr>
          <w:lang w:val="ru-RU"/>
        </w:rPr>
        <w:t>проведения</w:t>
      </w:r>
      <w:r w:rsidRPr="00DB5A51">
        <w:rPr>
          <w:lang w:val="ru-RU"/>
        </w:rPr>
        <w:t xml:space="preserve"> </w:t>
      </w:r>
      <w:r>
        <w:rPr>
          <w:lang w:val="ru-RU"/>
        </w:rPr>
        <w:t>ВОК</w:t>
      </w:r>
      <w:r w:rsidRPr="00DB5A51">
        <w:rPr>
          <w:lang w:val="ru-RU"/>
        </w:rPr>
        <w:t xml:space="preserve"> </w:t>
      </w:r>
      <w:r>
        <w:rPr>
          <w:lang w:val="ru-RU"/>
        </w:rPr>
        <w:t>было</w:t>
      </w:r>
      <w:r w:rsidRPr="00DB5A51">
        <w:rPr>
          <w:lang w:val="ru-RU"/>
        </w:rPr>
        <w:t xml:space="preserve"> </w:t>
      </w:r>
      <w:r>
        <w:rPr>
          <w:lang w:val="ru-RU"/>
        </w:rPr>
        <w:t>установлено</w:t>
      </w:r>
      <w:r w:rsidRPr="00DB5A51">
        <w:rPr>
          <w:lang w:val="ru-RU"/>
        </w:rPr>
        <w:t xml:space="preserve">, </w:t>
      </w:r>
      <w:r>
        <w:rPr>
          <w:lang w:val="ru-RU"/>
        </w:rPr>
        <w:t>что</w:t>
      </w:r>
      <w:r w:rsidRPr="00DB5A51">
        <w:rPr>
          <w:lang w:val="ru-RU"/>
        </w:rPr>
        <w:t xml:space="preserve"> </w:t>
      </w:r>
      <w:r>
        <w:rPr>
          <w:lang w:val="ru-RU"/>
        </w:rPr>
        <w:t>в</w:t>
      </w:r>
      <w:r w:rsidRPr="00DB5A51">
        <w:rPr>
          <w:lang w:val="ru-RU"/>
        </w:rPr>
        <w:t xml:space="preserve"> </w:t>
      </w:r>
      <w:r>
        <w:rPr>
          <w:lang w:val="ru-RU"/>
        </w:rPr>
        <w:t>рамках</w:t>
      </w:r>
      <w:r w:rsidRPr="00DB5A51">
        <w:rPr>
          <w:lang w:val="ru-RU"/>
        </w:rPr>
        <w:t xml:space="preserve"> </w:t>
      </w:r>
      <w:r w:rsidR="006D55AC">
        <w:rPr>
          <w:lang w:val="ru-RU"/>
        </w:rPr>
        <w:t>подразделения</w:t>
      </w:r>
      <w:r w:rsidRPr="00DB5A51">
        <w:rPr>
          <w:lang w:val="ru-RU"/>
        </w:rPr>
        <w:t xml:space="preserve"> </w:t>
      </w:r>
      <w:r>
        <w:rPr>
          <w:lang w:val="ru-RU"/>
        </w:rPr>
        <w:t>оценки</w:t>
      </w:r>
      <w:r w:rsidRPr="00DB5A51">
        <w:rPr>
          <w:lang w:val="ru-RU"/>
        </w:rPr>
        <w:t xml:space="preserve"> </w:t>
      </w:r>
      <w:r>
        <w:rPr>
          <w:lang w:val="ru-RU"/>
        </w:rPr>
        <w:t>действуют</w:t>
      </w:r>
      <w:r w:rsidRPr="00DB5A51">
        <w:rPr>
          <w:lang w:val="ru-RU"/>
        </w:rPr>
        <w:t xml:space="preserve"> </w:t>
      </w:r>
      <w:r>
        <w:rPr>
          <w:lang w:val="ru-RU"/>
        </w:rPr>
        <w:t>все</w:t>
      </w:r>
      <w:r w:rsidRPr="00DB5A51">
        <w:rPr>
          <w:lang w:val="ru-RU"/>
        </w:rPr>
        <w:t xml:space="preserve"> </w:t>
      </w:r>
      <w:r>
        <w:rPr>
          <w:lang w:val="ru-RU"/>
        </w:rPr>
        <w:t>системы</w:t>
      </w:r>
      <w:r w:rsidRPr="00DB5A51">
        <w:rPr>
          <w:lang w:val="ru-RU"/>
        </w:rPr>
        <w:t xml:space="preserve"> </w:t>
      </w:r>
      <w:r>
        <w:rPr>
          <w:lang w:val="ru-RU"/>
        </w:rPr>
        <w:t>и</w:t>
      </w:r>
      <w:r w:rsidRPr="00DB5A51">
        <w:rPr>
          <w:lang w:val="ru-RU"/>
        </w:rPr>
        <w:t xml:space="preserve"> </w:t>
      </w:r>
      <w:r>
        <w:rPr>
          <w:lang w:val="ru-RU"/>
        </w:rPr>
        <w:t>процедуры</w:t>
      </w:r>
      <w:r w:rsidRPr="00DB5A51">
        <w:rPr>
          <w:lang w:val="ru-RU"/>
        </w:rPr>
        <w:t xml:space="preserve">, </w:t>
      </w:r>
      <w:r>
        <w:rPr>
          <w:lang w:val="ru-RU"/>
        </w:rPr>
        <w:t>необходимые</w:t>
      </w:r>
      <w:r w:rsidRPr="00DB5A51">
        <w:rPr>
          <w:lang w:val="ru-RU"/>
        </w:rPr>
        <w:t xml:space="preserve"> </w:t>
      </w:r>
      <w:r>
        <w:rPr>
          <w:lang w:val="ru-RU"/>
        </w:rPr>
        <w:t>для</w:t>
      </w:r>
      <w:r w:rsidRPr="00DB5A51">
        <w:rPr>
          <w:lang w:val="ru-RU"/>
        </w:rPr>
        <w:t xml:space="preserve"> </w:t>
      </w:r>
      <w:r>
        <w:rPr>
          <w:lang w:val="ru-RU"/>
        </w:rPr>
        <w:t>обеспечения</w:t>
      </w:r>
      <w:r w:rsidRPr="00DB5A51">
        <w:rPr>
          <w:lang w:val="ru-RU"/>
        </w:rPr>
        <w:t xml:space="preserve"> </w:t>
      </w:r>
      <w:r>
        <w:rPr>
          <w:lang w:val="ru-RU"/>
        </w:rPr>
        <w:t>е</w:t>
      </w:r>
      <w:r w:rsidR="006D55AC">
        <w:rPr>
          <w:lang w:val="ru-RU"/>
        </w:rPr>
        <w:t>го</w:t>
      </w:r>
      <w:r w:rsidRPr="00DB5A51">
        <w:rPr>
          <w:lang w:val="ru-RU"/>
        </w:rPr>
        <w:t xml:space="preserve"> </w:t>
      </w:r>
      <w:r>
        <w:rPr>
          <w:lang w:val="ru-RU"/>
        </w:rPr>
        <w:t>объективности</w:t>
      </w:r>
      <w:r w:rsidRPr="00DB5A51">
        <w:rPr>
          <w:lang w:val="ru-RU"/>
        </w:rPr>
        <w:t xml:space="preserve"> </w:t>
      </w:r>
      <w:r>
        <w:rPr>
          <w:lang w:val="ru-RU"/>
        </w:rPr>
        <w:t>и</w:t>
      </w:r>
      <w:r w:rsidRPr="00DB5A51">
        <w:rPr>
          <w:lang w:val="ru-RU"/>
        </w:rPr>
        <w:t xml:space="preserve"> </w:t>
      </w:r>
      <w:r>
        <w:rPr>
          <w:lang w:val="ru-RU"/>
        </w:rPr>
        <w:t>авторитета</w:t>
      </w:r>
      <w:r w:rsidRPr="00DB5A51">
        <w:rPr>
          <w:lang w:val="ru-RU"/>
        </w:rPr>
        <w:t xml:space="preserve"> </w:t>
      </w:r>
      <w:r>
        <w:rPr>
          <w:lang w:val="ru-RU"/>
        </w:rPr>
        <w:t>в</w:t>
      </w:r>
      <w:r w:rsidRPr="00DB5A51">
        <w:rPr>
          <w:lang w:val="ru-RU"/>
        </w:rPr>
        <w:t xml:space="preserve"> </w:t>
      </w:r>
      <w:r>
        <w:rPr>
          <w:lang w:val="ru-RU"/>
        </w:rPr>
        <w:t>контексте</w:t>
      </w:r>
      <w:r w:rsidRPr="00DB5A51">
        <w:rPr>
          <w:lang w:val="ru-RU"/>
        </w:rPr>
        <w:t xml:space="preserve"> </w:t>
      </w:r>
      <w:r>
        <w:rPr>
          <w:lang w:val="ru-RU"/>
        </w:rPr>
        <w:t>оказания</w:t>
      </w:r>
      <w:r w:rsidRPr="00DB5A51">
        <w:rPr>
          <w:lang w:val="ru-RU"/>
        </w:rPr>
        <w:t xml:space="preserve"> </w:t>
      </w:r>
      <w:r>
        <w:rPr>
          <w:lang w:val="ru-RU"/>
        </w:rPr>
        <w:t>эффективных</w:t>
      </w:r>
      <w:r w:rsidRPr="00DB5A51">
        <w:rPr>
          <w:lang w:val="ru-RU"/>
        </w:rPr>
        <w:t xml:space="preserve"> </w:t>
      </w:r>
      <w:r>
        <w:rPr>
          <w:lang w:val="ru-RU"/>
        </w:rPr>
        <w:t>услуг</w:t>
      </w:r>
      <w:r w:rsidRPr="00DB5A51">
        <w:rPr>
          <w:lang w:val="ru-RU"/>
        </w:rPr>
        <w:t xml:space="preserve"> </w:t>
      </w:r>
      <w:r>
        <w:rPr>
          <w:lang w:val="ru-RU"/>
        </w:rPr>
        <w:t>по</w:t>
      </w:r>
      <w:r w:rsidRPr="00DB5A51">
        <w:rPr>
          <w:lang w:val="ru-RU"/>
        </w:rPr>
        <w:t xml:space="preserve"> </w:t>
      </w:r>
      <w:r>
        <w:rPr>
          <w:lang w:val="ru-RU"/>
        </w:rPr>
        <w:t>обеспечению</w:t>
      </w:r>
      <w:r w:rsidRPr="00DB5A51">
        <w:rPr>
          <w:lang w:val="ru-RU"/>
        </w:rPr>
        <w:t xml:space="preserve"> </w:t>
      </w:r>
      <w:r>
        <w:rPr>
          <w:lang w:val="ru-RU"/>
        </w:rPr>
        <w:t>подотчетности</w:t>
      </w:r>
      <w:r w:rsidRPr="00DB5A51">
        <w:rPr>
          <w:lang w:val="ru-RU"/>
        </w:rPr>
        <w:t xml:space="preserve">, </w:t>
      </w:r>
      <w:r>
        <w:rPr>
          <w:lang w:val="ru-RU"/>
        </w:rPr>
        <w:t xml:space="preserve">а также производства высококачественных продуктов, направленных на совершенствование Организации и  тех, кто заинтересован в ее деятельности.  </w:t>
      </w:r>
    </w:p>
    <w:p w14:paraId="7F462C46" w14:textId="12875FD0" w:rsidR="00FE4AB7" w:rsidRPr="003A0FE0" w:rsidRDefault="00DB5A51" w:rsidP="00650E6D">
      <w:pPr>
        <w:pStyle w:val="ONUME"/>
        <w:rPr>
          <w:lang w:val="ru-RU"/>
        </w:rPr>
      </w:pPr>
      <w:r w:rsidRPr="00DB5A51">
        <w:rPr>
          <w:lang w:val="ru-RU"/>
        </w:rPr>
        <w:t xml:space="preserve">В 2020 г. ВОК будет проводиться в отношении </w:t>
      </w:r>
      <w:r w:rsidR="00A61AD6">
        <w:rPr>
          <w:lang w:val="ru-RU"/>
        </w:rPr>
        <w:t>функций</w:t>
      </w:r>
      <w:r w:rsidRPr="00DB5A51">
        <w:rPr>
          <w:lang w:val="ru-RU"/>
        </w:rPr>
        <w:t xml:space="preserve"> внутренней ревизии и расследований.</w:t>
      </w:r>
      <w:r>
        <w:rPr>
          <w:lang w:val="ru-RU"/>
        </w:rPr>
        <w:t xml:space="preserve">  </w:t>
      </w:r>
      <w:r w:rsidR="003A0FE0">
        <w:rPr>
          <w:lang w:val="ru-RU"/>
        </w:rPr>
        <w:t>Внешние</w:t>
      </w:r>
      <w:r w:rsidR="003A0FE0" w:rsidRPr="003A0FE0">
        <w:rPr>
          <w:lang w:val="ru-RU"/>
        </w:rPr>
        <w:t xml:space="preserve"> </w:t>
      </w:r>
      <w:r w:rsidR="003A0FE0">
        <w:rPr>
          <w:lang w:val="ru-RU"/>
        </w:rPr>
        <w:t>оценки</w:t>
      </w:r>
      <w:r w:rsidR="003A0FE0" w:rsidRPr="003A0FE0">
        <w:rPr>
          <w:lang w:val="ru-RU"/>
        </w:rPr>
        <w:t xml:space="preserve"> </w:t>
      </w:r>
      <w:r w:rsidR="003A0FE0">
        <w:rPr>
          <w:lang w:val="ru-RU"/>
        </w:rPr>
        <w:t>подобного</w:t>
      </w:r>
      <w:r w:rsidR="003A0FE0" w:rsidRPr="003A0FE0">
        <w:rPr>
          <w:lang w:val="ru-RU"/>
        </w:rPr>
        <w:t xml:space="preserve"> </w:t>
      </w:r>
      <w:r w:rsidR="003A0FE0">
        <w:rPr>
          <w:lang w:val="ru-RU"/>
        </w:rPr>
        <w:t>рода</w:t>
      </w:r>
      <w:r w:rsidR="003A0FE0" w:rsidRPr="003A0FE0">
        <w:rPr>
          <w:lang w:val="ru-RU"/>
        </w:rPr>
        <w:t xml:space="preserve"> </w:t>
      </w:r>
      <w:r w:rsidR="003A0FE0">
        <w:rPr>
          <w:lang w:val="ru-RU"/>
        </w:rPr>
        <w:t>имеют</w:t>
      </w:r>
      <w:r w:rsidR="003A0FE0" w:rsidRPr="003A0FE0">
        <w:rPr>
          <w:lang w:val="ru-RU"/>
        </w:rPr>
        <w:t xml:space="preserve"> </w:t>
      </w:r>
      <w:r w:rsidR="003A0FE0">
        <w:rPr>
          <w:lang w:val="ru-RU"/>
        </w:rPr>
        <w:t>ключевое</w:t>
      </w:r>
      <w:r w:rsidR="003A0FE0" w:rsidRPr="003A0FE0">
        <w:rPr>
          <w:lang w:val="ru-RU"/>
        </w:rPr>
        <w:t xml:space="preserve"> </w:t>
      </w:r>
      <w:r w:rsidR="003A0FE0">
        <w:rPr>
          <w:lang w:val="ru-RU"/>
        </w:rPr>
        <w:t>значение</w:t>
      </w:r>
      <w:r w:rsidR="003A0FE0" w:rsidRPr="003A0FE0">
        <w:rPr>
          <w:lang w:val="ru-RU"/>
        </w:rPr>
        <w:t xml:space="preserve"> </w:t>
      </w:r>
      <w:r w:rsidR="003A0FE0">
        <w:rPr>
          <w:lang w:val="ru-RU"/>
        </w:rPr>
        <w:t>для</w:t>
      </w:r>
      <w:r w:rsidR="003A0FE0" w:rsidRPr="003A0FE0">
        <w:rPr>
          <w:lang w:val="ru-RU"/>
        </w:rPr>
        <w:t xml:space="preserve"> </w:t>
      </w:r>
      <w:r w:rsidR="003A0FE0">
        <w:rPr>
          <w:lang w:val="ru-RU"/>
        </w:rPr>
        <w:t>того</w:t>
      </w:r>
      <w:r w:rsidR="003A0FE0" w:rsidRPr="003A0FE0">
        <w:rPr>
          <w:lang w:val="ru-RU"/>
        </w:rPr>
        <w:t xml:space="preserve">, </w:t>
      </w:r>
      <w:r w:rsidR="003A0FE0">
        <w:rPr>
          <w:lang w:val="ru-RU"/>
        </w:rPr>
        <w:t>чтобы</w:t>
      </w:r>
      <w:r w:rsidR="003A0FE0" w:rsidRPr="003A0FE0">
        <w:rPr>
          <w:lang w:val="ru-RU"/>
        </w:rPr>
        <w:t xml:space="preserve"> </w:t>
      </w:r>
      <w:r w:rsidR="003A0FE0">
        <w:rPr>
          <w:lang w:val="ru-RU"/>
        </w:rPr>
        <w:t>ОВН</w:t>
      </w:r>
      <w:r w:rsidR="003A0FE0" w:rsidRPr="003A0FE0">
        <w:rPr>
          <w:lang w:val="ru-RU"/>
        </w:rPr>
        <w:t xml:space="preserve"> </w:t>
      </w:r>
      <w:r w:rsidR="003A0FE0">
        <w:rPr>
          <w:lang w:val="ru-RU"/>
        </w:rPr>
        <w:t>мог</w:t>
      </w:r>
      <w:r w:rsidR="003A0FE0" w:rsidRPr="003A0FE0">
        <w:rPr>
          <w:lang w:val="ru-RU"/>
        </w:rPr>
        <w:t xml:space="preserve"> </w:t>
      </w:r>
      <w:r w:rsidR="003A0FE0">
        <w:rPr>
          <w:lang w:val="ru-RU"/>
        </w:rPr>
        <w:t>поддерживать стандарты своей работы на общепризнанно высоком уровне.</w:t>
      </w:r>
      <w:r w:rsidR="00A13D9E" w:rsidRPr="003A0FE0">
        <w:rPr>
          <w:lang w:val="ru-RU"/>
        </w:rPr>
        <w:t xml:space="preserve"> </w:t>
      </w:r>
      <w:r w:rsidR="00650E6D" w:rsidRPr="003A0FE0">
        <w:rPr>
          <w:lang w:val="ru-RU"/>
        </w:rPr>
        <w:t xml:space="preserve"> </w:t>
      </w:r>
      <w:r w:rsidR="003A0FE0">
        <w:rPr>
          <w:lang w:val="ru-RU"/>
        </w:rPr>
        <w:t>Так</w:t>
      </w:r>
      <w:r w:rsidR="003A0FE0" w:rsidRPr="003A0FE0">
        <w:rPr>
          <w:lang w:val="ru-RU"/>
        </w:rPr>
        <w:t xml:space="preserve">, </w:t>
      </w:r>
      <w:r w:rsidR="003A0FE0">
        <w:rPr>
          <w:lang w:val="ru-RU"/>
        </w:rPr>
        <w:t>например</w:t>
      </w:r>
      <w:r w:rsidR="003A0FE0" w:rsidRPr="003A0FE0">
        <w:rPr>
          <w:lang w:val="ru-RU"/>
        </w:rPr>
        <w:t xml:space="preserve">, </w:t>
      </w:r>
      <w:r w:rsidR="003A0FE0">
        <w:rPr>
          <w:lang w:val="ru-RU"/>
        </w:rPr>
        <w:t>в</w:t>
      </w:r>
      <w:r w:rsidR="003A0FE0" w:rsidRPr="003A0FE0">
        <w:rPr>
          <w:lang w:val="ru-RU"/>
        </w:rPr>
        <w:t xml:space="preserve"> </w:t>
      </w:r>
      <w:r w:rsidR="003A0FE0">
        <w:rPr>
          <w:lang w:val="ru-RU"/>
        </w:rPr>
        <w:t>июле</w:t>
      </w:r>
      <w:r w:rsidR="003A0FE0" w:rsidRPr="003A0FE0">
        <w:rPr>
          <w:lang w:val="ru-RU"/>
        </w:rPr>
        <w:t xml:space="preserve"> 2019 </w:t>
      </w:r>
      <w:r w:rsidR="003A0FE0">
        <w:rPr>
          <w:lang w:val="ru-RU"/>
        </w:rPr>
        <w:t>г</w:t>
      </w:r>
      <w:r w:rsidR="003A0FE0" w:rsidRPr="003A0FE0">
        <w:rPr>
          <w:lang w:val="ru-RU"/>
        </w:rPr>
        <w:t xml:space="preserve">. </w:t>
      </w:r>
      <w:r w:rsidR="003A0FE0">
        <w:rPr>
          <w:lang w:val="ru-RU"/>
        </w:rPr>
        <w:t>ОВН</w:t>
      </w:r>
      <w:r w:rsidR="003A0FE0" w:rsidRPr="003A0FE0">
        <w:rPr>
          <w:lang w:val="ru-RU"/>
        </w:rPr>
        <w:t xml:space="preserve"> </w:t>
      </w:r>
      <w:r w:rsidR="003A0FE0">
        <w:rPr>
          <w:lang w:val="ru-RU"/>
        </w:rPr>
        <w:t>был</w:t>
      </w:r>
      <w:r w:rsidR="003A0FE0" w:rsidRPr="003A0FE0">
        <w:rPr>
          <w:lang w:val="ru-RU"/>
        </w:rPr>
        <w:t xml:space="preserve"> </w:t>
      </w:r>
      <w:r w:rsidR="003A0FE0">
        <w:rPr>
          <w:lang w:val="ru-RU"/>
        </w:rPr>
        <w:t>отмечен</w:t>
      </w:r>
      <w:r w:rsidR="003A0FE0" w:rsidRPr="003A0FE0">
        <w:rPr>
          <w:lang w:val="ru-RU"/>
        </w:rPr>
        <w:t xml:space="preserve"> </w:t>
      </w:r>
      <w:r w:rsidR="003A0FE0">
        <w:rPr>
          <w:lang w:val="ru-RU"/>
        </w:rPr>
        <w:t>премией</w:t>
      </w:r>
      <w:r w:rsidR="003A0FE0" w:rsidRPr="003A0FE0">
        <w:rPr>
          <w:lang w:val="ru-RU"/>
        </w:rPr>
        <w:t xml:space="preserve"> </w:t>
      </w:r>
      <w:r w:rsidR="003A0FE0">
        <w:rPr>
          <w:lang w:val="ru-RU"/>
        </w:rPr>
        <w:t>за</w:t>
      </w:r>
      <w:r w:rsidR="003A0FE0" w:rsidRPr="003A0FE0">
        <w:rPr>
          <w:lang w:val="ru-RU"/>
        </w:rPr>
        <w:t xml:space="preserve"> </w:t>
      </w:r>
      <w:r w:rsidR="003A0FE0">
        <w:rPr>
          <w:lang w:val="ru-RU"/>
        </w:rPr>
        <w:t>лучшее</w:t>
      </w:r>
      <w:r w:rsidR="003A0FE0" w:rsidRPr="003A0FE0">
        <w:rPr>
          <w:lang w:val="ru-RU"/>
        </w:rPr>
        <w:t xml:space="preserve"> </w:t>
      </w:r>
      <w:r w:rsidR="003A0FE0">
        <w:rPr>
          <w:lang w:val="ru-RU"/>
        </w:rPr>
        <w:t>составление</w:t>
      </w:r>
      <w:r w:rsidR="003A0FE0" w:rsidRPr="003A0FE0">
        <w:rPr>
          <w:lang w:val="ru-RU"/>
        </w:rPr>
        <w:t xml:space="preserve"> </w:t>
      </w:r>
      <w:r w:rsidR="003A0FE0">
        <w:rPr>
          <w:lang w:val="ru-RU"/>
        </w:rPr>
        <w:t>общедоступных</w:t>
      </w:r>
      <w:r w:rsidR="003A0FE0" w:rsidRPr="003A0FE0">
        <w:rPr>
          <w:lang w:val="ru-RU"/>
        </w:rPr>
        <w:t xml:space="preserve"> </w:t>
      </w:r>
      <w:r w:rsidR="003A0FE0">
        <w:rPr>
          <w:lang w:val="ru-RU"/>
        </w:rPr>
        <w:t>отчетов</w:t>
      </w:r>
      <w:r w:rsidR="003A0FE0" w:rsidRPr="003A0FE0">
        <w:rPr>
          <w:lang w:val="ru-RU"/>
        </w:rPr>
        <w:t xml:space="preserve"> </w:t>
      </w:r>
      <w:r w:rsidR="003A0FE0">
        <w:rPr>
          <w:lang w:val="ru-RU"/>
        </w:rPr>
        <w:t>по</w:t>
      </w:r>
      <w:r w:rsidR="003A0FE0" w:rsidRPr="003A0FE0">
        <w:rPr>
          <w:lang w:val="ru-RU"/>
        </w:rPr>
        <w:t xml:space="preserve"> </w:t>
      </w:r>
      <w:r w:rsidR="003A0FE0">
        <w:rPr>
          <w:lang w:val="ru-RU"/>
        </w:rPr>
        <w:t>итогам внутреннего аудита</w:t>
      </w:r>
      <w:r w:rsidR="00A13D9E">
        <w:rPr>
          <w:rStyle w:val="FootnoteReference"/>
        </w:rPr>
        <w:footnoteReference w:id="3"/>
      </w:r>
      <w:r w:rsidR="00FE4AB7" w:rsidRPr="003A0FE0">
        <w:rPr>
          <w:lang w:val="ru-RU"/>
        </w:rPr>
        <w:t>.</w:t>
      </w:r>
    </w:p>
    <w:p w14:paraId="7E6B9DA2" w14:textId="12734119" w:rsidR="00682FAF" w:rsidRPr="00CE0303" w:rsidRDefault="006D55AC" w:rsidP="00682FAF">
      <w:pPr>
        <w:pStyle w:val="ONUME"/>
        <w:rPr>
          <w:lang w:val="ru-RU"/>
        </w:rPr>
      </w:pPr>
      <w:r>
        <w:rPr>
          <w:lang w:val="ru-RU"/>
        </w:rPr>
        <w:t>В</w:t>
      </w:r>
      <w:r w:rsidRPr="006D55AC">
        <w:rPr>
          <w:lang w:val="ru-RU"/>
        </w:rPr>
        <w:t xml:space="preserve"> </w:t>
      </w:r>
      <w:r>
        <w:rPr>
          <w:lang w:val="ru-RU"/>
        </w:rPr>
        <w:t>ходе</w:t>
      </w:r>
      <w:r w:rsidRPr="006D55AC">
        <w:rPr>
          <w:lang w:val="ru-RU"/>
        </w:rPr>
        <w:t xml:space="preserve"> </w:t>
      </w:r>
      <w:r>
        <w:rPr>
          <w:lang w:val="ru-RU"/>
        </w:rPr>
        <w:t>последнего</w:t>
      </w:r>
      <w:r w:rsidRPr="006D55AC">
        <w:rPr>
          <w:lang w:val="ru-RU"/>
        </w:rPr>
        <w:t xml:space="preserve"> </w:t>
      </w:r>
      <w:r>
        <w:rPr>
          <w:lang w:val="ru-RU"/>
        </w:rPr>
        <w:t>заседания</w:t>
      </w:r>
      <w:r w:rsidRPr="006D55AC">
        <w:rPr>
          <w:lang w:val="ru-RU"/>
        </w:rPr>
        <w:t xml:space="preserve"> </w:t>
      </w:r>
      <w:r>
        <w:rPr>
          <w:lang w:val="ru-RU"/>
        </w:rPr>
        <w:t>ЮНЕГ</w:t>
      </w:r>
      <w:r w:rsidRPr="006D55AC">
        <w:rPr>
          <w:lang w:val="ru-RU"/>
        </w:rPr>
        <w:t xml:space="preserve"> </w:t>
      </w:r>
      <w:r>
        <w:rPr>
          <w:lang w:val="ru-RU"/>
        </w:rPr>
        <w:t>руководитель</w:t>
      </w:r>
      <w:r w:rsidRPr="006D55AC">
        <w:rPr>
          <w:lang w:val="ru-RU"/>
        </w:rPr>
        <w:t xml:space="preserve"> </w:t>
      </w:r>
      <w:r>
        <w:rPr>
          <w:lang w:val="ru-RU"/>
        </w:rPr>
        <w:t>подразделения</w:t>
      </w:r>
      <w:r w:rsidRPr="006D55AC">
        <w:rPr>
          <w:lang w:val="ru-RU"/>
        </w:rPr>
        <w:t xml:space="preserve"> </w:t>
      </w:r>
      <w:r>
        <w:rPr>
          <w:lang w:val="ru-RU"/>
        </w:rPr>
        <w:t>оценки</w:t>
      </w:r>
      <w:r w:rsidRPr="006D55AC">
        <w:rPr>
          <w:lang w:val="ru-RU"/>
        </w:rPr>
        <w:t xml:space="preserve"> </w:t>
      </w:r>
      <w:r>
        <w:rPr>
          <w:lang w:val="ru-RU"/>
        </w:rPr>
        <w:t>ОВН</w:t>
      </w:r>
      <w:r w:rsidRPr="006D55AC">
        <w:rPr>
          <w:lang w:val="ru-RU"/>
        </w:rPr>
        <w:t xml:space="preserve"> </w:t>
      </w:r>
      <w:r>
        <w:rPr>
          <w:lang w:val="ru-RU"/>
        </w:rPr>
        <w:t>был</w:t>
      </w:r>
      <w:r w:rsidRPr="006D55AC">
        <w:rPr>
          <w:lang w:val="ru-RU"/>
        </w:rPr>
        <w:t xml:space="preserve"> </w:t>
      </w:r>
      <w:r>
        <w:rPr>
          <w:lang w:val="ru-RU"/>
        </w:rPr>
        <w:t>избран</w:t>
      </w:r>
      <w:r w:rsidRPr="006D55AC">
        <w:rPr>
          <w:lang w:val="ru-RU"/>
        </w:rPr>
        <w:t xml:space="preserve"> </w:t>
      </w:r>
      <w:r>
        <w:rPr>
          <w:lang w:val="ru-RU"/>
        </w:rPr>
        <w:t>заместителем</w:t>
      </w:r>
      <w:r w:rsidRPr="006D55AC">
        <w:rPr>
          <w:lang w:val="ru-RU"/>
        </w:rPr>
        <w:t xml:space="preserve"> </w:t>
      </w:r>
      <w:r>
        <w:rPr>
          <w:lang w:val="ru-RU"/>
        </w:rPr>
        <w:t>Председателя</w:t>
      </w:r>
      <w:r w:rsidRPr="006D55AC">
        <w:rPr>
          <w:lang w:val="ru-RU"/>
        </w:rPr>
        <w:t xml:space="preserve"> </w:t>
      </w:r>
      <w:r>
        <w:rPr>
          <w:lang w:val="ru-RU"/>
        </w:rPr>
        <w:t>и</w:t>
      </w:r>
      <w:r w:rsidRPr="006D55AC">
        <w:rPr>
          <w:lang w:val="ru-RU"/>
        </w:rPr>
        <w:t xml:space="preserve"> </w:t>
      </w:r>
      <w:r>
        <w:rPr>
          <w:lang w:val="ru-RU"/>
        </w:rPr>
        <w:t>казначеем</w:t>
      </w:r>
      <w:r w:rsidRPr="006D55AC">
        <w:rPr>
          <w:lang w:val="ru-RU"/>
        </w:rPr>
        <w:t xml:space="preserve"> </w:t>
      </w:r>
      <w:r>
        <w:rPr>
          <w:lang w:val="ru-RU"/>
        </w:rPr>
        <w:t>Группы</w:t>
      </w:r>
      <w:r w:rsidRPr="006D55AC">
        <w:rPr>
          <w:lang w:val="ru-RU"/>
        </w:rPr>
        <w:t xml:space="preserve"> </w:t>
      </w:r>
      <w:r>
        <w:rPr>
          <w:lang w:val="ru-RU"/>
        </w:rPr>
        <w:t>Организации</w:t>
      </w:r>
      <w:r w:rsidRPr="006D55AC">
        <w:rPr>
          <w:lang w:val="ru-RU"/>
        </w:rPr>
        <w:t xml:space="preserve"> </w:t>
      </w:r>
      <w:r>
        <w:rPr>
          <w:lang w:val="ru-RU"/>
        </w:rPr>
        <w:t xml:space="preserve">Объединенных Наций по оценке на двухлетний период. </w:t>
      </w:r>
    </w:p>
    <w:p w14:paraId="018B3C80" w14:textId="0628DACB" w:rsidR="00C46B12" w:rsidRPr="006D55AC" w:rsidRDefault="006D55AC" w:rsidP="00C46B12">
      <w:pPr>
        <w:pStyle w:val="Heading1"/>
        <w:rPr>
          <w:lang w:val="ru-RU"/>
        </w:rPr>
      </w:pPr>
      <w:bookmarkStart w:id="21" w:name="_Toc40299721"/>
      <w:bookmarkEnd w:id="17"/>
      <w:bookmarkEnd w:id="18"/>
      <w:r>
        <w:rPr>
          <w:lang w:val="ru-RU"/>
        </w:rPr>
        <w:t>ПРИНЦИПЫ ПЛАНИРОВАНИЯ</w:t>
      </w:r>
      <w:bookmarkEnd w:id="21"/>
      <w:r>
        <w:rPr>
          <w:lang w:val="ru-RU"/>
        </w:rPr>
        <w:t xml:space="preserve"> </w:t>
      </w:r>
    </w:p>
    <w:p w14:paraId="559CBCA9" w14:textId="03E4B0C0" w:rsidR="00C46B12" w:rsidRPr="00CE0303" w:rsidRDefault="006D55AC" w:rsidP="00F736B0">
      <w:pPr>
        <w:pStyle w:val="ONUME"/>
        <w:rPr>
          <w:lang w:val="ru-RU"/>
        </w:rPr>
      </w:pPr>
      <w:r w:rsidRPr="006D55AC">
        <w:rPr>
          <w:lang w:val="ru-RU"/>
        </w:rPr>
        <w:t xml:space="preserve">При подготовке своего плана работы в области надзора ОВН учитывал ряд факторов, включая оценку рисков, их значимость, последствия для стран, цикличность надзорной деятельности и замечания, поступившие от руководства ВОИС и государств-членов, а также объем имеющихся ресурсов. </w:t>
      </w:r>
      <w:r>
        <w:rPr>
          <w:lang w:val="ru-RU"/>
        </w:rPr>
        <w:t xml:space="preserve"> </w:t>
      </w:r>
      <w:r w:rsidRPr="006D55AC">
        <w:rPr>
          <w:lang w:val="ru-RU"/>
        </w:rPr>
        <w:t>До согласования окончательного варианта проект плана работы в области надзора был также представлен НККН для рассмотрения и вынесения рекомендаций в соответствии с пунктом 28(а) УВН.</w:t>
      </w:r>
      <w:r>
        <w:rPr>
          <w:lang w:val="ru-RU"/>
        </w:rPr>
        <w:t xml:space="preserve">  </w:t>
      </w:r>
    </w:p>
    <w:p w14:paraId="78FE8824" w14:textId="7A3197F5" w:rsidR="00C46B12" w:rsidRPr="00E32ADE" w:rsidRDefault="006D55AC" w:rsidP="00F736B0">
      <w:pPr>
        <w:pStyle w:val="ONUME"/>
      </w:pPr>
      <w:r>
        <w:rPr>
          <w:lang w:val="ru-RU"/>
        </w:rPr>
        <w:t>Для того, ч</w:t>
      </w:r>
      <w:r w:rsidRPr="006D55AC">
        <w:rPr>
          <w:lang w:val="ru-RU"/>
        </w:rPr>
        <w:t>тобы обеспечить эффективный охват надзорной деятельности наряду с рациональным использованием ограниченных ресурсов, избегая при этом потенциального дублирования усилий, ОВН также проанализировал работу внешнего аудитора и других органов по надзору, таких как Объединенная инспекционная группа (ОИГ), и результаты оценок, проведенных по поручению Комитета</w:t>
      </w:r>
      <w:r w:rsidRPr="006D55AC">
        <w:t xml:space="preserve"> </w:t>
      </w:r>
      <w:r w:rsidRPr="006D55AC">
        <w:rPr>
          <w:lang w:val="ru-RU"/>
        </w:rPr>
        <w:t>по</w:t>
      </w:r>
      <w:r w:rsidRPr="006D55AC">
        <w:t xml:space="preserve"> </w:t>
      </w:r>
      <w:r w:rsidRPr="006D55AC">
        <w:rPr>
          <w:lang w:val="ru-RU"/>
        </w:rPr>
        <w:t>развитию</w:t>
      </w:r>
      <w:r w:rsidRPr="006D55AC">
        <w:t xml:space="preserve"> </w:t>
      </w:r>
      <w:r w:rsidRPr="006D55AC">
        <w:rPr>
          <w:lang w:val="ru-RU"/>
        </w:rPr>
        <w:t>и</w:t>
      </w:r>
      <w:r w:rsidRPr="006D55AC">
        <w:t xml:space="preserve"> </w:t>
      </w:r>
      <w:r w:rsidRPr="006D55AC">
        <w:rPr>
          <w:lang w:val="ru-RU"/>
        </w:rPr>
        <w:t>интеллектуальной</w:t>
      </w:r>
      <w:r w:rsidRPr="006D55AC">
        <w:t xml:space="preserve"> </w:t>
      </w:r>
      <w:r w:rsidRPr="006D55AC">
        <w:rPr>
          <w:lang w:val="ru-RU"/>
        </w:rPr>
        <w:t>собственности</w:t>
      </w:r>
      <w:r w:rsidRPr="006D55AC">
        <w:t xml:space="preserve"> (</w:t>
      </w:r>
      <w:r w:rsidRPr="006D55AC">
        <w:rPr>
          <w:lang w:val="ru-RU"/>
        </w:rPr>
        <w:t>КРИС</w:t>
      </w:r>
      <w:r w:rsidRPr="006D55AC">
        <w:t xml:space="preserve">).  </w:t>
      </w:r>
    </w:p>
    <w:p w14:paraId="57B9D632" w14:textId="3AA53FA2" w:rsidR="00C46B12" w:rsidRPr="00CE0303" w:rsidRDefault="00FB4EB8" w:rsidP="00F736B0">
      <w:pPr>
        <w:pStyle w:val="ONUME"/>
        <w:rPr>
          <w:lang w:val="ru-RU"/>
        </w:rPr>
      </w:pPr>
      <w:r>
        <w:rPr>
          <w:lang w:val="ru-RU"/>
        </w:rPr>
        <w:t>План</w:t>
      </w:r>
      <w:r w:rsidRPr="00265CB7">
        <w:rPr>
          <w:lang w:val="ru-RU"/>
        </w:rPr>
        <w:t xml:space="preserve"> </w:t>
      </w:r>
      <w:r>
        <w:rPr>
          <w:lang w:val="ru-RU"/>
        </w:rPr>
        <w:t>надзорной</w:t>
      </w:r>
      <w:r w:rsidRPr="00265CB7">
        <w:rPr>
          <w:lang w:val="ru-RU"/>
        </w:rPr>
        <w:t xml:space="preserve"> </w:t>
      </w:r>
      <w:r>
        <w:rPr>
          <w:lang w:val="ru-RU"/>
        </w:rPr>
        <w:t>деятельности</w:t>
      </w:r>
      <w:r w:rsidRPr="00265CB7">
        <w:rPr>
          <w:lang w:val="ru-RU"/>
        </w:rPr>
        <w:t xml:space="preserve"> </w:t>
      </w:r>
      <w:r>
        <w:rPr>
          <w:lang w:val="ru-RU"/>
        </w:rPr>
        <w:t>на</w:t>
      </w:r>
      <w:r w:rsidRPr="00265CB7">
        <w:rPr>
          <w:lang w:val="ru-RU"/>
        </w:rPr>
        <w:t xml:space="preserve"> 2019 </w:t>
      </w:r>
      <w:r>
        <w:rPr>
          <w:lang w:val="ru-RU"/>
        </w:rPr>
        <w:t>г</w:t>
      </w:r>
      <w:r w:rsidRPr="00265CB7">
        <w:rPr>
          <w:lang w:val="ru-RU"/>
        </w:rPr>
        <w:t xml:space="preserve">. </w:t>
      </w:r>
      <w:r>
        <w:rPr>
          <w:lang w:val="ru-RU"/>
        </w:rPr>
        <w:t>был</w:t>
      </w:r>
      <w:r w:rsidRPr="00265CB7">
        <w:rPr>
          <w:lang w:val="ru-RU"/>
        </w:rPr>
        <w:t xml:space="preserve"> </w:t>
      </w:r>
      <w:r w:rsidR="00265CB7">
        <w:rPr>
          <w:lang w:val="ru-RU"/>
        </w:rPr>
        <w:t>полностью</w:t>
      </w:r>
      <w:r w:rsidR="00265CB7" w:rsidRPr="00265CB7">
        <w:rPr>
          <w:lang w:val="ru-RU"/>
        </w:rPr>
        <w:t xml:space="preserve"> </w:t>
      </w:r>
      <w:r w:rsidR="00265CB7">
        <w:rPr>
          <w:lang w:val="ru-RU"/>
        </w:rPr>
        <w:t>реализован</w:t>
      </w:r>
      <w:r w:rsidR="00265CB7" w:rsidRPr="00265CB7">
        <w:rPr>
          <w:lang w:val="ru-RU"/>
        </w:rPr>
        <w:t xml:space="preserve"> </w:t>
      </w:r>
      <w:r w:rsidR="00265CB7">
        <w:rPr>
          <w:lang w:val="ru-RU"/>
        </w:rPr>
        <w:t>в</w:t>
      </w:r>
      <w:r w:rsidR="00265CB7" w:rsidRPr="00265CB7">
        <w:rPr>
          <w:lang w:val="ru-RU"/>
        </w:rPr>
        <w:t xml:space="preserve"> </w:t>
      </w:r>
      <w:r w:rsidR="00265CB7">
        <w:rPr>
          <w:lang w:val="ru-RU"/>
        </w:rPr>
        <w:t>пределах</w:t>
      </w:r>
      <w:r w:rsidR="00265CB7" w:rsidRPr="00265CB7">
        <w:rPr>
          <w:lang w:val="ru-RU"/>
        </w:rPr>
        <w:t xml:space="preserve"> </w:t>
      </w:r>
      <w:r w:rsidR="00265CB7">
        <w:rPr>
          <w:lang w:val="ru-RU"/>
        </w:rPr>
        <w:t>бюджета</w:t>
      </w:r>
      <w:r w:rsidR="00265CB7" w:rsidRPr="00265CB7">
        <w:rPr>
          <w:lang w:val="ru-RU"/>
        </w:rPr>
        <w:t>.</w:t>
      </w:r>
      <w:r w:rsidR="00265CB7">
        <w:rPr>
          <w:lang w:val="ru-RU"/>
        </w:rPr>
        <w:t xml:space="preserve">  План</w:t>
      </w:r>
      <w:r w:rsidR="00265CB7" w:rsidRPr="00265CB7">
        <w:rPr>
          <w:lang w:val="ru-RU"/>
        </w:rPr>
        <w:t xml:space="preserve"> </w:t>
      </w:r>
      <w:r w:rsidR="00265CB7">
        <w:rPr>
          <w:lang w:val="ru-RU"/>
        </w:rPr>
        <w:t>надзорной</w:t>
      </w:r>
      <w:r w:rsidR="00265CB7" w:rsidRPr="00265CB7">
        <w:rPr>
          <w:lang w:val="ru-RU"/>
        </w:rPr>
        <w:t xml:space="preserve"> </w:t>
      </w:r>
      <w:r w:rsidR="00265CB7">
        <w:rPr>
          <w:lang w:val="ru-RU"/>
        </w:rPr>
        <w:t>деятельности</w:t>
      </w:r>
      <w:r w:rsidR="00265CB7" w:rsidRPr="00265CB7">
        <w:rPr>
          <w:lang w:val="ru-RU"/>
        </w:rPr>
        <w:t xml:space="preserve"> </w:t>
      </w:r>
      <w:r w:rsidR="00265CB7">
        <w:rPr>
          <w:lang w:val="ru-RU"/>
        </w:rPr>
        <w:t>на</w:t>
      </w:r>
      <w:r w:rsidR="00265CB7" w:rsidRPr="00265CB7">
        <w:rPr>
          <w:lang w:val="ru-RU"/>
        </w:rPr>
        <w:t xml:space="preserve"> 2020 </w:t>
      </w:r>
      <w:r w:rsidR="00265CB7">
        <w:rPr>
          <w:lang w:val="ru-RU"/>
        </w:rPr>
        <w:t>г</w:t>
      </w:r>
      <w:r w:rsidR="00265CB7" w:rsidRPr="00265CB7">
        <w:rPr>
          <w:lang w:val="ru-RU"/>
        </w:rPr>
        <w:t xml:space="preserve">. </w:t>
      </w:r>
      <w:r w:rsidR="00265CB7">
        <w:rPr>
          <w:lang w:val="ru-RU"/>
        </w:rPr>
        <w:t>был</w:t>
      </w:r>
      <w:r w:rsidR="00265CB7" w:rsidRPr="00265CB7">
        <w:rPr>
          <w:lang w:val="ru-RU"/>
        </w:rPr>
        <w:t xml:space="preserve"> </w:t>
      </w:r>
      <w:r w:rsidR="00265CB7">
        <w:rPr>
          <w:lang w:val="ru-RU"/>
        </w:rPr>
        <w:t>окончательно</w:t>
      </w:r>
      <w:r w:rsidR="00265CB7" w:rsidRPr="00265CB7">
        <w:rPr>
          <w:lang w:val="ru-RU"/>
        </w:rPr>
        <w:t xml:space="preserve"> </w:t>
      </w:r>
      <w:r w:rsidR="00265CB7">
        <w:rPr>
          <w:lang w:val="ru-RU"/>
        </w:rPr>
        <w:t>доработан</w:t>
      </w:r>
      <w:r w:rsidR="00265CB7" w:rsidRPr="00265CB7">
        <w:rPr>
          <w:lang w:val="ru-RU"/>
        </w:rPr>
        <w:t xml:space="preserve"> </w:t>
      </w:r>
      <w:r w:rsidR="00265CB7">
        <w:rPr>
          <w:lang w:val="ru-RU"/>
        </w:rPr>
        <w:t>и</w:t>
      </w:r>
      <w:r w:rsidR="00265CB7" w:rsidRPr="00265CB7">
        <w:rPr>
          <w:lang w:val="ru-RU"/>
        </w:rPr>
        <w:t xml:space="preserve"> </w:t>
      </w:r>
      <w:r w:rsidR="00265CB7">
        <w:rPr>
          <w:lang w:val="ru-RU"/>
        </w:rPr>
        <w:t xml:space="preserve">опубликован в интранете ВОИС.  </w:t>
      </w:r>
    </w:p>
    <w:p w14:paraId="0F5B2597" w14:textId="6CE2A211" w:rsidR="00C46B12" w:rsidRPr="00265CB7" w:rsidRDefault="00265CB7" w:rsidP="00C46B12">
      <w:pPr>
        <w:pStyle w:val="Heading1"/>
        <w:rPr>
          <w:lang w:val="ru-RU"/>
        </w:rPr>
      </w:pPr>
      <w:bookmarkStart w:id="22" w:name="_Toc40299722"/>
      <w:r>
        <w:rPr>
          <w:lang w:val="ru-RU"/>
        </w:rPr>
        <w:lastRenderedPageBreak/>
        <w:t>ПРОФЕССИОНАЛЬНЫЕ СТАНДАРТЫ</w:t>
      </w:r>
      <w:bookmarkEnd w:id="22"/>
      <w:r>
        <w:rPr>
          <w:lang w:val="ru-RU"/>
        </w:rPr>
        <w:t xml:space="preserve">  </w:t>
      </w:r>
    </w:p>
    <w:p w14:paraId="36BDDB23" w14:textId="7CE41C6D" w:rsidR="000F6132" w:rsidRPr="00CE0303" w:rsidRDefault="00265CB7" w:rsidP="00ED3A15">
      <w:pPr>
        <w:pStyle w:val="ONUME"/>
        <w:rPr>
          <w:lang w:val="ru-RU"/>
        </w:rPr>
      </w:pPr>
      <w:r w:rsidRPr="00265CB7">
        <w:rPr>
          <w:lang w:val="ru-RU"/>
        </w:rPr>
        <w:t xml:space="preserve">При проведении аудита ОВН руководствуется </w:t>
      </w:r>
      <w:r>
        <w:rPr>
          <w:lang w:val="ru-RU"/>
        </w:rPr>
        <w:t xml:space="preserve">Международными стандартами профессиональной практики внутреннего аудита (Стандартами) и действует согласно соответствующему Кодексу этических норм, который содержится в Международном регламенте профессиональной практики </w:t>
      </w:r>
      <w:r w:rsidRPr="00265CB7">
        <w:rPr>
          <w:lang w:val="ru-RU"/>
        </w:rPr>
        <w:t>Институт</w:t>
      </w:r>
      <w:r>
        <w:rPr>
          <w:lang w:val="ru-RU"/>
        </w:rPr>
        <w:t>а</w:t>
      </w:r>
      <w:r w:rsidRPr="00265CB7">
        <w:rPr>
          <w:lang w:val="ru-RU"/>
        </w:rPr>
        <w:t xml:space="preserve"> внутренних аудиторов (ИВА). </w:t>
      </w:r>
    </w:p>
    <w:p w14:paraId="2C8C99EB" w14:textId="1BF79ED6" w:rsidR="00ED3A15" w:rsidRPr="00265CB7" w:rsidRDefault="00265CB7" w:rsidP="00181C92">
      <w:pPr>
        <w:pStyle w:val="ONUME"/>
        <w:rPr>
          <w:lang w:val="ru-RU"/>
        </w:rPr>
      </w:pPr>
      <w:r w:rsidRPr="00265CB7">
        <w:rPr>
          <w:lang w:val="ru-RU"/>
        </w:rPr>
        <w:t xml:space="preserve">Аналогичным образом, следственная работа ОВН проводится в соответствии с Едиными принципами и руководящими указаниями в отношении проведения расследований, одобренными Конференцией международных следователей (КМС).  </w:t>
      </w:r>
    </w:p>
    <w:p w14:paraId="28F99BCC" w14:textId="681633E8" w:rsidR="00C46B12" w:rsidRDefault="00265CB7" w:rsidP="00F736B0">
      <w:pPr>
        <w:pStyle w:val="ONUME"/>
        <w:rPr>
          <w:lang w:val="ru-RU"/>
        </w:rPr>
      </w:pPr>
      <w:r w:rsidRPr="00265CB7">
        <w:rPr>
          <w:lang w:val="ru-RU"/>
        </w:rPr>
        <w:t>При проведении оценки ОВН опирается на международные стандарты оценочной практики, установленные Группой ООН по оценке (ЮНЕГ).</w:t>
      </w:r>
    </w:p>
    <w:p w14:paraId="376DFB32" w14:textId="77777777" w:rsidR="008A65EC" w:rsidRDefault="008A65EC" w:rsidP="008A65EC">
      <w:pPr>
        <w:pStyle w:val="ONUME"/>
        <w:numPr>
          <w:ilvl w:val="0"/>
          <w:numId w:val="0"/>
        </w:numPr>
        <w:rPr>
          <w:b/>
          <w:bCs/>
          <w:lang w:val="ru-RU"/>
        </w:rPr>
      </w:pPr>
      <w:r>
        <w:rPr>
          <w:b/>
          <w:bCs/>
          <w:lang w:val="ru-RU"/>
        </w:rPr>
        <w:t>ПРИДАНИЕ ГЕНДЕРНОЙ ПРОБЛЕМАТИКЕ МАГИСТРАЛЬНОГО ЗНАЧЕНИЯ</w:t>
      </w:r>
    </w:p>
    <w:p w14:paraId="3950DB4E" w14:textId="149467A4" w:rsidR="008A65EC" w:rsidRDefault="008A65EC" w:rsidP="008A65EC">
      <w:pPr>
        <w:pStyle w:val="ONUME"/>
        <w:rPr>
          <w:lang w:val="ru-RU"/>
        </w:rPr>
      </w:pPr>
      <w:r>
        <w:rPr>
          <w:lang w:val="ru-RU"/>
        </w:rPr>
        <w:t>В контексте доклада о результатах осуществления ОПД ООН и в связи с обеспечением гендерного равенства и придания ему магистрального значения УВН в рамках аудита и оценки рассматривал гендерные вопросы в следующих случаях</w:t>
      </w:r>
      <w:r w:rsidRPr="008A65EC">
        <w:rPr>
          <w:lang w:val="ru-RU"/>
        </w:rPr>
        <w:t>:</w:t>
      </w:r>
    </w:p>
    <w:p w14:paraId="491BFCAC" w14:textId="057A5E07" w:rsidR="008A65EC" w:rsidRDefault="008A65EC" w:rsidP="008A65EC">
      <w:pPr>
        <w:pStyle w:val="ONUME"/>
        <w:numPr>
          <w:ilvl w:val="1"/>
          <w:numId w:val="2"/>
        </w:numPr>
        <w:rPr>
          <w:lang w:val="ru-RU"/>
        </w:rPr>
      </w:pPr>
      <w:r>
        <w:rPr>
          <w:lang w:val="ru-RU"/>
        </w:rPr>
        <w:t>УВН проводит консультации со специалистами по гендерным вопросам в ходе ежегодных мероприятий по планированию и оценке рисков</w:t>
      </w:r>
      <w:r w:rsidR="003714D6">
        <w:rPr>
          <w:lang w:val="ru-RU"/>
        </w:rPr>
        <w:t>;</w:t>
      </w:r>
    </w:p>
    <w:p w14:paraId="7DE64486" w14:textId="4275EB7D" w:rsidR="008A65EC" w:rsidRDefault="008A65EC" w:rsidP="008A65EC">
      <w:pPr>
        <w:pStyle w:val="ONUME"/>
        <w:numPr>
          <w:ilvl w:val="1"/>
          <w:numId w:val="2"/>
        </w:numPr>
        <w:rPr>
          <w:lang w:val="ru-RU"/>
        </w:rPr>
      </w:pPr>
      <w:r>
        <w:rPr>
          <w:lang w:val="ru-RU"/>
        </w:rPr>
        <w:t>УВН включил вопрос о придании гендерной проблематике магистрального значения в свою программу работы в качестве постоянного пункта применительно к соответствующим аудиторским мероприятиям</w:t>
      </w:r>
      <w:r w:rsidR="003714D6">
        <w:rPr>
          <w:lang w:val="ru-RU"/>
        </w:rPr>
        <w:t>;</w:t>
      </w:r>
    </w:p>
    <w:p w14:paraId="6E74DFF9" w14:textId="77777777" w:rsidR="003714D6" w:rsidRDefault="003714D6" w:rsidP="008A65EC">
      <w:pPr>
        <w:pStyle w:val="ONUME"/>
        <w:numPr>
          <w:ilvl w:val="1"/>
          <w:numId w:val="2"/>
        </w:numPr>
        <w:rPr>
          <w:lang w:val="ru-RU"/>
        </w:rPr>
      </w:pPr>
      <w:r>
        <w:rPr>
          <w:lang w:val="ru-RU"/>
        </w:rPr>
        <w:t>в соответствующих случаях Секция оценки применяет на всех этапах оценки разработанные ЮНЕГ Руководящие принципы учета вопросов прав человека и гендерной проблематики при проведении оценки;</w:t>
      </w:r>
    </w:p>
    <w:p w14:paraId="767B3FDD" w14:textId="77777777" w:rsidR="003714D6" w:rsidRDefault="003714D6" w:rsidP="008A65EC">
      <w:pPr>
        <w:pStyle w:val="ONUME"/>
        <w:numPr>
          <w:ilvl w:val="1"/>
          <w:numId w:val="2"/>
        </w:numPr>
        <w:rPr>
          <w:lang w:val="ru-RU"/>
        </w:rPr>
      </w:pPr>
      <w:r>
        <w:rPr>
          <w:lang w:val="ru-RU"/>
        </w:rPr>
        <w:t>сотрудники УВН прошли соответствующий курс профессиональной подготовки по гендерным вопросам;</w:t>
      </w:r>
    </w:p>
    <w:p w14:paraId="00259C8D" w14:textId="77777777" w:rsidR="0060323E" w:rsidRDefault="0060323E" w:rsidP="008A65EC">
      <w:pPr>
        <w:pStyle w:val="ONUME"/>
        <w:numPr>
          <w:ilvl w:val="1"/>
          <w:numId w:val="2"/>
        </w:numPr>
        <w:rPr>
          <w:lang w:val="ru-RU"/>
        </w:rPr>
      </w:pPr>
      <w:r>
        <w:rPr>
          <w:lang w:val="ru-RU"/>
        </w:rPr>
        <w:t>был назначен координатор по гендерным вопросам для поддержания контактов со специалистом ВОИС по гендерным вопросам и информирования сотрудников УВН о соответствующих общеорганизационных инициативах, касающихся гендерной проблематики;</w:t>
      </w:r>
    </w:p>
    <w:p w14:paraId="2854039F" w14:textId="04EAEFE2" w:rsidR="00F5545A" w:rsidRDefault="00F5545A" w:rsidP="008A65EC">
      <w:pPr>
        <w:pStyle w:val="ONUME"/>
        <w:numPr>
          <w:ilvl w:val="1"/>
          <w:numId w:val="2"/>
        </w:numPr>
        <w:rPr>
          <w:lang w:val="ru-RU"/>
        </w:rPr>
      </w:pPr>
      <w:r>
        <w:rPr>
          <w:lang w:val="ru-RU"/>
        </w:rPr>
        <w:t>УВН провел аудиторскую проверку и оценку Политики ВОИС в области гендерного равенства в 2019 г.</w:t>
      </w:r>
    </w:p>
    <w:p w14:paraId="36D23D19" w14:textId="35CAD88B" w:rsidR="008A65EC" w:rsidRDefault="00F5545A" w:rsidP="008A65EC">
      <w:pPr>
        <w:pStyle w:val="ONUME"/>
        <w:numPr>
          <w:ilvl w:val="1"/>
          <w:numId w:val="2"/>
        </w:numPr>
        <w:rPr>
          <w:lang w:val="ru-RU"/>
        </w:rPr>
      </w:pPr>
      <w:r>
        <w:rPr>
          <w:lang w:val="ru-RU"/>
        </w:rPr>
        <w:t xml:space="preserve">Секция аудита УВН не ожидает, что в рамках аудиторских проверок, намеченных на 2020 г., будут фигурировать гендерные вопросы, поскольку запланированные мероприятия носят технический характер  </w:t>
      </w:r>
    </w:p>
    <w:p w14:paraId="2A13BB87" w14:textId="017EAC0A" w:rsidR="00F5545A" w:rsidRDefault="00F5545A" w:rsidP="008A65EC">
      <w:pPr>
        <w:pStyle w:val="ONUME"/>
        <w:numPr>
          <w:ilvl w:val="1"/>
          <w:numId w:val="2"/>
        </w:numPr>
        <w:rPr>
          <w:lang w:val="ru-RU"/>
        </w:rPr>
      </w:pPr>
      <w:r>
        <w:rPr>
          <w:lang w:val="ru-RU"/>
        </w:rPr>
        <w:t xml:space="preserve">УВН будет отслеживать ход реализации рекомендаций, вынесенных по итогам аудиторской проверки и оценки Политики ВОИС в области гендерного равенства; </w:t>
      </w:r>
    </w:p>
    <w:p w14:paraId="41E2121B" w14:textId="4300459E" w:rsidR="00F5545A" w:rsidRPr="008A65EC" w:rsidRDefault="00F5545A" w:rsidP="008A65EC">
      <w:pPr>
        <w:pStyle w:val="ONUME"/>
        <w:numPr>
          <w:ilvl w:val="1"/>
          <w:numId w:val="2"/>
        </w:numPr>
        <w:rPr>
          <w:lang w:val="ru-RU"/>
        </w:rPr>
      </w:pPr>
      <w:r>
        <w:rPr>
          <w:lang w:val="ru-RU"/>
        </w:rPr>
        <w:t>планируется распространять информацию о результатах, эффективных видах практики и выводах, сделанных по итогам аудиторской проверки и оценки Политики ВОИС в области гендерного равенства в рамках Группы Организации Объединенных Наций по оценке и других органов оценки.</w:t>
      </w:r>
    </w:p>
    <w:p w14:paraId="0ADAA945" w14:textId="78B91FD2" w:rsidR="00C46B12" w:rsidRPr="00942D74" w:rsidRDefault="00DC13DA" w:rsidP="00C46B12">
      <w:pPr>
        <w:pStyle w:val="Heading1"/>
        <w:rPr>
          <w:lang w:val="ru-RU"/>
        </w:rPr>
      </w:pPr>
      <w:bookmarkStart w:id="23" w:name="_Toc11683740"/>
      <w:bookmarkStart w:id="24" w:name="_Toc40299723"/>
      <w:r>
        <w:rPr>
          <w:lang w:val="ru-RU"/>
        </w:rPr>
        <w:t>ОСновные выводы</w:t>
      </w:r>
      <w:r w:rsidR="00942D74" w:rsidRPr="00942D74">
        <w:rPr>
          <w:lang w:val="ru-RU"/>
        </w:rPr>
        <w:t xml:space="preserve"> И ПРИОРИТЕТНЫЕ РЕКОМЕНДАЦИИ ПО ИТОГАМ НАДЗОРА</w:t>
      </w:r>
      <w:bookmarkEnd w:id="23"/>
      <w:bookmarkEnd w:id="24"/>
    </w:p>
    <w:p w14:paraId="4B8DCEA2" w14:textId="5667E777" w:rsidR="00257602" w:rsidRPr="00942D74" w:rsidRDefault="00942D74" w:rsidP="00F062F0">
      <w:pPr>
        <w:pStyle w:val="ONUME"/>
        <w:rPr>
          <w:lang w:val="ru-RU"/>
        </w:rPr>
      </w:pPr>
      <w:r w:rsidRPr="00942D74">
        <w:rPr>
          <w:lang w:val="ru-RU"/>
        </w:rPr>
        <w:t xml:space="preserve">В настоящем разделе приводится информация об основных выводах и рекомендациях по устранению </w:t>
      </w:r>
      <w:r>
        <w:rPr>
          <w:lang w:val="ru-RU"/>
        </w:rPr>
        <w:t>первоочередных</w:t>
      </w:r>
      <w:r w:rsidRPr="00942D74">
        <w:rPr>
          <w:lang w:val="ru-RU"/>
        </w:rPr>
        <w:t xml:space="preserve"> рисков, которые были сформулированы в </w:t>
      </w:r>
      <w:r w:rsidRPr="00942D74">
        <w:rPr>
          <w:lang w:val="ru-RU"/>
        </w:rPr>
        <w:lastRenderedPageBreak/>
        <w:t xml:space="preserve">отчетах о внутреннем надзоре (отчетах об аудиторских проверках, оценках и результатах расследования для руководства (ОРРР)), опубликованных в </w:t>
      </w:r>
      <w:r>
        <w:rPr>
          <w:lang w:val="ru-RU"/>
        </w:rPr>
        <w:t xml:space="preserve">течение </w:t>
      </w:r>
      <w:r w:rsidRPr="00942D74">
        <w:rPr>
          <w:lang w:val="ru-RU"/>
        </w:rPr>
        <w:t>отчетн</w:t>
      </w:r>
      <w:r>
        <w:rPr>
          <w:lang w:val="ru-RU"/>
        </w:rPr>
        <w:t>ого</w:t>
      </w:r>
      <w:r w:rsidRPr="00942D74">
        <w:rPr>
          <w:lang w:val="ru-RU"/>
        </w:rPr>
        <w:t xml:space="preserve"> период</w:t>
      </w:r>
      <w:r>
        <w:rPr>
          <w:lang w:val="ru-RU"/>
        </w:rPr>
        <w:t>а</w:t>
      </w:r>
      <w:r w:rsidRPr="00942D74">
        <w:rPr>
          <w:lang w:val="ru-RU"/>
        </w:rPr>
        <w:t>.</w:t>
      </w:r>
    </w:p>
    <w:p w14:paraId="68FA1E78" w14:textId="35147BAB" w:rsidR="00F736B0" w:rsidRPr="00942D74" w:rsidRDefault="00942D74" w:rsidP="00F062F0">
      <w:pPr>
        <w:pStyle w:val="ONUME"/>
        <w:rPr>
          <w:lang w:val="ru-RU"/>
        </w:rPr>
      </w:pPr>
      <w:r w:rsidRPr="00942D74">
        <w:rPr>
          <w:lang w:val="ru-RU"/>
        </w:rPr>
        <w:t xml:space="preserve">Основные выводы и рекомендации касаются следующих отчетов, </w:t>
      </w:r>
      <w:r>
        <w:rPr>
          <w:lang w:val="ru-RU"/>
        </w:rPr>
        <w:t>опубликованных</w:t>
      </w:r>
      <w:r w:rsidRPr="00942D74">
        <w:rPr>
          <w:lang w:val="ru-RU"/>
        </w:rPr>
        <w:t xml:space="preserve"> в </w:t>
      </w:r>
      <w:r>
        <w:rPr>
          <w:lang w:val="ru-RU"/>
        </w:rPr>
        <w:t>течение</w:t>
      </w:r>
      <w:r w:rsidRPr="00942D74">
        <w:rPr>
          <w:lang w:val="ru-RU"/>
        </w:rPr>
        <w:t xml:space="preserve"> </w:t>
      </w:r>
      <w:r w:rsidR="007D0739">
        <w:rPr>
          <w:lang w:val="ru-RU"/>
        </w:rPr>
        <w:t>рассматриваемого</w:t>
      </w:r>
      <w:r w:rsidRPr="00942D74">
        <w:rPr>
          <w:lang w:val="ru-RU"/>
        </w:rPr>
        <w:t xml:space="preserve"> период</w:t>
      </w:r>
      <w:r>
        <w:rPr>
          <w:lang w:val="ru-RU"/>
        </w:rPr>
        <w:t>а</w:t>
      </w:r>
      <w:r w:rsidR="00C46B12" w:rsidRPr="00E04B15">
        <w:rPr>
          <w:rStyle w:val="FootnoteReference"/>
        </w:rPr>
        <w:footnoteReference w:id="4"/>
      </w:r>
      <w:r w:rsidR="00C46B12" w:rsidRPr="00942D74">
        <w:rPr>
          <w:lang w:val="ru-RU"/>
        </w:rPr>
        <w:t xml:space="preserve">: </w:t>
      </w:r>
    </w:p>
    <w:p w14:paraId="01B83478" w14:textId="7FED2D9C" w:rsidR="0037708F" w:rsidRPr="004B0799" w:rsidRDefault="00D073A1" w:rsidP="002C23BF">
      <w:pPr>
        <w:pStyle w:val="ONUME"/>
        <w:numPr>
          <w:ilvl w:val="1"/>
          <w:numId w:val="8"/>
        </w:numPr>
        <w:rPr>
          <w:szCs w:val="22"/>
          <w:lang w:val="ru-RU"/>
        </w:rPr>
      </w:pPr>
      <w:bookmarkStart w:id="25" w:name="_Hlk40295481"/>
      <w:r>
        <w:rPr>
          <w:rFonts w:eastAsia="Times New Roman"/>
          <w:szCs w:val="22"/>
          <w:lang w:val="ru-RU" w:eastAsia="en-US"/>
        </w:rPr>
        <w:t>аудит</w:t>
      </w:r>
      <w:r w:rsidR="004B0799">
        <w:rPr>
          <w:rFonts w:eastAsia="Times New Roman"/>
          <w:szCs w:val="22"/>
          <w:lang w:val="ru-RU" w:eastAsia="en-US"/>
        </w:rPr>
        <w:t>орская проверка</w:t>
      </w:r>
      <w:r w:rsidRPr="004B0799">
        <w:rPr>
          <w:rFonts w:eastAsia="Times New Roman"/>
          <w:szCs w:val="22"/>
          <w:lang w:val="ru-RU" w:eastAsia="en-US"/>
        </w:rPr>
        <w:t xml:space="preserve"> </w:t>
      </w:r>
      <w:r>
        <w:rPr>
          <w:rFonts w:eastAsia="Times New Roman"/>
          <w:szCs w:val="22"/>
          <w:lang w:val="ru-RU" w:eastAsia="en-US"/>
        </w:rPr>
        <w:t>системы</w:t>
      </w:r>
      <w:r w:rsidRPr="004B0799">
        <w:rPr>
          <w:rFonts w:eastAsia="Times New Roman"/>
          <w:szCs w:val="22"/>
          <w:lang w:val="ru-RU" w:eastAsia="en-US"/>
        </w:rPr>
        <w:t xml:space="preserve"> </w:t>
      </w:r>
      <w:r>
        <w:rPr>
          <w:rFonts w:eastAsia="Times New Roman"/>
          <w:szCs w:val="22"/>
          <w:lang w:val="ru-RU" w:eastAsia="en-US"/>
        </w:rPr>
        <w:t>управления</w:t>
      </w:r>
      <w:r w:rsidRPr="004B0799">
        <w:rPr>
          <w:rFonts w:eastAsia="Times New Roman"/>
          <w:szCs w:val="22"/>
          <w:lang w:val="ru-RU" w:eastAsia="en-US"/>
        </w:rPr>
        <w:t xml:space="preserve"> </w:t>
      </w:r>
      <w:r>
        <w:rPr>
          <w:rFonts w:eastAsia="Times New Roman"/>
          <w:szCs w:val="22"/>
          <w:lang w:val="ru-RU" w:eastAsia="en-US"/>
        </w:rPr>
        <w:t>организационными</w:t>
      </w:r>
      <w:r w:rsidRPr="004B0799">
        <w:rPr>
          <w:rFonts w:eastAsia="Times New Roman"/>
          <w:szCs w:val="22"/>
          <w:lang w:val="ru-RU" w:eastAsia="en-US"/>
        </w:rPr>
        <w:t xml:space="preserve"> </w:t>
      </w:r>
      <w:r>
        <w:rPr>
          <w:rFonts w:eastAsia="Times New Roman"/>
          <w:szCs w:val="22"/>
          <w:lang w:val="ru-RU" w:eastAsia="en-US"/>
        </w:rPr>
        <w:t>ресурсами</w:t>
      </w:r>
      <w:r w:rsidRPr="004B0799">
        <w:rPr>
          <w:rFonts w:eastAsia="Times New Roman"/>
          <w:szCs w:val="22"/>
          <w:lang w:val="ru-RU" w:eastAsia="en-US"/>
        </w:rPr>
        <w:t xml:space="preserve"> (</w:t>
      </w:r>
      <w:r>
        <w:rPr>
          <w:rFonts w:eastAsia="Times New Roman"/>
          <w:szCs w:val="22"/>
          <w:lang w:val="ru-RU" w:eastAsia="en-US"/>
        </w:rPr>
        <w:t>УОР</w:t>
      </w:r>
      <w:r w:rsidRPr="004B0799">
        <w:rPr>
          <w:rFonts w:eastAsia="Times New Roman"/>
          <w:szCs w:val="22"/>
          <w:lang w:val="ru-RU" w:eastAsia="en-US"/>
        </w:rPr>
        <w:t xml:space="preserve">) </w:t>
      </w:r>
      <w:r>
        <w:rPr>
          <w:rFonts w:eastAsia="Times New Roman"/>
          <w:szCs w:val="22"/>
          <w:lang w:val="ru-RU" w:eastAsia="en-US"/>
        </w:rPr>
        <w:t>ВОИС</w:t>
      </w:r>
      <w:r w:rsidR="0037708F" w:rsidRPr="004B0799">
        <w:rPr>
          <w:szCs w:val="22"/>
          <w:lang w:val="ru-RU"/>
        </w:rPr>
        <w:t>;</w:t>
      </w:r>
    </w:p>
    <w:p w14:paraId="12C19A44" w14:textId="178EDDA5" w:rsidR="001635B5" w:rsidRPr="004B0799" w:rsidRDefault="004B0799" w:rsidP="002C23BF">
      <w:pPr>
        <w:pStyle w:val="ONUME"/>
        <w:numPr>
          <w:ilvl w:val="1"/>
          <w:numId w:val="8"/>
        </w:numPr>
        <w:rPr>
          <w:szCs w:val="22"/>
          <w:lang w:val="ru-RU"/>
        </w:rPr>
      </w:pPr>
      <w:r>
        <w:rPr>
          <w:rFonts w:eastAsia="Times New Roman"/>
          <w:color w:val="000000"/>
          <w:szCs w:val="22"/>
          <w:lang w:val="ru-RU" w:eastAsia="en-US"/>
        </w:rPr>
        <w:t>аудиторская</w:t>
      </w:r>
      <w:r w:rsidRPr="004B0799">
        <w:rPr>
          <w:rFonts w:eastAsia="Times New Roman"/>
          <w:color w:val="000000"/>
          <w:szCs w:val="22"/>
          <w:lang w:val="ru-RU" w:eastAsia="en-US"/>
        </w:rPr>
        <w:t xml:space="preserve"> </w:t>
      </w:r>
      <w:r>
        <w:rPr>
          <w:rFonts w:eastAsia="Times New Roman"/>
          <w:color w:val="000000"/>
          <w:szCs w:val="22"/>
          <w:lang w:val="ru-RU" w:eastAsia="en-US"/>
        </w:rPr>
        <w:t>проверка</w:t>
      </w:r>
      <w:r w:rsidRPr="004B0799">
        <w:rPr>
          <w:rFonts w:eastAsia="Times New Roman"/>
          <w:color w:val="000000"/>
          <w:szCs w:val="22"/>
          <w:lang w:val="ru-RU" w:eastAsia="en-US"/>
        </w:rPr>
        <w:t xml:space="preserve"> организации </w:t>
      </w:r>
      <w:r w:rsidR="00B3286D">
        <w:rPr>
          <w:rFonts w:eastAsia="Times New Roman"/>
          <w:color w:val="000000"/>
          <w:szCs w:val="22"/>
          <w:lang w:val="ru-RU" w:eastAsia="en-US"/>
        </w:rPr>
        <w:t>управления</w:t>
      </w:r>
      <w:r w:rsidRPr="004B0799">
        <w:rPr>
          <w:rFonts w:eastAsia="Times New Roman"/>
          <w:color w:val="000000"/>
          <w:szCs w:val="22"/>
          <w:lang w:val="ru-RU" w:eastAsia="en-US"/>
        </w:rPr>
        <w:t xml:space="preserve"> </w:t>
      </w:r>
      <w:r w:rsidR="00431669">
        <w:rPr>
          <w:rFonts w:eastAsia="Times New Roman"/>
          <w:color w:val="000000"/>
          <w:szCs w:val="22"/>
          <w:lang w:val="ru-RU" w:eastAsia="en-US"/>
        </w:rPr>
        <w:t xml:space="preserve">внутриорганизационными </w:t>
      </w:r>
      <w:r w:rsidRPr="004B0799">
        <w:rPr>
          <w:rFonts w:eastAsia="Times New Roman"/>
          <w:color w:val="000000"/>
          <w:szCs w:val="22"/>
          <w:lang w:val="ru-RU" w:eastAsia="en-US"/>
        </w:rPr>
        <w:t>услуг</w:t>
      </w:r>
      <w:r w:rsidR="00B3286D">
        <w:rPr>
          <w:rFonts w:eastAsia="Times New Roman"/>
          <w:color w:val="000000"/>
          <w:szCs w:val="22"/>
          <w:lang w:val="ru-RU" w:eastAsia="en-US"/>
        </w:rPr>
        <w:t>ами</w:t>
      </w:r>
      <w:r w:rsidRPr="004B0799">
        <w:rPr>
          <w:rFonts w:eastAsia="Times New Roman"/>
          <w:color w:val="000000"/>
          <w:szCs w:val="22"/>
          <w:lang w:val="ru-RU" w:eastAsia="en-US"/>
        </w:rPr>
        <w:t xml:space="preserve"> в Секторе администрации и управления</w:t>
      </w:r>
      <w:r w:rsidR="0037708F" w:rsidRPr="004B0799">
        <w:rPr>
          <w:szCs w:val="22"/>
          <w:lang w:val="ru-RU"/>
        </w:rPr>
        <w:t>;</w:t>
      </w:r>
    </w:p>
    <w:p w14:paraId="2847DECD" w14:textId="44DE150C" w:rsidR="001635B5" w:rsidRPr="004B0799" w:rsidRDefault="004B0799" w:rsidP="002C23BF">
      <w:pPr>
        <w:pStyle w:val="ONUME"/>
        <w:numPr>
          <w:ilvl w:val="1"/>
          <w:numId w:val="8"/>
        </w:numPr>
        <w:rPr>
          <w:lang w:val="ru-RU"/>
        </w:rPr>
      </w:pPr>
      <w:r>
        <w:rPr>
          <w:lang w:val="ru-RU"/>
        </w:rPr>
        <w:t>аудиторская</w:t>
      </w:r>
      <w:r w:rsidRPr="004B0799">
        <w:rPr>
          <w:lang w:val="ru-RU"/>
        </w:rPr>
        <w:t xml:space="preserve"> </w:t>
      </w:r>
      <w:r>
        <w:rPr>
          <w:lang w:val="ru-RU"/>
        </w:rPr>
        <w:t>проверка</w:t>
      </w:r>
      <w:r w:rsidRPr="004B0799">
        <w:rPr>
          <w:lang w:val="ru-RU"/>
        </w:rPr>
        <w:t xml:space="preserve"> </w:t>
      </w:r>
      <w:r>
        <w:rPr>
          <w:lang w:val="ru-RU"/>
        </w:rPr>
        <w:t>закрытия</w:t>
      </w:r>
      <w:r w:rsidRPr="004B0799">
        <w:rPr>
          <w:lang w:val="ru-RU"/>
        </w:rPr>
        <w:t xml:space="preserve"> </w:t>
      </w:r>
      <w:r>
        <w:rPr>
          <w:lang w:val="ru-RU"/>
        </w:rPr>
        <w:t>финансовой отчетности</w:t>
      </w:r>
      <w:r w:rsidR="001635B5" w:rsidRPr="004B0799">
        <w:rPr>
          <w:lang w:val="ru-RU"/>
        </w:rPr>
        <w:t>;</w:t>
      </w:r>
    </w:p>
    <w:p w14:paraId="683B1C83" w14:textId="6D9DBF82" w:rsidR="0037708F" w:rsidRPr="004B0799" w:rsidRDefault="004B0799" w:rsidP="002C23BF">
      <w:pPr>
        <w:pStyle w:val="ONUME"/>
        <w:numPr>
          <w:ilvl w:val="1"/>
          <w:numId w:val="8"/>
        </w:numPr>
        <w:rPr>
          <w:lang w:val="ru-RU"/>
        </w:rPr>
      </w:pPr>
      <w:bookmarkStart w:id="26" w:name="_Hlk40210022"/>
      <w:r>
        <w:rPr>
          <w:lang w:val="ru-RU"/>
        </w:rPr>
        <w:t>совместная</w:t>
      </w:r>
      <w:r w:rsidRPr="004B0799">
        <w:rPr>
          <w:lang w:val="ru-RU"/>
        </w:rPr>
        <w:t xml:space="preserve"> </w:t>
      </w:r>
      <w:r>
        <w:rPr>
          <w:lang w:val="ru-RU"/>
        </w:rPr>
        <w:t>оценка</w:t>
      </w:r>
      <w:r w:rsidRPr="004B0799">
        <w:rPr>
          <w:lang w:val="ru-RU"/>
        </w:rPr>
        <w:t xml:space="preserve"> </w:t>
      </w:r>
      <w:r>
        <w:rPr>
          <w:lang w:val="ru-RU"/>
        </w:rPr>
        <w:t>и</w:t>
      </w:r>
      <w:r w:rsidRPr="004B0799">
        <w:rPr>
          <w:lang w:val="ru-RU"/>
        </w:rPr>
        <w:t xml:space="preserve"> </w:t>
      </w:r>
      <w:r>
        <w:rPr>
          <w:lang w:val="ru-RU"/>
        </w:rPr>
        <w:t>аудиторская</w:t>
      </w:r>
      <w:r w:rsidRPr="004B0799">
        <w:rPr>
          <w:lang w:val="ru-RU"/>
        </w:rPr>
        <w:t xml:space="preserve"> </w:t>
      </w:r>
      <w:r>
        <w:rPr>
          <w:lang w:val="ru-RU"/>
        </w:rPr>
        <w:t>проверка</w:t>
      </w:r>
      <w:r w:rsidRPr="004B0799">
        <w:rPr>
          <w:lang w:val="ru-RU"/>
        </w:rPr>
        <w:t xml:space="preserve"> </w:t>
      </w:r>
      <w:r>
        <w:rPr>
          <w:lang w:val="ru-RU"/>
        </w:rPr>
        <w:t>политики</w:t>
      </w:r>
      <w:r w:rsidRPr="004B0799">
        <w:rPr>
          <w:lang w:val="ru-RU"/>
        </w:rPr>
        <w:t xml:space="preserve"> </w:t>
      </w:r>
      <w:r>
        <w:rPr>
          <w:lang w:val="ru-RU"/>
        </w:rPr>
        <w:t>ВОИС</w:t>
      </w:r>
      <w:r w:rsidRPr="004B0799">
        <w:rPr>
          <w:lang w:val="ru-RU"/>
        </w:rPr>
        <w:t xml:space="preserve"> </w:t>
      </w:r>
      <w:r>
        <w:rPr>
          <w:lang w:val="ru-RU"/>
        </w:rPr>
        <w:t>в</w:t>
      </w:r>
      <w:r w:rsidRPr="004B0799">
        <w:rPr>
          <w:lang w:val="ru-RU"/>
        </w:rPr>
        <w:t xml:space="preserve"> </w:t>
      </w:r>
      <w:r>
        <w:rPr>
          <w:lang w:val="ru-RU"/>
        </w:rPr>
        <w:t>области гендерного равенства</w:t>
      </w:r>
      <w:bookmarkEnd w:id="26"/>
      <w:r w:rsidR="0037708F" w:rsidRPr="004B0799">
        <w:rPr>
          <w:lang w:val="ru-RU"/>
        </w:rPr>
        <w:t>;</w:t>
      </w:r>
    </w:p>
    <w:p w14:paraId="3EC1B6B7" w14:textId="085CCF94" w:rsidR="0037708F" w:rsidRDefault="004B0799" w:rsidP="002C23BF">
      <w:pPr>
        <w:pStyle w:val="ONUME"/>
        <w:numPr>
          <w:ilvl w:val="1"/>
          <w:numId w:val="8"/>
        </w:numPr>
      </w:pPr>
      <w:r>
        <w:rPr>
          <w:lang w:val="ru-RU"/>
        </w:rPr>
        <w:t>оценка</w:t>
      </w:r>
      <w:r w:rsidRPr="004B0799">
        <w:t xml:space="preserve"> </w:t>
      </w:r>
      <w:r>
        <w:rPr>
          <w:lang w:val="ru-RU"/>
        </w:rPr>
        <w:t>партнерских</w:t>
      </w:r>
      <w:r w:rsidRPr="004B0799">
        <w:t xml:space="preserve"> </w:t>
      </w:r>
      <w:r w:rsidR="007D0739">
        <w:rPr>
          <w:lang w:val="ru-RU"/>
        </w:rPr>
        <w:t>проектов</w:t>
      </w:r>
      <w:r w:rsidRPr="004B0799">
        <w:t xml:space="preserve"> </w:t>
      </w:r>
      <w:r>
        <w:rPr>
          <w:lang w:val="ru-RU"/>
        </w:rPr>
        <w:t>ВОИС</w:t>
      </w:r>
      <w:r w:rsidR="0037708F">
        <w:t>;</w:t>
      </w:r>
    </w:p>
    <w:p w14:paraId="288B5E41" w14:textId="410B660A" w:rsidR="002C485D" w:rsidRPr="00181C92" w:rsidRDefault="00181C92" w:rsidP="002C23BF">
      <w:pPr>
        <w:pStyle w:val="ONUME"/>
        <w:numPr>
          <w:ilvl w:val="1"/>
          <w:numId w:val="8"/>
        </w:numPr>
        <w:rPr>
          <w:lang w:val="ru-RU"/>
        </w:rPr>
      </w:pPr>
      <w:r>
        <w:rPr>
          <w:lang w:val="ru-RU"/>
        </w:rPr>
        <w:t xml:space="preserve">ОРРР по </w:t>
      </w:r>
      <w:r w:rsidR="004B0799">
        <w:rPr>
          <w:lang w:val="ru-RU"/>
        </w:rPr>
        <w:t>нарушени</w:t>
      </w:r>
      <w:r>
        <w:rPr>
          <w:lang w:val="ru-RU"/>
        </w:rPr>
        <w:t>ям</w:t>
      </w:r>
      <w:r w:rsidR="004B0799" w:rsidRPr="00181C92">
        <w:rPr>
          <w:lang w:val="ru-RU"/>
        </w:rPr>
        <w:t xml:space="preserve"> </w:t>
      </w:r>
      <w:r w:rsidR="004B0799">
        <w:rPr>
          <w:lang w:val="ru-RU"/>
        </w:rPr>
        <w:t>правил</w:t>
      </w:r>
      <w:r w:rsidR="004B0799" w:rsidRPr="00181C92">
        <w:rPr>
          <w:lang w:val="ru-RU"/>
        </w:rPr>
        <w:t xml:space="preserve"> </w:t>
      </w:r>
      <w:r w:rsidR="004B0799">
        <w:rPr>
          <w:lang w:val="ru-RU"/>
        </w:rPr>
        <w:t>осуществления</w:t>
      </w:r>
      <w:r w:rsidR="004B0799" w:rsidRPr="00181C92">
        <w:rPr>
          <w:lang w:val="ru-RU"/>
        </w:rPr>
        <w:t xml:space="preserve"> </w:t>
      </w:r>
      <w:r w:rsidR="004B0799">
        <w:rPr>
          <w:lang w:val="ru-RU"/>
        </w:rPr>
        <w:t>закупок</w:t>
      </w:r>
      <w:r w:rsidR="0037708F" w:rsidRPr="00181C92">
        <w:rPr>
          <w:lang w:val="ru-RU"/>
        </w:rPr>
        <w:t>;</w:t>
      </w:r>
    </w:p>
    <w:p w14:paraId="05AB99F1" w14:textId="5C4986C7" w:rsidR="0037708F" w:rsidRPr="00181C92" w:rsidRDefault="00181C92" w:rsidP="002C23BF">
      <w:pPr>
        <w:pStyle w:val="ONUME"/>
        <w:numPr>
          <w:ilvl w:val="1"/>
          <w:numId w:val="8"/>
        </w:numPr>
        <w:rPr>
          <w:lang w:val="ru-RU"/>
        </w:rPr>
      </w:pPr>
      <w:r>
        <w:rPr>
          <w:lang w:val="ru-RU"/>
        </w:rPr>
        <w:t>ОРРР</w:t>
      </w:r>
      <w:r w:rsidRPr="00181C92">
        <w:rPr>
          <w:lang w:val="ru-RU"/>
        </w:rPr>
        <w:t xml:space="preserve"> </w:t>
      </w:r>
      <w:r>
        <w:rPr>
          <w:lang w:val="ru-RU"/>
        </w:rPr>
        <w:t>по</w:t>
      </w:r>
      <w:r w:rsidRPr="00181C92">
        <w:rPr>
          <w:lang w:val="ru-RU"/>
        </w:rPr>
        <w:t xml:space="preserve"> </w:t>
      </w:r>
      <w:bookmarkStart w:id="27" w:name="_Hlk40277084"/>
      <w:r>
        <w:rPr>
          <w:lang w:val="ru-RU"/>
        </w:rPr>
        <w:t>системам</w:t>
      </w:r>
      <w:r w:rsidRPr="00181C92">
        <w:rPr>
          <w:lang w:val="ru-RU"/>
        </w:rPr>
        <w:t xml:space="preserve"> </w:t>
      </w:r>
      <w:r>
        <w:rPr>
          <w:lang w:val="ru-RU"/>
        </w:rPr>
        <w:t>работы</w:t>
      </w:r>
      <w:r w:rsidRPr="00181C92">
        <w:rPr>
          <w:lang w:val="ru-RU"/>
        </w:rPr>
        <w:t xml:space="preserve"> </w:t>
      </w:r>
      <w:r>
        <w:rPr>
          <w:lang w:val="ru-RU"/>
        </w:rPr>
        <w:t>с</w:t>
      </w:r>
      <w:r w:rsidRPr="00181C92">
        <w:rPr>
          <w:lang w:val="ru-RU"/>
        </w:rPr>
        <w:t xml:space="preserve"> </w:t>
      </w:r>
      <w:r>
        <w:rPr>
          <w:lang w:val="ru-RU"/>
        </w:rPr>
        <w:t>запросами</w:t>
      </w:r>
      <w:r w:rsidRPr="00181C92">
        <w:rPr>
          <w:lang w:val="ru-RU"/>
        </w:rPr>
        <w:t xml:space="preserve"> </w:t>
      </w:r>
      <w:r>
        <w:rPr>
          <w:lang w:val="ru-RU"/>
        </w:rPr>
        <w:t>клиентов</w:t>
      </w:r>
      <w:bookmarkEnd w:id="27"/>
      <w:r w:rsidR="0047206B" w:rsidRPr="00181C92">
        <w:rPr>
          <w:lang w:val="ru-RU"/>
        </w:rPr>
        <w:t xml:space="preserve">; </w:t>
      </w:r>
      <w:r w:rsidR="002C485D" w:rsidRPr="00181C92">
        <w:rPr>
          <w:lang w:val="ru-RU"/>
        </w:rPr>
        <w:t xml:space="preserve"> </w:t>
      </w:r>
      <w:r>
        <w:rPr>
          <w:lang w:val="ru-RU"/>
        </w:rPr>
        <w:t>и</w:t>
      </w:r>
    </w:p>
    <w:p w14:paraId="233D5A1D" w14:textId="53D59A34" w:rsidR="0037708F" w:rsidRPr="00181C92" w:rsidRDefault="00181C92" w:rsidP="002C23BF">
      <w:pPr>
        <w:pStyle w:val="ONUME"/>
        <w:numPr>
          <w:ilvl w:val="1"/>
          <w:numId w:val="8"/>
        </w:numPr>
        <w:rPr>
          <w:lang w:val="ru-RU"/>
        </w:rPr>
      </w:pPr>
      <w:r>
        <w:rPr>
          <w:lang w:val="ru-RU"/>
        </w:rPr>
        <w:t xml:space="preserve">ОРРР по вопросу о </w:t>
      </w:r>
      <w:r w:rsidRPr="00181C92">
        <w:rPr>
          <w:lang w:val="ru-RU"/>
        </w:rPr>
        <w:t>въезде автотранспортных средств на территорию комплекса ВОИС</w:t>
      </w:r>
      <w:r w:rsidR="001635B5" w:rsidRPr="00181C92">
        <w:rPr>
          <w:lang w:val="ru-RU"/>
        </w:rPr>
        <w:t>.</w:t>
      </w:r>
    </w:p>
    <w:bookmarkEnd w:id="25"/>
    <w:p w14:paraId="03B6E0C8" w14:textId="10F8BF96" w:rsidR="00C46B12" w:rsidRPr="00CE0303" w:rsidRDefault="00181C92" w:rsidP="00F736B0">
      <w:pPr>
        <w:pStyle w:val="ONUME"/>
        <w:rPr>
          <w:lang w:val="ru-RU"/>
        </w:rPr>
      </w:pPr>
      <w:r w:rsidRPr="00181C92">
        <w:rPr>
          <w:lang w:val="ru-RU"/>
        </w:rPr>
        <w:t>ОВН продолжает вести диалог с руководством на предмет регулярного обзора и обновления данных о ходе осуществления невыполненных рекомендаций.  Работа по выполнению всех рекомендаций ведется руководством в рамках плана действий, в котором указаны предлагаемые мероприятия, лица, ответственные за их выполнение, и сроки реализации.  Надзорные рекомендации отражены в системе TeamCentral©</w:t>
      </w:r>
      <w:r w:rsidRPr="00181C92">
        <w:rPr>
          <w:vertAlign w:val="superscript"/>
        </w:rPr>
        <w:footnoteReference w:id="5"/>
      </w:r>
      <w:r w:rsidRPr="00181C92">
        <w:rPr>
          <w:lang w:val="ru-RU"/>
        </w:rPr>
        <w:t>, доступ к которой имеют сотрудники ОВН, руководство ВОИС и внешние аудиторы.</w:t>
      </w:r>
    </w:p>
    <w:p w14:paraId="5D74E17F" w14:textId="40CF3154" w:rsidR="00F736B0" w:rsidRPr="00487317" w:rsidRDefault="00487317" w:rsidP="00F736B0">
      <w:pPr>
        <w:pStyle w:val="Heading2"/>
        <w:rPr>
          <w:szCs w:val="20"/>
          <w:lang w:val="ru-RU"/>
        </w:rPr>
      </w:pPr>
      <w:bookmarkStart w:id="28" w:name="_Toc40299724"/>
      <w:bookmarkStart w:id="29" w:name="_Toc476745977"/>
      <w:r>
        <w:rPr>
          <w:szCs w:val="20"/>
          <w:lang w:val="ru-RU"/>
        </w:rPr>
        <w:t>АУДИТОРСКАЯ</w:t>
      </w:r>
      <w:r w:rsidRPr="00487317">
        <w:rPr>
          <w:szCs w:val="20"/>
          <w:lang w:val="ru-RU"/>
        </w:rPr>
        <w:t xml:space="preserve"> </w:t>
      </w:r>
      <w:r>
        <w:rPr>
          <w:szCs w:val="20"/>
          <w:lang w:val="ru-RU"/>
        </w:rPr>
        <w:t>ПРОВЕРКА</w:t>
      </w:r>
      <w:r w:rsidRPr="00487317">
        <w:rPr>
          <w:szCs w:val="20"/>
          <w:lang w:val="ru-RU"/>
        </w:rPr>
        <w:t xml:space="preserve"> </w:t>
      </w:r>
      <w:r>
        <w:rPr>
          <w:szCs w:val="20"/>
          <w:lang w:val="ru-RU"/>
        </w:rPr>
        <w:t>СИСТЕМЫ</w:t>
      </w:r>
      <w:r w:rsidRPr="00487317">
        <w:rPr>
          <w:szCs w:val="20"/>
          <w:lang w:val="ru-RU"/>
        </w:rPr>
        <w:t xml:space="preserve"> </w:t>
      </w:r>
      <w:r>
        <w:rPr>
          <w:szCs w:val="20"/>
          <w:lang w:val="ru-RU"/>
        </w:rPr>
        <w:t>УПРАВЛЕНИЯ</w:t>
      </w:r>
      <w:r w:rsidRPr="00487317">
        <w:rPr>
          <w:szCs w:val="20"/>
          <w:lang w:val="ru-RU"/>
        </w:rPr>
        <w:t xml:space="preserve"> </w:t>
      </w:r>
      <w:r>
        <w:rPr>
          <w:szCs w:val="20"/>
          <w:lang w:val="ru-RU"/>
        </w:rPr>
        <w:t>ОРГАНИЗАЦИОННЫМИ</w:t>
      </w:r>
      <w:r w:rsidRPr="00487317">
        <w:rPr>
          <w:szCs w:val="20"/>
          <w:lang w:val="ru-RU"/>
        </w:rPr>
        <w:t xml:space="preserve"> </w:t>
      </w:r>
      <w:r>
        <w:rPr>
          <w:szCs w:val="20"/>
          <w:lang w:val="ru-RU"/>
        </w:rPr>
        <w:t>РЕСУРСАМИ</w:t>
      </w:r>
      <w:r w:rsidRPr="00487317">
        <w:rPr>
          <w:szCs w:val="20"/>
          <w:lang w:val="ru-RU"/>
        </w:rPr>
        <w:t xml:space="preserve"> (</w:t>
      </w:r>
      <w:r>
        <w:rPr>
          <w:szCs w:val="20"/>
          <w:lang w:val="ru-RU"/>
        </w:rPr>
        <w:t>уор</w:t>
      </w:r>
      <w:r w:rsidRPr="00487317">
        <w:rPr>
          <w:szCs w:val="20"/>
          <w:lang w:val="ru-RU"/>
        </w:rPr>
        <w:t>)</w:t>
      </w:r>
      <w:bookmarkEnd w:id="28"/>
    </w:p>
    <w:p w14:paraId="67FBA7BE" w14:textId="07CBF8CF" w:rsidR="00F736B0" w:rsidRPr="001151B7" w:rsidRDefault="00487317" w:rsidP="00F736B0">
      <w:pPr>
        <w:pStyle w:val="ONUME"/>
        <w:rPr>
          <w:lang w:val="ru-RU"/>
        </w:rPr>
      </w:pPr>
      <w:r>
        <w:rPr>
          <w:lang w:val="ru-RU"/>
        </w:rPr>
        <w:t>Аудиторская</w:t>
      </w:r>
      <w:r w:rsidRPr="00487317">
        <w:rPr>
          <w:lang w:val="ru-RU"/>
        </w:rPr>
        <w:t xml:space="preserve"> </w:t>
      </w:r>
      <w:r>
        <w:rPr>
          <w:lang w:val="ru-RU"/>
        </w:rPr>
        <w:t>проверка</w:t>
      </w:r>
      <w:r w:rsidRPr="00487317">
        <w:rPr>
          <w:lang w:val="ru-RU"/>
        </w:rPr>
        <w:t xml:space="preserve"> </w:t>
      </w:r>
      <w:r>
        <w:rPr>
          <w:lang w:val="ru-RU"/>
        </w:rPr>
        <w:t>подтвердила</w:t>
      </w:r>
      <w:r w:rsidRPr="00487317">
        <w:rPr>
          <w:lang w:val="ru-RU"/>
        </w:rPr>
        <w:t xml:space="preserve"> </w:t>
      </w:r>
      <w:r>
        <w:rPr>
          <w:lang w:val="ru-RU"/>
        </w:rPr>
        <w:t>эффективность</w:t>
      </w:r>
      <w:r w:rsidRPr="00487317">
        <w:rPr>
          <w:lang w:val="ru-RU"/>
        </w:rPr>
        <w:t xml:space="preserve"> </w:t>
      </w:r>
      <w:r>
        <w:rPr>
          <w:lang w:val="ru-RU"/>
        </w:rPr>
        <w:t>управления</w:t>
      </w:r>
      <w:r w:rsidRPr="00487317">
        <w:rPr>
          <w:lang w:val="ru-RU"/>
        </w:rPr>
        <w:t xml:space="preserve"> </w:t>
      </w:r>
      <w:r>
        <w:rPr>
          <w:lang w:val="ru-RU"/>
        </w:rPr>
        <w:t>проектом</w:t>
      </w:r>
      <w:r w:rsidRPr="00487317">
        <w:rPr>
          <w:lang w:val="ru-RU"/>
        </w:rPr>
        <w:t xml:space="preserve"> </w:t>
      </w:r>
      <w:r>
        <w:rPr>
          <w:lang w:val="ru-RU"/>
        </w:rPr>
        <w:t>УОР</w:t>
      </w:r>
      <w:r w:rsidRPr="00487317">
        <w:rPr>
          <w:lang w:val="ru-RU"/>
        </w:rPr>
        <w:t xml:space="preserve">;  </w:t>
      </w:r>
      <w:r>
        <w:rPr>
          <w:lang w:val="ru-RU"/>
        </w:rPr>
        <w:t>в</w:t>
      </w:r>
      <w:r w:rsidRPr="00487317">
        <w:rPr>
          <w:lang w:val="ru-RU"/>
        </w:rPr>
        <w:t xml:space="preserve"> </w:t>
      </w:r>
      <w:r>
        <w:rPr>
          <w:lang w:val="ru-RU"/>
        </w:rPr>
        <w:t>частности</w:t>
      </w:r>
      <w:r w:rsidRPr="00487317">
        <w:rPr>
          <w:lang w:val="ru-RU"/>
        </w:rPr>
        <w:t xml:space="preserve">, </w:t>
      </w:r>
      <w:r>
        <w:rPr>
          <w:lang w:val="ru-RU"/>
        </w:rPr>
        <w:t>следует</w:t>
      </w:r>
      <w:r w:rsidRPr="00487317">
        <w:rPr>
          <w:lang w:val="ru-RU"/>
        </w:rPr>
        <w:t xml:space="preserve"> </w:t>
      </w:r>
      <w:r>
        <w:rPr>
          <w:lang w:val="ru-RU"/>
        </w:rPr>
        <w:t>отметить</w:t>
      </w:r>
      <w:r w:rsidRPr="00487317">
        <w:rPr>
          <w:lang w:val="ru-RU"/>
        </w:rPr>
        <w:t xml:space="preserve">, </w:t>
      </w:r>
      <w:r>
        <w:rPr>
          <w:lang w:val="ru-RU"/>
        </w:rPr>
        <w:t>что</w:t>
      </w:r>
      <w:r w:rsidRPr="00487317">
        <w:rPr>
          <w:lang w:val="ru-RU"/>
        </w:rPr>
        <w:t xml:space="preserve"> </w:t>
      </w:r>
      <w:r>
        <w:rPr>
          <w:lang w:val="ru-RU"/>
        </w:rPr>
        <w:t>данный</w:t>
      </w:r>
      <w:r w:rsidRPr="00487317">
        <w:rPr>
          <w:lang w:val="ru-RU"/>
        </w:rPr>
        <w:t xml:space="preserve"> </w:t>
      </w:r>
      <w:r>
        <w:rPr>
          <w:lang w:val="ru-RU"/>
        </w:rPr>
        <w:t>проект</w:t>
      </w:r>
      <w:r w:rsidRPr="00487317">
        <w:rPr>
          <w:lang w:val="ru-RU"/>
        </w:rPr>
        <w:t xml:space="preserve"> </w:t>
      </w:r>
      <w:r>
        <w:rPr>
          <w:lang w:val="ru-RU"/>
        </w:rPr>
        <w:t>реализуется</w:t>
      </w:r>
      <w:r w:rsidRPr="00487317">
        <w:rPr>
          <w:lang w:val="ru-RU"/>
        </w:rPr>
        <w:t xml:space="preserve"> </w:t>
      </w:r>
      <w:r>
        <w:rPr>
          <w:lang w:val="ru-RU"/>
        </w:rPr>
        <w:t>с</w:t>
      </w:r>
      <w:r w:rsidRPr="00487317">
        <w:rPr>
          <w:lang w:val="ru-RU"/>
        </w:rPr>
        <w:t xml:space="preserve"> </w:t>
      </w:r>
      <w:r>
        <w:rPr>
          <w:lang w:val="ru-RU"/>
        </w:rPr>
        <w:t>применением</w:t>
      </w:r>
      <w:r w:rsidRPr="00487317">
        <w:rPr>
          <w:lang w:val="ru-RU"/>
        </w:rPr>
        <w:t xml:space="preserve"> </w:t>
      </w:r>
      <w:r>
        <w:rPr>
          <w:lang w:val="ru-RU"/>
        </w:rPr>
        <w:t>более</w:t>
      </w:r>
      <w:r w:rsidRPr="00487317">
        <w:rPr>
          <w:lang w:val="ru-RU"/>
        </w:rPr>
        <w:t xml:space="preserve"> </w:t>
      </w:r>
      <w:r>
        <w:rPr>
          <w:lang w:val="ru-RU"/>
        </w:rPr>
        <w:t>гибкого</w:t>
      </w:r>
      <w:r w:rsidRPr="00487317">
        <w:rPr>
          <w:lang w:val="ru-RU"/>
        </w:rPr>
        <w:t xml:space="preserve"> </w:t>
      </w:r>
      <w:r>
        <w:rPr>
          <w:lang w:val="ru-RU"/>
        </w:rPr>
        <w:t>принципа</w:t>
      </w:r>
      <w:r w:rsidRPr="00487317">
        <w:rPr>
          <w:lang w:val="ru-RU"/>
        </w:rPr>
        <w:t xml:space="preserve"> «</w:t>
      </w:r>
      <w:r>
        <w:rPr>
          <w:lang w:val="ru-RU"/>
        </w:rPr>
        <w:t>вертикальной</w:t>
      </w:r>
      <w:r w:rsidRPr="00487317">
        <w:rPr>
          <w:lang w:val="ru-RU"/>
        </w:rPr>
        <w:t xml:space="preserve"> </w:t>
      </w:r>
      <w:r>
        <w:rPr>
          <w:lang w:val="ru-RU"/>
        </w:rPr>
        <w:t>интеграции</w:t>
      </w:r>
      <w:r w:rsidRPr="00487317">
        <w:rPr>
          <w:lang w:val="ru-RU"/>
        </w:rPr>
        <w:t xml:space="preserve"> </w:t>
      </w:r>
      <w:r>
        <w:rPr>
          <w:lang w:val="ru-RU"/>
        </w:rPr>
        <w:t>снизу</w:t>
      </w:r>
      <w:r w:rsidRPr="00487317">
        <w:rPr>
          <w:lang w:val="ru-RU"/>
        </w:rPr>
        <w:t xml:space="preserve">», </w:t>
      </w:r>
      <w:r>
        <w:rPr>
          <w:lang w:val="ru-RU"/>
        </w:rPr>
        <w:t>предполагающего</w:t>
      </w:r>
      <w:r w:rsidRPr="00487317">
        <w:rPr>
          <w:lang w:val="ru-RU"/>
        </w:rPr>
        <w:t xml:space="preserve"> </w:t>
      </w:r>
      <w:r>
        <w:rPr>
          <w:lang w:val="ru-RU"/>
        </w:rPr>
        <w:t>поэтапность</w:t>
      </w:r>
      <w:r w:rsidRPr="00487317">
        <w:rPr>
          <w:lang w:val="ru-RU"/>
        </w:rPr>
        <w:t xml:space="preserve"> </w:t>
      </w:r>
      <w:r>
        <w:rPr>
          <w:lang w:val="ru-RU"/>
        </w:rPr>
        <w:t>и</w:t>
      </w:r>
      <w:r w:rsidRPr="00487317">
        <w:rPr>
          <w:lang w:val="ru-RU"/>
        </w:rPr>
        <w:t xml:space="preserve"> </w:t>
      </w:r>
      <w:r>
        <w:rPr>
          <w:lang w:val="ru-RU"/>
        </w:rPr>
        <w:t>реализацию</w:t>
      </w:r>
      <w:r w:rsidRPr="00487317">
        <w:rPr>
          <w:lang w:val="ru-RU"/>
        </w:rPr>
        <w:t xml:space="preserve"> </w:t>
      </w:r>
      <w:r>
        <w:rPr>
          <w:lang w:val="ru-RU"/>
        </w:rPr>
        <w:t>подпроектов</w:t>
      </w:r>
      <w:r w:rsidRPr="00487317">
        <w:rPr>
          <w:lang w:val="ru-RU"/>
        </w:rPr>
        <w:t xml:space="preserve"> </w:t>
      </w:r>
      <w:r>
        <w:rPr>
          <w:lang w:val="ru-RU"/>
        </w:rPr>
        <w:t xml:space="preserve">«первоначальных достижений», что, в свою очередь, способствует постепенному обучению, изменению организационных подходов и </w:t>
      </w:r>
      <w:r w:rsidR="001151B7">
        <w:rPr>
          <w:lang w:val="ru-RU"/>
        </w:rPr>
        <w:t>эффективной миграции контента.</w:t>
      </w:r>
      <w:r>
        <w:rPr>
          <w:lang w:val="ru-RU"/>
        </w:rPr>
        <w:t xml:space="preserve">  </w:t>
      </w:r>
      <w:r w:rsidR="001151B7">
        <w:rPr>
          <w:lang w:val="ru-RU"/>
        </w:rPr>
        <w:t>Управление</w:t>
      </w:r>
      <w:r w:rsidR="001151B7" w:rsidRPr="001151B7">
        <w:rPr>
          <w:lang w:val="ru-RU"/>
        </w:rPr>
        <w:t xml:space="preserve"> </w:t>
      </w:r>
      <w:r w:rsidR="001151B7">
        <w:rPr>
          <w:lang w:val="ru-RU"/>
        </w:rPr>
        <w:t>ресурсами</w:t>
      </w:r>
      <w:r w:rsidR="001151B7" w:rsidRPr="001151B7">
        <w:rPr>
          <w:lang w:val="ru-RU"/>
        </w:rPr>
        <w:t xml:space="preserve"> </w:t>
      </w:r>
      <w:r w:rsidR="001151B7">
        <w:rPr>
          <w:lang w:val="ru-RU"/>
        </w:rPr>
        <w:t>осуществлялось</w:t>
      </w:r>
      <w:r w:rsidR="001151B7" w:rsidRPr="001151B7">
        <w:rPr>
          <w:lang w:val="ru-RU"/>
        </w:rPr>
        <w:t xml:space="preserve"> </w:t>
      </w:r>
      <w:r w:rsidR="001151B7">
        <w:rPr>
          <w:lang w:val="ru-RU"/>
        </w:rPr>
        <w:t>на</w:t>
      </w:r>
      <w:r w:rsidR="001151B7" w:rsidRPr="001151B7">
        <w:rPr>
          <w:lang w:val="ru-RU"/>
        </w:rPr>
        <w:t xml:space="preserve"> </w:t>
      </w:r>
      <w:r w:rsidR="00F907C7">
        <w:rPr>
          <w:lang w:val="ru-RU"/>
        </w:rPr>
        <w:t>динамичной</w:t>
      </w:r>
      <w:r w:rsidR="001151B7" w:rsidRPr="001151B7">
        <w:rPr>
          <w:lang w:val="ru-RU"/>
        </w:rPr>
        <w:t xml:space="preserve"> </w:t>
      </w:r>
      <w:r w:rsidR="001151B7">
        <w:rPr>
          <w:lang w:val="ru-RU"/>
        </w:rPr>
        <w:t>основе</w:t>
      </w:r>
      <w:r w:rsidR="00F736B0" w:rsidRPr="001151B7">
        <w:rPr>
          <w:lang w:val="ru-RU"/>
        </w:rPr>
        <w:t>.</w:t>
      </w:r>
    </w:p>
    <w:p w14:paraId="3C5EFF5D" w14:textId="1AA8FF2B" w:rsidR="00F736B0" w:rsidRPr="00CE0303" w:rsidRDefault="001151B7" w:rsidP="00F736B0">
      <w:pPr>
        <w:pStyle w:val="ONUME"/>
        <w:rPr>
          <w:lang w:val="ru-RU"/>
        </w:rPr>
      </w:pPr>
      <w:r>
        <w:rPr>
          <w:lang w:val="ru-RU"/>
        </w:rPr>
        <w:t>Выбранное</w:t>
      </w:r>
      <w:r w:rsidRPr="001151B7">
        <w:rPr>
          <w:lang w:val="ru-RU"/>
        </w:rPr>
        <w:t xml:space="preserve"> </w:t>
      </w:r>
      <w:r>
        <w:rPr>
          <w:lang w:val="ru-RU"/>
        </w:rPr>
        <w:t>программное</w:t>
      </w:r>
      <w:r w:rsidRPr="001151B7">
        <w:rPr>
          <w:lang w:val="ru-RU"/>
        </w:rPr>
        <w:t xml:space="preserve"> </w:t>
      </w:r>
      <w:r>
        <w:rPr>
          <w:lang w:val="ru-RU"/>
        </w:rPr>
        <w:t>обеспечение</w:t>
      </w:r>
      <w:r w:rsidRPr="001151B7">
        <w:rPr>
          <w:lang w:val="ru-RU"/>
        </w:rPr>
        <w:t xml:space="preserve"> (</w:t>
      </w:r>
      <w:r w:rsidR="00F736B0" w:rsidRPr="000D4353">
        <w:rPr>
          <w:lang w:val="en-GB"/>
        </w:rPr>
        <w:t>OpenText</w:t>
      </w:r>
      <w:r w:rsidRPr="001151B7">
        <w:rPr>
          <w:lang w:val="ru-RU"/>
        </w:rPr>
        <w:t xml:space="preserve">) </w:t>
      </w:r>
      <w:r>
        <w:rPr>
          <w:lang w:val="ru-RU"/>
        </w:rPr>
        <w:t>может</w:t>
      </w:r>
      <w:r w:rsidRPr="001151B7">
        <w:rPr>
          <w:lang w:val="ru-RU"/>
        </w:rPr>
        <w:t xml:space="preserve"> </w:t>
      </w:r>
      <w:r>
        <w:rPr>
          <w:lang w:val="ru-RU"/>
        </w:rPr>
        <w:t>считаться</w:t>
      </w:r>
      <w:r w:rsidRPr="001151B7">
        <w:rPr>
          <w:lang w:val="ru-RU"/>
        </w:rPr>
        <w:t xml:space="preserve"> </w:t>
      </w:r>
      <w:r>
        <w:rPr>
          <w:lang w:val="ru-RU"/>
        </w:rPr>
        <w:t>адекватным</w:t>
      </w:r>
      <w:r w:rsidRPr="001151B7">
        <w:rPr>
          <w:lang w:val="ru-RU"/>
        </w:rPr>
        <w:t xml:space="preserve"> </w:t>
      </w:r>
      <w:r>
        <w:rPr>
          <w:lang w:val="ru-RU"/>
        </w:rPr>
        <w:t>с</w:t>
      </w:r>
      <w:r w:rsidRPr="001151B7">
        <w:rPr>
          <w:lang w:val="ru-RU"/>
        </w:rPr>
        <w:t xml:space="preserve"> </w:t>
      </w:r>
      <w:r>
        <w:rPr>
          <w:lang w:val="ru-RU"/>
        </w:rPr>
        <w:t>точки</w:t>
      </w:r>
      <w:r w:rsidRPr="001151B7">
        <w:rPr>
          <w:lang w:val="ru-RU"/>
        </w:rPr>
        <w:t xml:space="preserve"> </w:t>
      </w:r>
      <w:r>
        <w:rPr>
          <w:lang w:val="ru-RU"/>
        </w:rPr>
        <w:t>зрения</w:t>
      </w:r>
      <w:r w:rsidRPr="001151B7">
        <w:rPr>
          <w:lang w:val="ru-RU"/>
        </w:rPr>
        <w:t xml:space="preserve"> </w:t>
      </w:r>
      <w:r>
        <w:rPr>
          <w:lang w:val="ru-RU"/>
        </w:rPr>
        <w:t>потребностей</w:t>
      </w:r>
      <w:r w:rsidRPr="001151B7">
        <w:rPr>
          <w:lang w:val="ru-RU"/>
        </w:rPr>
        <w:t xml:space="preserve"> </w:t>
      </w:r>
      <w:r>
        <w:rPr>
          <w:lang w:val="ru-RU"/>
        </w:rPr>
        <w:t>ВОИС</w:t>
      </w:r>
      <w:r w:rsidRPr="001151B7">
        <w:rPr>
          <w:lang w:val="ru-RU"/>
        </w:rPr>
        <w:t xml:space="preserve">, </w:t>
      </w:r>
      <w:r>
        <w:rPr>
          <w:lang w:val="ru-RU"/>
        </w:rPr>
        <w:t>а</w:t>
      </w:r>
      <w:r w:rsidRPr="001151B7">
        <w:rPr>
          <w:lang w:val="ru-RU"/>
        </w:rPr>
        <w:t xml:space="preserve"> </w:t>
      </w:r>
      <w:r>
        <w:rPr>
          <w:lang w:val="ru-RU"/>
        </w:rPr>
        <w:t>независимые</w:t>
      </w:r>
      <w:r w:rsidRPr="001151B7">
        <w:rPr>
          <w:lang w:val="ru-RU"/>
        </w:rPr>
        <w:t xml:space="preserve"> </w:t>
      </w:r>
      <w:r>
        <w:rPr>
          <w:lang w:val="ru-RU"/>
        </w:rPr>
        <w:t>специалисты</w:t>
      </w:r>
      <w:r w:rsidRPr="001151B7">
        <w:rPr>
          <w:lang w:val="ru-RU"/>
        </w:rPr>
        <w:t xml:space="preserve"> </w:t>
      </w:r>
      <w:r>
        <w:rPr>
          <w:lang w:val="ru-RU"/>
        </w:rPr>
        <w:t>по</w:t>
      </w:r>
      <w:r w:rsidRPr="001151B7">
        <w:rPr>
          <w:lang w:val="ru-RU"/>
        </w:rPr>
        <w:t xml:space="preserve"> </w:t>
      </w:r>
      <w:r>
        <w:rPr>
          <w:lang w:val="ru-RU"/>
        </w:rPr>
        <w:t>анализу</w:t>
      </w:r>
      <w:r w:rsidRPr="001151B7">
        <w:rPr>
          <w:lang w:val="ru-RU"/>
        </w:rPr>
        <w:t xml:space="preserve"> </w:t>
      </w:r>
      <w:r>
        <w:rPr>
          <w:lang w:val="ru-RU"/>
        </w:rPr>
        <w:t>рынка</w:t>
      </w:r>
      <w:r w:rsidRPr="001151B7">
        <w:rPr>
          <w:lang w:val="ru-RU"/>
        </w:rPr>
        <w:t xml:space="preserve"> (</w:t>
      </w:r>
      <w:r>
        <w:rPr>
          <w:lang w:val="ru-RU"/>
        </w:rPr>
        <w:t>например</w:t>
      </w:r>
      <w:r w:rsidRPr="001151B7">
        <w:rPr>
          <w:lang w:val="ru-RU"/>
        </w:rPr>
        <w:t xml:space="preserve">, </w:t>
      </w:r>
      <w:r>
        <w:rPr>
          <w:lang w:val="ru-RU"/>
        </w:rPr>
        <w:t>Гартнер</w:t>
      </w:r>
      <w:r w:rsidRPr="001151B7">
        <w:rPr>
          <w:lang w:val="ru-RU"/>
        </w:rPr>
        <w:t xml:space="preserve">) </w:t>
      </w:r>
      <w:r>
        <w:rPr>
          <w:lang w:val="ru-RU"/>
        </w:rPr>
        <w:t>считают</w:t>
      </w:r>
      <w:r w:rsidRPr="001151B7">
        <w:rPr>
          <w:lang w:val="ru-RU"/>
        </w:rPr>
        <w:t xml:space="preserve"> </w:t>
      </w:r>
      <w:r>
        <w:rPr>
          <w:lang w:val="ru-RU"/>
        </w:rPr>
        <w:t>его</w:t>
      </w:r>
      <w:r w:rsidRPr="001151B7">
        <w:rPr>
          <w:lang w:val="ru-RU"/>
        </w:rPr>
        <w:t xml:space="preserve"> </w:t>
      </w:r>
      <w:r>
        <w:rPr>
          <w:lang w:val="ru-RU"/>
        </w:rPr>
        <w:t>одним</w:t>
      </w:r>
      <w:r w:rsidRPr="001151B7">
        <w:rPr>
          <w:lang w:val="ru-RU"/>
        </w:rPr>
        <w:t xml:space="preserve"> </w:t>
      </w:r>
      <w:r>
        <w:rPr>
          <w:lang w:val="ru-RU"/>
        </w:rPr>
        <w:t>из</w:t>
      </w:r>
      <w:r w:rsidRPr="001151B7">
        <w:rPr>
          <w:lang w:val="ru-RU"/>
        </w:rPr>
        <w:t xml:space="preserve"> </w:t>
      </w:r>
      <w:r>
        <w:rPr>
          <w:lang w:val="ru-RU"/>
        </w:rPr>
        <w:t>лучших</w:t>
      </w:r>
      <w:r w:rsidRPr="001151B7">
        <w:rPr>
          <w:lang w:val="ru-RU"/>
        </w:rPr>
        <w:t xml:space="preserve"> </w:t>
      </w:r>
      <w:r>
        <w:rPr>
          <w:lang w:val="ru-RU"/>
        </w:rPr>
        <w:t>в</w:t>
      </w:r>
      <w:r w:rsidRPr="001151B7">
        <w:rPr>
          <w:lang w:val="ru-RU"/>
        </w:rPr>
        <w:t xml:space="preserve"> </w:t>
      </w:r>
      <w:r>
        <w:rPr>
          <w:lang w:val="ru-RU"/>
        </w:rPr>
        <w:t>своей</w:t>
      </w:r>
      <w:r w:rsidRPr="001151B7">
        <w:rPr>
          <w:lang w:val="ru-RU"/>
        </w:rPr>
        <w:t xml:space="preserve"> </w:t>
      </w:r>
      <w:r>
        <w:rPr>
          <w:lang w:val="ru-RU"/>
        </w:rPr>
        <w:t>категории</w:t>
      </w:r>
      <w:r w:rsidRPr="001151B7">
        <w:rPr>
          <w:lang w:val="ru-RU"/>
        </w:rPr>
        <w:t xml:space="preserve">; </w:t>
      </w:r>
      <w:r w:rsidR="00F736B0" w:rsidRPr="001151B7">
        <w:rPr>
          <w:lang w:val="ru-RU"/>
        </w:rPr>
        <w:t xml:space="preserve"> </w:t>
      </w:r>
      <w:r>
        <w:rPr>
          <w:lang w:val="ru-RU"/>
        </w:rPr>
        <w:t>подход</w:t>
      </w:r>
      <w:r w:rsidRPr="001151B7">
        <w:rPr>
          <w:lang w:val="ru-RU"/>
        </w:rPr>
        <w:t xml:space="preserve"> </w:t>
      </w:r>
      <w:r>
        <w:rPr>
          <w:lang w:val="ru-RU"/>
        </w:rPr>
        <w:t>к</w:t>
      </w:r>
      <w:r w:rsidRPr="001151B7">
        <w:rPr>
          <w:lang w:val="ru-RU"/>
        </w:rPr>
        <w:t xml:space="preserve"> </w:t>
      </w:r>
      <w:r>
        <w:rPr>
          <w:lang w:val="ru-RU"/>
        </w:rPr>
        <w:t>развитию</w:t>
      </w:r>
      <w:r w:rsidRPr="001151B7">
        <w:rPr>
          <w:lang w:val="ru-RU"/>
        </w:rPr>
        <w:t xml:space="preserve">, </w:t>
      </w:r>
      <w:r>
        <w:rPr>
          <w:lang w:val="ru-RU"/>
        </w:rPr>
        <w:t>основанный</w:t>
      </w:r>
      <w:r w:rsidRPr="001151B7">
        <w:rPr>
          <w:lang w:val="ru-RU"/>
        </w:rPr>
        <w:t xml:space="preserve"> </w:t>
      </w:r>
      <w:r>
        <w:rPr>
          <w:lang w:val="ru-RU"/>
        </w:rPr>
        <w:t>на</w:t>
      </w:r>
      <w:r w:rsidRPr="001151B7">
        <w:rPr>
          <w:lang w:val="ru-RU"/>
        </w:rPr>
        <w:t xml:space="preserve"> </w:t>
      </w:r>
      <w:r>
        <w:rPr>
          <w:lang w:val="ru-RU"/>
        </w:rPr>
        <w:t>конфигурации</w:t>
      </w:r>
      <w:r w:rsidRPr="001151B7">
        <w:rPr>
          <w:lang w:val="ru-RU"/>
        </w:rPr>
        <w:t xml:space="preserve"> </w:t>
      </w:r>
      <w:r>
        <w:rPr>
          <w:lang w:val="ru-RU"/>
        </w:rPr>
        <w:t>без</w:t>
      </w:r>
      <w:r w:rsidRPr="001151B7">
        <w:rPr>
          <w:lang w:val="ru-RU"/>
        </w:rPr>
        <w:t xml:space="preserve"> </w:t>
      </w:r>
      <w:r>
        <w:rPr>
          <w:lang w:val="ru-RU"/>
        </w:rPr>
        <w:t>кастомизации</w:t>
      </w:r>
      <w:r w:rsidRPr="001151B7">
        <w:rPr>
          <w:lang w:val="ru-RU"/>
        </w:rPr>
        <w:t xml:space="preserve">, </w:t>
      </w:r>
      <w:r>
        <w:rPr>
          <w:lang w:val="ru-RU"/>
        </w:rPr>
        <w:t>обеспечивает</w:t>
      </w:r>
      <w:r w:rsidRPr="001151B7">
        <w:rPr>
          <w:lang w:val="ru-RU"/>
        </w:rPr>
        <w:t xml:space="preserve"> </w:t>
      </w:r>
      <w:r>
        <w:rPr>
          <w:lang w:val="ru-RU"/>
        </w:rPr>
        <w:t>долгосрочную</w:t>
      </w:r>
      <w:r w:rsidRPr="001151B7">
        <w:rPr>
          <w:lang w:val="ru-RU"/>
        </w:rPr>
        <w:t xml:space="preserve"> </w:t>
      </w:r>
      <w:r>
        <w:rPr>
          <w:lang w:val="ru-RU"/>
        </w:rPr>
        <w:t xml:space="preserve">устойчивость, включая возможность миграции контента на существующий «облачный» ресурс.  </w:t>
      </w:r>
    </w:p>
    <w:p w14:paraId="2377565F" w14:textId="22720C33" w:rsidR="00F736B0" w:rsidRPr="00EE1BD2" w:rsidRDefault="00934AA0" w:rsidP="00F736B0">
      <w:pPr>
        <w:pStyle w:val="ONUME"/>
        <w:rPr>
          <w:lang w:val="ru-RU"/>
        </w:rPr>
      </w:pPr>
      <w:r>
        <w:rPr>
          <w:lang w:val="ru-RU"/>
        </w:rPr>
        <w:t>Кроме</w:t>
      </w:r>
      <w:r w:rsidRPr="00EE1BD2">
        <w:rPr>
          <w:lang w:val="ru-RU"/>
        </w:rPr>
        <w:t xml:space="preserve"> </w:t>
      </w:r>
      <w:r>
        <w:rPr>
          <w:lang w:val="ru-RU"/>
        </w:rPr>
        <w:t>того</w:t>
      </w:r>
      <w:r w:rsidRPr="00EE1BD2">
        <w:rPr>
          <w:lang w:val="ru-RU"/>
        </w:rPr>
        <w:t xml:space="preserve">, </w:t>
      </w:r>
      <w:r>
        <w:rPr>
          <w:lang w:val="ru-RU"/>
        </w:rPr>
        <w:t>аудиторская</w:t>
      </w:r>
      <w:r w:rsidRPr="00EE1BD2">
        <w:rPr>
          <w:lang w:val="ru-RU"/>
        </w:rPr>
        <w:t xml:space="preserve"> </w:t>
      </w:r>
      <w:r>
        <w:rPr>
          <w:lang w:val="ru-RU"/>
        </w:rPr>
        <w:t>проверка</w:t>
      </w:r>
      <w:r w:rsidRPr="00EE1BD2">
        <w:rPr>
          <w:lang w:val="ru-RU"/>
        </w:rPr>
        <w:t xml:space="preserve"> </w:t>
      </w:r>
      <w:r>
        <w:rPr>
          <w:lang w:val="ru-RU"/>
        </w:rPr>
        <w:t>показала</w:t>
      </w:r>
      <w:r w:rsidRPr="00EE1BD2">
        <w:rPr>
          <w:lang w:val="ru-RU"/>
        </w:rPr>
        <w:t xml:space="preserve">, </w:t>
      </w:r>
      <w:r>
        <w:rPr>
          <w:lang w:val="ru-RU"/>
        </w:rPr>
        <w:t>что</w:t>
      </w:r>
      <w:r w:rsidRPr="00EE1BD2">
        <w:rPr>
          <w:lang w:val="ru-RU"/>
        </w:rPr>
        <w:t xml:space="preserve"> </w:t>
      </w:r>
      <w:r w:rsidR="00EE1BD2">
        <w:rPr>
          <w:lang w:val="ru-RU"/>
        </w:rPr>
        <w:t>ВОИС</w:t>
      </w:r>
      <w:r w:rsidR="00EE1BD2" w:rsidRPr="00EE1BD2">
        <w:rPr>
          <w:lang w:val="ru-RU"/>
        </w:rPr>
        <w:t xml:space="preserve"> </w:t>
      </w:r>
      <w:r w:rsidR="00EE1BD2">
        <w:rPr>
          <w:lang w:val="ru-RU"/>
        </w:rPr>
        <w:t>было</w:t>
      </w:r>
      <w:r w:rsidR="00EE1BD2" w:rsidRPr="00EE1BD2">
        <w:rPr>
          <w:lang w:val="ru-RU"/>
        </w:rPr>
        <w:t xml:space="preserve"> </w:t>
      </w:r>
      <w:r w:rsidR="00EE1BD2">
        <w:rPr>
          <w:lang w:val="ru-RU"/>
        </w:rPr>
        <w:t>бы</w:t>
      </w:r>
      <w:r w:rsidR="00EE1BD2" w:rsidRPr="00EE1BD2">
        <w:rPr>
          <w:lang w:val="ru-RU"/>
        </w:rPr>
        <w:t xml:space="preserve"> </w:t>
      </w:r>
      <w:r w:rsidR="00EE1BD2">
        <w:rPr>
          <w:lang w:val="ru-RU"/>
        </w:rPr>
        <w:t>целесообразно</w:t>
      </w:r>
      <w:r w:rsidR="00EE1BD2" w:rsidRPr="00EE1BD2">
        <w:rPr>
          <w:lang w:val="ru-RU"/>
        </w:rPr>
        <w:t xml:space="preserve"> </w:t>
      </w:r>
      <w:r w:rsidR="00EE1BD2">
        <w:rPr>
          <w:lang w:val="ru-RU"/>
        </w:rPr>
        <w:t>разработать</w:t>
      </w:r>
      <w:r w:rsidR="00EE1BD2" w:rsidRPr="00EE1BD2">
        <w:rPr>
          <w:lang w:val="ru-RU"/>
        </w:rPr>
        <w:t xml:space="preserve"> </w:t>
      </w:r>
      <w:r w:rsidR="00EE1BD2">
        <w:rPr>
          <w:lang w:val="ru-RU"/>
        </w:rPr>
        <w:t>цифровую</w:t>
      </w:r>
      <w:r w:rsidR="00EE1BD2" w:rsidRPr="00EE1BD2">
        <w:rPr>
          <w:lang w:val="ru-RU"/>
        </w:rPr>
        <w:t xml:space="preserve"> </w:t>
      </w:r>
      <w:r w:rsidR="00EE1BD2">
        <w:rPr>
          <w:lang w:val="ru-RU"/>
        </w:rPr>
        <w:t>стратегию</w:t>
      </w:r>
      <w:r w:rsidR="00EE1BD2" w:rsidRPr="00EE1BD2">
        <w:rPr>
          <w:lang w:val="ru-RU"/>
        </w:rPr>
        <w:t xml:space="preserve">, </w:t>
      </w:r>
      <w:r w:rsidR="00EE1BD2">
        <w:rPr>
          <w:lang w:val="ru-RU"/>
        </w:rPr>
        <w:t>положив</w:t>
      </w:r>
      <w:r w:rsidR="00EE1BD2" w:rsidRPr="00EE1BD2">
        <w:rPr>
          <w:lang w:val="ru-RU"/>
        </w:rPr>
        <w:t xml:space="preserve"> </w:t>
      </w:r>
      <w:r w:rsidR="00EE1BD2">
        <w:rPr>
          <w:lang w:val="ru-RU"/>
        </w:rPr>
        <w:t>в</w:t>
      </w:r>
      <w:r w:rsidR="00EE1BD2" w:rsidRPr="00EE1BD2">
        <w:rPr>
          <w:lang w:val="ru-RU"/>
        </w:rPr>
        <w:t xml:space="preserve"> </w:t>
      </w:r>
      <w:r w:rsidR="00EE1BD2">
        <w:rPr>
          <w:lang w:val="ru-RU"/>
        </w:rPr>
        <w:t>ее</w:t>
      </w:r>
      <w:r w:rsidR="00EE1BD2" w:rsidRPr="00EE1BD2">
        <w:rPr>
          <w:lang w:val="ru-RU"/>
        </w:rPr>
        <w:t xml:space="preserve"> </w:t>
      </w:r>
      <w:r w:rsidR="00EE1BD2">
        <w:rPr>
          <w:lang w:val="ru-RU"/>
        </w:rPr>
        <w:t>основу</w:t>
      </w:r>
      <w:r w:rsidR="00EE1BD2" w:rsidRPr="00EE1BD2">
        <w:rPr>
          <w:lang w:val="ru-RU"/>
        </w:rPr>
        <w:t xml:space="preserve"> </w:t>
      </w:r>
      <w:r w:rsidR="00EE1BD2">
        <w:rPr>
          <w:lang w:val="ru-RU"/>
        </w:rPr>
        <w:t>результаты</w:t>
      </w:r>
      <w:r w:rsidR="00EE1BD2" w:rsidRPr="00EE1BD2">
        <w:rPr>
          <w:lang w:val="ru-RU"/>
        </w:rPr>
        <w:t xml:space="preserve"> </w:t>
      </w:r>
      <w:r w:rsidR="00EE1BD2">
        <w:rPr>
          <w:lang w:val="ru-RU"/>
        </w:rPr>
        <w:t>проекта</w:t>
      </w:r>
      <w:r w:rsidR="00EE1BD2" w:rsidRPr="00EE1BD2">
        <w:rPr>
          <w:lang w:val="ru-RU"/>
        </w:rPr>
        <w:t xml:space="preserve"> </w:t>
      </w:r>
      <w:r w:rsidR="00EE1BD2">
        <w:rPr>
          <w:lang w:val="ru-RU"/>
        </w:rPr>
        <w:t xml:space="preserve">УОР. </w:t>
      </w:r>
      <w:r w:rsidR="00EE1BD2" w:rsidRPr="00EE1BD2">
        <w:rPr>
          <w:lang w:val="ru-RU"/>
        </w:rPr>
        <w:t xml:space="preserve"> </w:t>
      </w:r>
      <w:r w:rsidR="00EE1BD2">
        <w:rPr>
          <w:lang w:val="ru-RU"/>
        </w:rPr>
        <w:lastRenderedPageBreak/>
        <w:t>Цифровая</w:t>
      </w:r>
      <w:r w:rsidR="00EE1BD2" w:rsidRPr="00EE1BD2">
        <w:rPr>
          <w:lang w:val="ru-RU"/>
        </w:rPr>
        <w:t xml:space="preserve"> </w:t>
      </w:r>
      <w:r w:rsidR="00EE1BD2">
        <w:rPr>
          <w:lang w:val="ru-RU"/>
        </w:rPr>
        <w:t>стратегия</w:t>
      </w:r>
      <w:r w:rsidR="00EE1BD2" w:rsidRPr="00EE1BD2">
        <w:rPr>
          <w:lang w:val="ru-RU"/>
        </w:rPr>
        <w:t xml:space="preserve"> – </w:t>
      </w:r>
      <w:r w:rsidR="00EE1BD2">
        <w:rPr>
          <w:lang w:val="ru-RU"/>
        </w:rPr>
        <w:t>это</w:t>
      </w:r>
      <w:r w:rsidR="00EE1BD2" w:rsidRPr="00EE1BD2">
        <w:rPr>
          <w:lang w:val="ru-RU"/>
        </w:rPr>
        <w:t xml:space="preserve"> </w:t>
      </w:r>
      <w:r w:rsidR="00EE1BD2">
        <w:rPr>
          <w:lang w:val="ru-RU"/>
        </w:rPr>
        <w:t>план</w:t>
      </w:r>
      <w:r w:rsidR="00EE1BD2" w:rsidRPr="00EE1BD2">
        <w:rPr>
          <w:lang w:val="ru-RU"/>
        </w:rPr>
        <w:t xml:space="preserve"> </w:t>
      </w:r>
      <w:r w:rsidR="00EE1BD2">
        <w:rPr>
          <w:lang w:val="ru-RU"/>
        </w:rPr>
        <w:t>и</w:t>
      </w:r>
      <w:r w:rsidR="00EE1BD2" w:rsidRPr="00EE1BD2">
        <w:rPr>
          <w:lang w:val="ru-RU"/>
        </w:rPr>
        <w:t xml:space="preserve"> </w:t>
      </w:r>
      <w:r w:rsidR="00EE1BD2">
        <w:rPr>
          <w:lang w:val="ru-RU"/>
        </w:rPr>
        <w:t>руководство</w:t>
      </w:r>
      <w:r w:rsidR="00EE1BD2" w:rsidRPr="00EE1BD2">
        <w:rPr>
          <w:lang w:val="ru-RU"/>
        </w:rPr>
        <w:t xml:space="preserve"> </w:t>
      </w:r>
      <w:r w:rsidR="00EE1BD2">
        <w:rPr>
          <w:lang w:val="ru-RU"/>
        </w:rPr>
        <w:t>по</w:t>
      </w:r>
      <w:r w:rsidR="00EE1BD2" w:rsidRPr="00EE1BD2">
        <w:rPr>
          <w:lang w:val="ru-RU"/>
        </w:rPr>
        <w:t xml:space="preserve"> </w:t>
      </w:r>
      <w:r w:rsidR="00EE1BD2">
        <w:rPr>
          <w:lang w:val="ru-RU"/>
        </w:rPr>
        <w:t>вопросу</w:t>
      </w:r>
      <w:r w:rsidR="00EE1BD2" w:rsidRPr="00EE1BD2">
        <w:rPr>
          <w:lang w:val="ru-RU"/>
        </w:rPr>
        <w:t xml:space="preserve"> </w:t>
      </w:r>
      <w:r w:rsidR="00EE1BD2">
        <w:rPr>
          <w:lang w:val="ru-RU"/>
        </w:rPr>
        <w:t>о</w:t>
      </w:r>
      <w:r w:rsidR="00EE1BD2" w:rsidRPr="00EE1BD2">
        <w:rPr>
          <w:lang w:val="ru-RU"/>
        </w:rPr>
        <w:t xml:space="preserve"> </w:t>
      </w:r>
      <w:r w:rsidR="00EE1BD2">
        <w:rPr>
          <w:lang w:val="ru-RU"/>
        </w:rPr>
        <w:t>том</w:t>
      </w:r>
      <w:r w:rsidR="00EE1BD2" w:rsidRPr="00EE1BD2">
        <w:rPr>
          <w:lang w:val="ru-RU"/>
        </w:rPr>
        <w:t xml:space="preserve">, </w:t>
      </w:r>
      <w:r w:rsidR="00EE1BD2">
        <w:rPr>
          <w:lang w:val="ru-RU"/>
        </w:rPr>
        <w:t>как</w:t>
      </w:r>
      <w:r w:rsidR="00EE1BD2" w:rsidRPr="00EE1BD2">
        <w:rPr>
          <w:lang w:val="ru-RU"/>
        </w:rPr>
        <w:t xml:space="preserve"> </w:t>
      </w:r>
      <w:r w:rsidR="00EE1BD2">
        <w:rPr>
          <w:lang w:val="ru-RU"/>
        </w:rPr>
        <w:t>цифровые</w:t>
      </w:r>
      <w:r w:rsidR="00EE1BD2" w:rsidRPr="00EE1BD2">
        <w:rPr>
          <w:lang w:val="ru-RU"/>
        </w:rPr>
        <w:t xml:space="preserve"> </w:t>
      </w:r>
      <w:r w:rsidR="00EE1BD2">
        <w:rPr>
          <w:lang w:val="ru-RU"/>
        </w:rPr>
        <w:t>возможности</w:t>
      </w:r>
      <w:r w:rsidR="00EE1BD2" w:rsidRPr="00EE1BD2">
        <w:rPr>
          <w:lang w:val="ru-RU"/>
        </w:rPr>
        <w:t xml:space="preserve"> </w:t>
      </w:r>
      <w:r w:rsidR="00EE1BD2">
        <w:rPr>
          <w:lang w:val="ru-RU"/>
        </w:rPr>
        <w:t>могут</w:t>
      </w:r>
      <w:r w:rsidR="00EE1BD2" w:rsidRPr="00EE1BD2">
        <w:rPr>
          <w:lang w:val="ru-RU"/>
        </w:rPr>
        <w:t xml:space="preserve"> </w:t>
      </w:r>
      <w:r w:rsidR="00EE1BD2">
        <w:rPr>
          <w:lang w:val="ru-RU"/>
        </w:rPr>
        <w:t>способствовать</w:t>
      </w:r>
      <w:r w:rsidR="00EE1BD2" w:rsidRPr="00EE1BD2">
        <w:rPr>
          <w:lang w:val="ru-RU"/>
        </w:rPr>
        <w:t xml:space="preserve"> </w:t>
      </w:r>
      <w:r w:rsidR="00EE1BD2">
        <w:rPr>
          <w:lang w:val="ru-RU"/>
        </w:rPr>
        <w:t>расширению</w:t>
      </w:r>
      <w:r w:rsidR="00EE1BD2" w:rsidRPr="00EE1BD2">
        <w:rPr>
          <w:lang w:val="ru-RU"/>
        </w:rPr>
        <w:t xml:space="preserve"> </w:t>
      </w:r>
      <w:r w:rsidR="00EE1BD2">
        <w:rPr>
          <w:lang w:val="ru-RU"/>
        </w:rPr>
        <w:t>доступа</w:t>
      </w:r>
      <w:r w:rsidR="00EE1BD2" w:rsidRPr="00EE1BD2">
        <w:rPr>
          <w:lang w:val="ru-RU"/>
        </w:rPr>
        <w:t xml:space="preserve"> </w:t>
      </w:r>
      <w:r w:rsidR="00EE1BD2">
        <w:rPr>
          <w:lang w:val="ru-RU"/>
        </w:rPr>
        <w:t>к</w:t>
      </w:r>
      <w:r w:rsidR="00EE1BD2" w:rsidRPr="00EE1BD2">
        <w:rPr>
          <w:lang w:val="ru-RU"/>
        </w:rPr>
        <w:t xml:space="preserve"> </w:t>
      </w:r>
      <w:r w:rsidR="00EE1BD2">
        <w:rPr>
          <w:lang w:val="ru-RU"/>
        </w:rPr>
        <w:t>информации</w:t>
      </w:r>
      <w:r w:rsidR="00EE1BD2" w:rsidRPr="00EE1BD2">
        <w:rPr>
          <w:lang w:val="ru-RU"/>
        </w:rPr>
        <w:t xml:space="preserve"> </w:t>
      </w:r>
      <w:r w:rsidR="00EE1BD2">
        <w:rPr>
          <w:lang w:val="ru-RU"/>
        </w:rPr>
        <w:t>и</w:t>
      </w:r>
      <w:r w:rsidR="00EE1BD2" w:rsidRPr="00EE1BD2">
        <w:rPr>
          <w:lang w:val="ru-RU"/>
        </w:rPr>
        <w:t xml:space="preserve"> </w:t>
      </w:r>
      <w:r w:rsidR="00EE1BD2">
        <w:rPr>
          <w:lang w:val="ru-RU"/>
        </w:rPr>
        <w:t>созданию</w:t>
      </w:r>
      <w:r w:rsidR="00EE1BD2" w:rsidRPr="00EE1BD2">
        <w:rPr>
          <w:lang w:val="ru-RU"/>
        </w:rPr>
        <w:t xml:space="preserve"> </w:t>
      </w:r>
      <w:r w:rsidR="00EE1BD2">
        <w:rPr>
          <w:lang w:val="ru-RU"/>
        </w:rPr>
        <w:t>знаний</w:t>
      </w:r>
      <w:r w:rsidR="00EE1BD2" w:rsidRPr="00EE1BD2">
        <w:rPr>
          <w:lang w:val="ru-RU"/>
        </w:rPr>
        <w:t xml:space="preserve">, </w:t>
      </w:r>
      <w:r w:rsidR="00EE1BD2">
        <w:rPr>
          <w:lang w:val="ru-RU"/>
        </w:rPr>
        <w:t>упрощению</w:t>
      </w:r>
      <w:r w:rsidR="00EE1BD2" w:rsidRPr="00EE1BD2">
        <w:rPr>
          <w:lang w:val="ru-RU"/>
        </w:rPr>
        <w:t xml:space="preserve"> </w:t>
      </w:r>
      <w:r w:rsidR="00EE1BD2">
        <w:rPr>
          <w:lang w:val="ru-RU"/>
        </w:rPr>
        <w:t>и</w:t>
      </w:r>
      <w:r w:rsidR="00EE1BD2" w:rsidRPr="00EE1BD2">
        <w:rPr>
          <w:lang w:val="ru-RU"/>
        </w:rPr>
        <w:t xml:space="preserve"> </w:t>
      </w:r>
      <w:r w:rsidR="00EE1BD2">
        <w:rPr>
          <w:lang w:val="ru-RU"/>
        </w:rPr>
        <w:t>автоматизации</w:t>
      </w:r>
      <w:r w:rsidR="00EE1BD2" w:rsidRPr="00EE1BD2">
        <w:rPr>
          <w:lang w:val="ru-RU"/>
        </w:rPr>
        <w:t xml:space="preserve"> </w:t>
      </w:r>
      <w:r w:rsidR="00EE1BD2">
        <w:rPr>
          <w:lang w:val="ru-RU"/>
        </w:rPr>
        <w:t>процессов</w:t>
      </w:r>
      <w:r w:rsidR="00EE1BD2" w:rsidRPr="00EE1BD2">
        <w:rPr>
          <w:lang w:val="ru-RU"/>
        </w:rPr>
        <w:t xml:space="preserve">, </w:t>
      </w:r>
      <w:r w:rsidR="00EE1BD2">
        <w:rPr>
          <w:lang w:val="ru-RU"/>
        </w:rPr>
        <w:t>а</w:t>
      </w:r>
      <w:r w:rsidR="00EE1BD2" w:rsidRPr="00EE1BD2">
        <w:rPr>
          <w:lang w:val="ru-RU"/>
        </w:rPr>
        <w:t xml:space="preserve"> </w:t>
      </w:r>
      <w:r w:rsidR="00EE1BD2">
        <w:rPr>
          <w:lang w:val="ru-RU"/>
        </w:rPr>
        <w:t>также</w:t>
      </w:r>
      <w:r w:rsidR="00EE1BD2" w:rsidRPr="00EE1BD2">
        <w:rPr>
          <w:lang w:val="ru-RU"/>
        </w:rPr>
        <w:t xml:space="preserve"> </w:t>
      </w:r>
      <w:r w:rsidR="00EE1BD2">
        <w:rPr>
          <w:lang w:val="ru-RU"/>
        </w:rPr>
        <w:t>обогащению</w:t>
      </w:r>
      <w:r w:rsidR="00EE1BD2" w:rsidRPr="00EE1BD2">
        <w:rPr>
          <w:lang w:val="ru-RU"/>
        </w:rPr>
        <w:t xml:space="preserve"> </w:t>
      </w:r>
      <w:r w:rsidR="00EE1BD2">
        <w:rPr>
          <w:lang w:val="ru-RU"/>
        </w:rPr>
        <w:t>пользовательского</w:t>
      </w:r>
      <w:r w:rsidR="00EE1BD2" w:rsidRPr="00EE1BD2">
        <w:rPr>
          <w:lang w:val="ru-RU"/>
        </w:rPr>
        <w:t xml:space="preserve"> </w:t>
      </w:r>
      <w:r w:rsidR="00EE1BD2">
        <w:rPr>
          <w:lang w:val="ru-RU"/>
        </w:rPr>
        <w:t>опыта</w:t>
      </w:r>
      <w:r w:rsidR="00EE1BD2" w:rsidRPr="00EE1BD2">
        <w:rPr>
          <w:lang w:val="ru-RU"/>
        </w:rPr>
        <w:t xml:space="preserve">, </w:t>
      </w:r>
      <w:r w:rsidR="00EE1BD2">
        <w:rPr>
          <w:lang w:val="ru-RU"/>
        </w:rPr>
        <w:t>с</w:t>
      </w:r>
      <w:r w:rsidR="00EE1BD2" w:rsidRPr="00EE1BD2">
        <w:rPr>
          <w:lang w:val="ru-RU"/>
        </w:rPr>
        <w:t xml:space="preserve"> </w:t>
      </w:r>
      <w:r w:rsidR="00EE1BD2">
        <w:rPr>
          <w:lang w:val="ru-RU"/>
        </w:rPr>
        <w:t>учетом</w:t>
      </w:r>
      <w:r w:rsidR="00EE1BD2" w:rsidRPr="00EE1BD2">
        <w:rPr>
          <w:lang w:val="ru-RU"/>
        </w:rPr>
        <w:t xml:space="preserve"> </w:t>
      </w:r>
      <w:r w:rsidR="00EE1BD2">
        <w:rPr>
          <w:lang w:val="ru-RU"/>
        </w:rPr>
        <w:t>других инициатив ВОИС, включая Информационн</w:t>
      </w:r>
      <w:r w:rsidR="00FB001C">
        <w:rPr>
          <w:lang w:val="ru-RU"/>
        </w:rPr>
        <w:t>ый регламент</w:t>
      </w:r>
      <w:r w:rsidR="00EE1BD2">
        <w:rPr>
          <w:lang w:val="ru-RU"/>
        </w:rPr>
        <w:t>, котор</w:t>
      </w:r>
      <w:r w:rsidR="00F907C7">
        <w:rPr>
          <w:lang w:val="ru-RU"/>
        </w:rPr>
        <w:t>ый</w:t>
      </w:r>
      <w:r w:rsidR="00EE1BD2">
        <w:rPr>
          <w:lang w:val="ru-RU"/>
        </w:rPr>
        <w:t xml:space="preserve"> планируется разработать.</w:t>
      </w:r>
    </w:p>
    <w:p w14:paraId="34394E35" w14:textId="69752A27" w:rsidR="00F736B0" w:rsidRPr="00CE0303" w:rsidRDefault="00F907C7" w:rsidP="00F736B0">
      <w:pPr>
        <w:pStyle w:val="ONUME"/>
        <w:rPr>
          <w:lang w:val="ru-RU"/>
        </w:rPr>
      </w:pPr>
      <w:r>
        <w:rPr>
          <w:lang w:val="ru-RU"/>
        </w:rPr>
        <w:t>Кроме того,</w:t>
      </w:r>
      <w:r w:rsidRPr="00F907C7">
        <w:rPr>
          <w:lang w:val="ru-RU"/>
        </w:rPr>
        <w:t xml:space="preserve"> </w:t>
      </w:r>
      <w:r w:rsidR="00213D21">
        <w:rPr>
          <w:lang w:val="ru-RU"/>
        </w:rPr>
        <w:t>ОВН</w:t>
      </w:r>
      <w:r w:rsidR="00213D21" w:rsidRPr="00213D21">
        <w:rPr>
          <w:lang w:val="ru-RU"/>
        </w:rPr>
        <w:t xml:space="preserve"> </w:t>
      </w:r>
      <w:r w:rsidR="00213D21">
        <w:rPr>
          <w:lang w:val="ru-RU"/>
        </w:rPr>
        <w:t>отмечает</w:t>
      </w:r>
      <w:r w:rsidR="00213D21" w:rsidRPr="00213D21">
        <w:rPr>
          <w:lang w:val="ru-RU"/>
        </w:rPr>
        <w:t xml:space="preserve">, </w:t>
      </w:r>
      <w:r w:rsidR="00213D21">
        <w:rPr>
          <w:lang w:val="ru-RU"/>
        </w:rPr>
        <w:t>что</w:t>
      </w:r>
      <w:r w:rsidR="00213D21" w:rsidRPr="00213D21">
        <w:rPr>
          <w:lang w:val="ru-RU"/>
        </w:rPr>
        <w:t xml:space="preserve"> </w:t>
      </w:r>
      <w:r w:rsidR="00213D21">
        <w:rPr>
          <w:lang w:val="ru-RU"/>
        </w:rPr>
        <w:t>создания</w:t>
      </w:r>
      <w:r w:rsidR="00213D21" w:rsidRPr="00213D21">
        <w:rPr>
          <w:lang w:val="ru-RU"/>
        </w:rPr>
        <w:t xml:space="preserve"> </w:t>
      </w:r>
      <w:r w:rsidR="00213D21">
        <w:rPr>
          <w:lang w:val="ru-RU"/>
        </w:rPr>
        <w:t>инструментария</w:t>
      </w:r>
      <w:r w:rsidR="00213D21" w:rsidRPr="00213D21">
        <w:rPr>
          <w:lang w:val="ru-RU"/>
        </w:rPr>
        <w:t xml:space="preserve"> </w:t>
      </w:r>
      <w:r w:rsidR="00213D21">
        <w:rPr>
          <w:lang w:val="ru-RU"/>
        </w:rPr>
        <w:t>для</w:t>
      </w:r>
      <w:r w:rsidR="00213D21" w:rsidRPr="00213D21">
        <w:rPr>
          <w:lang w:val="ru-RU"/>
        </w:rPr>
        <w:t xml:space="preserve"> </w:t>
      </w:r>
      <w:r w:rsidR="00213D21">
        <w:rPr>
          <w:lang w:val="ru-RU"/>
        </w:rPr>
        <w:t>управления</w:t>
      </w:r>
      <w:r w:rsidR="00213D21" w:rsidRPr="00213D21">
        <w:rPr>
          <w:lang w:val="ru-RU"/>
        </w:rPr>
        <w:t xml:space="preserve"> </w:t>
      </w:r>
      <w:r w:rsidR="00213D21">
        <w:rPr>
          <w:lang w:val="ru-RU"/>
        </w:rPr>
        <w:t>контентом</w:t>
      </w:r>
      <w:r w:rsidR="00213D21" w:rsidRPr="00213D21">
        <w:rPr>
          <w:lang w:val="ru-RU"/>
        </w:rPr>
        <w:t xml:space="preserve"> </w:t>
      </w:r>
      <w:r w:rsidR="00213D21">
        <w:rPr>
          <w:lang w:val="ru-RU"/>
        </w:rPr>
        <w:t>также</w:t>
      </w:r>
      <w:r w:rsidR="00213D21" w:rsidRPr="00213D21">
        <w:rPr>
          <w:lang w:val="ru-RU"/>
        </w:rPr>
        <w:t xml:space="preserve"> </w:t>
      </w:r>
      <w:r w:rsidR="00213D21">
        <w:rPr>
          <w:lang w:val="ru-RU"/>
        </w:rPr>
        <w:t>способствует</w:t>
      </w:r>
      <w:r w:rsidR="00213D21" w:rsidRPr="00213D21">
        <w:rPr>
          <w:lang w:val="ru-RU"/>
        </w:rPr>
        <w:t xml:space="preserve"> </w:t>
      </w:r>
      <w:r w:rsidR="00213D21">
        <w:rPr>
          <w:lang w:val="ru-RU"/>
        </w:rPr>
        <w:t>реализации</w:t>
      </w:r>
      <w:r w:rsidR="00213D21" w:rsidRPr="00213D21">
        <w:rPr>
          <w:lang w:val="ru-RU"/>
        </w:rPr>
        <w:t xml:space="preserve"> </w:t>
      </w:r>
      <w:r w:rsidR="00213D21">
        <w:rPr>
          <w:lang w:val="ru-RU"/>
        </w:rPr>
        <w:t>Стратегии</w:t>
      </w:r>
      <w:r w:rsidR="00213D21" w:rsidRPr="00213D21">
        <w:rPr>
          <w:lang w:val="ru-RU"/>
        </w:rPr>
        <w:t xml:space="preserve"> </w:t>
      </w:r>
      <w:r w:rsidR="00213D21">
        <w:rPr>
          <w:lang w:val="ru-RU"/>
        </w:rPr>
        <w:t>управления</w:t>
      </w:r>
      <w:r w:rsidR="00213D21" w:rsidRPr="00213D21">
        <w:rPr>
          <w:lang w:val="ru-RU"/>
        </w:rPr>
        <w:t xml:space="preserve"> </w:t>
      </w:r>
      <w:r w:rsidR="00213D21">
        <w:rPr>
          <w:lang w:val="ru-RU"/>
        </w:rPr>
        <w:t>знаниями</w:t>
      </w:r>
      <w:r w:rsidR="00213D21" w:rsidRPr="00213D21">
        <w:rPr>
          <w:lang w:val="ru-RU"/>
        </w:rPr>
        <w:t xml:space="preserve">, </w:t>
      </w:r>
      <w:r w:rsidR="00213D21">
        <w:rPr>
          <w:lang w:val="ru-RU"/>
        </w:rPr>
        <w:t>и</w:t>
      </w:r>
      <w:r w:rsidR="00213D21" w:rsidRPr="00213D21">
        <w:rPr>
          <w:lang w:val="ru-RU"/>
        </w:rPr>
        <w:t xml:space="preserve"> </w:t>
      </w:r>
      <w:r w:rsidR="00213D21">
        <w:rPr>
          <w:lang w:val="ru-RU"/>
        </w:rPr>
        <w:t>в</w:t>
      </w:r>
      <w:r w:rsidR="00213D21" w:rsidRPr="00213D21">
        <w:rPr>
          <w:lang w:val="ru-RU"/>
        </w:rPr>
        <w:t xml:space="preserve"> </w:t>
      </w:r>
      <w:r w:rsidR="00213D21">
        <w:rPr>
          <w:lang w:val="ru-RU"/>
        </w:rPr>
        <w:t>частности</w:t>
      </w:r>
      <w:r w:rsidR="00213D21" w:rsidRPr="00213D21">
        <w:rPr>
          <w:lang w:val="ru-RU"/>
        </w:rPr>
        <w:t xml:space="preserve"> </w:t>
      </w:r>
      <w:r w:rsidR="00213D21">
        <w:rPr>
          <w:lang w:val="ru-RU"/>
        </w:rPr>
        <w:t>решению</w:t>
      </w:r>
      <w:r w:rsidR="00213D21" w:rsidRPr="00213D21">
        <w:rPr>
          <w:lang w:val="ru-RU"/>
        </w:rPr>
        <w:t xml:space="preserve"> </w:t>
      </w:r>
      <w:r w:rsidR="00213D21">
        <w:rPr>
          <w:lang w:val="ru-RU"/>
        </w:rPr>
        <w:t>конкретной</w:t>
      </w:r>
      <w:r w:rsidR="00213D21" w:rsidRPr="00213D21">
        <w:rPr>
          <w:lang w:val="ru-RU"/>
        </w:rPr>
        <w:t xml:space="preserve"> </w:t>
      </w:r>
      <w:r w:rsidR="00213D21">
        <w:rPr>
          <w:lang w:val="ru-RU"/>
        </w:rPr>
        <w:t>проблемы</w:t>
      </w:r>
      <w:r w:rsidR="00213D21" w:rsidRPr="00213D21">
        <w:rPr>
          <w:lang w:val="ru-RU"/>
        </w:rPr>
        <w:t xml:space="preserve">, </w:t>
      </w:r>
      <w:r w:rsidR="00213D21">
        <w:rPr>
          <w:lang w:val="ru-RU"/>
        </w:rPr>
        <w:t>связанной</w:t>
      </w:r>
      <w:r w:rsidR="00213D21" w:rsidRPr="00213D21">
        <w:rPr>
          <w:lang w:val="ru-RU"/>
        </w:rPr>
        <w:t xml:space="preserve"> </w:t>
      </w:r>
      <w:r w:rsidR="00213D21">
        <w:rPr>
          <w:lang w:val="ru-RU"/>
        </w:rPr>
        <w:t>с</w:t>
      </w:r>
      <w:r w:rsidR="00213D21" w:rsidRPr="00213D21">
        <w:rPr>
          <w:lang w:val="ru-RU"/>
        </w:rPr>
        <w:t xml:space="preserve"> </w:t>
      </w:r>
      <w:r w:rsidR="00213D21">
        <w:rPr>
          <w:lang w:val="ru-RU"/>
        </w:rPr>
        <w:t>отсутствием</w:t>
      </w:r>
      <w:r w:rsidR="00213D21" w:rsidRPr="00213D21">
        <w:rPr>
          <w:lang w:val="ru-RU"/>
        </w:rPr>
        <w:t xml:space="preserve"> </w:t>
      </w:r>
      <w:r w:rsidR="00213D21" w:rsidRPr="00F907C7">
        <w:rPr>
          <w:i/>
          <w:iCs/>
          <w:lang w:val="ru-RU"/>
        </w:rPr>
        <w:t>«согласованных общеорганизационных инструментов и процедур для упрощения управления контентом и обмена знаниями»</w:t>
      </w:r>
      <w:r w:rsidR="00213D21">
        <w:rPr>
          <w:lang w:val="ru-RU"/>
        </w:rPr>
        <w:t>.</w:t>
      </w:r>
      <w:r w:rsidR="00213D21" w:rsidRPr="00213D21">
        <w:rPr>
          <w:lang w:val="ru-RU"/>
        </w:rPr>
        <w:t xml:space="preserve">  </w:t>
      </w:r>
      <w:r w:rsidR="00213D21">
        <w:rPr>
          <w:lang w:val="ru-RU"/>
        </w:rPr>
        <w:t>По</w:t>
      </w:r>
      <w:r w:rsidR="00213D21" w:rsidRPr="00F75110">
        <w:rPr>
          <w:lang w:val="ru-RU"/>
        </w:rPr>
        <w:t xml:space="preserve"> </w:t>
      </w:r>
      <w:r w:rsidR="00213D21">
        <w:rPr>
          <w:lang w:val="ru-RU"/>
        </w:rPr>
        <w:t>итогам</w:t>
      </w:r>
      <w:r w:rsidR="00213D21" w:rsidRPr="00F75110">
        <w:rPr>
          <w:lang w:val="ru-RU"/>
        </w:rPr>
        <w:t xml:space="preserve"> </w:t>
      </w:r>
      <w:r w:rsidR="00213D21">
        <w:rPr>
          <w:lang w:val="ru-RU"/>
        </w:rPr>
        <w:t>оценки</w:t>
      </w:r>
      <w:r w:rsidR="00213D21" w:rsidRPr="00F75110">
        <w:rPr>
          <w:lang w:val="ru-RU"/>
        </w:rPr>
        <w:t xml:space="preserve"> </w:t>
      </w:r>
      <w:r w:rsidR="00213D21">
        <w:rPr>
          <w:lang w:val="ru-RU"/>
        </w:rPr>
        <w:t>текущего</w:t>
      </w:r>
      <w:r w:rsidR="00213D21" w:rsidRPr="00F75110">
        <w:rPr>
          <w:lang w:val="ru-RU"/>
        </w:rPr>
        <w:t xml:space="preserve"> </w:t>
      </w:r>
      <w:r w:rsidR="00213D21">
        <w:rPr>
          <w:lang w:val="ru-RU"/>
        </w:rPr>
        <w:t>состояния</w:t>
      </w:r>
      <w:r w:rsidR="00213D21" w:rsidRPr="00F75110">
        <w:rPr>
          <w:lang w:val="ru-RU"/>
        </w:rPr>
        <w:t xml:space="preserve"> </w:t>
      </w:r>
      <w:r w:rsidR="00213D21">
        <w:rPr>
          <w:lang w:val="ru-RU"/>
        </w:rPr>
        <w:t>систем</w:t>
      </w:r>
      <w:r w:rsidR="00213D21" w:rsidRPr="00F75110">
        <w:rPr>
          <w:lang w:val="ru-RU"/>
        </w:rPr>
        <w:t xml:space="preserve"> </w:t>
      </w:r>
      <w:r w:rsidR="00213D21">
        <w:rPr>
          <w:lang w:val="ru-RU"/>
        </w:rPr>
        <w:t>УОР</w:t>
      </w:r>
      <w:r w:rsidR="00213D21" w:rsidRPr="00F75110">
        <w:rPr>
          <w:lang w:val="ru-RU"/>
        </w:rPr>
        <w:t xml:space="preserve"> </w:t>
      </w:r>
      <w:r w:rsidR="00213D21">
        <w:rPr>
          <w:lang w:val="ru-RU"/>
        </w:rPr>
        <w:t>и</w:t>
      </w:r>
      <w:r w:rsidR="00213D21" w:rsidRPr="00F75110">
        <w:rPr>
          <w:lang w:val="ru-RU"/>
        </w:rPr>
        <w:t xml:space="preserve"> </w:t>
      </w:r>
      <w:r w:rsidR="00213D21">
        <w:rPr>
          <w:lang w:val="ru-RU"/>
        </w:rPr>
        <w:t>управления</w:t>
      </w:r>
      <w:r w:rsidR="00213D21" w:rsidRPr="00F75110">
        <w:rPr>
          <w:lang w:val="ru-RU"/>
        </w:rPr>
        <w:t xml:space="preserve"> </w:t>
      </w:r>
      <w:r w:rsidR="00213D21">
        <w:rPr>
          <w:lang w:val="ru-RU"/>
        </w:rPr>
        <w:t>знаниями</w:t>
      </w:r>
      <w:r w:rsidR="00213D21" w:rsidRPr="00F75110">
        <w:rPr>
          <w:lang w:val="ru-RU"/>
        </w:rPr>
        <w:t xml:space="preserve"> </w:t>
      </w:r>
      <w:r w:rsidR="00213D21">
        <w:rPr>
          <w:lang w:val="ru-RU"/>
        </w:rPr>
        <w:t>в</w:t>
      </w:r>
      <w:r w:rsidR="00213D21" w:rsidRPr="00F75110">
        <w:rPr>
          <w:lang w:val="ru-RU"/>
        </w:rPr>
        <w:t xml:space="preserve"> </w:t>
      </w:r>
      <w:r w:rsidR="00213D21">
        <w:rPr>
          <w:lang w:val="ru-RU"/>
        </w:rPr>
        <w:t>ВОИС</w:t>
      </w:r>
      <w:r w:rsidR="00213D21" w:rsidRPr="00F75110">
        <w:rPr>
          <w:lang w:val="ru-RU"/>
        </w:rPr>
        <w:t xml:space="preserve">, </w:t>
      </w:r>
      <w:r w:rsidR="00213D21">
        <w:rPr>
          <w:lang w:val="ru-RU"/>
        </w:rPr>
        <w:t>которая</w:t>
      </w:r>
      <w:r w:rsidR="00213D21" w:rsidRPr="00F75110">
        <w:rPr>
          <w:lang w:val="ru-RU"/>
        </w:rPr>
        <w:t xml:space="preserve"> </w:t>
      </w:r>
      <w:r w:rsidR="00213D21">
        <w:rPr>
          <w:lang w:val="ru-RU"/>
        </w:rPr>
        <w:t>была</w:t>
      </w:r>
      <w:r w:rsidR="00213D21" w:rsidRPr="00F75110">
        <w:rPr>
          <w:lang w:val="ru-RU"/>
        </w:rPr>
        <w:t xml:space="preserve"> </w:t>
      </w:r>
      <w:r w:rsidR="00213D21">
        <w:rPr>
          <w:lang w:val="ru-RU"/>
        </w:rPr>
        <w:t>проведена</w:t>
      </w:r>
      <w:r w:rsidR="00213D21" w:rsidRPr="00F75110">
        <w:rPr>
          <w:lang w:val="ru-RU"/>
        </w:rPr>
        <w:t xml:space="preserve"> </w:t>
      </w:r>
      <w:r w:rsidR="00213D21">
        <w:rPr>
          <w:lang w:val="ru-RU"/>
        </w:rPr>
        <w:t>на</w:t>
      </w:r>
      <w:r w:rsidR="00213D21" w:rsidRPr="00F75110">
        <w:rPr>
          <w:lang w:val="ru-RU"/>
        </w:rPr>
        <w:t xml:space="preserve"> </w:t>
      </w:r>
      <w:r w:rsidR="00213D21">
        <w:rPr>
          <w:lang w:val="ru-RU"/>
        </w:rPr>
        <w:t>основе</w:t>
      </w:r>
      <w:r w:rsidR="00213D21" w:rsidRPr="00F75110">
        <w:rPr>
          <w:lang w:val="ru-RU"/>
        </w:rPr>
        <w:t xml:space="preserve"> </w:t>
      </w:r>
      <w:r w:rsidR="00213D21">
        <w:rPr>
          <w:lang w:val="ru-RU"/>
        </w:rPr>
        <w:t>мнений</w:t>
      </w:r>
      <w:r w:rsidR="00213D21" w:rsidRPr="00F75110">
        <w:rPr>
          <w:lang w:val="ru-RU"/>
        </w:rPr>
        <w:t xml:space="preserve"> </w:t>
      </w:r>
      <w:r w:rsidR="00213D21">
        <w:rPr>
          <w:lang w:val="ru-RU"/>
        </w:rPr>
        <w:t>экспертов</w:t>
      </w:r>
      <w:r w:rsidR="00F736B0">
        <w:rPr>
          <w:rStyle w:val="FootnoteReference"/>
          <w:szCs w:val="22"/>
          <w:lang w:val="en-GB"/>
        </w:rPr>
        <w:footnoteReference w:id="6"/>
      </w:r>
      <w:r w:rsidR="00F736B0" w:rsidRPr="00F75110">
        <w:rPr>
          <w:lang w:val="ru-RU"/>
        </w:rPr>
        <w:t xml:space="preserve"> </w:t>
      </w:r>
      <w:r w:rsidR="00F75110">
        <w:rPr>
          <w:lang w:val="ru-RU"/>
        </w:rPr>
        <w:t>и</w:t>
      </w:r>
      <w:r w:rsidR="00F75110" w:rsidRPr="00F75110">
        <w:rPr>
          <w:lang w:val="ru-RU"/>
        </w:rPr>
        <w:t xml:space="preserve"> </w:t>
      </w:r>
      <w:r w:rsidR="00F75110">
        <w:rPr>
          <w:lang w:val="ru-RU"/>
        </w:rPr>
        <w:t>имеющейся</w:t>
      </w:r>
      <w:r w:rsidR="00F75110" w:rsidRPr="00F75110">
        <w:rPr>
          <w:lang w:val="ru-RU"/>
        </w:rPr>
        <w:t xml:space="preserve"> </w:t>
      </w:r>
      <w:r w:rsidR="00F75110">
        <w:rPr>
          <w:lang w:val="ru-RU"/>
        </w:rPr>
        <w:t>информации</w:t>
      </w:r>
      <w:r w:rsidR="00F75110" w:rsidRPr="00F75110">
        <w:rPr>
          <w:lang w:val="ru-RU"/>
        </w:rPr>
        <w:t xml:space="preserve">, </w:t>
      </w:r>
      <w:r w:rsidR="00F75110">
        <w:rPr>
          <w:lang w:val="ru-RU"/>
        </w:rPr>
        <w:t>было</w:t>
      </w:r>
      <w:r w:rsidR="00F75110" w:rsidRPr="00F75110">
        <w:rPr>
          <w:lang w:val="ru-RU"/>
        </w:rPr>
        <w:t xml:space="preserve"> </w:t>
      </w:r>
      <w:r w:rsidR="00F75110">
        <w:rPr>
          <w:lang w:val="ru-RU"/>
        </w:rPr>
        <w:t xml:space="preserve">установлено, что в рамках системы управления знаниями в ВОИС есть резервы для улучшений в таких сферах, как качество, зрелость организационной культуры, кадры и источники знаний.  </w:t>
      </w:r>
    </w:p>
    <w:p w14:paraId="08B64E82" w14:textId="08D8EA8D" w:rsidR="00F736B0" w:rsidRPr="00CE0303" w:rsidRDefault="00C96AD0" w:rsidP="00F736B0">
      <w:pPr>
        <w:pStyle w:val="ONUME"/>
        <w:rPr>
          <w:lang w:val="ru-RU"/>
        </w:rPr>
      </w:pPr>
      <w:r>
        <w:rPr>
          <w:lang w:val="ru-RU"/>
        </w:rPr>
        <w:t>Процессу</w:t>
      </w:r>
      <w:r w:rsidRPr="00C96AD0">
        <w:rPr>
          <w:lang w:val="ru-RU"/>
        </w:rPr>
        <w:t xml:space="preserve"> </w:t>
      </w:r>
      <w:r>
        <w:rPr>
          <w:lang w:val="ru-RU"/>
        </w:rPr>
        <w:t>утверждения</w:t>
      </w:r>
      <w:r w:rsidRPr="00C96AD0">
        <w:rPr>
          <w:lang w:val="ru-RU"/>
        </w:rPr>
        <w:t xml:space="preserve"> </w:t>
      </w:r>
      <w:r>
        <w:rPr>
          <w:lang w:val="ru-RU"/>
        </w:rPr>
        <w:t>стратегии</w:t>
      </w:r>
      <w:r w:rsidRPr="00C96AD0">
        <w:rPr>
          <w:lang w:val="ru-RU"/>
        </w:rPr>
        <w:t xml:space="preserve"> </w:t>
      </w:r>
      <w:r>
        <w:rPr>
          <w:lang w:val="ru-RU"/>
        </w:rPr>
        <w:t>в</w:t>
      </w:r>
      <w:r w:rsidRPr="00C96AD0">
        <w:rPr>
          <w:lang w:val="ru-RU"/>
        </w:rPr>
        <w:t xml:space="preserve"> </w:t>
      </w:r>
      <w:r>
        <w:rPr>
          <w:lang w:val="ru-RU"/>
        </w:rPr>
        <w:t>области</w:t>
      </w:r>
      <w:r w:rsidRPr="00C96AD0">
        <w:rPr>
          <w:lang w:val="ru-RU"/>
        </w:rPr>
        <w:t xml:space="preserve"> </w:t>
      </w:r>
      <w:r>
        <w:rPr>
          <w:lang w:val="ru-RU"/>
        </w:rPr>
        <w:t>управления</w:t>
      </w:r>
      <w:r w:rsidRPr="00C96AD0">
        <w:rPr>
          <w:lang w:val="ru-RU"/>
        </w:rPr>
        <w:t xml:space="preserve"> </w:t>
      </w:r>
      <w:r>
        <w:rPr>
          <w:lang w:val="ru-RU"/>
        </w:rPr>
        <w:t>знаниями</w:t>
      </w:r>
      <w:r w:rsidRPr="00C96AD0">
        <w:rPr>
          <w:lang w:val="ru-RU"/>
        </w:rPr>
        <w:t xml:space="preserve"> </w:t>
      </w:r>
      <w:r>
        <w:rPr>
          <w:lang w:val="ru-RU"/>
        </w:rPr>
        <w:t>необходимо</w:t>
      </w:r>
      <w:r w:rsidRPr="00C96AD0">
        <w:rPr>
          <w:lang w:val="ru-RU"/>
        </w:rPr>
        <w:t xml:space="preserve"> </w:t>
      </w:r>
      <w:r>
        <w:rPr>
          <w:lang w:val="ru-RU"/>
        </w:rPr>
        <w:t>придать</w:t>
      </w:r>
      <w:r w:rsidRPr="00C96AD0">
        <w:rPr>
          <w:lang w:val="ru-RU"/>
        </w:rPr>
        <w:t xml:space="preserve"> </w:t>
      </w:r>
      <w:r>
        <w:rPr>
          <w:lang w:val="ru-RU"/>
        </w:rPr>
        <w:t>официальный</w:t>
      </w:r>
      <w:r w:rsidRPr="00C96AD0">
        <w:rPr>
          <w:lang w:val="ru-RU"/>
        </w:rPr>
        <w:t xml:space="preserve"> </w:t>
      </w:r>
      <w:r>
        <w:rPr>
          <w:lang w:val="ru-RU"/>
        </w:rPr>
        <w:t>характер</w:t>
      </w:r>
      <w:r w:rsidRPr="00C96AD0">
        <w:rPr>
          <w:lang w:val="ru-RU"/>
        </w:rPr>
        <w:t xml:space="preserve"> </w:t>
      </w:r>
      <w:r>
        <w:rPr>
          <w:lang w:val="ru-RU"/>
        </w:rPr>
        <w:t>путем</w:t>
      </w:r>
      <w:r w:rsidRPr="00C96AD0">
        <w:rPr>
          <w:lang w:val="ru-RU"/>
        </w:rPr>
        <w:t xml:space="preserve"> </w:t>
      </w:r>
      <w:r>
        <w:rPr>
          <w:lang w:val="ru-RU"/>
        </w:rPr>
        <w:t>назначения</w:t>
      </w:r>
      <w:r w:rsidRPr="00C96AD0">
        <w:rPr>
          <w:lang w:val="ru-RU"/>
        </w:rPr>
        <w:t xml:space="preserve"> </w:t>
      </w:r>
      <w:r>
        <w:rPr>
          <w:lang w:val="ru-RU"/>
        </w:rPr>
        <w:t>одного</w:t>
      </w:r>
      <w:r w:rsidRPr="00C96AD0">
        <w:rPr>
          <w:lang w:val="ru-RU"/>
        </w:rPr>
        <w:t xml:space="preserve"> </w:t>
      </w:r>
      <w:r>
        <w:rPr>
          <w:lang w:val="ru-RU"/>
        </w:rPr>
        <w:t>из</w:t>
      </w:r>
      <w:r w:rsidRPr="00C96AD0">
        <w:rPr>
          <w:lang w:val="ru-RU"/>
        </w:rPr>
        <w:t xml:space="preserve"> </w:t>
      </w:r>
      <w:r>
        <w:rPr>
          <w:lang w:val="ru-RU"/>
        </w:rPr>
        <w:t>сотрудников</w:t>
      </w:r>
      <w:r w:rsidRPr="00C96AD0">
        <w:rPr>
          <w:lang w:val="ru-RU"/>
        </w:rPr>
        <w:t xml:space="preserve"> </w:t>
      </w:r>
      <w:r>
        <w:rPr>
          <w:lang w:val="ru-RU"/>
        </w:rPr>
        <w:t>старшего</w:t>
      </w:r>
      <w:r w:rsidRPr="00C96AD0">
        <w:rPr>
          <w:lang w:val="ru-RU"/>
        </w:rPr>
        <w:t xml:space="preserve"> </w:t>
      </w:r>
      <w:r>
        <w:rPr>
          <w:lang w:val="ru-RU"/>
        </w:rPr>
        <w:t>руководящего</w:t>
      </w:r>
      <w:r w:rsidRPr="00C96AD0">
        <w:rPr>
          <w:lang w:val="ru-RU"/>
        </w:rPr>
        <w:t xml:space="preserve"> </w:t>
      </w:r>
      <w:r>
        <w:rPr>
          <w:lang w:val="ru-RU"/>
        </w:rPr>
        <w:t>звена</w:t>
      </w:r>
      <w:r w:rsidRPr="00C96AD0">
        <w:rPr>
          <w:lang w:val="ru-RU"/>
        </w:rPr>
        <w:t xml:space="preserve"> </w:t>
      </w:r>
      <w:r>
        <w:rPr>
          <w:lang w:val="ru-RU"/>
        </w:rPr>
        <w:t>ответственным</w:t>
      </w:r>
      <w:r w:rsidRPr="00C96AD0">
        <w:rPr>
          <w:lang w:val="ru-RU"/>
        </w:rPr>
        <w:t xml:space="preserve"> </w:t>
      </w:r>
      <w:r>
        <w:rPr>
          <w:lang w:val="ru-RU"/>
        </w:rPr>
        <w:t>за</w:t>
      </w:r>
      <w:r w:rsidRPr="00C96AD0">
        <w:rPr>
          <w:lang w:val="ru-RU"/>
        </w:rPr>
        <w:t xml:space="preserve"> </w:t>
      </w:r>
      <w:r>
        <w:rPr>
          <w:lang w:val="ru-RU"/>
        </w:rPr>
        <w:t>ее</w:t>
      </w:r>
      <w:r w:rsidRPr="00C96AD0">
        <w:rPr>
          <w:lang w:val="ru-RU"/>
        </w:rPr>
        <w:t xml:space="preserve"> </w:t>
      </w:r>
      <w:r>
        <w:rPr>
          <w:lang w:val="ru-RU"/>
        </w:rPr>
        <w:t>реализацию.  Ответственный</w:t>
      </w:r>
      <w:r w:rsidRPr="00C96AD0">
        <w:rPr>
          <w:lang w:val="ru-RU"/>
        </w:rPr>
        <w:t xml:space="preserve"> </w:t>
      </w:r>
      <w:r>
        <w:rPr>
          <w:lang w:val="ru-RU"/>
        </w:rPr>
        <w:t>сотрудник</w:t>
      </w:r>
      <w:r w:rsidRPr="00C96AD0">
        <w:rPr>
          <w:lang w:val="ru-RU"/>
        </w:rPr>
        <w:t xml:space="preserve">, </w:t>
      </w:r>
      <w:r>
        <w:rPr>
          <w:lang w:val="ru-RU"/>
        </w:rPr>
        <w:t>в</w:t>
      </w:r>
      <w:r w:rsidRPr="00C96AD0">
        <w:rPr>
          <w:lang w:val="ru-RU"/>
        </w:rPr>
        <w:t xml:space="preserve"> </w:t>
      </w:r>
      <w:r>
        <w:rPr>
          <w:lang w:val="ru-RU"/>
        </w:rPr>
        <w:t>частности</w:t>
      </w:r>
      <w:r w:rsidRPr="00C96AD0">
        <w:rPr>
          <w:lang w:val="ru-RU"/>
        </w:rPr>
        <w:t xml:space="preserve">, </w:t>
      </w:r>
      <w:r>
        <w:rPr>
          <w:lang w:val="ru-RU"/>
        </w:rPr>
        <w:t>будет</w:t>
      </w:r>
      <w:r w:rsidRPr="00C96AD0">
        <w:rPr>
          <w:lang w:val="ru-RU"/>
        </w:rPr>
        <w:t xml:space="preserve"> </w:t>
      </w:r>
      <w:r>
        <w:rPr>
          <w:lang w:val="ru-RU"/>
        </w:rPr>
        <w:t>заниматься</w:t>
      </w:r>
      <w:r w:rsidRPr="00C96AD0">
        <w:rPr>
          <w:lang w:val="ru-RU"/>
        </w:rPr>
        <w:t xml:space="preserve"> </w:t>
      </w:r>
      <w:r>
        <w:rPr>
          <w:lang w:val="ru-RU"/>
        </w:rPr>
        <w:t>вопросами</w:t>
      </w:r>
      <w:r w:rsidRPr="00C96AD0">
        <w:rPr>
          <w:lang w:val="ru-RU"/>
        </w:rPr>
        <w:t xml:space="preserve">, </w:t>
      </w:r>
      <w:r>
        <w:rPr>
          <w:lang w:val="ru-RU"/>
        </w:rPr>
        <w:t>связанными</w:t>
      </w:r>
      <w:r w:rsidRPr="00C96AD0">
        <w:rPr>
          <w:lang w:val="ru-RU"/>
        </w:rPr>
        <w:t xml:space="preserve"> </w:t>
      </w:r>
      <w:r>
        <w:rPr>
          <w:lang w:val="ru-RU"/>
        </w:rPr>
        <w:t>с</w:t>
      </w:r>
      <w:r w:rsidRPr="00C96AD0">
        <w:rPr>
          <w:lang w:val="ru-RU"/>
        </w:rPr>
        <w:t xml:space="preserve"> </w:t>
      </w:r>
      <w:r>
        <w:rPr>
          <w:lang w:val="ru-RU"/>
        </w:rPr>
        <w:t>обновлением</w:t>
      </w:r>
      <w:r w:rsidRPr="00C96AD0">
        <w:rPr>
          <w:lang w:val="ru-RU"/>
        </w:rPr>
        <w:t xml:space="preserve"> </w:t>
      </w:r>
      <w:r>
        <w:rPr>
          <w:lang w:val="ru-RU"/>
        </w:rPr>
        <w:t>стратегии</w:t>
      </w:r>
      <w:r w:rsidRPr="00C96AD0">
        <w:rPr>
          <w:lang w:val="ru-RU"/>
        </w:rPr>
        <w:t xml:space="preserve"> (</w:t>
      </w:r>
      <w:r>
        <w:rPr>
          <w:lang w:val="ru-RU"/>
        </w:rPr>
        <w:t>ее</w:t>
      </w:r>
      <w:r w:rsidRPr="00C96AD0">
        <w:rPr>
          <w:lang w:val="ru-RU"/>
        </w:rPr>
        <w:t xml:space="preserve"> </w:t>
      </w:r>
      <w:r>
        <w:rPr>
          <w:lang w:val="ru-RU"/>
        </w:rPr>
        <w:t>нынешний</w:t>
      </w:r>
      <w:r w:rsidRPr="00C96AD0">
        <w:rPr>
          <w:lang w:val="ru-RU"/>
        </w:rPr>
        <w:t xml:space="preserve"> </w:t>
      </w:r>
      <w:r>
        <w:rPr>
          <w:lang w:val="ru-RU"/>
        </w:rPr>
        <w:t>вариант</w:t>
      </w:r>
      <w:r w:rsidRPr="00C96AD0">
        <w:rPr>
          <w:lang w:val="ru-RU"/>
        </w:rPr>
        <w:t xml:space="preserve"> </w:t>
      </w:r>
      <w:r>
        <w:rPr>
          <w:lang w:val="ru-RU"/>
        </w:rPr>
        <w:t>рассчитан</w:t>
      </w:r>
      <w:r w:rsidRPr="00C96AD0">
        <w:rPr>
          <w:lang w:val="ru-RU"/>
        </w:rPr>
        <w:t xml:space="preserve"> </w:t>
      </w:r>
      <w:r>
        <w:rPr>
          <w:lang w:val="ru-RU"/>
        </w:rPr>
        <w:t>на</w:t>
      </w:r>
      <w:r w:rsidRPr="00C96AD0">
        <w:rPr>
          <w:lang w:val="ru-RU"/>
        </w:rPr>
        <w:t xml:space="preserve"> </w:t>
      </w:r>
      <w:r>
        <w:rPr>
          <w:lang w:val="ru-RU"/>
        </w:rPr>
        <w:t>период</w:t>
      </w:r>
      <w:r w:rsidRPr="00C96AD0">
        <w:rPr>
          <w:lang w:val="ru-RU"/>
        </w:rPr>
        <w:t xml:space="preserve"> </w:t>
      </w:r>
      <w:r>
        <w:rPr>
          <w:lang w:val="ru-RU"/>
        </w:rPr>
        <w:t>до</w:t>
      </w:r>
      <w:r w:rsidRPr="00C96AD0">
        <w:rPr>
          <w:lang w:val="ru-RU"/>
        </w:rPr>
        <w:t xml:space="preserve"> </w:t>
      </w:r>
      <w:r>
        <w:rPr>
          <w:lang w:val="ru-RU"/>
        </w:rPr>
        <w:t>конца</w:t>
      </w:r>
      <w:r w:rsidRPr="00C96AD0">
        <w:rPr>
          <w:lang w:val="ru-RU"/>
        </w:rPr>
        <w:t xml:space="preserve"> 2018 </w:t>
      </w:r>
      <w:r>
        <w:rPr>
          <w:lang w:val="ru-RU"/>
        </w:rPr>
        <w:t>г</w:t>
      </w:r>
      <w:r w:rsidRPr="00C96AD0">
        <w:rPr>
          <w:lang w:val="ru-RU"/>
        </w:rPr>
        <w:t xml:space="preserve">.), </w:t>
      </w:r>
      <w:r>
        <w:rPr>
          <w:lang w:val="ru-RU"/>
        </w:rPr>
        <w:t>формированием</w:t>
      </w:r>
      <w:r w:rsidRPr="00C96AD0">
        <w:rPr>
          <w:lang w:val="ru-RU"/>
        </w:rPr>
        <w:t xml:space="preserve"> </w:t>
      </w:r>
      <w:r>
        <w:rPr>
          <w:lang w:val="ru-RU"/>
        </w:rPr>
        <w:t>механизмов</w:t>
      </w:r>
      <w:r w:rsidRPr="00C96AD0">
        <w:rPr>
          <w:lang w:val="ru-RU"/>
        </w:rPr>
        <w:t xml:space="preserve"> </w:t>
      </w:r>
      <w:r>
        <w:rPr>
          <w:lang w:val="ru-RU"/>
        </w:rPr>
        <w:t>поддержки, цикличностью процессов управления знаниями, а также интеграцией принципов управления знаниями, закрепленных в стратегии, в повседневную деятельность ВОИС.</w:t>
      </w:r>
    </w:p>
    <w:p w14:paraId="54EE80BB" w14:textId="580796A8" w:rsidR="00F736B0" w:rsidRPr="00F907C7" w:rsidRDefault="00875BE6" w:rsidP="00F736B0">
      <w:pPr>
        <w:pStyle w:val="ONUME"/>
        <w:rPr>
          <w:lang w:val="ru-RU"/>
        </w:rPr>
      </w:pPr>
      <w:r>
        <w:rPr>
          <w:lang w:val="ru-RU"/>
        </w:rPr>
        <w:t>Наконец</w:t>
      </w:r>
      <w:r w:rsidRPr="0066090A">
        <w:rPr>
          <w:lang w:val="ru-RU"/>
        </w:rPr>
        <w:t xml:space="preserve">, </w:t>
      </w:r>
      <w:r>
        <w:rPr>
          <w:lang w:val="ru-RU"/>
        </w:rPr>
        <w:t>ОВН</w:t>
      </w:r>
      <w:r w:rsidRPr="0066090A">
        <w:rPr>
          <w:lang w:val="ru-RU"/>
        </w:rPr>
        <w:t xml:space="preserve"> </w:t>
      </w:r>
      <w:r>
        <w:rPr>
          <w:lang w:val="ru-RU"/>
        </w:rPr>
        <w:t>призывает</w:t>
      </w:r>
      <w:r w:rsidRPr="0066090A">
        <w:rPr>
          <w:lang w:val="ru-RU"/>
        </w:rPr>
        <w:t xml:space="preserve"> </w:t>
      </w:r>
      <w:r>
        <w:rPr>
          <w:lang w:val="ru-RU"/>
        </w:rPr>
        <w:t>сотрудников</w:t>
      </w:r>
      <w:r w:rsidRPr="0066090A">
        <w:rPr>
          <w:lang w:val="ru-RU"/>
        </w:rPr>
        <w:t xml:space="preserve">, </w:t>
      </w:r>
      <w:r>
        <w:rPr>
          <w:lang w:val="ru-RU"/>
        </w:rPr>
        <w:t>ответственных</w:t>
      </w:r>
      <w:r w:rsidRPr="0066090A">
        <w:rPr>
          <w:lang w:val="ru-RU"/>
        </w:rPr>
        <w:t xml:space="preserve"> </w:t>
      </w:r>
      <w:r>
        <w:rPr>
          <w:lang w:val="ru-RU"/>
        </w:rPr>
        <w:t>за</w:t>
      </w:r>
      <w:r w:rsidRPr="0066090A">
        <w:rPr>
          <w:lang w:val="ru-RU"/>
        </w:rPr>
        <w:t xml:space="preserve"> </w:t>
      </w:r>
      <w:r>
        <w:rPr>
          <w:lang w:val="ru-RU"/>
        </w:rPr>
        <w:t>реализацию</w:t>
      </w:r>
      <w:r w:rsidRPr="0066090A">
        <w:rPr>
          <w:lang w:val="ru-RU"/>
        </w:rPr>
        <w:t xml:space="preserve"> </w:t>
      </w:r>
      <w:r>
        <w:rPr>
          <w:lang w:val="ru-RU"/>
        </w:rPr>
        <w:t>проекта</w:t>
      </w:r>
      <w:r w:rsidRPr="0066090A">
        <w:rPr>
          <w:lang w:val="ru-RU"/>
        </w:rPr>
        <w:t xml:space="preserve"> </w:t>
      </w:r>
      <w:r>
        <w:rPr>
          <w:lang w:val="ru-RU"/>
        </w:rPr>
        <w:t>УОР</w:t>
      </w:r>
      <w:r w:rsidRPr="0066090A">
        <w:rPr>
          <w:lang w:val="ru-RU"/>
        </w:rPr>
        <w:t xml:space="preserve">, </w:t>
      </w:r>
      <w:r>
        <w:rPr>
          <w:lang w:val="ru-RU"/>
        </w:rPr>
        <w:t>ускорить</w:t>
      </w:r>
      <w:r w:rsidRPr="0066090A">
        <w:rPr>
          <w:lang w:val="ru-RU"/>
        </w:rPr>
        <w:t xml:space="preserve"> </w:t>
      </w:r>
      <w:r>
        <w:rPr>
          <w:lang w:val="ru-RU"/>
        </w:rPr>
        <w:t>запланированную</w:t>
      </w:r>
      <w:r w:rsidRPr="0066090A">
        <w:rPr>
          <w:lang w:val="ru-RU"/>
        </w:rPr>
        <w:t xml:space="preserve"> </w:t>
      </w:r>
      <w:r>
        <w:rPr>
          <w:lang w:val="ru-RU"/>
        </w:rPr>
        <w:t>реализацию</w:t>
      </w:r>
      <w:r w:rsidRPr="0066090A">
        <w:rPr>
          <w:lang w:val="ru-RU"/>
        </w:rPr>
        <w:t xml:space="preserve"> </w:t>
      </w:r>
      <w:r w:rsidR="0066090A">
        <w:rPr>
          <w:lang w:val="ru-RU"/>
        </w:rPr>
        <w:t>плана</w:t>
      </w:r>
      <w:r w:rsidR="0066090A" w:rsidRPr="0066090A">
        <w:rPr>
          <w:lang w:val="ru-RU"/>
        </w:rPr>
        <w:t xml:space="preserve"> </w:t>
      </w:r>
      <w:r w:rsidR="0066090A">
        <w:rPr>
          <w:lang w:val="ru-RU"/>
        </w:rPr>
        <w:t>в</w:t>
      </w:r>
      <w:r w:rsidR="0066090A" w:rsidRPr="0066090A">
        <w:rPr>
          <w:lang w:val="ru-RU"/>
        </w:rPr>
        <w:t xml:space="preserve"> </w:t>
      </w:r>
      <w:r w:rsidR="0066090A">
        <w:rPr>
          <w:lang w:val="ru-RU"/>
        </w:rPr>
        <w:t>области</w:t>
      </w:r>
      <w:r w:rsidR="0066090A" w:rsidRPr="0066090A">
        <w:rPr>
          <w:lang w:val="ru-RU"/>
        </w:rPr>
        <w:t xml:space="preserve"> </w:t>
      </w:r>
      <w:r w:rsidR="0066090A">
        <w:rPr>
          <w:lang w:val="ru-RU"/>
        </w:rPr>
        <w:t>коммуникаций</w:t>
      </w:r>
      <w:r w:rsidR="0066090A" w:rsidRPr="0066090A">
        <w:rPr>
          <w:lang w:val="ru-RU"/>
        </w:rPr>
        <w:t xml:space="preserve">, </w:t>
      </w:r>
      <w:r w:rsidR="0066090A">
        <w:rPr>
          <w:lang w:val="ru-RU"/>
        </w:rPr>
        <w:t>а</w:t>
      </w:r>
      <w:r w:rsidR="0066090A" w:rsidRPr="0066090A">
        <w:rPr>
          <w:lang w:val="ru-RU"/>
        </w:rPr>
        <w:t xml:space="preserve"> </w:t>
      </w:r>
      <w:r w:rsidR="0066090A">
        <w:rPr>
          <w:lang w:val="ru-RU"/>
        </w:rPr>
        <w:t>также</w:t>
      </w:r>
      <w:r w:rsidR="0066090A" w:rsidRPr="0066090A">
        <w:rPr>
          <w:lang w:val="ru-RU"/>
        </w:rPr>
        <w:t xml:space="preserve"> </w:t>
      </w:r>
      <w:r w:rsidR="00F907C7">
        <w:rPr>
          <w:lang w:val="ru-RU"/>
        </w:rPr>
        <w:t xml:space="preserve">внедрение </w:t>
      </w:r>
      <w:r w:rsidR="0066090A">
        <w:rPr>
          <w:lang w:val="ru-RU"/>
        </w:rPr>
        <w:t>алгоритма</w:t>
      </w:r>
      <w:r w:rsidR="0066090A" w:rsidRPr="0066090A">
        <w:rPr>
          <w:lang w:val="ru-RU"/>
        </w:rPr>
        <w:t xml:space="preserve"> </w:t>
      </w:r>
      <w:r w:rsidR="0066090A">
        <w:rPr>
          <w:lang w:val="ru-RU"/>
        </w:rPr>
        <w:t>работы</w:t>
      </w:r>
      <w:r w:rsidR="0066090A" w:rsidRPr="0066090A">
        <w:rPr>
          <w:lang w:val="ru-RU"/>
        </w:rPr>
        <w:t xml:space="preserve">, </w:t>
      </w:r>
      <w:r w:rsidR="0066090A">
        <w:rPr>
          <w:lang w:val="ru-RU"/>
        </w:rPr>
        <w:t>основанного</w:t>
      </w:r>
      <w:r w:rsidR="0066090A" w:rsidRPr="0066090A">
        <w:rPr>
          <w:lang w:val="ru-RU"/>
        </w:rPr>
        <w:t xml:space="preserve"> </w:t>
      </w:r>
      <w:r w:rsidR="0066090A">
        <w:rPr>
          <w:lang w:val="ru-RU"/>
        </w:rPr>
        <w:t>на</w:t>
      </w:r>
      <w:r w:rsidR="0066090A" w:rsidRPr="0066090A">
        <w:rPr>
          <w:lang w:val="ru-RU"/>
        </w:rPr>
        <w:t xml:space="preserve"> </w:t>
      </w:r>
      <w:r w:rsidR="0066090A">
        <w:rPr>
          <w:lang w:val="ru-RU"/>
        </w:rPr>
        <w:t>принципе</w:t>
      </w:r>
      <w:r w:rsidR="0066090A" w:rsidRPr="0066090A">
        <w:rPr>
          <w:lang w:val="ru-RU"/>
        </w:rPr>
        <w:t xml:space="preserve"> </w:t>
      </w:r>
      <w:r w:rsidR="0066090A">
        <w:rPr>
          <w:lang w:val="ru-RU"/>
        </w:rPr>
        <w:t>преемственности</w:t>
      </w:r>
      <w:r w:rsidR="0066090A" w:rsidRPr="0066090A">
        <w:rPr>
          <w:lang w:val="ru-RU"/>
        </w:rPr>
        <w:t xml:space="preserve">;  </w:t>
      </w:r>
      <w:r w:rsidR="0066090A">
        <w:rPr>
          <w:lang w:val="ru-RU"/>
        </w:rPr>
        <w:t>это</w:t>
      </w:r>
      <w:r w:rsidR="0066090A" w:rsidRPr="0066090A">
        <w:rPr>
          <w:lang w:val="ru-RU"/>
        </w:rPr>
        <w:t xml:space="preserve"> </w:t>
      </w:r>
      <w:r w:rsidR="0066090A">
        <w:rPr>
          <w:lang w:val="ru-RU"/>
        </w:rPr>
        <w:t>следует</w:t>
      </w:r>
      <w:r w:rsidR="0066090A" w:rsidRPr="0066090A">
        <w:rPr>
          <w:lang w:val="ru-RU"/>
        </w:rPr>
        <w:t xml:space="preserve"> </w:t>
      </w:r>
      <w:r w:rsidR="0066090A">
        <w:rPr>
          <w:lang w:val="ru-RU"/>
        </w:rPr>
        <w:t>сделать</w:t>
      </w:r>
      <w:r w:rsidR="0066090A" w:rsidRPr="0066090A">
        <w:rPr>
          <w:lang w:val="ru-RU"/>
        </w:rPr>
        <w:t xml:space="preserve"> </w:t>
      </w:r>
      <w:r w:rsidR="0066090A">
        <w:rPr>
          <w:lang w:val="ru-RU"/>
        </w:rPr>
        <w:t>до</w:t>
      </w:r>
      <w:r w:rsidR="0066090A" w:rsidRPr="0066090A">
        <w:rPr>
          <w:lang w:val="ru-RU"/>
        </w:rPr>
        <w:t xml:space="preserve"> </w:t>
      </w:r>
      <w:r w:rsidR="00F907C7">
        <w:rPr>
          <w:lang w:val="ru-RU"/>
        </w:rPr>
        <w:t>начала</w:t>
      </w:r>
      <w:r w:rsidR="0066090A" w:rsidRPr="0066090A">
        <w:rPr>
          <w:lang w:val="ru-RU"/>
        </w:rPr>
        <w:t xml:space="preserve"> </w:t>
      </w:r>
      <w:r w:rsidR="0066090A">
        <w:rPr>
          <w:lang w:val="ru-RU"/>
        </w:rPr>
        <w:t>второ</w:t>
      </w:r>
      <w:r w:rsidR="00F907C7">
        <w:rPr>
          <w:lang w:val="ru-RU"/>
        </w:rPr>
        <w:t>го</w:t>
      </w:r>
      <w:r w:rsidR="0066090A" w:rsidRPr="0066090A">
        <w:rPr>
          <w:lang w:val="ru-RU"/>
        </w:rPr>
        <w:t xml:space="preserve"> </w:t>
      </w:r>
      <w:r w:rsidR="0066090A">
        <w:rPr>
          <w:lang w:val="ru-RU"/>
        </w:rPr>
        <w:t>этап</w:t>
      </w:r>
      <w:r w:rsidR="00F907C7">
        <w:rPr>
          <w:lang w:val="ru-RU"/>
        </w:rPr>
        <w:t>а</w:t>
      </w:r>
      <w:r w:rsidR="0066090A" w:rsidRPr="0066090A">
        <w:rPr>
          <w:lang w:val="ru-RU"/>
        </w:rPr>
        <w:t xml:space="preserve"> </w:t>
      </w:r>
      <w:r w:rsidR="0066090A">
        <w:rPr>
          <w:lang w:val="ru-RU"/>
        </w:rPr>
        <w:t>проекта</w:t>
      </w:r>
      <w:r w:rsidR="0066090A" w:rsidRPr="0066090A">
        <w:rPr>
          <w:lang w:val="ru-RU"/>
        </w:rPr>
        <w:t xml:space="preserve"> </w:t>
      </w:r>
      <w:r w:rsidR="0066090A">
        <w:rPr>
          <w:lang w:val="ru-RU"/>
        </w:rPr>
        <w:t>УОР</w:t>
      </w:r>
      <w:r w:rsidR="0066090A" w:rsidRPr="0066090A">
        <w:rPr>
          <w:lang w:val="ru-RU"/>
        </w:rPr>
        <w:t xml:space="preserve">, </w:t>
      </w:r>
      <w:r w:rsidR="0066090A">
        <w:rPr>
          <w:lang w:val="ru-RU"/>
        </w:rPr>
        <w:t>предполагающе</w:t>
      </w:r>
      <w:r w:rsidR="00F907C7">
        <w:rPr>
          <w:lang w:val="ru-RU"/>
        </w:rPr>
        <w:t>го</w:t>
      </w:r>
      <w:r w:rsidR="0066090A" w:rsidRPr="0066090A">
        <w:rPr>
          <w:lang w:val="ru-RU"/>
        </w:rPr>
        <w:t xml:space="preserve"> </w:t>
      </w:r>
      <w:r w:rsidR="0066090A">
        <w:rPr>
          <w:lang w:val="ru-RU"/>
        </w:rPr>
        <w:t>его</w:t>
      </w:r>
      <w:r w:rsidR="0066090A" w:rsidRPr="0066090A">
        <w:rPr>
          <w:lang w:val="ru-RU"/>
        </w:rPr>
        <w:t xml:space="preserve"> </w:t>
      </w:r>
      <w:r w:rsidR="0066090A">
        <w:rPr>
          <w:lang w:val="ru-RU"/>
        </w:rPr>
        <w:t>переход</w:t>
      </w:r>
      <w:r w:rsidR="0066090A" w:rsidRPr="0066090A">
        <w:rPr>
          <w:lang w:val="ru-RU"/>
        </w:rPr>
        <w:t xml:space="preserve"> </w:t>
      </w:r>
      <w:r w:rsidR="0066090A">
        <w:rPr>
          <w:lang w:val="ru-RU"/>
        </w:rPr>
        <w:t>на</w:t>
      </w:r>
      <w:r w:rsidR="0066090A" w:rsidRPr="0066090A">
        <w:rPr>
          <w:lang w:val="ru-RU"/>
        </w:rPr>
        <w:t xml:space="preserve"> </w:t>
      </w:r>
      <w:r w:rsidR="0066090A">
        <w:rPr>
          <w:lang w:val="ru-RU"/>
        </w:rPr>
        <w:t>общеорганизационный</w:t>
      </w:r>
      <w:r w:rsidR="0066090A" w:rsidRPr="0066090A">
        <w:rPr>
          <w:lang w:val="ru-RU"/>
        </w:rPr>
        <w:t xml:space="preserve"> </w:t>
      </w:r>
      <w:r w:rsidR="0066090A">
        <w:rPr>
          <w:lang w:val="ru-RU"/>
        </w:rPr>
        <w:t>уровень.</w:t>
      </w:r>
    </w:p>
    <w:p w14:paraId="5CCD65EA" w14:textId="55398B07" w:rsidR="001635B5" w:rsidRPr="0066090A" w:rsidRDefault="0066090A" w:rsidP="001635B5">
      <w:pPr>
        <w:pStyle w:val="Heading2"/>
        <w:rPr>
          <w:lang w:val="ru-RU"/>
        </w:rPr>
      </w:pPr>
      <w:bookmarkStart w:id="30" w:name="_Toc40299725"/>
      <w:bookmarkStart w:id="31" w:name="_Toc476745979"/>
      <w:bookmarkEnd w:id="29"/>
      <w:r w:rsidRPr="0066090A">
        <w:rPr>
          <w:lang w:val="ru-RU"/>
        </w:rPr>
        <w:t xml:space="preserve">аудиторская проверка организации </w:t>
      </w:r>
      <w:r w:rsidR="00B3286D">
        <w:rPr>
          <w:lang w:val="ru-RU"/>
        </w:rPr>
        <w:t>управления</w:t>
      </w:r>
      <w:r w:rsidR="00431669">
        <w:rPr>
          <w:lang w:val="ru-RU"/>
        </w:rPr>
        <w:t xml:space="preserve"> внутриорганизационными</w:t>
      </w:r>
      <w:r w:rsidR="00B3286D">
        <w:rPr>
          <w:lang w:val="ru-RU"/>
        </w:rPr>
        <w:t xml:space="preserve"> услугами</w:t>
      </w:r>
      <w:r w:rsidRPr="0066090A">
        <w:rPr>
          <w:lang w:val="ru-RU"/>
        </w:rPr>
        <w:t xml:space="preserve"> в Секторе администрации и управления (</w:t>
      </w:r>
      <w:r>
        <w:rPr>
          <w:lang w:val="ru-RU"/>
        </w:rPr>
        <w:t>А</w:t>
      </w:r>
      <w:r w:rsidR="00F907C7">
        <w:rPr>
          <w:caps w:val="0"/>
          <w:lang w:val="ru-RU"/>
        </w:rPr>
        <w:t>и</w:t>
      </w:r>
      <w:r>
        <w:rPr>
          <w:lang w:val="ru-RU"/>
        </w:rPr>
        <w:t>У</w:t>
      </w:r>
      <w:r w:rsidRPr="0066090A">
        <w:rPr>
          <w:lang w:val="ru-RU"/>
        </w:rPr>
        <w:t>)</w:t>
      </w:r>
      <w:bookmarkEnd w:id="30"/>
      <w:r w:rsidRPr="0066090A">
        <w:rPr>
          <w:lang w:val="ru-RU"/>
        </w:rPr>
        <w:t xml:space="preserve"> </w:t>
      </w:r>
    </w:p>
    <w:p w14:paraId="4ECBB5FF" w14:textId="20B83F8F" w:rsidR="001635B5" w:rsidRPr="00B3286D" w:rsidRDefault="0066090A" w:rsidP="001635B5">
      <w:pPr>
        <w:pStyle w:val="ONUME"/>
        <w:rPr>
          <w:lang w:val="ru-RU"/>
        </w:rPr>
      </w:pPr>
      <w:r>
        <w:rPr>
          <w:lang w:val="ru-RU"/>
        </w:rPr>
        <w:t>В</w:t>
      </w:r>
      <w:r w:rsidRPr="00B3286D">
        <w:rPr>
          <w:lang w:val="ru-RU"/>
        </w:rPr>
        <w:t xml:space="preserve"> 2018 </w:t>
      </w:r>
      <w:r>
        <w:rPr>
          <w:lang w:val="ru-RU"/>
        </w:rPr>
        <w:t>г</w:t>
      </w:r>
      <w:r w:rsidRPr="00B3286D">
        <w:rPr>
          <w:lang w:val="ru-RU"/>
        </w:rPr>
        <w:t xml:space="preserve">. </w:t>
      </w:r>
      <w:r>
        <w:rPr>
          <w:lang w:val="ru-RU"/>
        </w:rPr>
        <w:t>в</w:t>
      </w:r>
      <w:r w:rsidRPr="00B3286D">
        <w:rPr>
          <w:lang w:val="ru-RU"/>
        </w:rPr>
        <w:t xml:space="preserve"> </w:t>
      </w:r>
      <w:r>
        <w:rPr>
          <w:lang w:val="ru-RU"/>
        </w:rPr>
        <w:t>Секторе</w:t>
      </w:r>
      <w:r w:rsidRPr="00B3286D">
        <w:rPr>
          <w:lang w:val="ru-RU"/>
        </w:rPr>
        <w:t xml:space="preserve"> </w:t>
      </w:r>
      <w:r>
        <w:rPr>
          <w:lang w:val="ru-RU"/>
        </w:rPr>
        <w:t>АиУ</w:t>
      </w:r>
      <w:r w:rsidRPr="00B3286D">
        <w:rPr>
          <w:lang w:val="ru-RU"/>
        </w:rPr>
        <w:t xml:space="preserve"> </w:t>
      </w:r>
      <w:r>
        <w:rPr>
          <w:lang w:val="ru-RU"/>
        </w:rPr>
        <w:t>началась</w:t>
      </w:r>
      <w:r w:rsidRPr="00B3286D">
        <w:rPr>
          <w:lang w:val="ru-RU"/>
        </w:rPr>
        <w:t xml:space="preserve"> </w:t>
      </w:r>
      <w:r>
        <w:rPr>
          <w:lang w:val="ru-RU"/>
        </w:rPr>
        <w:t>реализация</w:t>
      </w:r>
      <w:r w:rsidRPr="00B3286D">
        <w:rPr>
          <w:lang w:val="ru-RU"/>
        </w:rPr>
        <w:t xml:space="preserve"> </w:t>
      </w:r>
      <w:r>
        <w:rPr>
          <w:lang w:val="ru-RU"/>
        </w:rPr>
        <w:t>инициативы</w:t>
      </w:r>
      <w:r w:rsidRPr="00B3286D">
        <w:rPr>
          <w:lang w:val="ru-RU"/>
        </w:rPr>
        <w:t xml:space="preserve">, </w:t>
      </w:r>
      <w:r>
        <w:rPr>
          <w:lang w:val="ru-RU"/>
        </w:rPr>
        <w:t>направленной</w:t>
      </w:r>
      <w:r w:rsidRPr="00B3286D">
        <w:rPr>
          <w:lang w:val="ru-RU"/>
        </w:rPr>
        <w:t xml:space="preserve"> </w:t>
      </w:r>
      <w:r>
        <w:rPr>
          <w:lang w:val="ru-RU"/>
        </w:rPr>
        <w:t>на</w:t>
      </w:r>
      <w:r w:rsidRPr="00B3286D">
        <w:rPr>
          <w:lang w:val="ru-RU"/>
        </w:rPr>
        <w:t xml:space="preserve"> </w:t>
      </w:r>
      <w:r>
        <w:rPr>
          <w:lang w:val="ru-RU"/>
        </w:rPr>
        <w:t>формирование</w:t>
      </w:r>
      <w:r w:rsidRPr="00B3286D">
        <w:rPr>
          <w:lang w:val="ru-RU"/>
        </w:rPr>
        <w:t xml:space="preserve"> </w:t>
      </w:r>
      <w:r>
        <w:rPr>
          <w:lang w:val="ru-RU"/>
        </w:rPr>
        <w:t>более</w:t>
      </w:r>
      <w:r w:rsidRPr="00B3286D">
        <w:rPr>
          <w:lang w:val="ru-RU"/>
        </w:rPr>
        <w:t xml:space="preserve"> </w:t>
      </w:r>
      <w:r>
        <w:rPr>
          <w:lang w:val="ru-RU"/>
        </w:rPr>
        <w:t>последовательного</w:t>
      </w:r>
      <w:r w:rsidRPr="00B3286D">
        <w:rPr>
          <w:lang w:val="ru-RU"/>
        </w:rPr>
        <w:t xml:space="preserve"> </w:t>
      </w:r>
      <w:r>
        <w:rPr>
          <w:lang w:val="ru-RU"/>
        </w:rPr>
        <w:t>подхода</w:t>
      </w:r>
      <w:r w:rsidRPr="00B3286D">
        <w:rPr>
          <w:lang w:val="ru-RU"/>
        </w:rPr>
        <w:t xml:space="preserve"> </w:t>
      </w:r>
      <w:r>
        <w:rPr>
          <w:lang w:val="ru-RU"/>
        </w:rPr>
        <w:t>к</w:t>
      </w:r>
      <w:r w:rsidRPr="00B3286D">
        <w:rPr>
          <w:lang w:val="ru-RU"/>
        </w:rPr>
        <w:t xml:space="preserve"> </w:t>
      </w:r>
      <w:r w:rsidR="00B3286D">
        <w:rPr>
          <w:lang w:val="ru-RU"/>
        </w:rPr>
        <w:t>управлению</w:t>
      </w:r>
      <w:r w:rsidRPr="00B3286D">
        <w:rPr>
          <w:lang w:val="ru-RU"/>
        </w:rPr>
        <w:t xml:space="preserve"> </w:t>
      </w:r>
      <w:r>
        <w:rPr>
          <w:lang w:val="ru-RU"/>
        </w:rPr>
        <w:t>услуг</w:t>
      </w:r>
      <w:r w:rsidR="00B3286D">
        <w:rPr>
          <w:lang w:val="ru-RU"/>
        </w:rPr>
        <w:t>ами</w:t>
      </w:r>
      <w:r w:rsidRPr="00B3286D">
        <w:rPr>
          <w:lang w:val="ru-RU"/>
        </w:rPr>
        <w:t xml:space="preserve"> </w:t>
      </w:r>
      <w:r w:rsidR="00B3286D">
        <w:rPr>
          <w:lang w:val="ru-RU"/>
        </w:rPr>
        <w:t>во</w:t>
      </w:r>
      <w:r w:rsidR="00B3286D" w:rsidRPr="00B3286D">
        <w:rPr>
          <w:lang w:val="ru-RU"/>
        </w:rPr>
        <w:t xml:space="preserve"> </w:t>
      </w:r>
      <w:r w:rsidR="00B3286D">
        <w:rPr>
          <w:lang w:val="ru-RU"/>
        </w:rPr>
        <w:t>всех</w:t>
      </w:r>
      <w:r w:rsidR="00B3286D" w:rsidRPr="00B3286D">
        <w:rPr>
          <w:lang w:val="ru-RU"/>
        </w:rPr>
        <w:t xml:space="preserve"> </w:t>
      </w:r>
      <w:r w:rsidR="00B3286D">
        <w:rPr>
          <w:lang w:val="ru-RU"/>
        </w:rPr>
        <w:t>сферах</w:t>
      </w:r>
      <w:r w:rsidR="00B3286D" w:rsidRPr="00B3286D">
        <w:rPr>
          <w:lang w:val="ru-RU"/>
        </w:rPr>
        <w:t xml:space="preserve"> </w:t>
      </w:r>
      <w:r w:rsidR="00B3286D">
        <w:rPr>
          <w:lang w:val="ru-RU"/>
        </w:rPr>
        <w:t>деятельности</w:t>
      </w:r>
      <w:r w:rsidR="00B3286D" w:rsidRPr="00B3286D">
        <w:rPr>
          <w:lang w:val="ru-RU"/>
        </w:rPr>
        <w:t xml:space="preserve"> </w:t>
      </w:r>
      <w:r w:rsidR="00B3286D">
        <w:rPr>
          <w:lang w:val="ru-RU"/>
        </w:rPr>
        <w:t>Сектора</w:t>
      </w:r>
      <w:r w:rsidR="00B3286D" w:rsidRPr="00B3286D">
        <w:rPr>
          <w:lang w:val="ru-RU"/>
        </w:rPr>
        <w:t xml:space="preserve"> </w:t>
      </w:r>
      <w:r w:rsidR="00B3286D">
        <w:rPr>
          <w:lang w:val="ru-RU"/>
        </w:rPr>
        <w:t>в</w:t>
      </w:r>
      <w:r w:rsidR="00B3286D" w:rsidRPr="00B3286D">
        <w:rPr>
          <w:lang w:val="ru-RU"/>
        </w:rPr>
        <w:t xml:space="preserve"> </w:t>
      </w:r>
      <w:r w:rsidR="00B3286D">
        <w:rPr>
          <w:lang w:val="ru-RU"/>
        </w:rPr>
        <w:t>целях</w:t>
      </w:r>
      <w:r w:rsidR="00B3286D" w:rsidRPr="00B3286D">
        <w:rPr>
          <w:lang w:val="ru-RU"/>
        </w:rPr>
        <w:t xml:space="preserve"> </w:t>
      </w:r>
      <w:r w:rsidR="00B3286D">
        <w:rPr>
          <w:lang w:val="ru-RU"/>
        </w:rPr>
        <w:t>внедрения</w:t>
      </w:r>
      <w:r w:rsidR="00B3286D" w:rsidRPr="00B3286D">
        <w:rPr>
          <w:lang w:val="ru-RU"/>
        </w:rPr>
        <w:t xml:space="preserve"> </w:t>
      </w:r>
      <w:r w:rsidR="00F907C7">
        <w:rPr>
          <w:lang w:val="ru-RU"/>
        </w:rPr>
        <w:t xml:space="preserve">общеорганизационной </w:t>
      </w:r>
      <w:r w:rsidR="00B3286D">
        <w:rPr>
          <w:lang w:val="ru-RU"/>
        </w:rPr>
        <w:t>системы</w:t>
      </w:r>
      <w:r w:rsidR="00B3286D" w:rsidRPr="00B3286D">
        <w:rPr>
          <w:lang w:val="ru-RU"/>
        </w:rPr>
        <w:t xml:space="preserve"> </w:t>
      </w:r>
      <w:r w:rsidR="00B3286D">
        <w:rPr>
          <w:lang w:val="ru-RU"/>
        </w:rPr>
        <w:t>управления услугами</w:t>
      </w:r>
      <w:r w:rsidR="00B3286D" w:rsidRPr="00B3286D">
        <w:rPr>
          <w:lang w:val="ru-RU"/>
        </w:rPr>
        <w:t xml:space="preserve"> (</w:t>
      </w:r>
      <w:r w:rsidR="00B3286D">
        <w:rPr>
          <w:lang w:val="ru-RU"/>
        </w:rPr>
        <w:t>СУУ</w:t>
      </w:r>
      <w:r w:rsidR="00B3286D" w:rsidRPr="00B3286D">
        <w:rPr>
          <w:lang w:val="ru-RU"/>
        </w:rPr>
        <w:t xml:space="preserve">), </w:t>
      </w:r>
      <w:r w:rsidR="00B3286D">
        <w:rPr>
          <w:lang w:val="ru-RU"/>
        </w:rPr>
        <w:t>что</w:t>
      </w:r>
      <w:r w:rsidR="00B3286D" w:rsidRPr="00B3286D">
        <w:rPr>
          <w:lang w:val="ru-RU"/>
        </w:rPr>
        <w:t xml:space="preserve">, </w:t>
      </w:r>
      <w:r w:rsidR="00B3286D">
        <w:rPr>
          <w:lang w:val="ru-RU"/>
        </w:rPr>
        <w:t>в</w:t>
      </w:r>
      <w:r w:rsidR="00B3286D" w:rsidRPr="00B3286D">
        <w:rPr>
          <w:lang w:val="ru-RU"/>
        </w:rPr>
        <w:t xml:space="preserve"> </w:t>
      </w:r>
      <w:r w:rsidR="00B3286D">
        <w:rPr>
          <w:lang w:val="ru-RU"/>
        </w:rPr>
        <w:t>свою</w:t>
      </w:r>
      <w:r w:rsidR="00B3286D" w:rsidRPr="00B3286D">
        <w:rPr>
          <w:lang w:val="ru-RU"/>
        </w:rPr>
        <w:t xml:space="preserve"> </w:t>
      </w:r>
      <w:r w:rsidR="00B3286D">
        <w:rPr>
          <w:lang w:val="ru-RU"/>
        </w:rPr>
        <w:t>очередь</w:t>
      </w:r>
      <w:r w:rsidR="00B3286D" w:rsidRPr="00B3286D">
        <w:rPr>
          <w:lang w:val="ru-RU"/>
        </w:rPr>
        <w:t xml:space="preserve">, </w:t>
      </w:r>
      <w:r w:rsidR="00B3286D">
        <w:rPr>
          <w:lang w:val="ru-RU"/>
        </w:rPr>
        <w:t>позволит</w:t>
      </w:r>
      <w:r w:rsidR="00B3286D" w:rsidRPr="00B3286D">
        <w:rPr>
          <w:lang w:val="ru-RU"/>
        </w:rPr>
        <w:t xml:space="preserve"> </w:t>
      </w:r>
      <w:r w:rsidR="00B3286D">
        <w:rPr>
          <w:lang w:val="ru-RU"/>
        </w:rPr>
        <w:t>повысить</w:t>
      </w:r>
      <w:r w:rsidR="00B3286D" w:rsidRPr="00B3286D">
        <w:rPr>
          <w:lang w:val="ru-RU"/>
        </w:rPr>
        <w:t xml:space="preserve"> </w:t>
      </w:r>
      <w:r w:rsidR="00B3286D">
        <w:rPr>
          <w:lang w:val="ru-RU"/>
        </w:rPr>
        <w:t>эффективность</w:t>
      </w:r>
      <w:r w:rsidR="00B3286D" w:rsidRPr="00B3286D">
        <w:rPr>
          <w:lang w:val="ru-RU"/>
        </w:rPr>
        <w:t xml:space="preserve"> </w:t>
      </w:r>
      <w:r w:rsidR="00B3286D">
        <w:rPr>
          <w:lang w:val="ru-RU"/>
        </w:rPr>
        <w:t>и</w:t>
      </w:r>
      <w:r w:rsidR="00B3286D" w:rsidRPr="00B3286D">
        <w:rPr>
          <w:lang w:val="ru-RU"/>
        </w:rPr>
        <w:t xml:space="preserve"> </w:t>
      </w:r>
      <w:r w:rsidR="00B3286D">
        <w:rPr>
          <w:lang w:val="ru-RU"/>
        </w:rPr>
        <w:t>результативность</w:t>
      </w:r>
      <w:r w:rsidR="00B3286D" w:rsidRPr="00B3286D">
        <w:rPr>
          <w:lang w:val="ru-RU"/>
        </w:rPr>
        <w:t xml:space="preserve"> </w:t>
      </w:r>
      <w:r w:rsidR="00B3286D">
        <w:rPr>
          <w:lang w:val="ru-RU"/>
        </w:rPr>
        <w:t>деятельности</w:t>
      </w:r>
      <w:r w:rsidR="00B3286D" w:rsidRPr="00B3286D">
        <w:rPr>
          <w:lang w:val="ru-RU"/>
        </w:rPr>
        <w:t xml:space="preserve"> </w:t>
      </w:r>
      <w:r w:rsidR="00B3286D">
        <w:rPr>
          <w:lang w:val="ru-RU"/>
        </w:rPr>
        <w:t xml:space="preserve">в сфере </w:t>
      </w:r>
      <w:r w:rsidR="00FB001C">
        <w:rPr>
          <w:lang w:val="ru-RU"/>
        </w:rPr>
        <w:t>управления услугами</w:t>
      </w:r>
      <w:r w:rsidR="00B3286D">
        <w:rPr>
          <w:lang w:val="ru-RU"/>
        </w:rPr>
        <w:t>, а также уровень обслуживания клиентов и их удовлетворенности полученными услугами.</w:t>
      </w:r>
      <w:r w:rsidR="001635B5" w:rsidRPr="00B3286D">
        <w:rPr>
          <w:lang w:val="ru-RU"/>
        </w:rPr>
        <w:t xml:space="preserve">  </w:t>
      </w:r>
    </w:p>
    <w:p w14:paraId="7811D85E" w14:textId="434FF055" w:rsidR="001635B5" w:rsidRPr="00CE0303" w:rsidRDefault="00B3286D" w:rsidP="001635B5">
      <w:pPr>
        <w:pStyle w:val="ONUME"/>
        <w:rPr>
          <w:lang w:val="ru-RU"/>
        </w:rPr>
      </w:pPr>
      <w:r>
        <w:rPr>
          <w:lang w:val="ru-RU"/>
        </w:rPr>
        <w:t>Хотя</w:t>
      </w:r>
      <w:r w:rsidRPr="00FB001C">
        <w:rPr>
          <w:lang w:val="ru-RU"/>
        </w:rPr>
        <w:t xml:space="preserve"> </w:t>
      </w:r>
      <w:r>
        <w:rPr>
          <w:lang w:val="ru-RU"/>
        </w:rPr>
        <w:t>ОВН</w:t>
      </w:r>
      <w:r w:rsidRPr="00FB001C">
        <w:rPr>
          <w:lang w:val="ru-RU"/>
        </w:rPr>
        <w:t xml:space="preserve"> </w:t>
      </w:r>
      <w:r>
        <w:rPr>
          <w:lang w:val="ru-RU"/>
        </w:rPr>
        <w:t>признает</w:t>
      </w:r>
      <w:r w:rsidRPr="00FB001C">
        <w:rPr>
          <w:lang w:val="ru-RU"/>
        </w:rPr>
        <w:t xml:space="preserve"> </w:t>
      </w:r>
      <w:r>
        <w:rPr>
          <w:lang w:val="ru-RU"/>
        </w:rPr>
        <w:t>и</w:t>
      </w:r>
      <w:r w:rsidRPr="00FB001C">
        <w:rPr>
          <w:lang w:val="ru-RU"/>
        </w:rPr>
        <w:t xml:space="preserve"> </w:t>
      </w:r>
      <w:r>
        <w:rPr>
          <w:lang w:val="ru-RU"/>
        </w:rPr>
        <w:t>поддерживает</w:t>
      </w:r>
      <w:r w:rsidRPr="00FB001C">
        <w:rPr>
          <w:lang w:val="ru-RU"/>
        </w:rPr>
        <w:t xml:space="preserve"> </w:t>
      </w:r>
      <w:r>
        <w:rPr>
          <w:lang w:val="ru-RU"/>
        </w:rPr>
        <w:t>инициативу</w:t>
      </w:r>
      <w:r w:rsidRPr="00FB001C">
        <w:rPr>
          <w:lang w:val="ru-RU"/>
        </w:rPr>
        <w:t xml:space="preserve">, </w:t>
      </w:r>
      <w:r>
        <w:rPr>
          <w:lang w:val="ru-RU"/>
        </w:rPr>
        <w:t>касающуюся</w:t>
      </w:r>
      <w:r w:rsidRPr="00FB001C">
        <w:rPr>
          <w:lang w:val="ru-RU"/>
        </w:rPr>
        <w:t xml:space="preserve"> </w:t>
      </w:r>
      <w:r>
        <w:rPr>
          <w:lang w:val="ru-RU"/>
        </w:rPr>
        <w:t>внедрения</w:t>
      </w:r>
      <w:r w:rsidRPr="00FB001C">
        <w:rPr>
          <w:lang w:val="ru-RU"/>
        </w:rPr>
        <w:t xml:space="preserve"> </w:t>
      </w:r>
      <w:r>
        <w:rPr>
          <w:lang w:val="ru-RU"/>
        </w:rPr>
        <w:t>С</w:t>
      </w:r>
      <w:r w:rsidR="00F907C7">
        <w:rPr>
          <w:lang w:val="ru-RU"/>
        </w:rPr>
        <w:t>У</w:t>
      </w:r>
      <w:r>
        <w:rPr>
          <w:lang w:val="ru-RU"/>
        </w:rPr>
        <w:t>У</w:t>
      </w:r>
      <w:r w:rsidRPr="00FB001C">
        <w:rPr>
          <w:lang w:val="ru-RU"/>
        </w:rPr>
        <w:t xml:space="preserve">, </w:t>
      </w:r>
      <w:r>
        <w:rPr>
          <w:lang w:val="ru-RU"/>
        </w:rPr>
        <w:t>для</w:t>
      </w:r>
      <w:r w:rsidRPr="00FB001C">
        <w:rPr>
          <w:lang w:val="ru-RU"/>
        </w:rPr>
        <w:t xml:space="preserve"> </w:t>
      </w:r>
      <w:r>
        <w:rPr>
          <w:lang w:val="ru-RU"/>
        </w:rPr>
        <w:t>того</w:t>
      </w:r>
      <w:r w:rsidRPr="00FB001C">
        <w:rPr>
          <w:lang w:val="ru-RU"/>
        </w:rPr>
        <w:t xml:space="preserve">, </w:t>
      </w:r>
      <w:r>
        <w:rPr>
          <w:lang w:val="ru-RU"/>
        </w:rPr>
        <w:t>чтобы</w:t>
      </w:r>
      <w:r w:rsidRPr="00FB001C">
        <w:rPr>
          <w:lang w:val="ru-RU"/>
        </w:rPr>
        <w:t xml:space="preserve"> </w:t>
      </w:r>
      <w:r>
        <w:rPr>
          <w:lang w:val="ru-RU"/>
        </w:rPr>
        <w:t>деятельность</w:t>
      </w:r>
      <w:r w:rsidR="00FB001C" w:rsidRPr="00FB001C">
        <w:rPr>
          <w:lang w:val="ru-RU"/>
        </w:rPr>
        <w:t xml:space="preserve"> </w:t>
      </w:r>
      <w:r w:rsidR="00FB001C">
        <w:rPr>
          <w:lang w:val="ru-RU"/>
        </w:rPr>
        <w:t>в</w:t>
      </w:r>
      <w:r w:rsidR="00FB001C" w:rsidRPr="00FB001C">
        <w:rPr>
          <w:lang w:val="ru-RU"/>
        </w:rPr>
        <w:t xml:space="preserve"> </w:t>
      </w:r>
      <w:r w:rsidR="00FB001C">
        <w:rPr>
          <w:lang w:val="ru-RU"/>
        </w:rPr>
        <w:t>сфере</w:t>
      </w:r>
      <w:r w:rsidR="00FB001C" w:rsidRPr="00FB001C">
        <w:rPr>
          <w:lang w:val="ru-RU"/>
        </w:rPr>
        <w:t xml:space="preserve"> </w:t>
      </w:r>
      <w:r w:rsidR="00FB001C">
        <w:rPr>
          <w:lang w:val="ru-RU"/>
        </w:rPr>
        <w:t>управления</w:t>
      </w:r>
      <w:r w:rsidR="00FB001C" w:rsidRPr="00FB001C">
        <w:rPr>
          <w:lang w:val="ru-RU"/>
        </w:rPr>
        <w:t xml:space="preserve"> </w:t>
      </w:r>
      <w:r w:rsidR="00FB001C">
        <w:rPr>
          <w:lang w:val="ru-RU"/>
        </w:rPr>
        <w:t>услугами</w:t>
      </w:r>
      <w:r w:rsidR="00FB001C" w:rsidRPr="00FB001C">
        <w:rPr>
          <w:lang w:val="ru-RU"/>
        </w:rPr>
        <w:t xml:space="preserve"> </w:t>
      </w:r>
      <w:r w:rsidR="00FB001C">
        <w:rPr>
          <w:lang w:val="ru-RU"/>
        </w:rPr>
        <w:t>была</w:t>
      </w:r>
      <w:r w:rsidR="00FB001C" w:rsidRPr="00FB001C">
        <w:rPr>
          <w:lang w:val="ru-RU"/>
        </w:rPr>
        <w:t xml:space="preserve"> </w:t>
      </w:r>
      <w:r w:rsidR="00FB001C">
        <w:rPr>
          <w:lang w:val="ru-RU"/>
        </w:rPr>
        <w:t>эффективной</w:t>
      </w:r>
      <w:r w:rsidR="00FB001C" w:rsidRPr="00FB001C">
        <w:rPr>
          <w:lang w:val="ru-RU"/>
        </w:rPr>
        <w:t xml:space="preserve"> </w:t>
      </w:r>
      <w:r w:rsidR="00FB001C">
        <w:rPr>
          <w:lang w:val="ru-RU"/>
        </w:rPr>
        <w:t>и</w:t>
      </w:r>
      <w:r w:rsidR="00FB001C" w:rsidRPr="00FB001C">
        <w:rPr>
          <w:lang w:val="ru-RU"/>
        </w:rPr>
        <w:t xml:space="preserve"> </w:t>
      </w:r>
      <w:r w:rsidR="00FB001C">
        <w:rPr>
          <w:lang w:val="ru-RU"/>
        </w:rPr>
        <w:t>результативной</w:t>
      </w:r>
      <w:r w:rsidR="00FB001C" w:rsidRPr="00FB001C">
        <w:rPr>
          <w:lang w:val="ru-RU"/>
        </w:rPr>
        <w:t xml:space="preserve">, </w:t>
      </w:r>
      <w:r w:rsidR="00FB001C">
        <w:rPr>
          <w:lang w:val="ru-RU"/>
        </w:rPr>
        <w:t>необходимо выполнить ряд условий.</w:t>
      </w:r>
      <w:r w:rsidRPr="00FB001C">
        <w:rPr>
          <w:lang w:val="ru-RU"/>
        </w:rPr>
        <w:t xml:space="preserve">  </w:t>
      </w:r>
      <w:r w:rsidR="00FB001C">
        <w:rPr>
          <w:lang w:val="ru-RU"/>
        </w:rPr>
        <w:t>Так</w:t>
      </w:r>
      <w:r w:rsidR="00FB001C" w:rsidRPr="00350BCB">
        <w:rPr>
          <w:lang w:val="ru-RU"/>
        </w:rPr>
        <w:t xml:space="preserve">, </w:t>
      </w:r>
      <w:r w:rsidR="00FB001C">
        <w:rPr>
          <w:lang w:val="ru-RU"/>
        </w:rPr>
        <w:t>например</w:t>
      </w:r>
      <w:r w:rsidR="00FB001C" w:rsidRPr="00350BCB">
        <w:rPr>
          <w:lang w:val="ru-RU"/>
        </w:rPr>
        <w:t xml:space="preserve">, </w:t>
      </w:r>
      <w:r w:rsidR="00FB001C">
        <w:rPr>
          <w:lang w:val="ru-RU"/>
        </w:rPr>
        <w:t>целесообразно</w:t>
      </w:r>
      <w:r w:rsidR="00FB001C" w:rsidRPr="00350BCB">
        <w:rPr>
          <w:lang w:val="ru-RU"/>
        </w:rPr>
        <w:t xml:space="preserve"> </w:t>
      </w:r>
      <w:r w:rsidR="00FB001C">
        <w:rPr>
          <w:lang w:val="ru-RU"/>
        </w:rPr>
        <w:t>было</w:t>
      </w:r>
      <w:r w:rsidR="00FB001C" w:rsidRPr="00350BCB">
        <w:rPr>
          <w:lang w:val="ru-RU"/>
        </w:rPr>
        <w:t xml:space="preserve"> </w:t>
      </w:r>
      <w:r w:rsidR="00FB001C">
        <w:rPr>
          <w:lang w:val="ru-RU"/>
        </w:rPr>
        <w:t>бы</w:t>
      </w:r>
      <w:r w:rsidR="00FB001C" w:rsidRPr="00350BCB">
        <w:rPr>
          <w:lang w:val="ru-RU"/>
        </w:rPr>
        <w:t xml:space="preserve"> </w:t>
      </w:r>
      <w:r w:rsidR="00FB001C">
        <w:rPr>
          <w:lang w:val="ru-RU"/>
        </w:rPr>
        <w:t>разработать</w:t>
      </w:r>
      <w:r w:rsidR="00FB001C" w:rsidRPr="00350BCB">
        <w:rPr>
          <w:lang w:val="ru-RU"/>
        </w:rPr>
        <w:t xml:space="preserve"> </w:t>
      </w:r>
      <w:r w:rsidR="00FB001C">
        <w:rPr>
          <w:lang w:val="ru-RU"/>
        </w:rPr>
        <w:t>для</w:t>
      </w:r>
      <w:r w:rsidR="00FB001C" w:rsidRPr="00350BCB">
        <w:rPr>
          <w:lang w:val="ru-RU"/>
        </w:rPr>
        <w:t xml:space="preserve"> </w:t>
      </w:r>
      <w:r w:rsidR="00FB001C">
        <w:rPr>
          <w:lang w:val="ru-RU"/>
        </w:rPr>
        <w:t>Сектора</w:t>
      </w:r>
      <w:r w:rsidR="00FB001C" w:rsidRPr="00350BCB">
        <w:rPr>
          <w:lang w:val="ru-RU"/>
        </w:rPr>
        <w:t xml:space="preserve"> </w:t>
      </w:r>
      <w:r w:rsidR="00FB001C">
        <w:rPr>
          <w:lang w:val="ru-RU"/>
        </w:rPr>
        <w:t>АиУ</w:t>
      </w:r>
      <w:r w:rsidR="00FB001C" w:rsidRPr="00350BCB">
        <w:rPr>
          <w:lang w:val="ru-RU"/>
        </w:rPr>
        <w:t xml:space="preserve"> </w:t>
      </w:r>
      <w:r w:rsidR="00FB001C">
        <w:rPr>
          <w:lang w:val="ru-RU"/>
        </w:rPr>
        <w:t>специальный</w:t>
      </w:r>
      <w:r w:rsidR="00FB001C" w:rsidRPr="00350BCB">
        <w:rPr>
          <w:lang w:val="ru-RU"/>
        </w:rPr>
        <w:t xml:space="preserve"> </w:t>
      </w:r>
      <w:r w:rsidR="00FB001C">
        <w:rPr>
          <w:lang w:val="ru-RU"/>
        </w:rPr>
        <w:t>регламент</w:t>
      </w:r>
      <w:r w:rsidR="00FB001C" w:rsidRPr="00350BCB">
        <w:rPr>
          <w:lang w:val="ru-RU"/>
        </w:rPr>
        <w:t xml:space="preserve"> </w:t>
      </w:r>
      <w:r w:rsidR="00FB001C">
        <w:rPr>
          <w:lang w:val="ru-RU"/>
        </w:rPr>
        <w:t>обслуживания</w:t>
      </w:r>
      <w:r w:rsidR="00FB001C" w:rsidRPr="00350BCB">
        <w:rPr>
          <w:lang w:val="ru-RU"/>
        </w:rPr>
        <w:t xml:space="preserve"> </w:t>
      </w:r>
      <w:r w:rsidR="00FB001C">
        <w:rPr>
          <w:lang w:val="ru-RU"/>
        </w:rPr>
        <w:t>клиентов</w:t>
      </w:r>
      <w:r w:rsidR="00FB001C" w:rsidRPr="00350BCB">
        <w:rPr>
          <w:lang w:val="ru-RU"/>
        </w:rPr>
        <w:t xml:space="preserve">, </w:t>
      </w:r>
      <w:r w:rsidR="00FB001C">
        <w:rPr>
          <w:lang w:val="ru-RU"/>
        </w:rPr>
        <w:t>который</w:t>
      </w:r>
      <w:r w:rsidR="00FB001C" w:rsidRPr="00350BCB">
        <w:rPr>
          <w:lang w:val="ru-RU"/>
        </w:rPr>
        <w:t xml:space="preserve"> </w:t>
      </w:r>
      <w:r w:rsidR="00FB001C">
        <w:rPr>
          <w:lang w:val="ru-RU"/>
        </w:rPr>
        <w:t>был</w:t>
      </w:r>
      <w:r w:rsidR="00FB001C" w:rsidRPr="00350BCB">
        <w:rPr>
          <w:lang w:val="ru-RU"/>
        </w:rPr>
        <w:t xml:space="preserve"> </w:t>
      </w:r>
      <w:r w:rsidR="00FB001C">
        <w:rPr>
          <w:lang w:val="ru-RU"/>
        </w:rPr>
        <w:t>бы</w:t>
      </w:r>
      <w:r w:rsidR="00FB001C" w:rsidRPr="00350BCB">
        <w:rPr>
          <w:lang w:val="ru-RU"/>
        </w:rPr>
        <w:t xml:space="preserve"> </w:t>
      </w:r>
      <w:r w:rsidR="00FB001C">
        <w:rPr>
          <w:lang w:val="ru-RU"/>
        </w:rPr>
        <w:t>основан</w:t>
      </w:r>
      <w:r w:rsidR="00FB001C" w:rsidRPr="00350BCB">
        <w:rPr>
          <w:lang w:val="ru-RU"/>
        </w:rPr>
        <w:t xml:space="preserve"> </w:t>
      </w:r>
      <w:r w:rsidR="00FB001C">
        <w:rPr>
          <w:lang w:val="ru-RU"/>
        </w:rPr>
        <w:t>на</w:t>
      </w:r>
      <w:r w:rsidR="00FB001C" w:rsidRPr="00350BCB">
        <w:rPr>
          <w:lang w:val="ru-RU"/>
        </w:rPr>
        <w:t xml:space="preserve"> </w:t>
      </w:r>
      <w:r w:rsidR="00350BCB">
        <w:rPr>
          <w:lang w:val="ru-RU"/>
        </w:rPr>
        <w:t>Регламенте</w:t>
      </w:r>
      <w:r w:rsidR="00350BCB" w:rsidRPr="00350BCB">
        <w:rPr>
          <w:lang w:val="ru-RU"/>
        </w:rPr>
        <w:t xml:space="preserve"> </w:t>
      </w:r>
      <w:r w:rsidR="00350BCB">
        <w:rPr>
          <w:lang w:val="ru-RU"/>
        </w:rPr>
        <w:t>обслуживания</w:t>
      </w:r>
      <w:r w:rsidR="00350BCB" w:rsidRPr="00350BCB">
        <w:rPr>
          <w:lang w:val="ru-RU"/>
        </w:rPr>
        <w:t xml:space="preserve"> </w:t>
      </w:r>
      <w:r w:rsidR="00350BCB">
        <w:rPr>
          <w:lang w:val="ru-RU"/>
        </w:rPr>
        <w:t>клиентов</w:t>
      </w:r>
      <w:r w:rsidR="00350BCB" w:rsidRPr="00350BCB">
        <w:rPr>
          <w:lang w:val="ru-RU"/>
        </w:rPr>
        <w:t xml:space="preserve"> </w:t>
      </w:r>
      <w:r w:rsidR="00350BCB">
        <w:rPr>
          <w:lang w:val="ru-RU"/>
        </w:rPr>
        <w:t>ВОИС</w:t>
      </w:r>
      <w:r w:rsidR="00350BCB" w:rsidRPr="00350BCB">
        <w:rPr>
          <w:lang w:val="ru-RU"/>
        </w:rPr>
        <w:t xml:space="preserve"> </w:t>
      </w:r>
      <w:r w:rsidR="00350BCB">
        <w:rPr>
          <w:lang w:val="ru-RU"/>
        </w:rPr>
        <w:t>и</w:t>
      </w:r>
      <w:r w:rsidR="00350BCB" w:rsidRPr="00350BCB">
        <w:rPr>
          <w:lang w:val="ru-RU"/>
        </w:rPr>
        <w:t xml:space="preserve"> </w:t>
      </w:r>
      <w:r w:rsidR="00350BCB">
        <w:rPr>
          <w:lang w:val="ru-RU"/>
        </w:rPr>
        <w:t>увязан</w:t>
      </w:r>
      <w:r w:rsidR="00350BCB" w:rsidRPr="00350BCB">
        <w:rPr>
          <w:lang w:val="ru-RU"/>
        </w:rPr>
        <w:t xml:space="preserve"> </w:t>
      </w:r>
      <w:r w:rsidR="00350BCB">
        <w:rPr>
          <w:lang w:val="ru-RU"/>
        </w:rPr>
        <w:t>с</w:t>
      </w:r>
      <w:r w:rsidR="00350BCB" w:rsidRPr="00350BCB">
        <w:rPr>
          <w:lang w:val="ru-RU"/>
        </w:rPr>
        <w:t xml:space="preserve"> </w:t>
      </w:r>
      <w:r w:rsidR="00350BCB">
        <w:rPr>
          <w:lang w:val="ru-RU"/>
        </w:rPr>
        <w:t>ожидаемым</w:t>
      </w:r>
      <w:r w:rsidR="00350BCB" w:rsidRPr="00350BCB">
        <w:rPr>
          <w:lang w:val="ru-RU"/>
        </w:rPr>
        <w:t xml:space="preserve"> </w:t>
      </w:r>
      <w:r w:rsidR="00350BCB">
        <w:rPr>
          <w:lang w:val="ru-RU"/>
        </w:rPr>
        <w:t>результатом</w:t>
      </w:r>
      <w:r w:rsidR="00350BCB" w:rsidRPr="00350BCB">
        <w:rPr>
          <w:lang w:val="ru-RU"/>
        </w:rPr>
        <w:t xml:space="preserve"> </w:t>
      </w:r>
      <w:r w:rsidR="00350BCB">
        <w:rPr>
          <w:lang w:val="ru-RU"/>
        </w:rPr>
        <w:t xml:space="preserve">программы Сектора АиУ в рамках стратегической цели </w:t>
      </w:r>
      <w:r w:rsidR="00350BCB">
        <w:rPr>
          <w:lang w:val="en-GB"/>
        </w:rPr>
        <w:t>IX</w:t>
      </w:r>
      <w:r w:rsidR="00350BCB" w:rsidRPr="00350BCB">
        <w:rPr>
          <w:lang w:val="ru-RU"/>
        </w:rPr>
        <w:t xml:space="preserve"> </w:t>
      </w:r>
      <w:r w:rsidR="00350BCB">
        <w:rPr>
          <w:lang w:val="ru-RU"/>
        </w:rPr>
        <w:t xml:space="preserve">действующей в ВОИС системы управления, ориентированной на достижение конкретных результатов.  </w:t>
      </w:r>
    </w:p>
    <w:p w14:paraId="5FA67B18" w14:textId="0F14F4C9" w:rsidR="001635B5" w:rsidRPr="00A87B1C" w:rsidRDefault="00350BCB" w:rsidP="001635B5">
      <w:pPr>
        <w:pStyle w:val="ONUME"/>
        <w:rPr>
          <w:lang w:val="ru-RU"/>
        </w:rPr>
      </w:pPr>
      <w:r>
        <w:rPr>
          <w:lang w:val="ru-RU"/>
        </w:rPr>
        <w:t>Следует</w:t>
      </w:r>
      <w:r w:rsidRPr="00350BCB">
        <w:rPr>
          <w:lang w:val="ru-RU"/>
        </w:rPr>
        <w:t xml:space="preserve"> </w:t>
      </w:r>
      <w:r>
        <w:rPr>
          <w:lang w:val="ru-RU"/>
        </w:rPr>
        <w:t>также</w:t>
      </w:r>
      <w:r w:rsidRPr="00350BCB">
        <w:rPr>
          <w:lang w:val="ru-RU"/>
        </w:rPr>
        <w:t xml:space="preserve"> </w:t>
      </w:r>
      <w:r>
        <w:rPr>
          <w:lang w:val="ru-RU"/>
        </w:rPr>
        <w:t>отметить</w:t>
      </w:r>
      <w:r w:rsidRPr="00350BCB">
        <w:rPr>
          <w:lang w:val="ru-RU"/>
        </w:rPr>
        <w:t xml:space="preserve">, </w:t>
      </w:r>
      <w:r>
        <w:rPr>
          <w:lang w:val="ru-RU"/>
        </w:rPr>
        <w:t>что</w:t>
      </w:r>
      <w:r w:rsidRPr="00350BCB">
        <w:rPr>
          <w:lang w:val="ru-RU"/>
        </w:rPr>
        <w:t xml:space="preserve"> </w:t>
      </w:r>
      <w:r>
        <w:rPr>
          <w:lang w:val="ru-RU"/>
        </w:rPr>
        <w:t>различным</w:t>
      </w:r>
      <w:r w:rsidRPr="00350BCB">
        <w:rPr>
          <w:lang w:val="ru-RU"/>
        </w:rPr>
        <w:t xml:space="preserve"> </w:t>
      </w:r>
      <w:r>
        <w:rPr>
          <w:lang w:val="ru-RU"/>
        </w:rPr>
        <w:t>сферам</w:t>
      </w:r>
      <w:r w:rsidRPr="00350BCB">
        <w:rPr>
          <w:lang w:val="ru-RU"/>
        </w:rPr>
        <w:t xml:space="preserve"> </w:t>
      </w:r>
      <w:r>
        <w:rPr>
          <w:lang w:val="ru-RU"/>
        </w:rPr>
        <w:t>деятельности</w:t>
      </w:r>
      <w:r w:rsidRPr="00350BCB">
        <w:rPr>
          <w:lang w:val="ru-RU"/>
        </w:rPr>
        <w:t xml:space="preserve"> </w:t>
      </w:r>
      <w:r>
        <w:rPr>
          <w:lang w:val="ru-RU"/>
        </w:rPr>
        <w:t>Сектора</w:t>
      </w:r>
      <w:r w:rsidRPr="00350BCB">
        <w:rPr>
          <w:lang w:val="ru-RU"/>
        </w:rPr>
        <w:t xml:space="preserve"> </w:t>
      </w:r>
      <w:r>
        <w:rPr>
          <w:lang w:val="ru-RU"/>
        </w:rPr>
        <w:t>присущи</w:t>
      </w:r>
      <w:r w:rsidRPr="00350BCB">
        <w:rPr>
          <w:lang w:val="ru-RU"/>
        </w:rPr>
        <w:t xml:space="preserve"> </w:t>
      </w:r>
      <w:r>
        <w:rPr>
          <w:lang w:val="ru-RU"/>
        </w:rPr>
        <w:t>разные</w:t>
      </w:r>
      <w:r w:rsidRPr="00350BCB">
        <w:rPr>
          <w:lang w:val="ru-RU"/>
        </w:rPr>
        <w:t xml:space="preserve"> </w:t>
      </w:r>
      <w:r>
        <w:rPr>
          <w:lang w:val="ru-RU"/>
        </w:rPr>
        <w:t>характеристики</w:t>
      </w:r>
      <w:r w:rsidRPr="00350BCB">
        <w:rPr>
          <w:lang w:val="ru-RU"/>
        </w:rPr>
        <w:t xml:space="preserve">, </w:t>
      </w:r>
      <w:r>
        <w:rPr>
          <w:lang w:val="ru-RU"/>
        </w:rPr>
        <w:t>связанные</w:t>
      </w:r>
      <w:r w:rsidRPr="00350BCB">
        <w:rPr>
          <w:lang w:val="ru-RU"/>
        </w:rPr>
        <w:t xml:space="preserve"> </w:t>
      </w:r>
      <w:r>
        <w:rPr>
          <w:lang w:val="ru-RU"/>
        </w:rPr>
        <w:t>с</w:t>
      </w:r>
      <w:r w:rsidRPr="00350BCB">
        <w:rPr>
          <w:lang w:val="ru-RU"/>
        </w:rPr>
        <w:t xml:space="preserve"> </w:t>
      </w:r>
      <w:r>
        <w:rPr>
          <w:lang w:val="ru-RU"/>
        </w:rPr>
        <w:t>эффективностью</w:t>
      </w:r>
      <w:r w:rsidRPr="00350BCB">
        <w:rPr>
          <w:lang w:val="ru-RU"/>
        </w:rPr>
        <w:t xml:space="preserve">, </w:t>
      </w:r>
      <w:r>
        <w:rPr>
          <w:lang w:val="ru-RU"/>
        </w:rPr>
        <w:t>опытом</w:t>
      </w:r>
      <w:r w:rsidRPr="00350BCB">
        <w:rPr>
          <w:lang w:val="ru-RU"/>
        </w:rPr>
        <w:t xml:space="preserve">, </w:t>
      </w:r>
      <w:r>
        <w:rPr>
          <w:lang w:val="ru-RU"/>
        </w:rPr>
        <w:t>инструментами</w:t>
      </w:r>
      <w:r w:rsidRPr="00350BCB">
        <w:rPr>
          <w:lang w:val="ru-RU"/>
        </w:rPr>
        <w:t xml:space="preserve"> </w:t>
      </w:r>
      <w:r>
        <w:rPr>
          <w:lang w:val="ru-RU"/>
        </w:rPr>
        <w:t>и</w:t>
      </w:r>
      <w:r w:rsidRPr="00350BCB">
        <w:rPr>
          <w:lang w:val="ru-RU"/>
        </w:rPr>
        <w:t xml:space="preserve"> </w:t>
      </w:r>
      <w:r>
        <w:rPr>
          <w:lang w:val="ru-RU"/>
        </w:rPr>
        <w:t>методами</w:t>
      </w:r>
      <w:r w:rsidRPr="00350BCB">
        <w:rPr>
          <w:lang w:val="ru-RU"/>
        </w:rPr>
        <w:t xml:space="preserve"> </w:t>
      </w:r>
      <w:r>
        <w:rPr>
          <w:lang w:val="ru-RU"/>
        </w:rPr>
        <w:t>управления</w:t>
      </w:r>
      <w:r w:rsidRPr="00350BCB">
        <w:rPr>
          <w:lang w:val="ru-RU"/>
        </w:rPr>
        <w:t xml:space="preserve"> </w:t>
      </w:r>
      <w:r>
        <w:rPr>
          <w:lang w:val="ru-RU"/>
        </w:rPr>
        <w:t>услугами.</w:t>
      </w:r>
      <w:r w:rsidR="001635B5" w:rsidRPr="00350BCB">
        <w:rPr>
          <w:lang w:val="ru-RU"/>
        </w:rPr>
        <w:t xml:space="preserve">  </w:t>
      </w:r>
      <w:r>
        <w:rPr>
          <w:lang w:val="ru-RU"/>
        </w:rPr>
        <w:t>Поэтому</w:t>
      </w:r>
      <w:r w:rsidRPr="00350BCB">
        <w:rPr>
          <w:lang w:val="ru-RU"/>
        </w:rPr>
        <w:t xml:space="preserve"> </w:t>
      </w:r>
      <w:r>
        <w:rPr>
          <w:lang w:val="ru-RU"/>
        </w:rPr>
        <w:t>полезно</w:t>
      </w:r>
      <w:r w:rsidRPr="00350BCB">
        <w:rPr>
          <w:lang w:val="ru-RU"/>
        </w:rPr>
        <w:t xml:space="preserve"> </w:t>
      </w:r>
      <w:r>
        <w:rPr>
          <w:lang w:val="ru-RU"/>
        </w:rPr>
        <w:t>было</w:t>
      </w:r>
      <w:r w:rsidRPr="00350BCB">
        <w:rPr>
          <w:lang w:val="ru-RU"/>
        </w:rPr>
        <w:t xml:space="preserve"> </w:t>
      </w:r>
      <w:r>
        <w:rPr>
          <w:lang w:val="ru-RU"/>
        </w:rPr>
        <w:t>бы</w:t>
      </w:r>
      <w:r w:rsidRPr="00350BCB">
        <w:rPr>
          <w:lang w:val="ru-RU"/>
        </w:rPr>
        <w:t xml:space="preserve"> </w:t>
      </w:r>
      <w:r>
        <w:rPr>
          <w:lang w:val="ru-RU"/>
        </w:rPr>
        <w:t>изучить</w:t>
      </w:r>
      <w:r w:rsidRPr="00350BCB">
        <w:rPr>
          <w:lang w:val="ru-RU"/>
        </w:rPr>
        <w:t xml:space="preserve"> </w:t>
      </w:r>
      <w:r>
        <w:rPr>
          <w:lang w:val="ru-RU"/>
        </w:rPr>
        <w:t>состояние</w:t>
      </w:r>
      <w:r w:rsidRPr="00350BCB">
        <w:rPr>
          <w:lang w:val="ru-RU"/>
        </w:rPr>
        <w:t xml:space="preserve"> </w:t>
      </w:r>
      <w:r>
        <w:rPr>
          <w:lang w:val="ru-RU"/>
        </w:rPr>
        <w:t>деятельности</w:t>
      </w:r>
      <w:r w:rsidRPr="00350BCB">
        <w:rPr>
          <w:lang w:val="ru-RU"/>
        </w:rPr>
        <w:t xml:space="preserve"> </w:t>
      </w:r>
      <w:r>
        <w:rPr>
          <w:lang w:val="ru-RU"/>
        </w:rPr>
        <w:t>Сектора</w:t>
      </w:r>
      <w:r w:rsidRPr="00350BCB">
        <w:rPr>
          <w:lang w:val="ru-RU"/>
        </w:rPr>
        <w:t xml:space="preserve"> </w:t>
      </w:r>
      <w:r>
        <w:rPr>
          <w:lang w:val="ru-RU"/>
        </w:rPr>
        <w:t>по</w:t>
      </w:r>
      <w:r w:rsidRPr="00350BCB">
        <w:rPr>
          <w:lang w:val="ru-RU"/>
        </w:rPr>
        <w:t xml:space="preserve"> </w:t>
      </w:r>
      <w:r>
        <w:rPr>
          <w:lang w:val="ru-RU"/>
        </w:rPr>
        <w:t>управлению</w:t>
      </w:r>
      <w:r w:rsidRPr="00350BCB">
        <w:rPr>
          <w:lang w:val="ru-RU"/>
        </w:rPr>
        <w:t xml:space="preserve"> </w:t>
      </w:r>
      <w:r>
        <w:rPr>
          <w:lang w:val="ru-RU"/>
        </w:rPr>
        <w:t>услугами</w:t>
      </w:r>
      <w:r w:rsidRPr="00350BCB">
        <w:rPr>
          <w:lang w:val="ru-RU"/>
        </w:rPr>
        <w:t xml:space="preserve">, </w:t>
      </w:r>
      <w:r>
        <w:rPr>
          <w:lang w:val="ru-RU"/>
        </w:rPr>
        <w:t>разработав</w:t>
      </w:r>
      <w:r w:rsidRPr="00350BCB">
        <w:rPr>
          <w:lang w:val="ru-RU"/>
        </w:rPr>
        <w:t xml:space="preserve"> </w:t>
      </w:r>
      <w:r>
        <w:rPr>
          <w:lang w:val="ru-RU"/>
        </w:rPr>
        <w:t>модель</w:t>
      </w:r>
      <w:r w:rsidRPr="00350BCB">
        <w:rPr>
          <w:lang w:val="ru-RU"/>
        </w:rPr>
        <w:t xml:space="preserve"> </w:t>
      </w:r>
      <w:r>
        <w:rPr>
          <w:lang w:val="ru-RU"/>
        </w:rPr>
        <w:t>оценки</w:t>
      </w:r>
      <w:r w:rsidRPr="00350BCB">
        <w:rPr>
          <w:lang w:val="ru-RU"/>
        </w:rPr>
        <w:t xml:space="preserve"> </w:t>
      </w:r>
      <w:r>
        <w:rPr>
          <w:lang w:val="ru-RU"/>
        </w:rPr>
        <w:t>текущего</w:t>
      </w:r>
      <w:r w:rsidRPr="00350BCB">
        <w:rPr>
          <w:lang w:val="ru-RU"/>
        </w:rPr>
        <w:t xml:space="preserve"> </w:t>
      </w:r>
      <w:r>
        <w:rPr>
          <w:lang w:val="ru-RU"/>
        </w:rPr>
        <w:lastRenderedPageBreak/>
        <w:t>состояния</w:t>
      </w:r>
      <w:r w:rsidRPr="00350BCB">
        <w:rPr>
          <w:lang w:val="ru-RU"/>
        </w:rPr>
        <w:t xml:space="preserve"> </w:t>
      </w:r>
      <w:r>
        <w:rPr>
          <w:lang w:val="ru-RU"/>
        </w:rPr>
        <w:t>дел и «дорожную карту».</w:t>
      </w:r>
      <w:r w:rsidR="001635B5" w:rsidRPr="00350BCB">
        <w:rPr>
          <w:lang w:val="ru-RU"/>
        </w:rPr>
        <w:t xml:space="preserve">  </w:t>
      </w:r>
      <w:r>
        <w:rPr>
          <w:lang w:val="ru-RU"/>
        </w:rPr>
        <w:t>Это</w:t>
      </w:r>
      <w:r w:rsidR="0071590C" w:rsidRPr="0071590C">
        <w:rPr>
          <w:lang w:val="ru-RU"/>
        </w:rPr>
        <w:t xml:space="preserve"> </w:t>
      </w:r>
      <w:r w:rsidR="0071590C">
        <w:rPr>
          <w:lang w:val="ru-RU"/>
        </w:rPr>
        <w:t>помогло</w:t>
      </w:r>
      <w:r w:rsidR="0071590C" w:rsidRPr="0071590C">
        <w:rPr>
          <w:lang w:val="ru-RU"/>
        </w:rPr>
        <w:t xml:space="preserve"> </w:t>
      </w:r>
      <w:r w:rsidR="0071590C">
        <w:rPr>
          <w:lang w:val="ru-RU"/>
        </w:rPr>
        <w:t>бы</w:t>
      </w:r>
      <w:r w:rsidR="0071590C" w:rsidRPr="0071590C">
        <w:rPr>
          <w:lang w:val="ru-RU"/>
        </w:rPr>
        <w:t xml:space="preserve"> </w:t>
      </w:r>
      <w:r w:rsidR="0071590C">
        <w:rPr>
          <w:lang w:val="ru-RU"/>
        </w:rPr>
        <w:t>выявить</w:t>
      </w:r>
      <w:r w:rsidR="0071590C" w:rsidRPr="0071590C">
        <w:rPr>
          <w:lang w:val="ru-RU"/>
        </w:rPr>
        <w:t xml:space="preserve"> </w:t>
      </w:r>
      <w:r w:rsidR="0071590C">
        <w:rPr>
          <w:lang w:val="ru-RU"/>
        </w:rPr>
        <w:t>различия</w:t>
      </w:r>
      <w:r w:rsidR="0071590C" w:rsidRPr="0071590C">
        <w:rPr>
          <w:lang w:val="ru-RU"/>
        </w:rPr>
        <w:t xml:space="preserve"> </w:t>
      </w:r>
      <w:r w:rsidR="0071590C">
        <w:rPr>
          <w:lang w:val="ru-RU"/>
        </w:rPr>
        <w:t>между</w:t>
      </w:r>
      <w:r w:rsidR="0071590C" w:rsidRPr="0071590C">
        <w:rPr>
          <w:lang w:val="ru-RU"/>
        </w:rPr>
        <w:t xml:space="preserve"> </w:t>
      </w:r>
      <w:r w:rsidR="0071590C">
        <w:rPr>
          <w:lang w:val="ru-RU"/>
        </w:rPr>
        <w:t>текущим</w:t>
      </w:r>
      <w:r w:rsidR="0071590C" w:rsidRPr="0071590C">
        <w:rPr>
          <w:lang w:val="ru-RU"/>
        </w:rPr>
        <w:t xml:space="preserve"> </w:t>
      </w:r>
      <w:r w:rsidR="0071590C">
        <w:rPr>
          <w:lang w:val="ru-RU"/>
        </w:rPr>
        <w:t>состоянием</w:t>
      </w:r>
      <w:r w:rsidR="0071590C" w:rsidRPr="0071590C">
        <w:rPr>
          <w:lang w:val="ru-RU"/>
        </w:rPr>
        <w:t xml:space="preserve"> </w:t>
      </w:r>
      <w:r w:rsidR="0071590C">
        <w:rPr>
          <w:lang w:val="ru-RU"/>
        </w:rPr>
        <w:t>дел</w:t>
      </w:r>
      <w:r w:rsidR="0071590C" w:rsidRPr="0071590C">
        <w:rPr>
          <w:lang w:val="ru-RU"/>
        </w:rPr>
        <w:t xml:space="preserve"> </w:t>
      </w:r>
      <w:r w:rsidR="0071590C">
        <w:rPr>
          <w:lang w:val="ru-RU"/>
        </w:rPr>
        <w:t>и</w:t>
      </w:r>
      <w:r w:rsidR="0071590C" w:rsidRPr="0071590C">
        <w:rPr>
          <w:lang w:val="ru-RU"/>
        </w:rPr>
        <w:t xml:space="preserve"> </w:t>
      </w:r>
      <w:r w:rsidR="0071590C">
        <w:rPr>
          <w:lang w:val="ru-RU"/>
        </w:rPr>
        <w:t>целями</w:t>
      </w:r>
      <w:r w:rsidR="0071590C" w:rsidRPr="0071590C">
        <w:rPr>
          <w:lang w:val="ru-RU"/>
        </w:rPr>
        <w:t xml:space="preserve">, </w:t>
      </w:r>
      <w:r w:rsidR="0071590C">
        <w:rPr>
          <w:lang w:val="ru-RU"/>
        </w:rPr>
        <w:t>которых</w:t>
      </w:r>
      <w:r w:rsidR="0071590C" w:rsidRPr="0071590C">
        <w:rPr>
          <w:lang w:val="ru-RU"/>
        </w:rPr>
        <w:t xml:space="preserve"> </w:t>
      </w:r>
      <w:r w:rsidR="0071590C">
        <w:rPr>
          <w:lang w:val="ru-RU"/>
        </w:rPr>
        <w:t>планируется</w:t>
      </w:r>
      <w:r w:rsidR="0071590C" w:rsidRPr="0071590C">
        <w:rPr>
          <w:lang w:val="ru-RU"/>
        </w:rPr>
        <w:t xml:space="preserve"> </w:t>
      </w:r>
      <w:r w:rsidR="0071590C">
        <w:rPr>
          <w:lang w:val="ru-RU"/>
        </w:rPr>
        <w:t>достичь</w:t>
      </w:r>
      <w:r w:rsidR="0071590C" w:rsidRPr="0071590C">
        <w:rPr>
          <w:lang w:val="ru-RU"/>
        </w:rPr>
        <w:t xml:space="preserve"> </w:t>
      </w:r>
      <w:r w:rsidR="0071590C">
        <w:rPr>
          <w:lang w:val="ru-RU"/>
        </w:rPr>
        <w:t>в</w:t>
      </w:r>
      <w:r w:rsidR="0071590C" w:rsidRPr="0071590C">
        <w:rPr>
          <w:lang w:val="ru-RU"/>
        </w:rPr>
        <w:t xml:space="preserve"> </w:t>
      </w:r>
      <w:r w:rsidR="0071590C">
        <w:rPr>
          <w:lang w:val="ru-RU"/>
        </w:rPr>
        <w:t>будущем</w:t>
      </w:r>
      <w:r w:rsidR="0071590C" w:rsidRPr="0071590C">
        <w:rPr>
          <w:lang w:val="ru-RU"/>
        </w:rPr>
        <w:t xml:space="preserve"> </w:t>
      </w:r>
      <w:r w:rsidR="0071590C">
        <w:rPr>
          <w:lang w:val="ru-RU"/>
        </w:rPr>
        <w:t>на</w:t>
      </w:r>
      <w:r w:rsidR="0071590C" w:rsidRPr="0071590C">
        <w:rPr>
          <w:lang w:val="ru-RU"/>
        </w:rPr>
        <w:t xml:space="preserve"> </w:t>
      </w:r>
      <w:r w:rsidR="0071590C">
        <w:rPr>
          <w:lang w:val="ru-RU"/>
        </w:rPr>
        <w:t>основе</w:t>
      </w:r>
      <w:r w:rsidR="0071590C" w:rsidRPr="0071590C">
        <w:rPr>
          <w:lang w:val="ru-RU"/>
        </w:rPr>
        <w:t xml:space="preserve"> </w:t>
      </w:r>
      <w:r w:rsidR="0071590C">
        <w:rPr>
          <w:lang w:val="ru-RU"/>
        </w:rPr>
        <w:t>принципов</w:t>
      </w:r>
      <w:r w:rsidR="0071590C" w:rsidRPr="0071590C">
        <w:rPr>
          <w:lang w:val="ru-RU"/>
        </w:rPr>
        <w:t xml:space="preserve"> </w:t>
      </w:r>
      <w:r w:rsidR="0071590C">
        <w:rPr>
          <w:lang w:val="ru-RU"/>
        </w:rPr>
        <w:t>Регламента</w:t>
      </w:r>
      <w:r w:rsidR="0071590C" w:rsidRPr="0071590C">
        <w:rPr>
          <w:lang w:val="ru-RU"/>
        </w:rPr>
        <w:t xml:space="preserve">, </w:t>
      </w:r>
      <w:r w:rsidR="0071590C">
        <w:rPr>
          <w:lang w:val="ru-RU"/>
        </w:rPr>
        <w:t>а</w:t>
      </w:r>
      <w:r w:rsidR="0071590C" w:rsidRPr="0071590C">
        <w:rPr>
          <w:lang w:val="ru-RU"/>
        </w:rPr>
        <w:t xml:space="preserve"> </w:t>
      </w:r>
      <w:r w:rsidR="0071590C">
        <w:rPr>
          <w:lang w:val="ru-RU"/>
        </w:rPr>
        <w:t>также</w:t>
      </w:r>
      <w:r w:rsidR="0071590C" w:rsidRPr="0071590C">
        <w:rPr>
          <w:lang w:val="ru-RU"/>
        </w:rPr>
        <w:t xml:space="preserve"> </w:t>
      </w:r>
      <w:r w:rsidR="0071590C">
        <w:rPr>
          <w:lang w:val="ru-RU"/>
        </w:rPr>
        <w:t>способствовать</w:t>
      </w:r>
      <w:r w:rsidR="0071590C" w:rsidRPr="0071590C">
        <w:rPr>
          <w:lang w:val="ru-RU"/>
        </w:rPr>
        <w:t xml:space="preserve"> </w:t>
      </w:r>
      <w:r w:rsidR="0071590C">
        <w:rPr>
          <w:lang w:val="ru-RU"/>
        </w:rPr>
        <w:t>эффективному</w:t>
      </w:r>
      <w:r w:rsidR="0071590C" w:rsidRPr="0071590C">
        <w:rPr>
          <w:lang w:val="ru-RU"/>
        </w:rPr>
        <w:t xml:space="preserve"> </w:t>
      </w:r>
      <w:r w:rsidR="0071590C">
        <w:rPr>
          <w:lang w:val="ru-RU"/>
        </w:rPr>
        <w:t>конструированию</w:t>
      </w:r>
      <w:r w:rsidR="0071590C" w:rsidRPr="0071590C">
        <w:rPr>
          <w:lang w:val="ru-RU"/>
        </w:rPr>
        <w:t xml:space="preserve"> </w:t>
      </w:r>
      <w:r w:rsidR="0071590C">
        <w:rPr>
          <w:lang w:val="ru-RU"/>
        </w:rPr>
        <w:t>и</w:t>
      </w:r>
      <w:r w:rsidR="0071590C" w:rsidRPr="0071590C">
        <w:rPr>
          <w:lang w:val="ru-RU"/>
        </w:rPr>
        <w:t xml:space="preserve"> </w:t>
      </w:r>
      <w:r w:rsidR="0071590C">
        <w:rPr>
          <w:lang w:val="ru-RU"/>
        </w:rPr>
        <w:t>формированию адекватного механизма управления услугами.</w:t>
      </w:r>
    </w:p>
    <w:p w14:paraId="10CD25C2" w14:textId="6F9C7829" w:rsidR="001635B5" w:rsidRPr="00CE0303" w:rsidRDefault="00A87B1C" w:rsidP="001635B5">
      <w:pPr>
        <w:pStyle w:val="ONUME"/>
        <w:rPr>
          <w:lang w:val="ru-RU"/>
        </w:rPr>
      </w:pPr>
      <w:r>
        <w:rPr>
          <w:lang w:val="ru-RU"/>
        </w:rPr>
        <w:t>Несмотря</w:t>
      </w:r>
      <w:r w:rsidRPr="00A87B1C">
        <w:rPr>
          <w:lang w:val="ru-RU"/>
        </w:rPr>
        <w:t xml:space="preserve"> </w:t>
      </w:r>
      <w:r>
        <w:rPr>
          <w:lang w:val="ru-RU"/>
        </w:rPr>
        <w:t>на</w:t>
      </w:r>
      <w:r w:rsidRPr="00A87B1C">
        <w:rPr>
          <w:lang w:val="ru-RU"/>
        </w:rPr>
        <w:t xml:space="preserve"> </w:t>
      </w:r>
      <w:r>
        <w:rPr>
          <w:lang w:val="ru-RU"/>
        </w:rPr>
        <w:t>то</w:t>
      </w:r>
      <w:r w:rsidRPr="00A87B1C">
        <w:rPr>
          <w:lang w:val="ru-RU"/>
        </w:rPr>
        <w:t xml:space="preserve">, </w:t>
      </w:r>
      <w:r>
        <w:rPr>
          <w:lang w:val="ru-RU"/>
        </w:rPr>
        <w:t>что</w:t>
      </w:r>
      <w:r w:rsidRPr="00A87B1C">
        <w:rPr>
          <w:lang w:val="ru-RU"/>
        </w:rPr>
        <w:t xml:space="preserve"> </w:t>
      </w:r>
      <w:r>
        <w:rPr>
          <w:lang w:val="ru-RU"/>
        </w:rPr>
        <w:t>в</w:t>
      </w:r>
      <w:r w:rsidRPr="00A87B1C">
        <w:rPr>
          <w:lang w:val="ru-RU"/>
        </w:rPr>
        <w:t xml:space="preserve"> </w:t>
      </w:r>
      <w:r>
        <w:rPr>
          <w:lang w:val="ru-RU"/>
        </w:rPr>
        <w:t>интранете</w:t>
      </w:r>
      <w:r w:rsidRPr="00A87B1C">
        <w:rPr>
          <w:lang w:val="ru-RU"/>
        </w:rPr>
        <w:t xml:space="preserve"> </w:t>
      </w:r>
      <w:r>
        <w:rPr>
          <w:lang w:val="ru-RU"/>
        </w:rPr>
        <w:t>ВОИС</w:t>
      </w:r>
      <w:r w:rsidRPr="00A87B1C">
        <w:rPr>
          <w:lang w:val="ru-RU"/>
        </w:rPr>
        <w:t xml:space="preserve"> </w:t>
      </w:r>
      <w:r>
        <w:rPr>
          <w:lang w:val="ru-RU"/>
        </w:rPr>
        <w:t>имеются</w:t>
      </w:r>
      <w:r w:rsidRPr="00A87B1C">
        <w:rPr>
          <w:lang w:val="ru-RU"/>
        </w:rPr>
        <w:t xml:space="preserve"> </w:t>
      </w:r>
      <w:r>
        <w:rPr>
          <w:lang w:val="ru-RU"/>
        </w:rPr>
        <w:t>соответствующие</w:t>
      </w:r>
      <w:r w:rsidRPr="00A87B1C">
        <w:rPr>
          <w:lang w:val="ru-RU"/>
        </w:rPr>
        <w:t xml:space="preserve"> </w:t>
      </w:r>
      <w:r>
        <w:rPr>
          <w:lang w:val="ru-RU"/>
        </w:rPr>
        <w:t>ресурсы</w:t>
      </w:r>
      <w:r w:rsidRPr="00A87B1C">
        <w:rPr>
          <w:lang w:val="ru-RU"/>
        </w:rPr>
        <w:t xml:space="preserve">, </w:t>
      </w:r>
      <w:r>
        <w:rPr>
          <w:lang w:val="ru-RU"/>
        </w:rPr>
        <w:t>касающиеся</w:t>
      </w:r>
      <w:r w:rsidRPr="00A87B1C">
        <w:rPr>
          <w:lang w:val="ru-RU"/>
        </w:rPr>
        <w:t xml:space="preserve"> </w:t>
      </w:r>
      <w:r>
        <w:rPr>
          <w:lang w:val="ru-RU"/>
        </w:rPr>
        <w:t>вопросов</w:t>
      </w:r>
      <w:r w:rsidRPr="00A87B1C">
        <w:rPr>
          <w:lang w:val="ru-RU"/>
        </w:rPr>
        <w:t xml:space="preserve"> </w:t>
      </w:r>
      <w:r>
        <w:rPr>
          <w:lang w:val="ru-RU"/>
        </w:rPr>
        <w:t>оказания</w:t>
      </w:r>
      <w:r w:rsidRPr="00A87B1C">
        <w:rPr>
          <w:lang w:val="ru-RU"/>
        </w:rPr>
        <w:t xml:space="preserve"> </w:t>
      </w:r>
      <w:r>
        <w:rPr>
          <w:lang w:val="ru-RU"/>
        </w:rPr>
        <w:t>внутренних</w:t>
      </w:r>
      <w:r w:rsidRPr="00A87B1C">
        <w:rPr>
          <w:lang w:val="ru-RU"/>
        </w:rPr>
        <w:t xml:space="preserve"> </w:t>
      </w:r>
      <w:r>
        <w:rPr>
          <w:lang w:val="ru-RU"/>
        </w:rPr>
        <w:t>услуг</w:t>
      </w:r>
      <w:r w:rsidRPr="00A87B1C">
        <w:rPr>
          <w:lang w:val="ru-RU"/>
        </w:rPr>
        <w:t xml:space="preserve">, </w:t>
      </w:r>
      <w:r>
        <w:rPr>
          <w:lang w:val="ru-RU"/>
        </w:rPr>
        <w:t>целью</w:t>
      </w:r>
      <w:r w:rsidRPr="00A87B1C">
        <w:rPr>
          <w:lang w:val="ru-RU"/>
        </w:rPr>
        <w:t xml:space="preserve"> </w:t>
      </w:r>
      <w:r>
        <w:rPr>
          <w:lang w:val="ru-RU"/>
        </w:rPr>
        <w:t>которых</w:t>
      </w:r>
      <w:r w:rsidRPr="00A87B1C">
        <w:rPr>
          <w:lang w:val="ru-RU"/>
        </w:rPr>
        <w:t xml:space="preserve"> </w:t>
      </w:r>
      <w:r>
        <w:rPr>
          <w:lang w:val="ru-RU"/>
        </w:rPr>
        <w:t>является</w:t>
      </w:r>
      <w:r w:rsidRPr="00A87B1C">
        <w:rPr>
          <w:lang w:val="ru-RU"/>
        </w:rPr>
        <w:t xml:space="preserve"> </w:t>
      </w:r>
      <w:r>
        <w:rPr>
          <w:lang w:val="ru-RU"/>
        </w:rPr>
        <w:t>поддержка</w:t>
      </w:r>
      <w:r w:rsidRPr="00A87B1C">
        <w:rPr>
          <w:lang w:val="ru-RU"/>
        </w:rPr>
        <w:t xml:space="preserve"> </w:t>
      </w:r>
      <w:r>
        <w:rPr>
          <w:lang w:val="ru-RU"/>
        </w:rPr>
        <w:t>внутриорганизационных</w:t>
      </w:r>
      <w:r w:rsidRPr="00A87B1C">
        <w:rPr>
          <w:lang w:val="ru-RU"/>
        </w:rPr>
        <w:t xml:space="preserve"> </w:t>
      </w:r>
      <w:r>
        <w:rPr>
          <w:lang w:val="ru-RU"/>
        </w:rPr>
        <w:t>клиентов</w:t>
      </w:r>
      <w:r w:rsidRPr="00A87B1C">
        <w:rPr>
          <w:lang w:val="ru-RU"/>
        </w:rPr>
        <w:t xml:space="preserve"> </w:t>
      </w:r>
      <w:r>
        <w:rPr>
          <w:lang w:val="ru-RU"/>
        </w:rPr>
        <w:t>и</w:t>
      </w:r>
      <w:r w:rsidRPr="00A87B1C">
        <w:rPr>
          <w:lang w:val="ru-RU"/>
        </w:rPr>
        <w:t xml:space="preserve"> </w:t>
      </w:r>
      <w:r>
        <w:rPr>
          <w:lang w:val="ru-RU"/>
        </w:rPr>
        <w:t>повышение</w:t>
      </w:r>
      <w:r w:rsidRPr="00A87B1C">
        <w:rPr>
          <w:lang w:val="ru-RU"/>
        </w:rPr>
        <w:t xml:space="preserve"> </w:t>
      </w:r>
      <w:r>
        <w:rPr>
          <w:lang w:val="ru-RU"/>
        </w:rPr>
        <w:t>уровня</w:t>
      </w:r>
      <w:r w:rsidRPr="00A87B1C">
        <w:rPr>
          <w:lang w:val="ru-RU"/>
        </w:rPr>
        <w:t xml:space="preserve"> </w:t>
      </w:r>
      <w:r>
        <w:rPr>
          <w:lang w:val="ru-RU"/>
        </w:rPr>
        <w:t>их</w:t>
      </w:r>
      <w:r w:rsidRPr="00A87B1C">
        <w:rPr>
          <w:lang w:val="ru-RU"/>
        </w:rPr>
        <w:t xml:space="preserve"> </w:t>
      </w:r>
      <w:r>
        <w:rPr>
          <w:lang w:val="ru-RU"/>
        </w:rPr>
        <w:t>удовлетворенности, для того, чтобы обеспечить расширение доступа и повысить качество управления контентом в интранете, необходимо у</w:t>
      </w:r>
      <w:r w:rsidR="00046C7F">
        <w:rPr>
          <w:lang w:val="ru-RU"/>
        </w:rPr>
        <w:t>странить ряд имеющихся проблем.</w:t>
      </w:r>
    </w:p>
    <w:p w14:paraId="292E3561" w14:textId="5301D80C" w:rsidR="001635B5" w:rsidRPr="00857006" w:rsidRDefault="00857006" w:rsidP="001635B5">
      <w:pPr>
        <w:pStyle w:val="ONUME"/>
        <w:rPr>
          <w:lang w:val="ru-RU"/>
        </w:rPr>
      </w:pPr>
      <w:r>
        <w:rPr>
          <w:lang w:val="ru-RU"/>
        </w:rPr>
        <w:t>Что</w:t>
      </w:r>
      <w:r w:rsidRPr="00857006">
        <w:rPr>
          <w:lang w:val="ru-RU"/>
        </w:rPr>
        <w:t xml:space="preserve"> </w:t>
      </w:r>
      <w:r>
        <w:rPr>
          <w:lang w:val="ru-RU"/>
        </w:rPr>
        <w:t>касается</w:t>
      </w:r>
      <w:r w:rsidRPr="00857006">
        <w:rPr>
          <w:lang w:val="ru-RU"/>
        </w:rPr>
        <w:t xml:space="preserve"> </w:t>
      </w:r>
      <w:r>
        <w:rPr>
          <w:lang w:val="ru-RU"/>
        </w:rPr>
        <w:t>будущих</w:t>
      </w:r>
      <w:r w:rsidRPr="00857006">
        <w:rPr>
          <w:lang w:val="ru-RU"/>
        </w:rPr>
        <w:t xml:space="preserve"> </w:t>
      </w:r>
      <w:r>
        <w:rPr>
          <w:lang w:val="ru-RU"/>
        </w:rPr>
        <w:t>перспектив</w:t>
      </w:r>
      <w:r w:rsidRPr="00857006">
        <w:rPr>
          <w:lang w:val="ru-RU"/>
        </w:rPr>
        <w:t xml:space="preserve">, </w:t>
      </w:r>
      <w:r>
        <w:rPr>
          <w:lang w:val="ru-RU"/>
        </w:rPr>
        <w:t>то</w:t>
      </w:r>
      <w:r w:rsidRPr="00857006">
        <w:rPr>
          <w:lang w:val="ru-RU"/>
        </w:rPr>
        <w:t xml:space="preserve"> </w:t>
      </w:r>
      <w:r>
        <w:rPr>
          <w:lang w:val="ru-RU"/>
        </w:rPr>
        <w:t>имеются</w:t>
      </w:r>
      <w:r w:rsidRPr="00857006">
        <w:rPr>
          <w:lang w:val="ru-RU"/>
        </w:rPr>
        <w:t xml:space="preserve"> </w:t>
      </w:r>
      <w:r w:rsidR="00046C7F">
        <w:rPr>
          <w:lang w:val="ru-RU"/>
        </w:rPr>
        <w:t>возможности для того, чтобы:</w:t>
      </w:r>
    </w:p>
    <w:p w14:paraId="6CC2A307" w14:textId="6EC1D846" w:rsidR="001635B5" w:rsidRPr="00857006" w:rsidRDefault="00857006" w:rsidP="002C23BF">
      <w:pPr>
        <w:pStyle w:val="ONUME"/>
        <w:numPr>
          <w:ilvl w:val="1"/>
          <w:numId w:val="2"/>
        </w:numPr>
        <w:rPr>
          <w:lang w:val="ru-RU"/>
        </w:rPr>
      </w:pPr>
      <w:r>
        <w:rPr>
          <w:lang w:val="ru-RU"/>
        </w:rPr>
        <w:t>интегрировать</w:t>
      </w:r>
      <w:r w:rsidRPr="00857006">
        <w:rPr>
          <w:lang w:val="ru-RU"/>
        </w:rPr>
        <w:t xml:space="preserve"> </w:t>
      </w:r>
      <w:r>
        <w:rPr>
          <w:lang w:val="ru-RU"/>
        </w:rPr>
        <w:t>в</w:t>
      </w:r>
      <w:r w:rsidRPr="00857006">
        <w:rPr>
          <w:lang w:val="ru-RU"/>
        </w:rPr>
        <w:t xml:space="preserve"> </w:t>
      </w:r>
      <w:r>
        <w:rPr>
          <w:lang w:val="ru-RU"/>
        </w:rPr>
        <w:t>процесс</w:t>
      </w:r>
      <w:r w:rsidRPr="00857006">
        <w:rPr>
          <w:lang w:val="ru-RU"/>
        </w:rPr>
        <w:t xml:space="preserve"> </w:t>
      </w:r>
      <w:r>
        <w:rPr>
          <w:lang w:val="ru-RU"/>
        </w:rPr>
        <w:t>управления</w:t>
      </w:r>
      <w:r w:rsidRPr="00857006">
        <w:rPr>
          <w:lang w:val="ru-RU"/>
        </w:rPr>
        <w:t xml:space="preserve"> </w:t>
      </w:r>
      <w:r>
        <w:rPr>
          <w:lang w:val="ru-RU"/>
        </w:rPr>
        <w:t>услугами</w:t>
      </w:r>
      <w:r w:rsidRPr="00857006">
        <w:rPr>
          <w:lang w:val="ru-RU"/>
        </w:rPr>
        <w:t xml:space="preserve"> </w:t>
      </w:r>
      <w:r>
        <w:rPr>
          <w:lang w:val="ru-RU"/>
        </w:rPr>
        <w:t>такие</w:t>
      </w:r>
      <w:r w:rsidRPr="00857006">
        <w:rPr>
          <w:lang w:val="ru-RU"/>
        </w:rPr>
        <w:t xml:space="preserve"> </w:t>
      </w:r>
      <w:r>
        <w:rPr>
          <w:lang w:val="ru-RU"/>
        </w:rPr>
        <w:t>новые</w:t>
      </w:r>
      <w:r w:rsidRPr="00857006">
        <w:rPr>
          <w:lang w:val="ru-RU"/>
        </w:rPr>
        <w:t xml:space="preserve"> </w:t>
      </w:r>
      <w:r>
        <w:rPr>
          <w:lang w:val="ru-RU"/>
        </w:rPr>
        <w:t>технологии</w:t>
      </w:r>
      <w:r w:rsidRPr="00857006">
        <w:rPr>
          <w:lang w:val="ru-RU"/>
        </w:rPr>
        <w:t xml:space="preserve">, </w:t>
      </w:r>
      <w:r>
        <w:rPr>
          <w:lang w:val="ru-RU"/>
        </w:rPr>
        <w:t>как</w:t>
      </w:r>
      <w:r w:rsidRPr="00857006">
        <w:rPr>
          <w:lang w:val="ru-RU"/>
        </w:rPr>
        <w:t xml:space="preserve"> </w:t>
      </w:r>
      <w:r>
        <w:rPr>
          <w:lang w:val="ru-RU"/>
        </w:rPr>
        <w:t>искусственный</w:t>
      </w:r>
      <w:r w:rsidRPr="00857006">
        <w:rPr>
          <w:lang w:val="ru-RU"/>
        </w:rPr>
        <w:t xml:space="preserve"> </w:t>
      </w:r>
      <w:r>
        <w:rPr>
          <w:lang w:val="ru-RU"/>
        </w:rPr>
        <w:t>интеллект</w:t>
      </w:r>
      <w:r w:rsidRPr="00857006">
        <w:rPr>
          <w:lang w:val="ru-RU"/>
        </w:rPr>
        <w:t xml:space="preserve"> (</w:t>
      </w:r>
      <w:r>
        <w:rPr>
          <w:lang w:val="ru-RU"/>
        </w:rPr>
        <w:t>ИИ</w:t>
      </w:r>
      <w:r w:rsidRPr="00857006">
        <w:rPr>
          <w:lang w:val="ru-RU"/>
        </w:rPr>
        <w:t xml:space="preserve">), </w:t>
      </w:r>
      <w:r>
        <w:rPr>
          <w:lang w:val="ru-RU"/>
        </w:rPr>
        <w:t>роботизированная</w:t>
      </w:r>
      <w:r w:rsidRPr="00857006">
        <w:rPr>
          <w:lang w:val="ru-RU"/>
        </w:rPr>
        <w:t xml:space="preserve"> </w:t>
      </w:r>
      <w:r>
        <w:rPr>
          <w:lang w:val="ru-RU"/>
        </w:rPr>
        <w:t>автоматизация</w:t>
      </w:r>
      <w:r w:rsidRPr="00857006">
        <w:rPr>
          <w:lang w:val="ru-RU"/>
        </w:rPr>
        <w:t xml:space="preserve"> </w:t>
      </w:r>
      <w:r>
        <w:rPr>
          <w:lang w:val="ru-RU"/>
        </w:rPr>
        <w:t>процессов</w:t>
      </w:r>
      <w:r w:rsidRPr="00857006">
        <w:rPr>
          <w:lang w:val="ru-RU"/>
        </w:rPr>
        <w:t xml:space="preserve"> (</w:t>
      </w:r>
      <w:r>
        <w:rPr>
          <w:lang w:val="ru-RU"/>
        </w:rPr>
        <w:t>РАП</w:t>
      </w:r>
      <w:r w:rsidRPr="00857006">
        <w:rPr>
          <w:lang w:val="ru-RU"/>
        </w:rPr>
        <w:t>)</w:t>
      </w:r>
      <w:r w:rsidR="001635B5" w:rsidRPr="0047206B">
        <w:rPr>
          <w:vertAlign w:val="superscript"/>
        </w:rPr>
        <w:footnoteReference w:id="7"/>
      </w:r>
      <w:r w:rsidR="001635B5" w:rsidRPr="00857006">
        <w:rPr>
          <w:lang w:val="ru-RU"/>
        </w:rPr>
        <w:t xml:space="preserve"> </w:t>
      </w:r>
      <w:r>
        <w:rPr>
          <w:lang w:val="ru-RU"/>
        </w:rPr>
        <w:t xml:space="preserve">и машинное обучение, с тем чтобы повысить ценность оказываемых услуг, а также качество и уровень обслуживания клиентов;  и </w:t>
      </w:r>
    </w:p>
    <w:p w14:paraId="34DC5A1C" w14:textId="7ECA90EA" w:rsidR="001635B5" w:rsidRPr="00CE0303" w:rsidRDefault="00A47A46" w:rsidP="002C23BF">
      <w:pPr>
        <w:pStyle w:val="ONUME"/>
        <w:numPr>
          <w:ilvl w:val="1"/>
          <w:numId w:val="2"/>
        </w:numPr>
        <w:rPr>
          <w:lang w:val="ru-RU"/>
        </w:rPr>
      </w:pPr>
      <w:r>
        <w:rPr>
          <w:lang w:val="ru-RU"/>
        </w:rPr>
        <w:t>рассмотреть</w:t>
      </w:r>
      <w:r w:rsidRPr="00A47A46">
        <w:rPr>
          <w:lang w:val="ru-RU"/>
        </w:rPr>
        <w:t xml:space="preserve"> </w:t>
      </w:r>
      <w:r>
        <w:rPr>
          <w:lang w:val="ru-RU"/>
        </w:rPr>
        <w:t>вопрос</w:t>
      </w:r>
      <w:r w:rsidRPr="00A47A46">
        <w:rPr>
          <w:lang w:val="ru-RU"/>
        </w:rPr>
        <w:t xml:space="preserve"> </w:t>
      </w:r>
      <w:r>
        <w:rPr>
          <w:lang w:val="ru-RU"/>
        </w:rPr>
        <w:t>о</w:t>
      </w:r>
      <w:r w:rsidRPr="00A47A46">
        <w:rPr>
          <w:lang w:val="ru-RU"/>
        </w:rPr>
        <w:t xml:space="preserve"> </w:t>
      </w:r>
      <w:r>
        <w:rPr>
          <w:lang w:val="ru-RU"/>
        </w:rPr>
        <w:t>целесообразности</w:t>
      </w:r>
      <w:r w:rsidRPr="00A47A46">
        <w:rPr>
          <w:lang w:val="ru-RU"/>
        </w:rPr>
        <w:t xml:space="preserve"> </w:t>
      </w:r>
      <w:r>
        <w:rPr>
          <w:lang w:val="ru-RU"/>
        </w:rPr>
        <w:t>перехода</w:t>
      </w:r>
      <w:r w:rsidRPr="00A47A46">
        <w:rPr>
          <w:lang w:val="ru-RU"/>
        </w:rPr>
        <w:t xml:space="preserve"> </w:t>
      </w:r>
      <w:r>
        <w:rPr>
          <w:lang w:val="ru-RU"/>
        </w:rPr>
        <w:t>Организации</w:t>
      </w:r>
      <w:r w:rsidRPr="00A47A46">
        <w:rPr>
          <w:lang w:val="ru-RU"/>
        </w:rPr>
        <w:t xml:space="preserve"> </w:t>
      </w:r>
      <w:r>
        <w:rPr>
          <w:lang w:val="ru-RU"/>
        </w:rPr>
        <w:t>на</w:t>
      </w:r>
      <w:r w:rsidRPr="00A47A46">
        <w:rPr>
          <w:lang w:val="ru-RU"/>
        </w:rPr>
        <w:t xml:space="preserve"> </w:t>
      </w:r>
      <w:r>
        <w:rPr>
          <w:lang w:val="ru-RU"/>
        </w:rPr>
        <w:t>единую</w:t>
      </w:r>
      <w:r w:rsidRPr="00A47A46">
        <w:rPr>
          <w:lang w:val="ru-RU"/>
        </w:rPr>
        <w:t xml:space="preserve"> </w:t>
      </w:r>
      <w:r>
        <w:rPr>
          <w:lang w:val="ru-RU"/>
        </w:rPr>
        <w:t>систему</w:t>
      </w:r>
      <w:r w:rsidRPr="00A47A46">
        <w:rPr>
          <w:lang w:val="ru-RU"/>
        </w:rPr>
        <w:t xml:space="preserve"> </w:t>
      </w:r>
      <w:r>
        <w:rPr>
          <w:lang w:val="ru-RU"/>
        </w:rPr>
        <w:t>управления</w:t>
      </w:r>
      <w:r w:rsidRPr="00A47A46">
        <w:rPr>
          <w:lang w:val="ru-RU"/>
        </w:rPr>
        <w:t xml:space="preserve"> </w:t>
      </w:r>
      <w:r>
        <w:rPr>
          <w:lang w:val="ru-RU"/>
        </w:rPr>
        <w:t>внутренними</w:t>
      </w:r>
      <w:r w:rsidRPr="00A47A46">
        <w:rPr>
          <w:lang w:val="ru-RU"/>
        </w:rPr>
        <w:t xml:space="preserve"> </w:t>
      </w:r>
      <w:r>
        <w:rPr>
          <w:lang w:val="ru-RU"/>
        </w:rPr>
        <w:t>услугами</w:t>
      </w:r>
      <w:r w:rsidRPr="00A47A46">
        <w:rPr>
          <w:lang w:val="ru-RU"/>
        </w:rPr>
        <w:t xml:space="preserve">, </w:t>
      </w:r>
      <w:r>
        <w:rPr>
          <w:lang w:val="ru-RU"/>
        </w:rPr>
        <w:t xml:space="preserve">включая общий инструментарий и согласованные принципы.  </w:t>
      </w:r>
    </w:p>
    <w:p w14:paraId="0479AD29" w14:textId="7ACB64E1" w:rsidR="001635B5" w:rsidRPr="00A47A46" w:rsidRDefault="00A47A46" w:rsidP="001635B5">
      <w:pPr>
        <w:pStyle w:val="Heading2"/>
      </w:pPr>
      <w:bookmarkStart w:id="32" w:name="_Toc40299726"/>
      <w:r>
        <w:rPr>
          <w:lang w:val="ru-RU"/>
        </w:rPr>
        <w:t>аудиторская</w:t>
      </w:r>
      <w:r w:rsidRPr="00A47A46">
        <w:t xml:space="preserve"> </w:t>
      </w:r>
      <w:r>
        <w:rPr>
          <w:lang w:val="ru-RU"/>
        </w:rPr>
        <w:t>проверка</w:t>
      </w:r>
      <w:r w:rsidRPr="00A47A46">
        <w:t xml:space="preserve"> </w:t>
      </w:r>
      <w:r>
        <w:rPr>
          <w:lang w:val="ru-RU"/>
        </w:rPr>
        <w:t>закрытия финансовой отчетности</w:t>
      </w:r>
      <w:bookmarkEnd w:id="32"/>
      <w:r>
        <w:rPr>
          <w:lang w:val="ru-RU"/>
        </w:rPr>
        <w:t xml:space="preserve"> </w:t>
      </w:r>
    </w:p>
    <w:p w14:paraId="4AF49EDD" w14:textId="4602F8F4" w:rsidR="0031229D" w:rsidRPr="00F907C7" w:rsidRDefault="00A47A46" w:rsidP="0031229D">
      <w:pPr>
        <w:pStyle w:val="ONUME"/>
        <w:rPr>
          <w:lang w:val="ru-RU"/>
        </w:rPr>
      </w:pPr>
      <w:r>
        <w:rPr>
          <w:lang w:val="ru-RU"/>
        </w:rPr>
        <w:t>Хотя</w:t>
      </w:r>
      <w:r w:rsidRPr="00A47A46">
        <w:rPr>
          <w:lang w:val="ru-RU"/>
        </w:rPr>
        <w:t xml:space="preserve"> </w:t>
      </w:r>
      <w:r>
        <w:rPr>
          <w:lang w:val="ru-RU"/>
        </w:rPr>
        <w:t>аудиторская</w:t>
      </w:r>
      <w:r w:rsidRPr="00A47A46">
        <w:rPr>
          <w:lang w:val="ru-RU"/>
        </w:rPr>
        <w:t xml:space="preserve"> </w:t>
      </w:r>
      <w:r>
        <w:rPr>
          <w:lang w:val="ru-RU"/>
        </w:rPr>
        <w:t>проверка</w:t>
      </w:r>
      <w:r w:rsidRPr="00A47A46">
        <w:rPr>
          <w:lang w:val="ru-RU"/>
        </w:rPr>
        <w:t xml:space="preserve"> </w:t>
      </w:r>
      <w:r>
        <w:rPr>
          <w:lang w:val="ru-RU"/>
        </w:rPr>
        <w:t>показала</w:t>
      </w:r>
      <w:r w:rsidRPr="00A47A46">
        <w:rPr>
          <w:lang w:val="ru-RU"/>
        </w:rPr>
        <w:t xml:space="preserve">, </w:t>
      </w:r>
      <w:r>
        <w:rPr>
          <w:lang w:val="ru-RU"/>
        </w:rPr>
        <w:t>что</w:t>
      </w:r>
      <w:r w:rsidRPr="00A47A46">
        <w:rPr>
          <w:lang w:val="ru-RU"/>
        </w:rPr>
        <w:t xml:space="preserve"> </w:t>
      </w:r>
      <w:r w:rsidR="00F907C7">
        <w:rPr>
          <w:lang w:val="ru-RU"/>
        </w:rPr>
        <w:t xml:space="preserve">в целом </w:t>
      </w:r>
      <w:r>
        <w:rPr>
          <w:lang w:val="ru-RU"/>
        </w:rPr>
        <w:t>процедуры</w:t>
      </w:r>
      <w:r w:rsidRPr="00A47A46">
        <w:rPr>
          <w:lang w:val="ru-RU"/>
        </w:rPr>
        <w:t xml:space="preserve"> </w:t>
      </w:r>
      <w:r>
        <w:rPr>
          <w:lang w:val="ru-RU"/>
        </w:rPr>
        <w:t>закрытия</w:t>
      </w:r>
      <w:r w:rsidRPr="00A47A46">
        <w:rPr>
          <w:lang w:val="ru-RU"/>
        </w:rPr>
        <w:t xml:space="preserve"> </w:t>
      </w:r>
      <w:r>
        <w:rPr>
          <w:lang w:val="ru-RU"/>
        </w:rPr>
        <w:t>финансовой</w:t>
      </w:r>
      <w:r w:rsidRPr="00A47A46">
        <w:rPr>
          <w:lang w:val="ru-RU"/>
        </w:rPr>
        <w:t xml:space="preserve"> </w:t>
      </w:r>
      <w:r>
        <w:rPr>
          <w:lang w:val="ru-RU"/>
        </w:rPr>
        <w:t>отчетности</w:t>
      </w:r>
      <w:r w:rsidRPr="00A47A46">
        <w:rPr>
          <w:lang w:val="ru-RU"/>
        </w:rPr>
        <w:t xml:space="preserve"> </w:t>
      </w:r>
      <w:r>
        <w:rPr>
          <w:lang w:val="ru-RU"/>
        </w:rPr>
        <w:t>работают</w:t>
      </w:r>
      <w:r w:rsidRPr="00A47A46">
        <w:rPr>
          <w:lang w:val="ru-RU"/>
        </w:rPr>
        <w:t xml:space="preserve"> </w:t>
      </w:r>
      <w:r>
        <w:rPr>
          <w:lang w:val="ru-RU"/>
        </w:rPr>
        <w:t>хорошо</w:t>
      </w:r>
      <w:r w:rsidRPr="00A47A46">
        <w:rPr>
          <w:lang w:val="ru-RU"/>
        </w:rPr>
        <w:t xml:space="preserve">, </w:t>
      </w:r>
      <w:r>
        <w:rPr>
          <w:lang w:val="ru-RU"/>
        </w:rPr>
        <w:t>имеются</w:t>
      </w:r>
      <w:r w:rsidRPr="00A47A46">
        <w:rPr>
          <w:lang w:val="ru-RU"/>
        </w:rPr>
        <w:t xml:space="preserve"> </w:t>
      </w:r>
      <w:r>
        <w:rPr>
          <w:lang w:val="ru-RU"/>
        </w:rPr>
        <w:t>возможности</w:t>
      </w:r>
      <w:r w:rsidRPr="00A47A46">
        <w:rPr>
          <w:lang w:val="ru-RU"/>
        </w:rPr>
        <w:t xml:space="preserve"> </w:t>
      </w:r>
      <w:r>
        <w:rPr>
          <w:lang w:val="ru-RU"/>
        </w:rPr>
        <w:t>для</w:t>
      </w:r>
      <w:r w:rsidRPr="00A47A46">
        <w:rPr>
          <w:lang w:val="ru-RU"/>
        </w:rPr>
        <w:t xml:space="preserve"> </w:t>
      </w:r>
      <w:r>
        <w:rPr>
          <w:lang w:val="ru-RU"/>
        </w:rPr>
        <w:t>дальнейшего</w:t>
      </w:r>
      <w:r w:rsidRPr="00A47A46">
        <w:rPr>
          <w:lang w:val="ru-RU"/>
        </w:rPr>
        <w:t xml:space="preserve"> </w:t>
      </w:r>
      <w:r>
        <w:rPr>
          <w:lang w:val="ru-RU"/>
        </w:rPr>
        <w:t>повышения</w:t>
      </w:r>
      <w:r w:rsidRPr="00A47A46">
        <w:rPr>
          <w:lang w:val="ru-RU"/>
        </w:rPr>
        <w:t xml:space="preserve"> </w:t>
      </w:r>
      <w:r>
        <w:rPr>
          <w:lang w:val="ru-RU"/>
        </w:rPr>
        <w:t>эффективности</w:t>
      </w:r>
      <w:r w:rsidRPr="00A47A46">
        <w:rPr>
          <w:lang w:val="ru-RU"/>
        </w:rPr>
        <w:t xml:space="preserve"> </w:t>
      </w:r>
      <w:r>
        <w:rPr>
          <w:lang w:val="ru-RU"/>
        </w:rPr>
        <w:t>работы</w:t>
      </w:r>
      <w:r w:rsidRPr="00A47A46">
        <w:rPr>
          <w:lang w:val="ru-RU"/>
        </w:rPr>
        <w:t xml:space="preserve"> </w:t>
      </w:r>
      <w:r>
        <w:rPr>
          <w:lang w:val="ru-RU"/>
        </w:rPr>
        <w:t>в</w:t>
      </w:r>
      <w:r w:rsidRPr="00A47A46">
        <w:rPr>
          <w:lang w:val="ru-RU"/>
        </w:rPr>
        <w:t xml:space="preserve"> </w:t>
      </w:r>
      <w:r>
        <w:rPr>
          <w:lang w:val="ru-RU"/>
        </w:rPr>
        <w:t>рамках</w:t>
      </w:r>
      <w:r w:rsidRPr="00A47A46">
        <w:rPr>
          <w:lang w:val="ru-RU"/>
        </w:rPr>
        <w:t xml:space="preserve"> </w:t>
      </w:r>
      <w:r>
        <w:rPr>
          <w:lang w:val="ru-RU"/>
        </w:rPr>
        <w:t>цикла</w:t>
      </w:r>
      <w:r w:rsidRPr="00A47A46">
        <w:rPr>
          <w:lang w:val="ru-RU"/>
        </w:rPr>
        <w:t xml:space="preserve"> «</w:t>
      </w:r>
      <w:r>
        <w:rPr>
          <w:lang w:val="ru-RU"/>
        </w:rPr>
        <w:t>закупки</w:t>
      </w:r>
      <w:r w:rsidRPr="00A47A46">
        <w:rPr>
          <w:lang w:val="ru-RU"/>
        </w:rPr>
        <w:t xml:space="preserve"> – </w:t>
      </w:r>
      <w:r w:rsidR="00046C7F">
        <w:rPr>
          <w:lang w:val="ru-RU"/>
        </w:rPr>
        <w:t>оплата».</w:t>
      </w:r>
    </w:p>
    <w:p w14:paraId="257F5B21" w14:textId="04AEEE67" w:rsidR="0031229D" w:rsidRPr="00CE0303" w:rsidRDefault="007305B0" w:rsidP="0031229D">
      <w:pPr>
        <w:pStyle w:val="ONUME"/>
        <w:rPr>
          <w:lang w:val="ru-RU"/>
        </w:rPr>
      </w:pPr>
      <w:r>
        <w:rPr>
          <w:lang w:val="ru-RU"/>
        </w:rPr>
        <w:t>ОВН</w:t>
      </w:r>
      <w:r w:rsidRPr="007305B0">
        <w:rPr>
          <w:lang w:val="ru-RU"/>
        </w:rPr>
        <w:t xml:space="preserve"> </w:t>
      </w:r>
      <w:r>
        <w:rPr>
          <w:lang w:val="ru-RU"/>
        </w:rPr>
        <w:t>отметил</w:t>
      </w:r>
      <w:r w:rsidRPr="007305B0">
        <w:rPr>
          <w:lang w:val="ru-RU"/>
        </w:rPr>
        <w:t xml:space="preserve"> </w:t>
      </w:r>
      <w:r>
        <w:rPr>
          <w:lang w:val="ru-RU"/>
        </w:rPr>
        <w:t>увеличение</w:t>
      </w:r>
      <w:r w:rsidRPr="007305B0">
        <w:rPr>
          <w:lang w:val="ru-RU"/>
        </w:rPr>
        <w:t xml:space="preserve"> </w:t>
      </w:r>
      <w:r>
        <w:rPr>
          <w:lang w:val="ru-RU"/>
        </w:rPr>
        <w:t>рабочих</w:t>
      </w:r>
      <w:r w:rsidRPr="007305B0">
        <w:rPr>
          <w:lang w:val="ru-RU"/>
        </w:rPr>
        <w:t xml:space="preserve"> </w:t>
      </w:r>
      <w:r>
        <w:rPr>
          <w:lang w:val="ru-RU"/>
        </w:rPr>
        <w:t>нагрузок</w:t>
      </w:r>
      <w:r w:rsidRPr="007305B0">
        <w:rPr>
          <w:lang w:val="ru-RU"/>
        </w:rPr>
        <w:t xml:space="preserve">, </w:t>
      </w:r>
      <w:r>
        <w:rPr>
          <w:lang w:val="ru-RU"/>
        </w:rPr>
        <w:t>связанных</w:t>
      </w:r>
      <w:r w:rsidRPr="007305B0">
        <w:rPr>
          <w:lang w:val="ru-RU"/>
        </w:rPr>
        <w:t xml:space="preserve"> </w:t>
      </w:r>
      <w:r>
        <w:rPr>
          <w:lang w:val="ru-RU"/>
        </w:rPr>
        <w:t>с</w:t>
      </w:r>
      <w:r w:rsidRPr="007305B0">
        <w:rPr>
          <w:lang w:val="ru-RU"/>
        </w:rPr>
        <w:t xml:space="preserve"> </w:t>
      </w:r>
      <w:r>
        <w:rPr>
          <w:lang w:val="ru-RU"/>
        </w:rPr>
        <w:t>закрытием</w:t>
      </w:r>
      <w:r w:rsidRPr="007305B0">
        <w:rPr>
          <w:lang w:val="ru-RU"/>
        </w:rPr>
        <w:t xml:space="preserve"> </w:t>
      </w:r>
      <w:r>
        <w:rPr>
          <w:lang w:val="ru-RU"/>
        </w:rPr>
        <w:t>договоров</w:t>
      </w:r>
      <w:r w:rsidRPr="007305B0">
        <w:rPr>
          <w:lang w:val="ru-RU"/>
        </w:rPr>
        <w:t>-</w:t>
      </w:r>
      <w:r>
        <w:rPr>
          <w:lang w:val="ru-RU"/>
        </w:rPr>
        <w:t>заявок</w:t>
      </w:r>
      <w:r w:rsidRPr="007305B0">
        <w:rPr>
          <w:lang w:val="ru-RU"/>
        </w:rPr>
        <w:t xml:space="preserve"> (</w:t>
      </w:r>
      <w:r>
        <w:rPr>
          <w:lang w:val="ru-RU"/>
        </w:rPr>
        <w:t>ДЗ</w:t>
      </w:r>
      <w:r w:rsidRPr="007305B0">
        <w:rPr>
          <w:lang w:val="ru-RU"/>
        </w:rPr>
        <w:t xml:space="preserve">), </w:t>
      </w:r>
      <w:r>
        <w:rPr>
          <w:lang w:val="ru-RU"/>
        </w:rPr>
        <w:t>в</w:t>
      </w:r>
      <w:r w:rsidRPr="007305B0">
        <w:rPr>
          <w:lang w:val="ru-RU"/>
        </w:rPr>
        <w:t xml:space="preserve"> </w:t>
      </w:r>
      <w:r>
        <w:rPr>
          <w:lang w:val="ru-RU"/>
        </w:rPr>
        <w:t>периоды</w:t>
      </w:r>
      <w:r w:rsidRPr="007305B0">
        <w:rPr>
          <w:lang w:val="ru-RU"/>
        </w:rPr>
        <w:t xml:space="preserve">, </w:t>
      </w:r>
      <w:r>
        <w:rPr>
          <w:lang w:val="ru-RU"/>
        </w:rPr>
        <w:t>непосредственно</w:t>
      </w:r>
      <w:r w:rsidRPr="007305B0">
        <w:rPr>
          <w:lang w:val="ru-RU"/>
        </w:rPr>
        <w:t xml:space="preserve"> </w:t>
      </w:r>
      <w:r>
        <w:rPr>
          <w:lang w:val="ru-RU"/>
        </w:rPr>
        <w:t>предшествующие</w:t>
      </w:r>
      <w:r w:rsidRPr="007305B0">
        <w:rPr>
          <w:lang w:val="ru-RU"/>
        </w:rPr>
        <w:t xml:space="preserve"> </w:t>
      </w:r>
      <w:r>
        <w:rPr>
          <w:lang w:val="ru-RU"/>
        </w:rPr>
        <w:t>окончанию</w:t>
      </w:r>
      <w:r w:rsidRPr="007305B0">
        <w:rPr>
          <w:lang w:val="ru-RU"/>
        </w:rPr>
        <w:t xml:space="preserve"> </w:t>
      </w:r>
      <w:r>
        <w:rPr>
          <w:lang w:val="ru-RU"/>
        </w:rPr>
        <w:t>года</w:t>
      </w:r>
      <w:r w:rsidRPr="007305B0">
        <w:rPr>
          <w:lang w:val="ru-RU"/>
        </w:rPr>
        <w:t xml:space="preserve"> </w:t>
      </w:r>
      <w:r>
        <w:rPr>
          <w:lang w:val="ru-RU"/>
        </w:rPr>
        <w:t>и</w:t>
      </w:r>
      <w:r w:rsidRPr="007305B0">
        <w:rPr>
          <w:lang w:val="ru-RU"/>
        </w:rPr>
        <w:t xml:space="preserve"> </w:t>
      </w:r>
      <w:r>
        <w:rPr>
          <w:lang w:val="ru-RU"/>
        </w:rPr>
        <w:t>следующие</w:t>
      </w:r>
      <w:r w:rsidRPr="007305B0">
        <w:rPr>
          <w:lang w:val="ru-RU"/>
        </w:rPr>
        <w:t xml:space="preserve"> </w:t>
      </w:r>
      <w:r>
        <w:rPr>
          <w:lang w:val="ru-RU"/>
        </w:rPr>
        <w:t>за</w:t>
      </w:r>
      <w:r w:rsidRPr="007305B0">
        <w:rPr>
          <w:lang w:val="ru-RU"/>
        </w:rPr>
        <w:t xml:space="preserve"> </w:t>
      </w:r>
      <w:r>
        <w:rPr>
          <w:lang w:val="ru-RU"/>
        </w:rPr>
        <w:t>ним</w:t>
      </w:r>
      <w:r w:rsidRPr="007305B0">
        <w:rPr>
          <w:lang w:val="ru-RU"/>
        </w:rPr>
        <w:t xml:space="preserve"> (</w:t>
      </w:r>
      <w:r>
        <w:rPr>
          <w:lang w:val="ru-RU"/>
        </w:rPr>
        <w:t>перенос</w:t>
      </w:r>
      <w:r w:rsidRPr="007305B0">
        <w:rPr>
          <w:lang w:val="ru-RU"/>
        </w:rPr>
        <w:t xml:space="preserve"> </w:t>
      </w:r>
      <w:r>
        <w:rPr>
          <w:lang w:val="ru-RU"/>
        </w:rPr>
        <w:t>с</w:t>
      </w:r>
      <w:r w:rsidRPr="007305B0">
        <w:rPr>
          <w:lang w:val="ru-RU"/>
        </w:rPr>
        <w:t xml:space="preserve"> </w:t>
      </w:r>
      <w:r>
        <w:rPr>
          <w:lang w:val="ru-RU"/>
        </w:rPr>
        <w:t>предшествующего</w:t>
      </w:r>
      <w:r w:rsidRPr="007305B0">
        <w:rPr>
          <w:lang w:val="ru-RU"/>
        </w:rPr>
        <w:t xml:space="preserve"> </w:t>
      </w:r>
      <w:r>
        <w:rPr>
          <w:lang w:val="ru-RU"/>
        </w:rPr>
        <w:t>года</w:t>
      </w:r>
      <w:r w:rsidRPr="007305B0">
        <w:rPr>
          <w:lang w:val="ru-RU"/>
        </w:rPr>
        <w:t xml:space="preserve">), </w:t>
      </w:r>
      <w:r>
        <w:rPr>
          <w:lang w:val="ru-RU"/>
        </w:rPr>
        <w:t>что</w:t>
      </w:r>
      <w:r w:rsidRPr="007305B0">
        <w:rPr>
          <w:lang w:val="ru-RU"/>
        </w:rPr>
        <w:t xml:space="preserve"> </w:t>
      </w:r>
      <w:r>
        <w:rPr>
          <w:lang w:val="ru-RU"/>
        </w:rPr>
        <w:t>свидетельствует</w:t>
      </w:r>
      <w:r w:rsidRPr="007305B0">
        <w:rPr>
          <w:lang w:val="ru-RU"/>
        </w:rPr>
        <w:t xml:space="preserve"> </w:t>
      </w:r>
      <w:r>
        <w:rPr>
          <w:lang w:val="ru-RU"/>
        </w:rPr>
        <w:t>о</w:t>
      </w:r>
      <w:r w:rsidRPr="007305B0">
        <w:rPr>
          <w:lang w:val="ru-RU"/>
        </w:rPr>
        <w:t xml:space="preserve"> </w:t>
      </w:r>
      <w:r>
        <w:rPr>
          <w:lang w:val="ru-RU"/>
        </w:rPr>
        <w:t>необходимости</w:t>
      </w:r>
      <w:r w:rsidRPr="007305B0">
        <w:rPr>
          <w:lang w:val="ru-RU"/>
        </w:rPr>
        <w:t xml:space="preserve"> </w:t>
      </w:r>
      <w:r>
        <w:rPr>
          <w:lang w:val="ru-RU"/>
        </w:rPr>
        <w:t>предпринимать</w:t>
      </w:r>
      <w:r w:rsidRPr="007305B0">
        <w:rPr>
          <w:lang w:val="ru-RU"/>
        </w:rPr>
        <w:t xml:space="preserve"> </w:t>
      </w:r>
      <w:r>
        <w:rPr>
          <w:lang w:val="ru-RU"/>
        </w:rPr>
        <w:t>в</w:t>
      </w:r>
      <w:r w:rsidRPr="007305B0">
        <w:rPr>
          <w:lang w:val="ru-RU"/>
        </w:rPr>
        <w:t xml:space="preserve"> </w:t>
      </w:r>
      <w:r>
        <w:rPr>
          <w:lang w:val="ru-RU"/>
        </w:rPr>
        <w:t>течение</w:t>
      </w:r>
      <w:r w:rsidRPr="007305B0">
        <w:rPr>
          <w:lang w:val="ru-RU"/>
        </w:rPr>
        <w:t xml:space="preserve"> </w:t>
      </w:r>
      <w:r>
        <w:rPr>
          <w:lang w:val="ru-RU"/>
        </w:rPr>
        <w:t>года</w:t>
      </w:r>
      <w:r w:rsidRPr="007305B0">
        <w:rPr>
          <w:lang w:val="ru-RU"/>
        </w:rPr>
        <w:t xml:space="preserve"> </w:t>
      </w:r>
      <w:r>
        <w:rPr>
          <w:lang w:val="ru-RU"/>
        </w:rPr>
        <w:t>более</w:t>
      </w:r>
      <w:r w:rsidRPr="007305B0">
        <w:rPr>
          <w:lang w:val="ru-RU"/>
        </w:rPr>
        <w:t xml:space="preserve"> </w:t>
      </w:r>
      <w:r>
        <w:rPr>
          <w:lang w:val="ru-RU"/>
        </w:rPr>
        <w:t>активные</w:t>
      </w:r>
      <w:r w:rsidRPr="007305B0">
        <w:rPr>
          <w:lang w:val="ru-RU"/>
        </w:rPr>
        <w:t xml:space="preserve"> </w:t>
      </w:r>
      <w:r>
        <w:rPr>
          <w:lang w:val="ru-RU"/>
        </w:rPr>
        <w:t>усилия</w:t>
      </w:r>
      <w:r w:rsidRPr="007305B0">
        <w:rPr>
          <w:lang w:val="ru-RU"/>
        </w:rPr>
        <w:t xml:space="preserve"> </w:t>
      </w:r>
      <w:r>
        <w:rPr>
          <w:lang w:val="ru-RU"/>
        </w:rPr>
        <w:t>по</w:t>
      </w:r>
      <w:r w:rsidRPr="007305B0">
        <w:rPr>
          <w:lang w:val="ru-RU"/>
        </w:rPr>
        <w:t xml:space="preserve"> </w:t>
      </w:r>
      <w:r>
        <w:rPr>
          <w:lang w:val="ru-RU"/>
        </w:rPr>
        <w:t>контролю</w:t>
      </w:r>
      <w:r w:rsidRPr="007305B0">
        <w:rPr>
          <w:lang w:val="ru-RU"/>
        </w:rPr>
        <w:t xml:space="preserve"> </w:t>
      </w:r>
      <w:r>
        <w:rPr>
          <w:lang w:val="ru-RU"/>
        </w:rPr>
        <w:t>и</w:t>
      </w:r>
      <w:r w:rsidRPr="007305B0">
        <w:rPr>
          <w:lang w:val="ru-RU"/>
        </w:rPr>
        <w:t xml:space="preserve"> </w:t>
      </w:r>
      <w:r>
        <w:rPr>
          <w:lang w:val="ru-RU"/>
        </w:rPr>
        <w:t>регулярно</w:t>
      </w:r>
      <w:r w:rsidR="00F907C7">
        <w:rPr>
          <w:lang w:val="ru-RU"/>
        </w:rPr>
        <w:t>й</w:t>
      </w:r>
      <w:r w:rsidRPr="007305B0">
        <w:rPr>
          <w:lang w:val="ru-RU"/>
        </w:rPr>
        <w:t xml:space="preserve"> </w:t>
      </w:r>
      <w:r w:rsidR="00F907C7">
        <w:rPr>
          <w:lang w:val="ru-RU"/>
        </w:rPr>
        <w:t>корректировке</w:t>
      </w:r>
      <w:r w:rsidRPr="007305B0">
        <w:rPr>
          <w:lang w:val="ru-RU"/>
        </w:rPr>
        <w:t xml:space="preserve"> </w:t>
      </w:r>
      <w:r>
        <w:rPr>
          <w:lang w:val="ru-RU"/>
        </w:rPr>
        <w:t>реализации</w:t>
      </w:r>
      <w:r w:rsidRPr="007305B0">
        <w:rPr>
          <w:lang w:val="ru-RU"/>
        </w:rPr>
        <w:t xml:space="preserve"> </w:t>
      </w:r>
      <w:r>
        <w:rPr>
          <w:lang w:val="ru-RU"/>
        </w:rPr>
        <w:t>программ.</w:t>
      </w:r>
      <w:r w:rsidRPr="007305B0">
        <w:rPr>
          <w:lang w:val="ru-RU"/>
        </w:rPr>
        <w:t xml:space="preserve">  </w:t>
      </w:r>
      <w:r>
        <w:rPr>
          <w:lang w:val="ru-RU"/>
        </w:rPr>
        <w:t>Анализ</w:t>
      </w:r>
      <w:r w:rsidRPr="007305B0">
        <w:rPr>
          <w:lang w:val="ru-RU"/>
        </w:rPr>
        <w:t xml:space="preserve"> </w:t>
      </w:r>
      <w:r>
        <w:rPr>
          <w:lang w:val="ru-RU"/>
        </w:rPr>
        <w:t>данных</w:t>
      </w:r>
      <w:r w:rsidRPr="007305B0">
        <w:rPr>
          <w:lang w:val="ru-RU"/>
        </w:rPr>
        <w:t xml:space="preserve"> </w:t>
      </w:r>
      <w:r>
        <w:rPr>
          <w:lang w:val="ru-RU"/>
        </w:rPr>
        <w:t>о</w:t>
      </w:r>
      <w:r w:rsidRPr="007305B0">
        <w:rPr>
          <w:lang w:val="ru-RU"/>
        </w:rPr>
        <w:t xml:space="preserve"> </w:t>
      </w:r>
      <w:r>
        <w:rPr>
          <w:lang w:val="ru-RU"/>
        </w:rPr>
        <w:t>заключении</w:t>
      </w:r>
      <w:r w:rsidRPr="007305B0">
        <w:rPr>
          <w:lang w:val="ru-RU"/>
        </w:rPr>
        <w:t xml:space="preserve"> </w:t>
      </w:r>
      <w:r>
        <w:rPr>
          <w:lang w:val="ru-RU"/>
        </w:rPr>
        <w:t>договоров</w:t>
      </w:r>
      <w:r w:rsidRPr="007305B0">
        <w:rPr>
          <w:lang w:val="ru-RU"/>
        </w:rPr>
        <w:t>-</w:t>
      </w:r>
      <w:r>
        <w:rPr>
          <w:lang w:val="ru-RU"/>
        </w:rPr>
        <w:t>заявок</w:t>
      </w:r>
      <w:r w:rsidRPr="007305B0">
        <w:rPr>
          <w:lang w:val="ru-RU"/>
        </w:rPr>
        <w:t xml:space="preserve"> </w:t>
      </w:r>
      <w:r>
        <w:rPr>
          <w:lang w:val="ru-RU"/>
        </w:rPr>
        <w:t>в</w:t>
      </w:r>
      <w:r w:rsidRPr="007305B0">
        <w:rPr>
          <w:lang w:val="ru-RU"/>
        </w:rPr>
        <w:t xml:space="preserve"> </w:t>
      </w:r>
      <w:r>
        <w:rPr>
          <w:lang w:val="ru-RU"/>
        </w:rPr>
        <w:t>период</w:t>
      </w:r>
      <w:r w:rsidRPr="007305B0">
        <w:rPr>
          <w:lang w:val="ru-RU"/>
        </w:rPr>
        <w:t xml:space="preserve"> </w:t>
      </w:r>
      <w:r>
        <w:rPr>
          <w:lang w:val="ru-RU"/>
        </w:rPr>
        <w:t>с</w:t>
      </w:r>
      <w:r w:rsidRPr="007305B0">
        <w:rPr>
          <w:lang w:val="ru-RU"/>
        </w:rPr>
        <w:t xml:space="preserve"> </w:t>
      </w:r>
      <w:r>
        <w:rPr>
          <w:lang w:val="ru-RU"/>
        </w:rPr>
        <w:t>января</w:t>
      </w:r>
      <w:r w:rsidRPr="007305B0">
        <w:rPr>
          <w:lang w:val="ru-RU"/>
        </w:rPr>
        <w:t xml:space="preserve"> </w:t>
      </w:r>
      <w:r>
        <w:rPr>
          <w:lang w:val="ru-RU"/>
        </w:rPr>
        <w:t>по</w:t>
      </w:r>
      <w:r w:rsidRPr="007305B0">
        <w:rPr>
          <w:lang w:val="ru-RU"/>
        </w:rPr>
        <w:t xml:space="preserve"> </w:t>
      </w:r>
      <w:r>
        <w:rPr>
          <w:lang w:val="ru-RU"/>
        </w:rPr>
        <w:t>октябрь</w:t>
      </w:r>
      <w:r w:rsidRPr="007305B0">
        <w:rPr>
          <w:lang w:val="ru-RU"/>
        </w:rPr>
        <w:t xml:space="preserve"> 2019 </w:t>
      </w:r>
      <w:r>
        <w:rPr>
          <w:lang w:val="ru-RU"/>
        </w:rPr>
        <w:t>г</w:t>
      </w:r>
      <w:r w:rsidRPr="007305B0">
        <w:rPr>
          <w:lang w:val="ru-RU"/>
        </w:rPr>
        <w:t xml:space="preserve">. </w:t>
      </w:r>
      <w:r>
        <w:rPr>
          <w:lang w:val="ru-RU"/>
        </w:rPr>
        <w:t>показал</w:t>
      </w:r>
      <w:r w:rsidRPr="007305B0">
        <w:rPr>
          <w:lang w:val="ru-RU"/>
        </w:rPr>
        <w:t xml:space="preserve"> </w:t>
      </w:r>
      <w:r>
        <w:rPr>
          <w:lang w:val="ru-RU"/>
        </w:rPr>
        <w:t>рост</w:t>
      </w:r>
      <w:r w:rsidRPr="007305B0">
        <w:rPr>
          <w:lang w:val="ru-RU"/>
        </w:rPr>
        <w:t xml:space="preserve"> </w:t>
      </w:r>
      <w:r>
        <w:rPr>
          <w:lang w:val="ru-RU"/>
        </w:rPr>
        <w:t>соответствующего</w:t>
      </w:r>
      <w:r w:rsidRPr="007305B0">
        <w:rPr>
          <w:lang w:val="ru-RU"/>
        </w:rPr>
        <w:t xml:space="preserve"> </w:t>
      </w:r>
      <w:r>
        <w:rPr>
          <w:lang w:val="ru-RU"/>
        </w:rPr>
        <w:t>показателя</w:t>
      </w:r>
      <w:r w:rsidRPr="007305B0">
        <w:rPr>
          <w:lang w:val="ru-RU"/>
        </w:rPr>
        <w:t xml:space="preserve"> </w:t>
      </w:r>
      <w:r>
        <w:rPr>
          <w:lang w:val="ru-RU"/>
        </w:rPr>
        <w:t>в</w:t>
      </w:r>
      <w:r w:rsidRPr="007305B0">
        <w:rPr>
          <w:lang w:val="ru-RU"/>
        </w:rPr>
        <w:t xml:space="preserve"> </w:t>
      </w:r>
      <w:r>
        <w:rPr>
          <w:lang w:val="ru-RU"/>
        </w:rPr>
        <w:t>октябр</w:t>
      </w:r>
      <w:r w:rsidR="00A95924">
        <w:rPr>
          <w:lang w:val="ru-RU"/>
        </w:rPr>
        <w:t>е</w:t>
      </w:r>
      <w:r w:rsidRPr="007305B0">
        <w:rPr>
          <w:lang w:val="ru-RU"/>
        </w:rPr>
        <w:t xml:space="preserve"> 2019 </w:t>
      </w:r>
      <w:r>
        <w:rPr>
          <w:lang w:val="ru-RU"/>
        </w:rPr>
        <w:t>г</w:t>
      </w:r>
      <w:r w:rsidRPr="007305B0">
        <w:rPr>
          <w:lang w:val="ru-RU"/>
        </w:rPr>
        <w:t xml:space="preserve">. </w:t>
      </w:r>
      <w:r>
        <w:rPr>
          <w:lang w:val="ru-RU"/>
        </w:rPr>
        <w:t>по</w:t>
      </w:r>
      <w:r w:rsidRPr="007305B0">
        <w:rPr>
          <w:lang w:val="ru-RU"/>
        </w:rPr>
        <w:t xml:space="preserve"> </w:t>
      </w:r>
      <w:r>
        <w:rPr>
          <w:lang w:val="ru-RU"/>
        </w:rPr>
        <w:t>сравнению</w:t>
      </w:r>
      <w:r w:rsidRPr="007305B0">
        <w:rPr>
          <w:lang w:val="ru-RU"/>
        </w:rPr>
        <w:t xml:space="preserve"> </w:t>
      </w:r>
      <w:r>
        <w:rPr>
          <w:lang w:val="ru-RU"/>
        </w:rPr>
        <w:t>с</w:t>
      </w:r>
      <w:r w:rsidRPr="007305B0">
        <w:rPr>
          <w:lang w:val="ru-RU"/>
        </w:rPr>
        <w:t xml:space="preserve"> </w:t>
      </w:r>
      <w:r>
        <w:rPr>
          <w:lang w:val="ru-RU"/>
        </w:rPr>
        <w:t>другими</w:t>
      </w:r>
      <w:r w:rsidRPr="007305B0">
        <w:rPr>
          <w:lang w:val="ru-RU"/>
        </w:rPr>
        <w:t xml:space="preserve"> </w:t>
      </w:r>
      <w:r>
        <w:rPr>
          <w:lang w:val="ru-RU"/>
        </w:rPr>
        <w:t>месяцами</w:t>
      </w:r>
      <w:r w:rsidRPr="007305B0">
        <w:rPr>
          <w:lang w:val="ru-RU"/>
        </w:rPr>
        <w:t xml:space="preserve"> </w:t>
      </w:r>
      <w:r w:rsidR="0031229D" w:rsidRPr="007305B0">
        <w:rPr>
          <w:lang w:val="ru-RU"/>
        </w:rPr>
        <w:t>(</w:t>
      </w:r>
      <w:r w:rsidR="00A95924">
        <w:rPr>
          <w:lang w:val="ru-RU"/>
        </w:rPr>
        <w:t xml:space="preserve">рост на </w:t>
      </w:r>
      <w:r w:rsidR="0031229D" w:rsidRPr="007305B0">
        <w:rPr>
          <w:lang w:val="ru-RU"/>
        </w:rPr>
        <w:t>58</w:t>
      </w:r>
      <w:r w:rsidR="006B7E80">
        <w:rPr>
          <w:lang w:val="ru-RU"/>
        </w:rPr>
        <w:t xml:space="preserve"> процентов</w:t>
      </w:r>
      <w:r w:rsidR="0031229D" w:rsidRPr="007305B0">
        <w:rPr>
          <w:lang w:val="ru-RU"/>
        </w:rPr>
        <w:t xml:space="preserve"> </w:t>
      </w:r>
      <w:r w:rsidR="00A95924">
        <w:rPr>
          <w:lang w:val="ru-RU"/>
        </w:rPr>
        <w:t>по сравнению с сентябрем 2019 г.).  Это</w:t>
      </w:r>
      <w:r w:rsidR="00A95924" w:rsidRPr="00A95924">
        <w:rPr>
          <w:lang w:val="ru-RU"/>
        </w:rPr>
        <w:t xml:space="preserve"> </w:t>
      </w:r>
      <w:r w:rsidR="00A95924">
        <w:rPr>
          <w:lang w:val="ru-RU"/>
        </w:rPr>
        <w:t>может</w:t>
      </w:r>
      <w:r w:rsidR="00A95924" w:rsidRPr="00A95924">
        <w:rPr>
          <w:lang w:val="ru-RU"/>
        </w:rPr>
        <w:t xml:space="preserve"> </w:t>
      </w:r>
      <w:r w:rsidR="00A95924">
        <w:rPr>
          <w:lang w:val="ru-RU"/>
        </w:rPr>
        <w:t>указывать</w:t>
      </w:r>
      <w:r w:rsidR="00A95924" w:rsidRPr="00A95924">
        <w:rPr>
          <w:lang w:val="ru-RU"/>
        </w:rPr>
        <w:t xml:space="preserve"> </w:t>
      </w:r>
      <w:r w:rsidR="00A95924">
        <w:rPr>
          <w:lang w:val="ru-RU"/>
        </w:rPr>
        <w:t>на</w:t>
      </w:r>
      <w:r w:rsidR="00A95924" w:rsidRPr="00A95924">
        <w:rPr>
          <w:lang w:val="ru-RU"/>
        </w:rPr>
        <w:t xml:space="preserve"> </w:t>
      </w:r>
      <w:r w:rsidR="00A95924">
        <w:rPr>
          <w:lang w:val="ru-RU"/>
        </w:rPr>
        <w:t>возможные</w:t>
      </w:r>
      <w:r w:rsidR="00A95924" w:rsidRPr="00A95924">
        <w:rPr>
          <w:lang w:val="ru-RU"/>
        </w:rPr>
        <w:t xml:space="preserve"> </w:t>
      </w:r>
      <w:r w:rsidR="00A95924">
        <w:rPr>
          <w:lang w:val="ru-RU"/>
        </w:rPr>
        <w:t>усилия</w:t>
      </w:r>
      <w:r w:rsidR="00A95924" w:rsidRPr="00A95924">
        <w:rPr>
          <w:lang w:val="ru-RU"/>
        </w:rPr>
        <w:t xml:space="preserve"> </w:t>
      </w:r>
      <w:r w:rsidR="00A95924">
        <w:rPr>
          <w:lang w:val="ru-RU"/>
        </w:rPr>
        <w:t>по</w:t>
      </w:r>
      <w:r w:rsidR="00A95924" w:rsidRPr="00A95924">
        <w:rPr>
          <w:lang w:val="ru-RU"/>
        </w:rPr>
        <w:t xml:space="preserve"> </w:t>
      </w:r>
      <w:r w:rsidR="00A95924">
        <w:rPr>
          <w:lang w:val="ru-RU"/>
        </w:rPr>
        <w:t>активизации</w:t>
      </w:r>
      <w:r w:rsidR="00A95924" w:rsidRPr="00A95924">
        <w:rPr>
          <w:lang w:val="ru-RU"/>
        </w:rPr>
        <w:t xml:space="preserve"> </w:t>
      </w:r>
      <w:r w:rsidR="00A95924">
        <w:rPr>
          <w:lang w:val="ru-RU"/>
        </w:rPr>
        <w:t>закупок</w:t>
      </w:r>
      <w:r w:rsidR="00A95924" w:rsidRPr="00A95924">
        <w:rPr>
          <w:lang w:val="ru-RU"/>
        </w:rPr>
        <w:t xml:space="preserve">, </w:t>
      </w:r>
      <w:r w:rsidR="00A95924">
        <w:rPr>
          <w:lang w:val="ru-RU"/>
        </w:rPr>
        <w:t>которые</w:t>
      </w:r>
      <w:r w:rsidR="00A95924" w:rsidRPr="00A95924">
        <w:rPr>
          <w:lang w:val="ru-RU"/>
        </w:rPr>
        <w:t xml:space="preserve"> </w:t>
      </w:r>
      <w:r w:rsidR="00A95924">
        <w:rPr>
          <w:lang w:val="ru-RU"/>
        </w:rPr>
        <w:t>могли</w:t>
      </w:r>
      <w:r w:rsidR="00A95924" w:rsidRPr="00A95924">
        <w:rPr>
          <w:lang w:val="ru-RU"/>
        </w:rPr>
        <w:t xml:space="preserve"> </w:t>
      </w:r>
      <w:r w:rsidR="00A95924">
        <w:rPr>
          <w:lang w:val="ru-RU"/>
        </w:rPr>
        <w:t>объясняться</w:t>
      </w:r>
      <w:r w:rsidR="00A95924" w:rsidRPr="00A95924">
        <w:rPr>
          <w:lang w:val="ru-RU"/>
        </w:rPr>
        <w:t xml:space="preserve"> </w:t>
      </w:r>
      <w:r w:rsidR="00A95924">
        <w:rPr>
          <w:lang w:val="ru-RU"/>
        </w:rPr>
        <w:t>желанием</w:t>
      </w:r>
      <w:r w:rsidR="00A95924" w:rsidRPr="00A95924">
        <w:rPr>
          <w:lang w:val="ru-RU"/>
        </w:rPr>
        <w:t xml:space="preserve"> </w:t>
      </w:r>
      <w:r w:rsidR="00A95924">
        <w:rPr>
          <w:lang w:val="ru-RU"/>
        </w:rPr>
        <w:t>наверстать</w:t>
      </w:r>
      <w:r w:rsidR="00A95924" w:rsidRPr="00A95924">
        <w:rPr>
          <w:lang w:val="ru-RU"/>
        </w:rPr>
        <w:t xml:space="preserve"> </w:t>
      </w:r>
      <w:r w:rsidR="00A95924">
        <w:rPr>
          <w:lang w:val="ru-RU"/>
        </w:rPr>
        <w:t>упущенное</w:t>
      </w:r>
      <w:r w:rsidR="00A95924" w:rsidRPr="00A95924">
        <w:rPr>
          <w:lang w:val="ru-RU"/>
        </w:rPr>
        <w:t xml:space="preserve">, </w:t>
      </w:r>
      <w:r w:rsidR="00A95924">
        <w:rPr>
          <w:lang w:val="ru-RU"/>
        </w:rPr>
        <w:t>непредвиденными</w:t>
      </w:r>
      <w:r w:rsidR="00A95924" w:rsidRPr="00A95924">
        <w:rPr>
          <w:lang w:val="ru-RU"/>
        </w:rPr>
        <w:t xml:space="preserve"> </w:t>
      </w:r>
      <w:r w:rsidR="00A95924">
        <w:rPr>
          <w:lang w:val="ru-RU"/>
        </w:rPr>
        <w:t>изменениями</w:t>
      </w:r>
      <w:r w:rsidR="00A95924" w:rsidRPr="00A95924">
        <w:rPr>
          <w:lang w:val="ru-RU"/>
        </w:rPr>
        <w:t xml:space="preserve"> </w:t>
      </w:r>
      <w:r w:rsidR="00A95924">
        <w:rPr>
          <w:lang w:val="ru-RU"/>
        </w:rPr>
        <w:t>плана</w:t>
      </w:r>
      <w:r w:rsidR="00A95924" w:rsidRPr="00A95924">
        <w:rPr>
          <w:lang w:val="ru-RU"/>
        </w:rPr>
        <w:t xml:space="preserve"> </w:t>
      </w:r>
      <w:r w:rsidR="00A95924">
        <w:rPr>
          <w:lang w:val="ru-RU"/>
        </w:rPr>
        <w:t>работы или же неэффективностью меха</w:t>
      </w:r>
      <w:r w:rsidR="00046C7F">
        <w:rPr>
          <w:lang w:val="ru-RU"/>
        </w:rPr>
        <w:t>низмов планирования и контроля.</w:t>
      </w:r>
    </w:p>
    <w:p w14:paraId="21D7C879" w14:textId="44CE5F5E" w:rsidR="0031229D" w:rsidRPr="00070BF1" w:rsidRDefault="00070BF1" w:rsidP="0031229D">
      <w:pPr>
        <w:pStyle w:val="ONUME"/>
        <w:rPr>
          <w:lang w:val="ru-RU"/>
        </w:rPr>
      </w:pPr>
      <w:r>
        <w:rPr>
          <w:lang w:val="ru-RU"/>
        </w:rPr>
        <w:t>Анализ</w:t>
      </w:r>
      <w:r w:rsidRPr="00070BF1">
        <w:rPr>
          <w:lang w:val="ru-RU"/>
        </w:rPr>
        <w:t xml:space="preserve"> </w:t>
      </w:r>
      <w:r>
        <w:rPr>
          <w:lang w:val="ru-RU"/>
        </w:rPr>
        <w:t>статистических</w:t>
      </w:r>
      <w:r w:rsidRPr="00070BF1">
        <w:rPr>
          <w:lang w:val="ru-RU"/>
        </w:rPr>
        <w:t xml:space="preserve"> </w:t>
      </w:r>
      <w:r>
        <w:rPr>
          <w:lang w:val="ru-RU"/>
        </w:rPr>
        <w:t>данных</w:t>
      </w:r>
      <w:r w:rsidRPr="00070BF1">
        <w:rPr>
          <w:lang w:val="ru-RU"/>
        </w:rPr>
        <w:t xml:space="preserve"> </w:t>
      </w:r>
      <w:r>
        <w:rPr>
          <w:lang w:val="ru-RU"/>
        </w:rPr>
        <w:t>об</w:t>
      </w:r>
      <w:r w:rsidRPr="00070BF1">
        <w:rPr>
          <w:lang w:val="ru-RU"/>
        </w:rPr>
        <w:t xml:space="preserve"> </w:t>
      </w:r>
      <w:r>
        <w:rPr>
          <w:lang w:val="ru-RU"/>
        </w:rPr>
        <w:t>освоении</w:t>
      </w:r>
      <w:r w:rsidRPr="00070BF1">
        <w:rPr>
          <w:lang w:val="ru-RU"/>
        </w:rPr>
        <w:t xml:space="preserve"> </w:t>
      </w:r>
      <w:r>
        <w:rPr>
          <w:lang w:val="ru-RU"/>
        </w:rPr>
        <w:t>бюджета</w:t>
      </w:r>
      <w:r w:rsidRPr="00070BF1">
        <w:rPr>
          <w:lang w:val="ru-RU"/>
        </w:rPr>
        <w:t xml:space="preserve"> </w:t>
      </w:r>
      <w:r>
        <w:rPr>
          <w:lang w:val="ru-RU"/>
        </w:rPr>
        <w:t>в</w:t>
      </w:r>
      <w:r w:rsidRPr="00070BF1">
        <w:rPr>
          <w:lang w:val="ru-RU"/>
        </w:rPr>
        <w:t xml:space="preserve"> </w:t>
      </w:r>
      <w:r>
        <w:rPr>
          <w:lang w:val="ru-RU"/>
        </w:rPr>
        <w:t>двухлетнем</w:t>
      </w:r>
      <w:r w:rsidRPr="00070BF1">
        <w:rPr>
          <w:lang w:val="ru-RU"/>
        </w:rPr>
        <w:t xml:space="preserve"> </w:t>
      </w:r>
      <w:r>
        <w:rPr>
          <w:lang w:val="ru-RU"/>
        </w:rPr>
        <w:t>периоде</w:t>
      </w:r>
      <w:r w:rsidRPr="00070BF1">
        <w:rPr>
          <w:lang w:val="ru-RU"/>
        </w:rPr>
        <w:t xml:space="preserve"> 2018-2019 </w:t>
      </w:r>
      <w:r>
        <w:rPr>
          <w:lang w:val="ru-RU"/>
        </w:rPr>
        <w:t>гг</w:t>
      </w:r>
      <w:r w:rsidRPr="00070BF1">
        <w:rPr>
          <w:lang w:val="ru-RU"/>
        </w:rPr>
        <w:t xml:space="preserve">. </w:t>
      </w:r>
      <w:r>
        <w:rPr>
          <w:lang w:val="ru-RU"/>
        </w:rPr>
        <w:t>на</w:t>
      </w:r>
      <w:r w:rsidRPr="00070BF1">
        <w:rPr>
          <w:lang w:val="ru-RU"/>
        </w:rPr>
        <w:t xml:space="preserve"> </w:t>
      </w:r>
      <w:r>
        <w:rPr>
          <w:lang w:val="ru-RU"/>
        </w:rPr>
        <w:t>уровне</w:t>
      </w:r>
      <w:r w:rsidRPr="00070BF1">
        <w:rPr>
          <w:lang w:val="ru-RU"/>
        </w:rPr>
        <w:t xml:space="preserve"> </w:t>
      </w:r>
      <w:r>
        <w:rPr>
          <w:lang w:val="ru-RU"/>
        </w:rPr>
        <w:t>департаментов</w:t>
      </w:r>
      <w:r w:rsidRPr="00070BF1">
        <w:rPr>
          <w:lang w:val="ru-RU"/>
        </w:rPr>
        <w:t xml:space="preserve"> </w:t>
      </w:r>
      <w:r>
        <w:rPr>
          <w:lang w:val="ru-RU"/>
        </w:rPr>
        <w:t>показывает</w:t>
      </w:r>
      <w:r w:rsidRPr="00070BF1">
        <w:rPr>
          <w:lang w:val="ru-RU"/>
        </w:rPr>
        <w:t xml:space="preserve">, </w:t>
      </w:r>
      <w:r>
        <w:rPr>
          <w:lang w:val="ru-RU"/>
        </w:rPr>
        <w:t>что</w:t>
      </w:r>
      <w:r w:rsidRPr="00070BF1">
        <w:rPr>
          <w:lang w:val="ru-RU"/>
        </w:rPr>
        <w:t xml:space="preserve"> </w:t>
      </w:r>
      <w:r>
        <w:rPr>
          <w:lang w:val="ru-RU"/>
        </w:rPr>
        <w:t>по</w:t>
      </w:r>
      <w:r w:rsidRPr="00070BF1">
        <w:rPr>
          <w:lang w:val="ru-RU"/>
        </w:rPr>
        <w:t xml:space="preserve"> </w:t>
      </w:r>
      <w:r>
        <w:rPr>
          <w:lang w:val="ru-RU"/>
        </w:rPr>
        <w:t>состоянию</w:t>
      </w:r>
      <w:r w:rsidRPr="00070BF1">
        <w:rPr>
          <w:lang w:val="ru-RU"/>
        </w:rPr>
        <w:t xml:space="preserve"> </w:t>
      </w:r>
      <w:r>
        <w:rPr>
          <w:lang w:val="ru-RU"/>
        </w:rPr>
        <w:t>на</w:t>
      </w:r>
      <w:r w:rsidRPr="00070BF1">
        <w:rPr>
          <w:lang w:val="ru-RU"/>
        </w:rPr>
        <w:t xml:space="preserve"> 31 </w:t>
      </w:r>
      <w:r>
        <w:rPr>
          <w:lang w:val="ru-RU"/>
        </w:rPr>
        <w:t>октября</w:t>
      </w:r>
      <w:r w:rsidRPr="00070BF1">
        <w:rPr>
          <w:lang w:val="ru-RU"/>
        </w:rPr>
        <w:t xml:space="preserve"> 2019 </w:t>
      </w:r>
      <w:r>
        <w:rPr>
          <w:lang w:val="ru-RU"/>
        </w:rPr>
        <w:t>г</w:t>
      </w:r>
      <w:r w:rsidRPr="00070BF1">
        <w:rPr>
          <w:lang w:val="ru-RU"/>
        </w:rPr>
        <w:t xml:space="preserve">. </w:t>
      </w:r>
      <w:r>
        <w:rPr>
          <w:lang w:val="ru-RU"/>
        </w:rPr>
        <w:t>некоторые</w:t>
      </w:r>
      <w:r w:rsidRPr="00070BF1">
        <w:rPr>
          <w:lang w:val="ru-RU"/>
        </w:rPr>
        <w:t xml:space="preserve"> </w:t>
      </w:r>
      <w:r>
        <w:rPr>
          <w:lang w:val="ru-RU"/>
        </w:rPr>
        <w:t>департаменты</w:t>
      </w:r>
      <w:r w:rsidRPr="00070BF1">
        <w:rPr>
          <w:lang w:val="ru-RU"/>
        </w:rPr>
        <w:t xml:space="preserve"> </w:t>
      </w:r>
      <w:r>
        <w:rPr>
          <w:lang w:val="ru-RU"/>
        </w:rPr>
        <w:t>освоили</w:t>
      </w:r>
      <w:r w:rsidRPr="00070BF1">
        <w:rPr>
          <w:lang w:val="ru-RU"/>
        </w:rPr>
        <w:t xml:space="preserve"> </w:t>
      </w:r>
      <w:r>
        <w:rPr>
          <w:lang w:val="ru-RU"/>
        </w:rPr>
        <w:t>менее</w:t>
      </w:r>
      <w:r w:rsidRPr="00070BF1">
        <w:rPr>
          <w:lang w:val="ru-RU"/>
        </w:rPr>
        <w:t xml:space="preserve"> 80 </w:t>
      </w:r>
      <w:r>
        <w:rPr>
          <w:lang w:val="ru-RU"/>
        </w:rPr>
        <w:t>процентов</w:t>
      </w:r>
      <w:r w:rsidRPr="00070BF1">
        <w:rPr>
          <w:lang w:val="ru-RU"/>
        </w:rPr>
        <w:t xml:space="preserve"> </w:t>
      </w:r>
      <w:r>
        <w:rPr>
          <w:lang w:val="ru-RU"/>
        </w:rPr>
        <w:t>своих</w:t>
      </w:r>
      <w:r w:rsidRPr="00070BF1">
        <w:rPr>
          <w:lang w:val="ru-RU"/>
        </w:rPr>
        <w:t xml:space="preserve"> </w:t>
      </w:r>
      <w:r>
        <w:rPr>
          <w:lang w:val="ru-RU"/>
        </w:rPr>
        <w:t>бюджетов</w:t>
      </w:r>
      <w:r w:rsidRPr="00070BF1">
        <w:rPr>
          <w:lang w:val="ru-RU"/>
        </w:rPr>
        <w:t>.</w:t>
      </w:r>
      <w:r>
        <w:rPr>
          <w:lang w:val="ru-RU"/>
        </w:rPr>
        <w:t xml:space="preserve"> </w:t>
      </w:r>
      <w:r w:rsidRPr="00070BF1">
        <w:rPr>
          <w:lang w:val="ru-RU"/>
        </w:rPr>
        <w:t xml:space="preserve"> </w:t>
      </w:r>
      <w:r>
        <w:rPr>
          <w:lang w:val="ru-RU"/>
        </w:rPr>
        <w:t>Несмотря</w:t>
      </w:r>
      <w:r w:rsidRPr="00070BF1">
        <w:rPr>
          <w:lang w:val="ru-RU"/>
        </w:rPr>
        <w:t xml:space="preserve"> </w:t>
      </w:r>
      <w:r>
        <w:rPr>
          <w:lang w:val="ru-RU"/>
        </w:rPr>
        <w:t>на</w:t>
      </w:r>
      <w:r w:rsidRPr="00070BF1">
        <w:rPr>
          <w:lang w:val="ru-RU"/>
        </w:rPr>
        <w:t xml:space="preserve"> </w:t>
      </w:r>
      <w:r>
        <w:rPr>
          <w:lang w:val="ru-RU"/>
        </w:rPr>
        <w:t>то</w:t>
      </w:r>
      <w:r w:rsidRPr="00070BF1">
        <w:rPr>
          <w:lang w:val="ru-RU"/>
        </w:rPr>
        <w:t xml:space="preserve">, </w:t>
      </w:r>
      <w:r>
        <w:rPr>
          <w:lang w:val="ru-RU"/>
        </w:rPr>
        <w:t>что</w:t>
      </w:r>
      <w:r w:rsidRPr="00070BF1">
        <w:rPr>
          <w:lang w:val="ru-RU"/>
        </w:rPr>
        <w:t xml:space="preserve"> </w:t>
      </w:r>
      <w:r>
        <w:rPr>
          <w:lang w:val="ru-RU"/>
        </w:rPr>
        <w:t>некоторые</w:t>
      </w:r>
      <w:r w:rsidRPr="00070BF1">
        <w:rPr>
          <w:lang w:val="ru-RU"/>
        </w:rPr>
        <w:t xml:space="preserve"> </w:t>
      </w:r>
      <w:r>
        <w:rPr>
          <w:lang w:val="ru-RU"/>
        </w:rPr>
        <w:t>бюджеты</w:t>
      </w:r>
      <w:r w:rsidRPr="00070BF1">
        <w:rPr>
          <w:lang w:val="ru-RU"/>
        </w:rPr>
        <w:t xml:space="preserve"> </w:t>
      </w:r>
      <w:r>
        <w:rPr>
          <w:lang w:val="ru-RU"/>
        </w:rPr>
        <w:t>невелики</w:t>
      </w:r>
      <w:r w:rsidRPr="00070BF1">
        <w:rPr>
          <w:lang w:val="ru-RU"/>
        </w:rPr>
        <w:t xml:space="preserve"> </w:t>
      </w:r>
      <w:r>
        <w:rPr>
          <w:lang w:val="ru-RU"/>
        </w:rPr>
        <w:t>в</w:t>
      </w:r>
      <w:r w:rsidRPr="00070BF1">
        <w:rPr>
          <w:lang w:val="ru-RU"/>
        </w:rPr>
        <w:t xml:space="preserve"> </w:t>
      </w:r>
      <w:r>
        <w:rPr>
          <w:lang w:val="ru-RU"/>
        </w:rPr>
        <w:t>абсолютном</w:t>
      </w:r>
      <w:r w:rsidRPr="00070BF1">
        <w:rPr>
          <w:lang w:val="ru-RU"/>
        </w:rPr>
        <w:t xml:space="preserve"> </w:t>
      </w:r>
      <w:r>
        <w:rPr>
          <w:lang w:val="ru-RU"/>
        </w:rPr>
        <w:t>выражении</w:t>
      </w:r>
      <w:r w:rsidRPr="00070BF1">
        <w:rPr>
          <w:lang w:val="ru-RU"/>
        </w:rPr>
        <w:t xml:space="preserve">, </w:t>
      </w:r>
      <w:r>
        <w:rPr>
          <w:lang w:val="ru-RU"/>
        </w:rPr>
        <w:t>а</w:t>
      </w:r>
      <w:r w:rsidRPr="00070BF1">
        <w:rPr>
          <w:lang w:val="ru-RU"/>
        </w:rPr>
        <w:t xml:space="preserve"> </w:t>
      </w:r>
      <w:r>
        <w:rPr>
          <w:lang w:val="ru-RU"/>
        </w:rPr>
        <w:t>процесс</w:t>
      </w:r>
      <w:r w:rsidRPr="00070BF1">
        <w:rPr>
          <w:lang w:val="ru-RU"/>
        </w:rPr>
        <w:t xml:space="preserve"> </w:t>
      </w:r>
      <w:r>
        <w:rPr>
          <w:lang w:val="ru-RU"/>
        </w:rPr>
        <w:t>их</w:t>
      </w:r>
      <w:r w:rsidRPr="00070BF1">
        <w:rPr>
          <w:lang w:val="ru-RU"/>
        </w:rPr>
        <w:t xml:space="preserve"> </w:t>
      </w:r>
      <w:r>
        <w:rPr>
          <w:lang w:val="ru-RU"/>
        </w:rPr>
        <w:t>освоения</w:t>
      </w:r>
      <w:r w:rsidRPr="00070BF1">
        <w:rPr>
          <w:lang w:val="ru-RU"/>
        </w:rPr>
        <w:t xml:space="preserve"> </w:t>
      </w:r>
      <w:r>
        <w:rPr>
          <w:lang w:val="ru-RU"/>
        </w:rPr>
        <w:t>может</w:t>
      </w:r>
      <w:r w:rsidRPr="00070BF1">
        <w:rPr>
          <w:lang w:val="ru-RU"/>
        </w:rPr>
        <w:t xml:space="preserve"> </w:t>
      </w:r>
      <w:r>
        <w:rPr>
          <w:lang w:val="ru-RU"/>
        </w:rPr>
        <w:t>и</w:t>
      </w:r>
      <w:r w:rsidRPr="00070BF1">
        <w:rPr>
          <w:lang w:val="ru-RU"/>
        </w:rPr>
        <w:t xml:space="preserve"> </w:t>
      </w:r>
      <w:r w:rsidR="00F907C7">
        <w:rPr>
          <w:lang w:val="ru-RU"/>
        </w:rPr>
        <w:t>не</w:t>
      </w:r>
      <w:r w:rsidRPr="00070BF1">
        <w:rPr>
          <w:lang w:val="ru-RU"/>
        </w:rPr>
        <w:t xml:space="preserve"> </w:t>
      </w:r>
      <w:r>
        <w:rPr>
          <w:lang w:val="ru-RU"/>
        </w:rPr>
        <w:t>основываться</w:t>
      </w:r>
      <w:r w:rsidRPr="00070BF1">
        <w:rPr>
          <w:lang w:val="ru-RU"/>
        </w:rPr>
        <w:t xml:space="preserve"> </w:t>
      </w:r>
      <w:r>
        <w:rPr>
          <w:lang w:val="ru-RU"/>
        </w:rPr>
        <w:t>на</w:t>
      </w:r>
      <w:r w:rsidRPr="00070BF1">
        <w:rPr>
          <w:lang w:val="ru-RU"/>
        </w:rPr>
        <w:t xml:space="preserve"> </w:t>
      </w:r>
      <w:r>
        <w:rPr>
          <w:lang w:val="ru-RU"/>
        </w:rPr>
        <w:t>принципе</w:t>
      </w:r>
      <w:r w:rsidRPr="00070BF1">
        <w:rPr>
          <w:lang w:val="ru-RU"/>
        </w:rPr>
        <w:t xml:space="preserve"> «</w:t>
      </w:r>
      <w:r>
        <w:rPr>
          <w:lang w:val="ru-RU"/>
        </w:rPr>
        <w:t>линейности</w:t>
      </w:r>
      <w:r w:rsidRPr="00070BF1">
        <w:rPr>
          <w:lang w:val="ru-RU"/>
        </w:rPr>
        <w:t xml:space="preserve">», </w:t>
      </w:r>
      <w:r>
        <w:rPr>
          <w:lang w:val="ru-RU"/>
        </w:rPr>
        <w:t>было</w:t>
      </w:r>
      <w:r w:rsidRPr="00070BF1">
        <w:rPr>
          <w:lang w:val="ru-RU"/>
        </w:rPr>
        <w:t xml:space="preserve"> </w:t>
      </w:r>
      <w:r>
        <w:rPr>
          <w:lang w:val="ru-RU"/>
        </w:rPr>
        <w:t>бы</w:t>
      </w:r>
      <w:r w:rsidRPr="00070BF1">
        <w:rPr>
          <w:lang w:val="ru-RU"/>
        </w:rPr>
        <w:t xml:space="preserve"> </w:t>
      </w:r>
      <w:r>
        <w:rPr>
          <w:lang w:val="ru-RU"/>
        </w:rPr>
        <w:t>целесообразно</w:t>
      </w:r>
      <w:r w:rsidRPr="00070BF1">
        <w:rPr>
          <w:lang w:val="ru-RU"/>
        </w:rPr>
        <w:t xml:space="preserve"> </w:t>
      </w:r>
      <w:r>
        <w:rPr>
          <w:lang w:val="ru-RU"/>
        </w:rPr>
        <w:t>получить</w:t>
      </w:r>
      <w:r w:rsidRPr="00070BF1">
        <w:rPr>
          <w:lang w:val="ru-RU"/>
        </w:rPr>
        <w:t xml:space="preserve"> </w:t>
      </w:r>
      <w:r>
        <w:rPr>
          <w:lang w:val="ru-RU"/>
        </w:rPr>
        <w:t>обоснование</w:t>
      </w:r>
      <w:r w:rsidRPr="00070BF1">
        <w:rPr>
          <w:lang w:val="ru-RU"/>
        </w:rPr>
        <w:t xml:space="preserve"> </w:t>
      </w:r>
      <w:r>
        <w:rPr>
          <w:lang w:val="ru-RU"/>
        </w:rPr>
        <w:t>таких</w:t>
      </w:r>
      <w:r w:rsidRPr="00070BF1">
        <w:rPr>
          <w:lang w:val="ru-RU"/>
        </w:rPr>
        <w:t xml:space="preserve"> </w:t>
      </w:r>
      <w:r>
        <w:rPr>
          <w:lang w:val="ru-RU"/>
        </w:rPr>
        <w:t>уровней</w:t>
      </w:r>
      <w:r w:rsidRPr="00070BF1">
        <w:rPr>
          <w:lang w:val="ru-RU"/>
        </w:rPr>
        <w:t xml:space="preserve"> </w:t>
      </w:r>
      <w:r>
        <w:rPr>
          <w:lang w:val="ru-RU"/>
        </w:rPr>
        <w:t>освоения</w:t>
      </w:r>
      <w:r w:rsidRPr="00070BF1">
        <w:rPr>
          <w:lang w:val="ru-RU"/>
        </w:rPr>
        <w:t xml:space="preserve">, </w:t>
      </w:r>
      <w:r>
        <w:rPr>
          <w:lang w:val="ru-RU"/>
        </w:rPr>
        <w:t>с</w:t>
      </w:r>
      <w:r w:rsidRPr="00070BF1">
        <w:rPr>
          <w:lang w:val="ru-RU"/>
        </w:rPr>
        <w:t xml:space="preserve"> </w:t>
      </w:r>
      <w:r>
        <w:rPr>
          <w:lang w:val="ru-RU"/>
        </w:rPr>
        <w:t>тем</w:t>
      </w:r>
      <w:r w:rsidRPr="00070BF1">
        <w:rPr>
          <w:lang w:val="ru-RU"/>
        </w:rPr>
        <w:t xml:space="preserve"> </w:t>
      </w:r>
      <w:r>
        <w:rPr>
          <w:lang w:val="ru-RU"/>
        </w:rPr>
        <w:t>чтобы</w:t>
      </w:r>
      <w:r w:rsidRPr="00070BF1">
        <w:rPr>
          <w:lang w:val="ru-RU"/>
        </w:rPr>
        <w:t xml:space="preserve"> </w:t>
      </w:r>
      <w:r>
        <w:rPr>
          <w:lang w:val="ru-RU"/>
        </w:rPr>
        <w:t>эта</w:t>
      </w:r>
      <w:r w:rsidRPr="00070BF1">
        <w:rPr>
          <w:lang w:val="ru-RU"/>
        </w:rPr>
        <w:t xml:space="preserve"> </w:t>
      </w:r>
      <w:r>
        <w:rPr>
          <w:lang w:val="ru-RU"/>
        </w:rPr>
        <w:t>ситуация</w:t>
      </w:r>
      <w:r w:rsidRPr="00070BF1">
        <w:rPr>
          <w:lang w:val="ru-RU"/>
        </w:rPr>
        <w:t xml:space="preserve"> </w:t>
      </w:r>
      <w:r>
        <w:rPr>
          <w:lang w:val="ru-RU"/>
        </w:rPr>
        <w:t>не</w:t>
      </w:r>
      <w:r w:rsidRPr="00070BF1">
        <w:rPr>
          <w:lang w:val="ru-RU"/>
        </w:rPr>
        <w:t xml:space="preserve"> </w:t>
      </w:r>
      <w:r>
        <w:rPr>
          <w:lang w:val="ru-RU"/>
        </w:rPr>
        <w:t>превращалась</w:t>
      </w:r>
      <w:r w:rsidRPr="00070BF1">
        <w:rPr>
          <w:lang w:val="ru-RU"/>
        </w:rPr>
        <w:t xml:space="preserve"> </w:t>
      </w:r>
      <w:r>
        <w:rPr>
          <w:lang w:val="ru-RU"/>
        </w:rPr>
        <w:t>в</w:t>
      </w:r>
      <w:r w:rsidRPr="00070BF1">
        <w:rPr>
          <w:lang w:val="ru-RU"/>
        </w:rPr>
        <w:t xml:space="preserve"> </w:t>
      </w:r>
      <w:r>
        <w:rPr>
          <w:lang w:val="ru-RU"/>
        </w:rPr>
        <w:t>стимул</w:t>
      </w:r>
      <w:r w:rsidRPr="00070BF1">
        <w:rPr>
          <w:lang w:val="ru-RU"/>
        </w:rPr>
        <w:t xml:space="preserve"> </w:t>
      </w:r>
      <w:r>
        <w:rPr>
          <w:lang w:val="ru-RU"/>
        </w:rPr>
        <w:t>к</w:t>
      </w:r>
      <w:r w:rsidRPr="00070BF1">
        <w:rPr>
          <w:lang w:val="ru-RU"/>
        </w:rPr>
        <w:t xml:space="preserve"> </w:t>
      </w:r>
      <w:r>
        <w:rPr>
          <w:lang w:val="ru-RU"/>
        </w:rPr>
        <w:t>чрезмерно</w:t>
      </w:r>
      <w:r w:rsidRPr="00070BF1">
        <w:rPr>
          <w:lang w:val="ru-RU"/>
        </w:rPr>
        <w:t xml:space="preserve"> </w:t>
      </w:r>
      <w:r>
        <w:rPr>
          <w:lang w:val="ru-RU"/>
        </w:rPr>
        <w:t>активному</w:t>
      </w:r>
      <w:r w:rsidRPr="00070BF1">
        <w:rPr>
          <w:lang w:val="ru-RU"/>
        </w:rPr>
        <w:t xml:space="preserve"> </w:t>
      </w:r>
      <w:r>
        <w:rPr>
          <w:lang w:val="ru-RU"/>
        </w:rPr>
        <w:t>использованию</w:t>
      </w:r>
      <w:r w:rsidRPr="00070BF1">
        <w:rPr>
          <w:lang w:val="ru-RU"/>
        </w:rPr>
        <w:t xml:space="preserve"> </w:t>
      </w:r>
      <w:r>
        <w:rPr>
          <w:lang w:val="ru-RU"/>
        </w:rPr>
        <w:t>бюджетных</w:t>
      </w:r>
      <w:r w:rsidRPr="00070BF1">
        <w:rPr>
          <w:lang w:val="ru-RU"/>
        </w:rPr>
        <w:t xml:space="preserve"> </w:t>
      </w:r>
      <w:r>
        <w:rPr>
          <w:lang w:val="ru-RU"/>
        </w:rPr>
        <w:t>средств</w:t>
      </w:r>
      <w:r w:rsidRPr="00070BF1">
        <w:rPr>
          <w:lang w:val="ru-RU"/>
        </w:rPr>
        <w:t xml:space="preserve"> </w:t>
      </w:r>
      <w:r>
        <w:rPr>
          <w:lang w:val="ru-RU"/>
        </w:rPr>
        <w:t>с целью достичь стопроцентного или близкого к нему уровня освоения.</w:t>
      </w:r>
      <w:r w:rsidR="0031229D" w:rsidRPr="00070BF1">
        <w:rPr>
          <w:lang w:val="ru-RU"/>
        </w:rPr>
        <w:t xml:space="preserve"> </w:t>
      </w:r>
    </w:p>
    <w:p w14:paraId="6E32885F" w14:textId="6C37D337" w:rsidR="0031229D" w:rsidRPr="00CE0303" w:rsidRDefault="00F82253" w:rsidP="0031229D">
      <w:pPr>
        <w:pStyle w:val="ONUME"/>
        <w:rPr>
          <w:lang w:val="ru-RU"/>
        </w:rPr>
      </w:pPr>
      <w:r>
        <w:rPr>
          <w:lang w:val="ru-RU"/>
        </w:rPr>
        <w:t>В</w:t>
      </w:r>
      <w:r w:rsidRPr="00F82253">
        <w:rPr>
          <w:lang w:val="ru-RU"/>
        </w:rPr>
        <w:t xml:space="preserve"> </w:t>
      </w:r>
      <w:r>
        <w:rPr>
          <w:lang w:val="ru-RU"/>
        </w:rPr>
        <w:t>целях</w:t>
      </w:r>
      <w:r w:rsidRPr="00F82253">
        <w:rPr>
          <w:lang w:val="ru-RU"/>
        </w:rPr>
        <w:t xml:space="preserve"> </w:t>
      </w:r>
      <w:r>
        <w:rPr>
          <w:lang w:val="ru-RU"/>
        </w:rPr>
        <w:t>повышения</w:t>
      </w:r>
      <w:r w:rsidRPr="00F82253">
        <w:rPr>
          <w:lang w:val="ru-RU"/>
        </w:rPr>
        <w:t xml:space="preserve"> </w:t>
      </w:r>
      <w:r>
        <w:rPr>
          <w:lang w:val="ru-RU"/>
        </w:rPr>
        <w:t>эффективности</w:t>
      </w:r>
      <w:r w:rsidRPr="00F82253">
        <w:rPr>
          <w:lang w:val="ru-RU"/>
        </w:rPr>
        <w:t xml:space="preserve"> </w:t>
      </w:r>
      <w:r>
        <w:rPr>
          <w:lang w:val="ru-RU"/>
        </w:rPr>
        <w:t>координации</w:t>
      </w:r>
      <w:r w:rsidRPr="00F82253">
        <w:rPr>
          <w:lang w:val="ru-RU"/>
        </w:rPr>
        <w:t xml:space="preserve"> </w:t>
      </w:r>
      <w:r>
        <w:rPr>
          <w:lang w:val="ru-RU"/>
        </w:rPr>
        <w:t>и</w:t>
      </w:r>
      <w:r w:rsidRPr="00F82253">
        <w:rPr>
          <w:lang w:val="ru-RU"/>
        </w:rPr>
        <w:t xml:space="preserve"> </w:t>
      </w:r>
      <w:r>
        <w:rPr>
          <w:lang w:val="ru-RU"/>
        </w:rPr>
        <w:t>поддержки</w:t>
      </w:r>
      <w:r w:rsidRPr="00F82253">
        <w:rPr>
          <w:lang w:val="ru-RU"/>
        </w:rPr>
        <w:t xml:space="preserve"> </w:t>
      </w:r>
      <w:r>
        <w:rPr>
          <w:lang w:val="ru-RU"/>
        </w:rPr>
        <w:t>различных</w:t>
      </w:r>
      <w:r w:rsidRPr="00F82253">
        <w:rPr>
          <w:lang w:val="ru-RU"/>
        </w:rPr>
        <w:t xml:space="preserve"> </w:t>
      </w:r>
      <w:r>
        <w:rPr>
          <w:lang w:val="ru-RU"/>
        </w:rPr>
        <w:t>процессов</w:t>
      </w:r>
      <w:r w:rsidRPr="00F82253">
        <w:rPr>
          <w:lang w:val="ru-RU"/>
        </w:rPr>
        <w:t xml:space="preserve"> </w:t>
      </w:r>
      <w:r>
        <w:rPr>
          <w:lang w:val="ru-RU"/>
        </w:rPr>
        <w:t>те</w:t>
      </w:r>
      <w:r w:rsidRPr="00F82253">
        <w:rPr>
          <w:lang w:val="ru-RU"/>
        </w:rPr>
        <w:t xml:space="preserve"> </w:t>
      </w:r>
      <w:r>
        <w:rPr>
          <w:lang w:val="ru-RU"/>
        </w:rPr>
        <w:t>заинтересованные</w:t>
      </w:r>
      <w:r w:rsidRPr="00F82253">
        <w:rPr>
          <w:lang w:val="ru-RU"/>
        </w:rPr>
        <w:t xml:space="preserve"> </w:t>
      </w:r>
      <w:r>
        <w:rPr>
          <w:lang w:val="ru-RU"/>
        </w:rPr>
        <w:t>стороны</w:t>
      </w:r>
      <w:r w:rsidRPr="00F82253">
        <w:rPr>
          <w:lang w:val="ru-RU"/>
        </w:rPr>
        <w:t xml:space="preserve">, </w:t>
      </w:r>
      <w:r>
        <w:rPr>
          <w:lang w:val="ru-RU"/>
        </w:rPr>
        <w:t>с</w:t>
      </w:r>
      <w:r w:rsidRPr="00F82253">
        <w:rPr>
          <w:lang w:val="ru-RU"/>
        </w:rPr>
        <w:t xml:space="preserve"> </w:t>
      </w:r>
      <w:r>
        <w:rPr>
          <w:lang w:val="ru-RU"/>
        </w:rPr>
        <w:t>которыми</w:t>
      </w:r>
      <w:r w:rsidRPr="00F82253">
        <w:rPr>
          <w:lang w:val="ru-RU"/>
        </w:rPr>
        <w:t xml:space="preserve"> </w:t>
      </w:r>
      <w:r>
        <w:rPr>
          <w:lang w:val="ru-RU"/>
        </w:rPr>
        <w:t>были</w:t>
      </w:r>
      <w:r w:rsidRPr="00F82253">
        <w:rPr>
          <w:lang w:val="ru-RU"/>
        </w:rPr>
        <w:t xml:space="preserve"> </w:t>
      </w:r>
      <w:r>
        <w:rPr>
          <w:lang w:val="ru-RU"/>
        </w:rPr>
        <w:t>проведены</w:t>
      </w:r>
      <w:r w:rsidRPr="00F82253">
        <w:rPr>
          <w:lang w:val="ru-RU"/>
        </w:rPr>
        <w:t xml:space="preserve"> </w:t>
      </w:r>
      <w:r>
        <w:rPr>
          <w:lang w:val="ru-RU"/>
        </w:rPr>
        <w:t>собеседования</w:t>
      </w:r>
      <w:r w:rsidRPr="00F82253">
        <w:rPr>
          <w:lang w:val="ru-RU"/>
        </w:rPr>
        <w:t xml:space="preserve">, </w:t>
      </w:r>
      <w:r>
        <w:rPr>
          <w:lang w:val="ru-RU"/>
        </w:rPr>
        <w:t>высказались</w:t>
      </w:r>
      <w:r w:rsidRPr="00F82253">
        <w:rPr>
          <w:lang w:val="ru-RU"/>
        </w:rPr>
        <w:t xml:space="preserve"> </w:t>
      </w:r>
      <w:r>
        <w:rPr>
          <w:lang w:val="ru-RU"/>
        </w:rPr>
        <w:t>в</w:t>
      </w:r>
      <w:r w:rsidRPr="00F82253">
        <w:rPr>
          <w:lang w:val="ru-RU"/>
        </w:rPr>
        <w:t xml:space="preserve"> </w:t>
      </w:r>
      <w:r>
        <w:rPr>
          <w:lang w:val="ru-RU"/>
        </w:rPr>
        <w:t>пользу</w:t>
      </w:r>
      <w:r w:rsidRPr="00F82253">
        <w:rPr>
          <w:lang w:val="ru-RU"/>
        </w:rPr>
        <w:t xml:space="preserve"> </w:t>
      </w:r>
      <w:r>
        <w:rPr>
          <w:lang w:val="ru-RU"/>
        </w:rPr>
        <w:t>назначения</w:t>
      </w:r>
      <w:r w:rsidRPr="00F82253">
        <w:rPr>
          <w:lang w:val="ru-RU"/>
        </w:rPr>
        <w:t xml:space="preserve"> </w:t>
      </w:r>
      <w:r>
        <w:rPr>
          <w:lang w:val="ru-RU"/>
        </w:rPr>
        <w:t>в</w:t>
      </w:r>
      <w:r w:rsidRPr="00F82253">
        <w:rPr>
          <w:lang w:val="ru-RU"/>
        </w:rPr>
        <w:t xml:space="preserve"> </w:t>
      </w:r>
      <w:r>
        <w:rPr>
          <w:lang w:val="ru-RU"/>
        </w:rPr>
        <w:t>рамках</w:t>
      </w:r>
      <w:r w:rsidRPr="00F82253">
        <w:rPr>
          <w:lang w:val="ru-RU"/>
        </w:rPr>
        <w:t xml:space="preserve"> </w:t>
      </w:r>
      <w:r>
        <w:rPr>
          <w:lang w:val="ru-RU"/>
        </w:rPr>
        <w:t>каждого сектора координатора для поддержания контактов с</w:t>
      </w:r>
      <w:r w:rsidRPr="00F82253">
        <w:rPr>
          <w:lang w:val="ru-RU"/>
        </w:rPr>
        <w:t xml:space="preserve"> </w:t>
      </w:r>
      <w:r>
        <w:rPr>
          <w:lang w:val="ru-RU"/>
        </w:rPr>
        <w:t xml:space="preserve">Финансовым отделом и Отделом закупок и поездок.  </w:t>
      </w:r>
    </w:p>
    <w:p w14:paraId="23A68A1E" w14:textId="29DB0115" w:rsidR="0031229D" w:rsidRPr="00CE0303" w:rsidRDefault="00F82253" w:rsidP="0023270A">
      <w:pPr>
        <w:pStyle w:val="ONUME"/>
        <w:rPr>
          <w:szCs w:val="22"/>
          <w:lang w:val="ru-RU"/>
        </w:rPr>
      </w:pPr>
      <w:r>
        <w:rPr>
          <w:lang w:val="ru-RU"/>
        </w:rPr>
        <w:lastRenderedPageBreak/>
        <w:t>Наконец</w:t>
      </w:r>
      <w:r w:rsidRPr="00C10FA7">
        <w:rPr>
          <w:lang w:val="ru-RU"/>
        </w:rPr>
        <w:t xml:space="preserve">, </w:t>
      </w:r>
      <w:r>
        <w:rPr>
          <w:lang w:val="ru-RU"/>
        </w:rPr>
        <w:t>ОВН</w:t>
      </w:r>
      <w:r w:rsidRPr="00C10FA7">
        <w:rPr>
          <w:lang w:val="ru-RU"/>
        </w:rPr>
        <w:t xml:space="preserve"> </w:t>
      </w:r>
      <w:r>
        <w:rPr>
          <w:lang w:val="ru-RU"/>
        </w:rPr>
        <w:t>подчеркнул</w:t>
      </w:r>
      <w:r w:rsidRPr="00C10FA7">
        <w:rPr>
          <w:lang w:val="ru-RU"/>
        </w:rPr>
        <w:t xml:space="preserve"> </w:t>
      </w:r>
      <w:r>
        <w:rPr>
          <w:lang w:val="ru-RU"/>
        </w:rPr>
        <w:t>важное</w:t>
      </w:r>
      <w:r w:rsidRPr="00C10FA7">
        <w:rPr>
          <w:lang w:val="ru-RU"/>
        </w:rPr>
        <w:t xml:space="preserve"> </w:t>
      </w:r>
      <w:r>
        <w:rPr>
          <w:lang w:val="ru-RU"/>
        </w:rPr>
        <w:t>значение</w:t>
      </w:r>
      <w:r w:rsidRPr="00C10FA7">
        <w:rPr>
          <w:lang w:val="ru-RU"/>
        </w:rPr>
        <w:t xml:space="preserve"> </w:t>
      </w:r>
      <w:r>
        <w:rPr>
          <w:lang w:val="ru-RU"/>
        </w:rPr>
        <w:t>вопроса</w:t>
      </w:r>
      <w:r w:rsidRPr="00C10FA7">
        <w:rPr>
          <w:lang w:val="ru-RU"/>
        </w:rPr>
        <w:t xml:space="preserve"> </w:t>
      </w:r>
      <w:r>
        <w:rPr>
          <w:lang w:val="ru-RU"/>
        </w:rPr>
        <w:t>об</w:t>
      </w:r>
      <w:r w:rsidRPr="00C10FA7">
        <w:rPr>
          <w:lang w:val="ru-RU"/>
        </w:rPr>
        <w:t xml:space="preserve"> </w:t>
      </w:r>
      <w:r>
        <w:rPr>
          <w:lang w:val="ru-RU"/>
        </w:rPr>
        <w:t>ответственности</w:t>
      </w:r>
      <w:r w:rsidRPr="00C10FA7">
        <w:rPr>
          <w:lang w:val="ru-RU"/>
        </w:rPr>
        <w:t xml:space="preserve"> </w:t>
      </w:r>
      <w:r>
        <w:rPr>
          <w:lang w:val="ru-RU"/>
        </w:rPr>
        <w:t>и</w:t>
      </w:r>
      <w:r w:rsidRPr="00C10FA7">
        <w:rPr>
          <w:lang w:val="ru-RU"/>
        </w:rPr>
        <w:t xml:space="preserve"> </w:t>
      </w:r>
      <w:r>
        <w:rPr>
          <w:lang w:val="ru-RU"/>
        </w:rPr>
        <w:t>подотчетности</w:t>
      </w:r>
      <w:r w:rsidRPr="00C10FA7">
        <w:rPr>
          <w:lang w:val="ru-RU"/>
        </w:rPr>
        <w:t xml:space="preserve"> </w:t>
      </w:r>
      <w:r w:rsidR="00C10FA7">
        <w:rPr>
          <w:lang w:val="ru-RU"/>
        </w:rPr>
        <w:t>руководителей</w:t>
      </w:r>
      <w:r w:rsidR="00C10FA7" w:rsidRPr="00C10FA7">
        <w:rPr>
          <w:lang w:val="ru-RU"/>
        </w:rPr>
        <w:t xml:space="preserve"> </w:t>
      </w:r>
      <w:r w:rsidR="00C10FA7">
        <w:rPr>
          <w:lang w:val="ru-RU"/>
        </w:rPr>
        <w:t>программ</w:t>
      </w:r>
      <w:r w:rsidR="00C10FA7" w:rsidRPr="00C10FA7">
        <w:rPr>
          <w:lang w:val="ru-RU"/>
        </w:rPr>
        <w:t xml:space="preserve"> </w:t>
      </w:r>
      <w:r w:rsidR="00C10FA7">
        <w:rPr>
          <w:lang w:val="ru-RU"/>
        </w:rPr>
        <w:t>и</w:t>
      </w:r>
      <w:r w:rsidR="00C10FA7" w:rsidRPr="00C10FA7">
        <w:rPr>
          <w:lang w:val="ru-RU"/>
        </w:rPr>
        <w:t xml:space="preserve"> </w:t>
      </w:r>
      <w:r w:rsidR="00C10FA7">
        <w:rPr>
          <w:lang w:val="ru-RU"/>
        </w:rPr>
        <w:t>их</w:t>
      </w:r>
      <w:r w:rsidR="00C10FA7" w:rsidRPr="00C10FA7">
        <w:rPr>
          <w:lang w:val="ru-RU"/>
        </w:rPr>
        <w:t xml:space="preserve"> </w:t>
      </w:r>
      <w:r w:rsidR="00C10FA7">
        <w:rPr>
          <w:lang w:val="ru-RU"/>
        </w:rPr>
        <w:t>заместителей</w:t>
      </w:r>
      <w:r w:rsidR="00C10FA7" w:rsidRPr="00C10FA7">
        <w:rPr>
          <w:lang w:val="ru-RU"/>
        </w:rPr>
        <w:t xml:space="preserve"> </w:t>
      </w:r>
      <w:r w:rsidR="00C10FA7">
        <w:rPr>
          <w:lang w:val="ru-RU"/>
        </w:rPr>
        <w:t>с</w:t>
      </w:r>
      <w:r w:rsidR="00C10FA7" w:rsidRPr="00C10FA7">
        <w:rPr>
          <w:lang w:val="ru-RU"/>
        </w:rPr>
        <w:t xml:space="preserve"> </w:t>
      </w:r>
      <w:r w:rsidR="00C10FA7">
        <w:rPr>
          <w:lang w:val="ru-RU"/>
        </w:rPr>
        <w:t>точки</w:t>
      </w:r>
      <w:r w:rsidR="00C10FA7" w:rsidRPr="00C10FA7">
        <w:rPr>
          <w:lang w:val="ru-RU"/>
        </w:rPr>
        <w:t xml:space="preserve"> </w:t>
      </w:r>
      <w:r w:rsidR="00C10FA7">
        <w:rPr>
          <w:lang w:val="ru-RU"/>
        </w:rPr>
        <w:t>зрения</w:t>
      </w:r>
      <w:r w:rsidR="00C10FA7" w:rsidRPr="00C10FA7">
        <w:rPr>
          <w:lang w:val="ru-RU"/>
        </w:rPr>
        <w:t xml:space="preserve"> </w:t>
      </w:r>
      <w:r w:rsidR="00C10FA7">
        <w:rPr>
          <w:lang w:val="ru-RU"/>
        </w:rPr>
        <w:t>обязательства</w:t>
      </w:r>
      <w:r w:rsidR="00C10FA7" w:rsidRPr="00C10FA7">
        <w:rPr>
          <w:lang w:val="ru-RU"/>
        </w:rPr>
        <w:t xml:space="preserve">, </w:t>
      </w:r>
      <w:r w:rsidR="00C10FA7">
        <w:rPr>
          <w:lang w:val="ru-RU"/>
        </w:rPr>
        <w:t>взятого</w:t>
      </w:r>
      <w:r w:rsidR="00C10FA7" w:rsidRPr="00C10FA7">
        <w:rPr>
          <w:lang w:val="ru-RU"/>
        </w:rPr>
        <w:t xml:space="preserve"> </w:t>
      </w:r>
      <w:r w:rsidR="00C10FA7">
        <w:rPr>
          <w:lang w:val="ru-RU"/>
        </w:rPr>
        <w:t>в</w:t>
      </w:r>
      <w:r w:rsidR="00C10FA7" w:rsidRPr="00C10FA7">
        <w:rPr>
          <w:lang w:val="ru-RU"/>
        </w:rPr>
        <w:t xml:space="preserve"> </w:t>
      </w:r>
      <w:r w:rsidR="00C10FA7">
        <w:rPr>
          <w:lang w:val="ru-RU"/>
        </w:rPr>
        <w:t>контексте</w:t>
      </w:r>
      <w:r w:rsidR="00C10FA7" w:rsidRPr="00C10FA7">
        <w:rPr>
          <w:lang w:val="ru-RU"/>
        </w:rPr>
        <w:t xml:space="preserve"> </w:t>
      </w:r>
      <w:r w:rsidR="00C10FA7">
        <w:rPr>
          <w:lang w:val="ru-RU"/>
        </w:rPr>
        <w:t>письменного</w:t>
      </w:r>
      <w:r w:rsidR="00C10FA7" w:rsidRPr="00C10FA7">
        <w:rPr>
          <w:lang w:val="ru-RU"/>
        </w:rPr>
        <w:t xml:space="preserve"> </w:t>
      </w:r>
      <w:r w:rsidR="00F907C7">
        <w:rPr>
          <w:lang w:val="ru-RU"/>
        </w:rPr>
        <w:t>намерения</w:t>
      </w:r>
      <w:r w:rsidR="00C10FA7" w:rsidRPr="00C10FA7">
        <w:rPr>
          <w:lang w:val="ru-RU"/>
        </w:rPr>
        <w:t xml:space="preserve"> </w:t>
      </w:r>
      <w:r w:rsidR="00C10FA7">
        <w:rPr>
          <w:lang w:val="ru-RU"/>
        </w:rPr>
        <w:t>руководства</w:t>
      </w:r>
      <w:r w:rsidR="00C10FA7" w:rsidRPr="00C10FA7">
        <w:rPr>
          <w:lang w:val="ru-RU"/>
        </w:rPr>
        <w:t xml:space="preserve"> </w:t>
      </w:r>
      <w:r w:rsidR="00C10FA7">
        <w:rPr>
          <w:lang w:val="ru-RU"/>
        </w:rPr>
        <w:t>относительно</w:t>
      </w:r>
      <w:r w:rsidR="00C10FA7" w:rsidRPr="00C10FA7">
        <w:rPr>
          <w:lang w:val="ru-RU"/>
        </w:rPr>
        <w:t xml:space="preserve"> </w:t>
      </w:r>
      <w:r w:rsidR="00F907C7">
        <w:rPr>
          <w:lang w:val="ru-RU"/>
        </w:rPr>
        <w:t>обеспечения эффективности</w:t>
      </w:r>
      <w:r w:rsidR="00C10FA7" w:rsidRPr="00C10FA7">
        <w:rPr>
          <w:lang w:val="ru-RU"/>
        </w:rPr>
        <w:t xml:space="preserve"> </w:t>
      </w:r>
      <w:r w:rsidR="00C10FA7">
        <w:rPr>
          <w:lang w:val="ru-RU"/>
        </w:rPr>
        <w:t>механизмов</w:t>
      </w:r>
      <w:r w:rsidR="00C10FA7" w:rsidRPr="00C10FA7">
        <w:rPr>
          <w:lang w:val="ru-RU"/>
        </w:rPr>
        <w:t xml:space="preserve"> </w:t>
      </w:r>
      <w:r w:rsidR="00C10FA7">
        <w:rPr>
          <w:lang w:val="ru-RU"/>
        </w:rPr>
        <w:t>внутреннего</w:t>
      </w:r>
      <w:r w:rsidR="00C10FA7" w:rsidRPr="00C10FA7">
        <w:rPr>
          <w:lang w:val="ru-RU"/>
        </w:rPr>
        <w:t xml:space="preserve"> </w:t>
      </w:r>
      <w:r w:rsidR="00C10FA7">
        <w:rPr>
          <w:lang w:val="ru-RU"/>
        </w:rPr>
        <w:t>контроля.</w:t>
      </w:r>
      <w:r w:rsidR="00C10FA7" w:rsidRPr="00C10FA7">
        <w:rPr>
          <w:lang w:val="ru-RU"/>
        </w:rPr>
        <w:t xml:space="preserve"> </w:t>
      </w:r>
      <w:r w:rsidRPr="00C10FA7">
        <w:rPr>
          <w:lang w:val="ru-RU"/>
        </w:rPr>
        <w:t xml:space="preserve"> </w:t>
      </w:r>
      <w:r w:rsidR="00C10FA7">
        <w:rPr>
          <w:lang w:val="ru-RU"/>
        </w:rPr>
        <w:t>Аналогичным</w:t>
      </w:r>
      <w:r w:rsidR="00C10FA7" w:rsidRPr="00C10FA7">
        <w:rPr>
          <w:lang w:val="ru-RU"/>
        </w:rPr>
        <w:t xml:space="preserve"> </w:t>
      </w:r>
      <w:r w:rsidR="00C10FA7">
        <w:rPr>
          <w:lang w:val="ru-RU"/>
        </w:rPr>
        <w:t>образом</w:t>
      </w:r>
      <w:r w:rsidR="00C10FA7" w:rsidRPr="00C10FA7">
        <w:rPr>
          <w:lang w:val="ru-RU"/>
        </w:rPr>
        <w:t xml:space="preserve">, </w:t>
      </w:r>
      <w:r w:rsidR="00C10FA7">
        <w:rPr>
          <w:lang w:val="ru-RU"/>
        </w:rPr>
        <w:t>ОВН</w:t>
      </w:r>
      <w:r w:rsidR="00C10FA7" w:rsidRPr="00C10FA7">
        <w:rPr>
          <w:lang w:val="ru-RU"/>
        </w:rPr>
        <w:t xml:space="preserve"> </w:t>
      </w:r>
      <w:r w:rsidR="00C10FA7">
        <w:rPr>
          <w:lang w:val="ru-RU"/>
        </w:rPr>
        <w:t>подчеркнул</w:t>
      </w:r>
      <w:r w:rsidR="00C10FA7" w:rsidRPr="00C10FA7">
        <w:rPr>
          <w:lang w:val="ru-RU"/>
        </w:rPr>
        <w:t xml:space="preserve"> </w:t>
      </w:r>
      <w:r w:rsidR="00C10FA7">
        <w:rPr>
          <w:lang w:val="ru-RU"/>
        </w:rPr>
        <w:t>необходимость</w:t>
      </w:r>
      <w:r w:rsidR="00C10FA7" w:rsidRPr="00C10FA7">
        <w:rPr>
          <w:lang w:val="ru-RU"/>
        </w:rPr>
        <w:t xml:space="preserve"> </w:t>
      </w:r>
      <w:r w:rsidR="00C10FA7">
        <w:rPr>
          <w:lang w:val="ru-RU"/>
        </w:rPr>
        <w:t>дальнейшей</w:t>
      </w:r>
      <w:r w:rsidR="00C10FA7" w:rsidRPr="00C10FA7">
        <w:rPr>
          <w:lang w:val="ru-RU"/>
        </w:rPr>
        <w:t xml:space="preserve"> </w:t>
      </w:r>
      <w:r w:rsidR="00C10FA7">
        <w:rPr>
          <w:lang w:val="ru-RU"/>
        </w:rPr>
        <w:t>увязки</w:t>
      </w:r>
      <w:r w:rsidR="00C10FA7" w:rsidRPr="00C10FA7">
        <w:rPr>
          <w:lang w:val="ru-RU"/>
        </w:rPr>
        <w:t xml:space="preserve"> </w:t>
      </w:r>
      <w:r w:rsidR="00C10FA7">
        <w:rPr>
          <w:lang w:val="ru-RU"/>
        </w:rPr>
        <w:t>административных</w:t>
      </w:r>
      <w:r w:rsidR="00C10FA7" w:rsidRPr="00C10FA7">
        <w:rPr>
          <w:lang w:val="ru-RU"/>
        </w:rPr>
        <w:t xml:space="preserve"> </w:t>
      </w:r>
      <w:r w:rsidR="00C10FA7">
        <w:rPr>
          <w:lang w:val="ru-RU"/>
        </w:rPr>
        <w:t>процессов</w:t>
      </w:r>
      <w:r w:rsidR="00C10FA7" w:rsidRPr="00C10FA7">
        <w:rPr>
          <w:lang w:val="ru-RU"/>
        </w:rPr>
        <w:t xml:space="preserve">, </w:t>
      </w:r>
      <w:r w:rsidR="00C10FA7">
        <w:rPr>
          <w:lang w:val="ru-RU"/>
        </w:rPr>
        <w:t>с</w:t>
      </w:r>
      <w:r w:rsidR="00C10FA7" w:rsidRPr="00C10FA7">
        <w:rPr>
          <w:lang w:val="ru-RU"/>
        </w:rPr>
        <w:t xml:space="preserve"> </w:t>
      </w:r>
      <w:r w:rsidR="00C10FA7">
        <w:rPr>
          <w:lang w:val="ru-RU"/>
        </w:rPr>
        <w:t>одной</w:t>
      </w:r>
      <w:r w:rsidR="00C10FA7" w:rsidRPr="00C10FA7">
        <w:rPr>
          <w:lang w:val="ru-RU"/>
        </w:rPr>
        <w:t xml:space="preserve"> </w:t>
      </w:r>
      <w:r w:rsidR="00C10FA7">
        <w:rPr>
          <w:lang w:val="ru-RU"/>
        </w:rPr>
        <w:t>стороны</w:t>
      </w:r>
      <w:r w:rsidR="00C10FA7" w:rsidRPr="00C10FA7">
        <w:rPr>
          <w:lang w:val="ru-RU"/>
        </w:rPr>
        <w:t xml:space="preserve">, </w:t>
      </w:r>
      <w:r w:rsidR="00C10FA7">
        <w:rPr>
          <w:lang w:val="ru-RU"/>
        </w:rPr>
        <w:t>и</w:t>
      </w:r>
      <w:r w:rsidR="00C10FA7" w:rsidRPr="00C10FA7">
        <w:rPr>
          <w:lang w:val="ru-RU"/>
        </w:rPr>
        <w:t xml:space="preserve"> </w:t>
      </w:r>
      <w:r w:rsidR="00C10FA7">
        <w:rPr>
          <w:lang w:val="ru-RU"/>
        </w:rPr>
        <w:t>требований</w:t>
      </w:r>
      <w:r w:rsidR="00C10FA7" w:rsidRPr="00C10FA7">
        <w:rPr>
          <w:lang w:val="ru-RU"/>
        </w:rPr>
        <w:t xml:space="preserve"> </w:t>
      </w:r>
      <w:r w:rsidR="00C10FA7">
        <w:rPr>
          <w:lang w:val="ru-RU"/>
        </w:rPr>
        <w:t>к</w:t>
      </w:r>
      <w:r w:rsidR="00C10FA7" w:rsidRPr="00C10FA7">
        <w:rPr>
          <w:lang w:val="ru-RU"/>
        </w:rPr>
        <w:t xml:space="preserve"> </w:t>
      </w:r>
      <w:r w:rsidR="00C10FA7">
        <w:rPr>
          <w:lang w:val="ru-RU"/>
        </w:rPr>
        <w:t>результативности</w:t>
      </w:r>
      <w:r w:rsidR="00C10FA7" w:rsidRPr="00C10FA7">
        <w:rPr>
          <w:lang w:val="ru-RU"/>
        </w:rPr>
        <w:t xml:space="preserve"> </w:t>
      </w:r>
      <w:r w:rsidR="00C10FA7">
        <w:rPr>
          <w:lang w:val="ru-RU"/>
        </w:rPr>
        <w:t>работы</w:t>
      </w:r>
      <w:r w:rsidR="00C10FA7" w:rsidRPr="00C10FA7">
        <w:rPr>
          <w:lang w:val="ru-RU"/>
        </w:rPr>
        <w:t xml:space="preserve">, </w:t>
      </w:r>
      <w:r w:rsidR="00C10FA7">
        <w:rPr>
          <w:lang w:val="ru-RU"/>
        </w:rPr>
        <w:t>с</w:t>
      </w:r>
      <w:r w:rsidR="00C10FA7" w:rsidRPr="00C10FA7">
        <w:rPr>
          <w:lang w:val="ru-RU"/>
        </w:rPr>
        <w:t xml:space="preserve"> </w:t>
      </w:r>
      <w:r w:rsidR="00C10FA7">
        <w:rPr>
          <w:lang w:val="ru-RU"/>
        </w:rPr>
        <w:t>другой</w:t>
      </w:r>
      <w:r w:rsidR="00C10FA7" w:rsidRPr="00C10FA7">
        <w:rPr>
          <w:lang w:val="ru-RU"/>
        </w:rPr>
        <w:t xml:space="preserve">, </w:t>
      </w:r>
      <w:r w:rsidR="00C10FA7">
        <w:rPr>
          <w:lang w:val="ru-RU"/>
        </w:rPr>
        <w:t>без</w:t>
      </w:r>
      <w:r w:rsidR="00C10FA7" w:rsidRPr="00C10FA7">
        <w:rPr>
          <w:lang w:val="ru-RU"/>
        </w:rPr>
        <w:t xml:space="preserve"> </w:t>
      </w:r>
      <w:r w:rsidR="00C10FA7">
        <w:rPr>
          <w:lang w:val="ru-RU"/>
        </w:rPr>
        <w:t>ущерба</w:t>
      </w:r>
      <w:r w:rsidR="00C10FA7" w:rsidRPr="00C10FA7">
        <w:rPr>
          <w:lang w:val="ru-RU"/>
        </w:rPr>
        <w:t xml:space="preserve"> </w:t>
      </w:r>
      <w:r w:rsidR="00C10FA7">
        <w:rPr>
          <w:lang w:val="ru-RU"/>
        </w:rPr>
        <w:t>для</w:t>
      </w:r>
      <w:r w:rsidR="00C10FA7" w:rsidRPr="00C10FA7">
        <w:rPr>
          <w:lang w:val="ru-RU"/>
        </w:rPr>
        <w:t xml:space="preserve"> </w:t>
      </w:r>
      <w:r w:rsidR="00C10FA7">
        <w:rPr>
          <w:lang w:val="ru-RU"/>
        </w:rPr>
        <w:t>эффективного</w:t>
      </w:r>
      <w:r w:rsidR="00C10FA7" w:rsidRPr="00C10FA7">
        <w:rPr>
          <w:lang w:val="ru-RU"/>
        </w:rPr>
        <w:t xml:space="preserve"> </w:t>
      </w:r>
      <w:r w:rsidR="00C10FA7">
        <w:rPr>
          <w:lang w:val="ru-RU"/>
        </w:rPr>
        <w:t>управления</w:t>
      </w:r>
      <w:r w:rsidR="00C10FA7" w:rsidRPr="00C10FA7">
        <w:rPr>
          <w:lang w:val="ru-RU"/>
        </w:rPr>
        <w:t xml:space="preserve"> </w:t>
      </w:r>
      <w:r w:rsidR="00C10FA7">
        <w:rPr>
          <w:lang w:val="ru-RU"/>
        </w:rPr>
        <w:t>рисками</w:t>
      </w:r>
      <w:r w:rsidR="00C10FA7" w:rsidRPr="00C10FA7">
        <w:rPr>
          <w:lang w:val="ru-RU"/>
        </w:rPr>
        <w:t xml:space="preserve"> </w:t>
      </w:r>
      <w:r w:rsidR="00C10FA7">
        <w:rPr>
          <w:lang w:val="ru-RU"/>
        </w:rPr>
        <w:t>и</w:t>
      </w:r>
      <w:r w:rsidR="00C10FA7" w:rsidRPr="00C10FA7">
        <w:rPr>
          <w:lang w:val="ru-RU"/>
        </w:rPr>
        <w:t xml:space="preserve"> </w:t>
      </w:r>
      <w:r w:rsidR="00C10FA7">
        <w:rPr>
          <w:lang w:val="ru-RU"/>
        </w:rPr>
        <w:t>механизмов</w:t>
      </w:r>
      <w:r w:rsidR="00C10FA7" w:rsidRPr="00C10FA7">
        <w:rPr>
          <w:lang w:val="ru-RU"/>
        </w:rPr>
        <w:t xml:space="preserve"> </w:t>
      </w:r>
      <w:r w:rsidR="00C10FA7">
        <w:rPr>
          <w:lang w:val="ru-RU"/>
        </w:rPr>
        <w:t>внутреннего</w:t>
      </w:r>
      <w:r w:rsidR="00C10FA7" w:rsidRPr="00C10FA7">
        <w:rPr>
          <w:lang w:val="ru-RU"/>
        </w:rPr>
        <w:t xml:space="preserve"> </w:t>
      </w:r>
      <w:r w:rsidR="00C10FA7">
        <w:rPr>
          <w:lang w:val="ru-RU"/>
        </w:rPr>
        <w:t>контроля</w:t>
      </w:r>
      <w:r w:rsidR="00C10FA7" w:rsidRPr="00C10FA7">
        <w:rPr>
          <w:lang w:val="ru-RU"/>
        </w:rPr>
        <w:t xml:space="preserve">;  </w:t>
      </w:r>
      <w:r w:rsidR="00C10FA7">
        <w:rPr>
          <w:lang w:val="ru-RU"/>
        </w:rPr>
        <w:t xml:space="preserve">это также способствовало бы достижению стратегических целей Организации.  </w:t>
      </w:r>
    </w:p>
    <w:p w14:paraId="470D6010" w14:textId="2EFB7CA3" w:rsidR="001635B5" w:rsidRPr="00C10FA7" w:rsidRDefault="00C10FA7" w:rsidP="001635B5">
      <w:pPr>
        <w:pStyle w:val="Heading2"/>
        <w:rPr>
          <w:lang w:val="ru-RU"/>
        </w:rPr>
      </w:pPr>
      <w:bookmarkStart w:id="33" w:name="_Toc40299727"/>
      <w:r w:rsidRPr="00C10FA7">
        <w:rPr>
          <w:lang w:val="ru-RU"/>
        </w:rPr>
        <w:t>совместная оценка и аудиторская проверка политики ВОИС в области гендерного равенства</w:t>
      </w:r>
      <w:bookmarkEnd w:id="33"/>
    </w:p>
    <w:p w14:paraId="47335DB7" w14:textId="4010DB84" w:rsidR="00F953FF" w:rsidRPr="00BB237F" w:rsidRDefault="00940C6B" w:rsidP="00940C6B">
      <w:pPr>
        <w:pStyle w:val="ONUME"/>
        <w:rPr>
          <w:lang w:val="ru-RU"/>
        </w:rPr>
      </w:pPr>
      <w:r>
        <w:rPr>
          <w:lang w:val="ru-RU"/>
        </w:rPr>
        <w:t>В</w:t>
      </w:r>
      <w:r w:rsidRPr="00940C6B">
        <w:rPr>
          <w:lang w:val="ru-RU"/>
        </w:rPr>
        <w:t xml:space="preserve"> </w:t>
      </w:r>
      <w:r>
        <w:rPr>
          <w:lang w:val="ru-RU"/>
        </w:rPr>
        <w:t>качестве</w:t>
      </w:r>
      <w:r w:rsidRPr="00940C6B">
        <w:rPr>
          <w:lang w:val="ru-RU"/>
        </w:rPr>
        <w:t xml:space="preserve"> </w:t>
      </w:r>
      <w:r>
        <w:rPr>
          <w:lang w:val="ru-RU"/>
        </w:rPr>
        <w:t>одного</w:t>
      </w:r>
      <w:r w:rsidRPr="00940C6B">
        <w:rPr>
          <w:lang w:val="ru-RU"/>
        </w:rPr>
        <w:t xml:space="preserve"> </w:t>
      </w:r>
      <w:r>
        <w:rPr>
          <w:lang w:val="ru-RU"/>
        </w:rPr>
        <w:t>из</w:t>
      </w:r>
      <w:r w:rsidRPr="00940C6B">
        <w:rPr>
          <w:lang w:val="ru-RU"/>
        </w:rPr>
        <w:t xml:space="preserve"> </w:t>
      </w:r>
      <w:r>
        <w:rPr>
          <w:lang w:val="ru-RU"/>
        </w:rPr>
        <w:t>специализированных</w:t>
      </w:r>
      <w:r w:rsidRPr="00940C6B">
        <w:rPr>
          <w:lang w:val="ru-RU"/>
        </w:rPr>
        <w:t xml:space="preserve"> </w:t>
      </w:r>
      <w:r>
        <w:rPr>
          <w:lang w:val="ru-RU"/>
        </w:rPr>
        <w:t>учреждений</w:t>
      </w:r>
      <w:r w:rsidRPr="00940C6B">
        <w:rPr>
          <w:lang w:val="ru-RU"/>
        </w:rPr>
        <w:t xml:space="preserve"> </w:t>
      </w:r>
      <w:r>
        <w:rPr>
          <w:lang w:val="ru-RU"/>
        </w:rPr>
        <w:t>ООН</w:t>
      </w:r>
      <w:r w:rsidRPr="00940C6B">
        <w:rPr>
          <w:lang w:val="ru-RU"/>
        </w:rPr>
        <w:t xml:space="preserve">, </w:t>
      </w:r>
      <w:r>
        <w:rPr>
          <w:lang w:val="ru-RU"/>
        </w:rPr>
        <w:t>которое</w:t>
      </w:r>
      <w:r w:rsidRPr="00940C6B">
        <w:rPr>
          <w:lang w:val="ru-RU"/>
        </w:rPr>
        <w:t xml:space="preserve"> </w:t>
      </w:r>
      <w:r>
        <w:rPr>
          <w:lang w:val="ru-RU"/>
        </w:rPr>
        <w:t>стремится</w:t>
      </w:r>
      <w:r w:rsidRPr="00940C6B">
        <w:rPr>
          <w:lang w:val="ru-RU"/>
        </w:rPr>
        <w:t xml:space="preserve"> </w:t>
      </w:r>
      <w:r>
        <w:rPr>
          <w:lang w:val="ru-RU"/>
        </w:rPr>
        <w:t>поощрять</w:t>
      </w:r>
      <w:r w:rsidRPr="00940C6B">
        <w:rPr>
          <w:lang w:val="ru-RU"/>
        </w:rPr>
        <w:t xml:space="preserve"> </w:t>
      </w:r>
      <w:r>
        <w:rPr>
          <w:lang w:val="ru-RU"/>
        </w:rPr>
        <w:t>инновации</w:t>
      </w:r>
      <w:r w:rsidRPr="00940C6B">
        <w:rPr>
          <w:lang w:val="ru-RU"/>
        </w:rPr>
        <w:t xml:space="preserve"> </w:t>
      </w:r>
      <w:r>
        <w:rPr>
          <w:lang w:val="ru-RU"/>
        </w:rPr>
        <w:t>и</w:t>
      </w:r>
      <w:r w:rsidRPr="00940C6B">
        <w:rPr>
          <w:lang w:val="ru-RU"/>
        </w:rPr>
        <w:t xml:space="preserve"> </w:t>
      </w:r>
      <w:r>
        <w:rPr>
          <w:lang w:val="ru-RU"/>
        </w:rPr>
        <w:t>творчество</w:t>
      </w:r>
      <w:r w:rsidRPr="00940C6B">
        <w:rPr>
          <w:lang w:val="ru-RU"/>
        </w:rPr>
        <w:t xml:space="preserve"> </w:t>
      </w:r>
      <w:r>
        <w:rPr>
          <w:lang w:val="ru-RU"/>
        </w:rPr>
        <w:t>в</w:t>
      </w:r>
      <w:r w:rsidRPr="00940C6B">
        <w:rPr>
          <w:lang w:val="ru-RU"/>
        </w:rPr>
        <w:t xml:space="preserve"> </w:t>
      </w:r>
      <w:r>
        <w:rPr>
          <w:lang w:val="ru-RU"/>
        </w:rPr>
        <w:t>интересах</w:t>
      </w:r>
      <w:r w:rsidRPr="00940C6B">
        <w:rPr>
          <w:lang w:val="ru-RU"/>
        </w:rPr>
        <w:t xml:space="preserve"> </w:t>
      </w:r>
      <w:r>
        <w:rPr>
          <w:lang w:val="ru-RU"/>
        </w:rPr>
        <w:t>экономического</w:t>
      </w:r>
      <w:r w:rsidRPr="00940C6B">
        <w:rPr>
          <w:lang w:val="ru-RU"/>
        </w:rPr>
        <w:t xml:space="preserve">, </w:t>
      </w:r>
      <w:r>
        <w:rPr>
          <w:lang w:val="ru-RU"/>
        </w:rPr>
        <w:t>социального</w:t>
      </w:r>
      <w:r w:rsidRPr="00940C6B">
        <w:rPr>
          <w:lang w:val="ru-RU"/>
        </w:rPr>
        <w:t xml:space="preserve"> </w:t>
      </w:r>
      <w:r>
        <w:rPr>
          <w:lang w:val="ru-RU"/>
        </w:rPr>
        <w:t>и</w:t>
      </w:r>
      <w:r w:rsidRPr="00940C6B">
        <w:rPr>
          <w:lang w:val="ru-RU"/>
        </w:rPr>
        <w:t xml:space="preserve"> </w:t>
      </w:r>
      <w:r>
        <w:rPr>
          <w:lang w:val="ru-RU"/>
        </w:rPr>
        <w:t>культурного</w:t>
      </w:r>
      <w:r w:rsidRPr="00940C6B">
        <w:rPr>
          <w:lang w:val="ru-RU"/>
        </w:rPr>
        <w:t xml:space="preserve"> </w:t>
      </w:r>
      <w:r>
        <w:rPr>
          <w:lang w:val="ru-RU"/>
        </w:rPr>
        <w:t>развития</w:t>
      </w:r>
      <w:r w:rsidRPr="00940C6B">
        <w:rPr>
          <w:lang w:val="ru-RU"/>
        </w:rPr>
        <w:t xml:space="preserve">, </w:t>
      </w:r>
      <w:r>
        <w:rPr>
          <w:lang w:val="ru-RU"/>
        </w:rPr>
        <w:t>ВОИС</w:t>
      </w:r>
      <w:r w:rsidRPr="00940C6B">
        <w:rPr>
          <w:lang w:val="ru-RU"/>
        </w:rPr>
        <w:t xml:space="preserve"> </w:t>
      </w:r>
      <w:r>
        <w:rPr>
          <w:lang w:val="ru-RU"/>
        </w:rPr>
        <w:t>привержена</w:t>
      </w:r>
      <w:r w:rsidRPr="00940C6B">
        <w:rPr>
          <w:lang w:val="ru-RU"/>
        </w:rPr>
        <w:t xml:space="preserve"> </w:t>
      </w:r>
      <w:r>
        <w:rPr>
          <w:lang w:val="ru-RU"/>
        </w:rPr>
        <w:t>делу</w:t>
      </w:r>
      <w:r w:rsidRPr="00940C6B">
        <w:rPr>
          <w:lang w:val="ru-RU"/>
        </w:rPr>
        <w:t xml:space="preserve"> </w:t>
      </w:r>
      <w:r>
        <w:rPr>
          <w:lang w:val="ru-RU"/>
        </w:rPr>
        <w:t>обеспечения</w:t>
      </w:r>
      <w:r w:rsidRPr="00940C6B">
        <w:rPr>
          <w:lang w:val="ru-RU"/>
        </w:rPr>
        <w:t xml:space="preserve"> </w:t>
      </w:r>
      <w:r>
        <w:rPr>
          <w:lang w:val="ru-RU"/>
        </w:rPr>
        <w:t>гендерного равенства в рамках своего мандата и в соответствии с обязательствами ООН.</w:t>
      </w:r>
      <w:r w:rsidRPr="00940C6B">
        <w:rPr>
          <w:lang w:val="ru-RU"/>
        </w:rPr>
        <w:t xml:space="preserve"> </w:t>
      </w:r>
      <w:r>
        <w:rPr>
          <w:lang w:val="ru-RU"/>
        </w:rPr>
        <w:t xml:space="preserve"> В</w:t>
      </w:r>
      <w:r w:rsidRPr="00940C6B">
        <w:rPr>
          <w:lang w:val="ru-RU"/>
        </w:rPr>
        <w:t xml:space="preserve"> 2014 </w:t>
      </w:r>
      <w:r>
        <w:rPr>
          <w:lang w:val="ru-RU"/>
        </w:rPr>
        <w:t>г</w:t>
      </w:r>
      <w:r w:rsidRPr="00940C6B">
        <w:rPr>
          <w:lang w:val="ru-RU"/>
        </w:rPr>
        <w:t xml:space="preserve">. </w:t>
      </w:r>
      <w:r>
        <w:rPr>
          <w:lang w:val="ru-RU"/>
        </w:rPr>
        <w:t>была</w:t>
      </w:r>
      <w:r w:rsidRPr="00940C6B">
        <w:rPr>
          <w:lang w:val="ru-RU"/>
        </w:rPr>
        <w:t xml:space="preserve"> </w:t>
      </w:r>
      <w:r>
        <w:rPr>
          <w:lang w:val="ru-RU"/>
        </w:rPr>
        <w:t>опубликована</w:t>
      </w:r>
      <w:r w:rsidRPr="00940C6B">
        <w:rPr>
          <w:lang w:val="ru-RU"/>
        </w:rPr>
        <w:t xml:space="preserve"> </w:t>
      </w:r>
      <w:r>
        <w:rPr>
          <w:lang w:val="ru-RU"/>
        </w:rPr>
        <w:t>Политика</w:t>
      </w:r>
      <w:r w:rsidRPr="00940C6B">
        <w:rPr>
          <w:lang w:val="ru-RU"/>
        </w:rPr>
        <w:t xml:space="preserve"> </w:t>
      </w:r>
      <w:r>
        <w:rPr>
          <w:lang w:val="ru-RU"/>
        </w:rPr>
        <w:t>ВОИС</w:t>
      </w:r>
      <w:r w:rsidRPr="00940C6B">
        <w:rPr>
          <w:lang w:val="ru-RU"/>
        </w:rPr>
        <w:t xml:space="preserve"> </w:t>
      </w:r>
      <w:r>
        <w:rPr>
          <w:lang w:val="ru-RU"/>
        </w:rPr>
        <w:t>в</w:t>
      </w:r>
      <w:r w:rsidRPr="00940C6B">
        <w:rPr>
          <w:lang w:val="ru-RU"/>
        </w:rPr>
        <w:t xml:space="preserve"> </w:t>
      </w:r>
      <w:r>
        <w:rPr>
          <w:lang w:val="ru-RU"/>
        </w:rPr>
        <w:t>области</w:t>
      </w:r>
      <w:r w:rsidRPr="00940C6B">
        <w:rPr>
          <w:lang w:val="ru-RU"/>
        </w:rPr>
        <w:t xml:space="preserve"> </w:t>
      </w:r>
      <w:r>
        <w:rPr>
          <w:lang w:val="ru-RU"/>
        </w:rPr>
        <w:t>гендерного</w:t>
      </w:r>
      <w:r w:rsidRPr="00940C6B">
        <w:rPr>
          <w:lang w:val="ru-RU"/>
        </w:rPr>
        <w:t xml:space="preserve"> </w:t>
      </w:r>
      <w:r>
        <w:rPr>
          <w:lang w:val="ru-RU"/>
        </w:rPr>
        <w:t>равенства</w:t>
      </w:r>
      <w:r w:rsidRPr="00940C6B">
        <w:rPr>
          <w:lang w:val="ru-RU"/>
        </w:rPr>
        <w:t xml:space="preserve">, </w:t>
      </w:r>
      <w:r>
        <w:rPr>
          <w:lang w:val="ru-RU"/>
        </w:rPr>
        <w:t>целью</w:t>
      </w:r>
      <w:r w:rsidRPr="00940C6B">
        <w:rPr>
          <w:lang w:val="ru-RU"/>
        </w:rPr>
        <w:t xml:space="preserve"> </w:t>
      </w:r>
      <w:r>
        <w:rPr>
          <w:lang w:val="ru-RU"/>
        </w:rPr>
        <w:t>которой</w:t>
      </w:r>
      <w:r w:rsidRPr="00940C6B">
        <w:rPr>
          <w:lang w:val="ru-RU"/>
        </w:rPr>
        <w:t xml:space="preserve"> </w:t>
      </w:r>
      <w:r>
        <w:rPr>
          <w:lang w:val="ru-RU"/>
        </w:rPr>
        <w:t>является</w:t>
      </w:r>
      <w:r w:rsidRPr="00940C6B">
        <w:rPr>
          <w:lang w:val="ru-RU"/>
        </w:rPr>
        <w:t xml:space="preserve"> </w:t>
      </w:r>
      <w:r>
        <w:rPr>
          <w:lang w:val="ru-RU"/>
        </w:rPr>
        <w:t>интеграция</w:t>
      </w:r>
      <w:r w:rsidRPr="00940C6B">
        <w:rPr>
          <w:lang w:val="ru-RU"/>
        </w:rPr>
        <w:t xml:space="preserve"> </w:t>
      </w:r>
      <w:r>
        <w:rPr>
          <w:lang w:val="ru-RU"/>
        </w:rPr>
        <w:t>гендерной</w:t>
      </w:r>
      <w:r w:rsidRPr="00940C6B">
        <w:rPr>
          <w:lang w:val="ru-RU"/>
        </w:rPr>
        <w:t xml:space="preserve"> </w:t>
      </w:r>
      <w:r>
        <w:rPr>
          <w:lang w:val="ru-RU"/>
        </w:rPr>
        <w:t>перспективы</w:t>
      </w:r>
      <w:r w:rsidRPr="00940C6B">
        <w:rPr>
          <w:lang w:val="ru-RU"/>
        </w:rPr>
        <w:t xml:space="preserve"> </w:t>
      </w:r>
      <w:r>
        <w:rPr>
          <w:lang w:val="ru-RU"/>
        </w:rPr>
        <w:t>в</w:t>
      </w:r>
      <w:r w:rsidRPr="00940C6B">
        <w:rPr>
          <w:lang w:val="ru-RU"/>
        </w:rPr>
        <w:t xml:space="preserve"> </w:t>
      </w:r>
      <w:r>
        <w:rPr>
          <w:lang w:val="ru-RU"/>
        </w:rPr>
        <w:t>политику</w:t>
      </w:r>
      <w:r w:rsidRPr="00940C6B">
        <w:rPr>
          <w:lang w:val="ru-RU"/>
        </w:rPr>
        <w:t xml:space="preserve">, </w:t>
      </w:r>
      <w:r>
        <w:rPr>
          <w:lang w:val="ru-RU"/>
        </w:rPr>
        <w:t>программы</w:t>
      </w:r>
      <w:r w:rsidRPr="00940C6B">
        <w:rPr>
          <w:lang w:val="ru-RU"/>
        </w:rPr>
        <w:t xml:space="preserve"> </w:t>
      </w:r>
      <w:r>
        <w:rPr>
          <w:lang w:val="ru-RU"/>
        </w:rPr>
        <w:t>и</w:t>
      </w:r>
      <w:r w:rsidRPr="00940C6B">
        <w:rPr>
          <w:lang w:val="ru-RU"/>
        </w:rPr>
        <w:t xml:space="preserve"> </w:t>
      </w:r>
      <w:r>
        <w:rPr>
          <w:lang w:val="ru-RU"/>
        </w:rPr>
        <w:t>рабочие процессы ВОИС.</w:t>
      </w:r>
      <w:r w:rsidRPr="00940C6B">
        <w:rPr>
          <w:lang w:val="ru-RU"/>
        </w:rPr>
        <w:t xml:space="preserve"> </w:t>
      </w:r>
    </w:p>
    <w:p w14:paraId="4227E41C" w14:textId="4FA17EBC" w:rsidR="00F953FF" w:rsidRPr="00CE0303" w:rsidRDefault="00940C6B" w:rsidP="002C1C90">
      <w:pPr>
        <w:pStyle w:val="ONUME"/>
        <w:rPr>
          <w:lang w:val="ru-RU"/>
        </w:rPr>
      </w:pPr>
      <w:r>
        <w:rPr>
          <w:lang w:val="ru-RU"/>
        </w:rPr>
        <w:t>В</w:t>
      </w:r>
      <w:r w:rsidRPr="002C1C90">
        <w:rPr>
          <w:lang w:val="ru-RU"/>
        </w:rPr>
        <w:t xml:space="preserve"> </w:t>
      </w:r>
      <w:r>
        <w:rPr>
          <w:lang w:val="ru-RU"/>
        </w:rPr>
        <w:t>ходе</w:t>
      </w:r>
      <w:r w:rsidRPr="002C1C90">
        <w:rPr>
          <w:lang w:val="ru-RU"/>
        </w:rPr>
        <w:t xml:space="preserve"> </w:t>
      </w:r>
      <w:r>
        <w:rPr>
          <w:lang w:val="ru-RU"/>
        </w:rPr>
        <w:t>совместной</w:t>
      </w:r>
      <w:r w:rsidRPr="002C1C90">
        <w:rPr>
          <w:lang w:val="ru-RU"/>
        </w:rPr>
        <w:t xml:space="preserve"> </w:t>
      </w:r>
      <w:r>
        <w:rPr>
          <w:lang w:val="ru-RU"/>
        </w:rPr>
        <w:t>оценки</w:t>
      </w:r>
      <w:r w:rsidRPr="002C1C90">
        <w:rPr>
          <w:lang w:val="ru-RU"/>
        </w:rPr>
        <w:t xml:space="preserve"> </w:t>
      </w:r>
      <w:r>
        <w:rPr>
          <w:lang w:val="ru-RU"/>
        </w:rPr>
        <w:t>и</w:t>
      </w:r>
      <w:r w:rsidRPr="002C1C90">
        <w:rPr>
          <w:lang w:val="ru-RU"/>
        </w:rPr>
        <w:t xml:space="preserve"> </w:t>
      </w:r>
      <w:r>
        <w:rPr>
          <w:lang w:val="ru-RU"/>
        </w:rPr>
        <w:t>аудиторской</w:t>
      </w:r>
      <w:r w:rsidRPr="002C1C90">
        <w:rPr>
          <w:lang w:val="ru-RU"/>
        </w:rPr>
        <w:t xml:space="preserve"> </w:t>
      </w:r>
      <w:r>
        <w:rPr>
          <w:lang w:val="ru-RU"/>
        </w:rPr>
        <w:t>проверки</w:t>
      </w:r>
      <w:r w:rsidRPr="002C1C90">
        <w:rPr>
          <w:lang w:val="ru-RU"/>
        </w:rPr>
        <w:t xml:space="preserve"> </w:t>
      </w:r>
      <w:r w:rsidR="002C1C90">
        <w:rPr>
          <w:lang w:val="ru-RU"/>
        </w:rPr>
        <w:t>Политики</w:t>
      </w:r>
      <w:r w:rsidR="002C1C90" w:rsidRPr="002C1C90">
        <w:rPr>
          <w:lang w:val="ru-RU"/>
        </w:rPr>
        <w:t xml:space="preserve"> </w:t>
      </w:r>
      <w:r w:rsidR="002C1C90">
        <w:rPr>
          <w:lang w:val="ru-RU"/>
        </w:rPr>
        <w:t>ВОИС</w:t>
      </w:r>
      <w:r w:rsidR="002C1C90" w:rsidRPr="002C1C90">
        <w:rPr>
          <w:lang w:val="ru-RU"/>
        </w:rPr>
        <w:t xml:space="preserve"> </w:t>
      </w:r>
      <w:r w:rsidR="002C1C90">
        <w:rPr>
          <w:lang w:val="ru-RU"/>
        </w:rPr>
        <w:t>в</w:t>
      </w:r>
      <w:r w:rsidR="002C1C90" w:rsidRPr="002C1C90">
        <w:rPr>
          <w:lang w:val="ru-RU"/>
        </w:rPr>
        <w:t xml:space="preserve"> </w:t>
      </w:r>
      <w:r w:rsidR="002C1C90">
        <w:rPr>
          <w:lang w:val="ru-RU"/>
        </w:rPr>
        <w:t>области</w:t>
      </w:r>
      <w:r w:rsidR="002C1C90" w:rsidRPr="002C1C90">
        <w:rPr>
          <w:lang w:val="ru-RU"/>
        </w:rPr>
        <w:t xml:space="preserve"> </w:t>
      </w:r>
      <w:r w:rsidR="002C1C90">
        <w:rPr>
          <w:lang w:val="ru-RU"/>
        </w:rPr>
        <w:t>гендерного</w:t>
      </w:r>
      <w:r w:rsidR="002C1C90" w:rsidRPr="002C1C90">
        <w:rPr>
          <w:lang w:val="ru-RU"/>
        </w:rPr>
        <w:t xml:space="preserve"> </w:t>
      </w:r>
      <w:r w:rsidR="002C1C90">
        <w:rPr>
          <w:lang w:val="ru-RU"/>
        </w:rPr>
        <w:t>равенства</w:t>
      </w:r>
      <w:r w:rsidR="002C1C90" w:rsidRPr="002C1C90">
        <w:rPr>
          <w:lang w:val="ru-RU"/>
        </w:rPr>
        <w:t xml:space="preserve"> </w:t>
      </w:r>
      <w:r w:rsidR="002C1C90">
        <w:rPr>
          <w:lang w:val="ru-RU"/>
        </w:rPr>
        <w:t>было</w:t>
      </w:r>
      <w:r w:rsidR="002C1C90" w:rsidRPr="002C1C90">
        <w:rPr>
          <w:lang w:val="ru-RU"/>
        </w:rPr>
        <w:t xml:space="preserve"> </w:t>
      </w:r>
      <w:r w:rsidR="002C1C90">
        <w:rPr>
          <w:lang w:val="ru-RU"/>
        </w:rPr>
        <w:t>установлено</w:t>
      </w:r>
      <w:r w:rsidR="002C1C90" w:rsidRPr="002C1C90">
        <w:rPr>
          <w:lang w:val="ru-RU"/>
        </w:rPr>
        <w:t xml:space="preserve">, </w:t>
      </w:r>
      <w:r w:rsidR="002C1C90">
        <w:rPr>
          <w:lang w:val="ru-RU"/>
        </w:rPr>
        <w:t>что</w:t>
      </w:r>
      <w:r w:rsidR="002C1C90" w:rsidRPr="002C1C90">
        <w:rPr>
          <w:lang w:val="ru-RU"/>
        </w:rPr>
        <w:t xml:space="preserve"> </w:t>
      </w:r>
      <w:r w:rsidR="002C1C90">
        <w:rPr>
          <w:lang w:val="ru-RU"/>
        </w:rPr>
        <w:t>реализация</w:t>
      </w:r>
      <w:r w:rsidR="002C1C90" w:rsidRPr="002C1C90">
        <w:rPr>
          <w:lang w:val="ru-RU"/>
        </w:rPr>
        <w:t xml:space="preserve"> </w:t>
      </w:r>
      <w:r w:rsidR="002C1C90">
        <w:rPr>
          <w:lang w:val="ru-RU"/>
        </w:rPr>
        <w:t>этой</w:t>
      </w:r>
      <w:r w:rsidR="002C1C90" w:rsidRPr="002C1C90">
        <w:rPr>
          <w:lang w:val="ru-RU"/>
        </w:rPr>
        <w:t xml:space="preserve"> </w:t>
      </w:r>
      <w:r w:rsidR="002C1C90">
        <w:rPr>
          <w:lang w:val="ru-RU"/>
        </w:rPr>
        <w:t>Политики</w:t>
      </w:r>
      <w:r w:rsidR="002C1C90" w:rsidRPr="002C1C90">
        <w:rPr>
          <w:lang w:val="ru-RU"/>
        </w:rPr>
        <w:t xml:space="preserve"> </w:t>
      </w:r>
      <w:r w:rsidR="002C1C90">
        <w:rPr>
          <w:lang w:val="ru-RU"/>
        </w:rPr>
        <w:t>позволила</w:t>
      </w:r>
      <w:r w:rsidR="002C1C90" w:rsidRPr="002C1C90">
        <w:rPr>
          <w:lang w:val="ru-RU"/>
        </w:rPr>
        <w:t xml:space="preserve"> </w:t>
      </w:r>
      <w:r w:rsidR="002C1C90">
        <w:rPr>
          <w:lang w:val="ru-RU"/>
        </w:rPr>
        <w:t>внедрить</w:t>
      </w:r>
      <w:r w:rsidR="002C1C90" w:rsidRPr="002C1C90">
        <w:rPr>
          <w:lang w:val="ru-RU"/>
        </w:rPr>
        <w:t xml:space="preserve"> </w:t>
      </w:r>
      <w:r w:rsidR="002C1C90">
        <w:rPr>
          <w:lang w:val="ru-RU"/>
        </w:rPr>
        <w:t>комплексный</w:t>
      </w:r>
      <w:r w:rsidR="002C1C90" w:rsidRPr="002C1C90">
        <w:rPr>
          <w:lang w:val="ru-RU"/>
        </w:rPr>
        <w:t xml:space="preserve"> </w:t>
      </w:r>
      <w:r w:rsidR="002C1C90">
        <w:rPr>
          <w:lang w:val="ru-RU"/>
        </w:rPr>
        <w:t>подход</w:t>
      </w:r>
      <w:r w:rsidR="002C1C90" w:rsidRPr="002C1C90">
        <w:rPr>
          <w:lang w:val="ru-RU"/>
        </w:rPr>
        <w:t xml:space="preserve"> </w:t>
      </w:r>
      <w:r w:rsidR="002C1C90">
        <w:rPr>
          <w:lang w:val="ru-RU"/>
        </w:rPr>
        <w:t>к</w:t>
      </w:r>
      <w:r w:rsidR="002C1C90" w:rsidRPr="002C1C90">
        <w:rPr>
          <w:lang w:val="ru-RU"/>
        </w:rPr>
        <w:t xml:space="preserve"> </w:t>
      </w:r>
      <w:r w:rsidR="002C1C90">
        <w:rPr>
          <w:lang w:val="ru-RU"/>
        </w:rPr>
        <w:t>гендерным</w:t>
      </w:r>
      <w:r w:rsidR="002C1C90" w:rsidRPr="002C1C90">
        <w:rPr>
          <w:lang w:val="ru-RU"/>
        </w:rPr>
        <w:t xml:space="preserve"> </w:t>
      </w:r>
      <w:r w:rsidR="002C1C90">
        <w:rPr>
          <w:lang w:val="ru-RU"/>
        </w:rPr>
        <w:t>вопросам</w:t>
      </w:r>
      <w:r w:rsidR="002C1C90" w:rsidRPr="002C1C90">
        <w:rPr>
          <w:lang w:val="ru-RU"/>
        </w:rPr>
        <w:t xml:space="preserve"> </w:t>
      </w:r>
      <w:r w:rsidR="002C1C90">
        <w:rPr>
          <w:lang w:val="ru-RU"/>
        </w:rPr>
        <w:t>в рамках программ ВОИС, а также добиться прогресса в деле</w:t>
      </w:r>
      <w:r w:rsidR="002C1C90" w:rsidRPr="002C1C90">
        <w:rPr>
          <w:lang w:val="ru-RU"/>
        </w:rPr>
        <w:t xml:space="preserve"> </w:t>
      </w:r>
      <w:r w:rsidR="002C1C90">
        <w:rPr>
          <w:lang w:val="ru-RU"/>
        </w:rPr>
        <w:t>обеспечения гендерного равенства на рабочих местах.  Организации</w:t>
      </w:r>
      <w:r w:rsidR="002C1C90" w:rsidRPr="002C1C90">
        <w:rPr>
          <w:lang w:val="ru-RU"/>
        </w:rPr>
        <w:t xml:space="preserve"> </w:t>
      </w:r>
      <w:r w:rsidR="002C1C90">
        <w:rPr>
          <w:lang w:val="ru-RU"/>
        </w:rPr>
        <w:t>удалось</w:t>
      </w:r>
      <w:r w:rsidR="002C1C90" w:rsidRPr="002C1C90">
        <w:rPr>
          <w:lang w:val="ru-RU"/>
        </w:rPr>
        <w:t xml:space="preserve"> </w:t>
      </w:r>
      <w:r w:rsidR="002C1C90">
        <w:rPr>
          <w:lang w:val="ru-RU"/>
        </w:rPr>
        <w:t>выполнить</w:t>
      </w:r>
      <w:r w:rsidR="002C1C90" w:rsidRPr="002C1C90">
        <w:rPr>
          <w:lang w:val="ru-RU"/>
        </w:rPr>
        <w:t xml:space="preserve"> </w:t>
      </w:r>
      <w:r w:rsidR="002C1C90">
        <w:rPr>
          <w:lang w:val="ru-RU"/>
        </w:rPr>
        <w:t>важные</w:t>
      </w:r>
      <w:r w:rsidR="002C1C90" w:rsidRPr="002C1C90">
        <w:rPr>
          <w:lang w:val="ru-RU"/>
        </w:rPr>
        <w:t xml:space="preserve"> </w:t>
      </w:r>
      <w:r w:rsidR="002C1C90">
        <w:rPr>
          <w:lang w:val="ru-RU"/>
        </w:rPr>
        <w:t>задачи</w:t>
      </w:r>
      <w:r w:rsidR="002C1C90" w:rsidRPr="002C1C90">
        <w:rPr>
          <w:lang w:val="ru-RU"/>
        </w:rPr>
        <w:t xml:space="preserve">, </w:t>
      </w:r>
      <w:r w:rsidR="002C1C90">
        <w:rPr>
          <w:lang w:val="ru-RU"/>
        </w:rPr>
        <w:t>включая</w:t>
      </w:r>
      <w:r w:rsidR="002C1C90" w:rsidRPr="002C1C90">
        <w:rPr>
          <w:lang w:val="ru-RU"/>
        </w:rPr>
        <w:t xml:space="preserve"> </w:t>
      </w:r>
      <w:r w:rsidR="002C1C90">
        <w:rPr>
          <w:lang w:val="ru-RU"/>
        </w:rPr>
        <w:t>пересмотр</w:t>
      </w:r>
      <w:r w:rsidR="002C1C90" w:rsidRPr="002C1C90">
        <w:rPr>
          <w:lang w:val="ru-RU"/>
        </w:rPr>
        <w:t xml:space="preserve"> 50 </w:t>
      </w:r>
      <w:r w:rsidR="002C1C90">
        <w:rPr>
          <w:lang w:val="ru-RU"/>
        </w:rPr>
        <w:t>процентов</w:t>
      </w:r>
      <w:r w:rsidR="002C1C90" w:rsidRPr="002C1C90">
        <w:rPr>
          <w:lang w:val="ru-RU"/>
        </w:rPr>
        <w:t xml:space="preserve"> </w:t>
      </w:r>
      <w:r w:rsidR="002C1C90">
        <w:rPr>
          <w:lang w:val="ru-RU"/>
        </w:rPr>
        <w:t>соответствующих</w:t>
      </w:r>
      <w:r w:rsidR="002C1C90" w:rsidRPr="002C1C90">
        <w:rPr>
          <w:lang w:val="ru-RU"/>
        </w:rPr>
        <w:t xml:space="preserve"> </w:t>
      </w:r>
      <w:r w:rsidR="002C1C90">
        <w:rPr>
          <w:lang w:val="ru-RU"/>
        </w:rPr>
        <w:t>программ</w:t>
      </w:r>
      <w:r w:rsidR="002C1C90" w:rsidRPr="002C1C90">
        <w:rPr>
          <w:lang w:val="ru-RU"/>
        </w:rPr>
        <w:t xml:space="preserve"> </w:t>
      </w:r>
      <w:r w:rsidR="002C1C90">
        <w:rPr>
          <w:lang w:val="ru-RU"/>
        </w:rPr>
        <w:t>ВОИС</w:t>
      </w:r>
      <w:r w:rsidR="002C1C90" w:rsidRPr="002C1C90">
        <w:rPr>
          <w:lang w:val="ru-RU"/>
        </w:rPr>
        <w:t xml:space="preserve">, </w:t>
      </w:r>
      <w:r w:rsidR="002C1C90">
        <w:rPr>
          <w:lang w:val="ru-RU"/>
        </w:rPr>
        <w:t>которые</w:t>
      </w:r>
      <w:r w:rsidR="002C1C90" w:rsidRPr="002C1C90">
        <w:rPr>
          <w:lang w:val="ru-RU"/>
        </w:rPr>
        <w:t xml:space="preserve"> </w:t>
      </w:r>
      <w:r w:rsidR="002C1C90">
        <w:rPr>
          <w:lang w:val="ru-RU"/>
        </w:rPr>
        <w:t>в</w:t>
      </w:r>
      <w:r w:rsidR="002C1C90" w:rsidRPr="002C1C90">
        <w:rPr>
          <w:lang w:val="ru-RU"/>
        </w:rPr>
        <w:t xml:space="preserve"> </w:t>
      </w:r>
      <w:r w:rsidR="002C1C90">
        <w:rPr>
          <w:lang w:val="ru-RU"/>
        </w:rPr>
        <w:t>результате</w:t>
      </w:r>
      <w:r w:rsidR="002C1C90" w:rsidRPr="002C1C90">
        <w:rPr>
          <w:lang w:val="ru-RU"/>
        </w:rPr>
        <w:t xml:space="preserve"> </w:t>
      </w:r>
      <w:r w:rsidR="002C1C90">
        <w:rPr>
          <w:lang w:val="ru-RU"/>
        </w:rPr>
        <w:t>этого</w:t>
      </w:r>
      <w:r w:rsidR="002C1C90" w:rsidRPr="002C1C90">
        <w:rPr>
          <w:lang w:val="ru-RU"/>
        </w:rPr>
        <w:t xml:space="preserve"> </w:t>
      </w:r>
      <w:r w:rsidR="002C1C90">
        <w:rPr>
          <w:lang w:val="ru-RU"/>
        </w:rPr>
        <w:t>стали</w:t>
      </w:r>
      <w:r w:rsidR="002C1C90" w:rsidRPr="002C1C90">
        <w:rPr>
          <w:lang w:val="ru-RU"/>
        </w:rPr>
        <w:t xml:space="preserve"> </w:t>
      </w:r>
      <w:r w:rsidR="002C1C90">
        <w:rPr>
          <w:lang w:val="ru-RU"/>
        </w:rPr>
        <w:t>учитывать</w:t>
      </w:r>
      <w:r w:rsidR="002C1C90" w:rsidRPr="002C1C90">
        <w:rPr>
          <w:lang w:val="ru-RU"/>
        </w:rPr>
        <w:t xml:space="preserve"> </w:t>
      </w:r>
      <w:r w:rsidR="002C1C90">
        <w:rPr>
          <w:lang w:val="ru-RU"/>
        </w:rPr>
        <w:t>гендерный</w:t>
      </w:r>
      <w:r w:rsidR="002C1C90" w:rsidRPr="002C1C90">
        <w:rPr>
          <w:lang w:val="ru-RU"/>
        </w:rPr>
        <w:t xml:space="preserve"> </w:t>
      </w:r>
      <w:r w:rsidR="002C1C90">
        <w:rPr>
          <w:lang w:val="ru-RU"/>
        </w:rPr>
        <w:t>фактор</w:t>
      </w:r>
      <w:r w:rsidR="002C1C90" w:rsidRPr="002C1C90">
        <w:rPr>
          <w:lang w:val="ru-RU"/>
        </w:rPr>
        <w:t xml:space="preserve">, </w:t>
      </w:r>
      <w:r w:rsidR="002C1C90">
        <w:rPr>
          <w:lang w:val="ru-RU"/>
        </w:rPr>
        <w:t>включение</w:t>
      </w:r>
      <w:r w:rsidR="002C1C90" w:rsidRPr="002C1C90">
        <w:rPr>
          <w:lang w:val="ru-RU"/>
        </w:rPr>
        <w:t xml:space="preserve"> </w:t>
      </w:r>
      <w:r w:rsidR="002C1C90">
        <w:rPr>
          <w:lang w:val="ru-RU"/>
        </w:rPr>
        <w:t>гендерных вопросов в стратегические документы ВОИС, а также значительное повышение качества отчетности по вопросам реализации ОПД ООН.</w:t>
      </w:r>
    </w:p>
    <w:p w14:paraId="67D659D3" w14:textId="77777777" w:rsidR="000E0DDF" w:rsidRDefault="000E0DDF" w:rsidP="009D49E5">
      <w:pPr>
        <w:pStyle w:val="ONUME"/>
        <w:rPr>
          <w:lang w:val="ru-RU"/>
        </w:rPr>
      </w:pPr>
      <w:r>
        <w:rPr>
          <w:lang w:val="ru-RU"/>
        </w:rPr>
        <w:t>Политика</w:t>
      </w:r>
      <w:r w:rsidRPr="000E0DDF">
        <w:rPr>
          <w:lang w:val="ru-RU"/>
        </w:rPr>
        <w:t xml:space="preserve"> </w:t>
      </w:r>
      <w:r>
        <w:rPr>
          <w:lang w:val="ru-RU"/>
        </w:rPr>
        <w:t>ВОИС</w:t>
      </w:r>
      <w:r w:rsidRPr="000E0DDF">
        <w:rPr>
          <w:lang w:val="ru-RU"/>
        </w:rPr>
        <w:t xml:space="preserve"> </w:t>
      </w:r>
      <w:r>
        <w:rPr>
          <w:lang w:val="ru-RU"/>
        </w:rPr>
        <w:t>в</w:t>
      </w:r>
      <w:r w:rsidRPr="000E0DDF">
        <w:rPr>
          <w:lang w:val="ru-RU"/>
        </w:rPr>
        <w:t xml:space="preserve"> </w:t>
      </w:r>
      <w:r>
        <w:rPr>
          <w:lang w:val="ru-RU"/>
        </w:rPr>
        <w:t>области</w:t>
      </w:r>
      <w:r w:rsidRPr="000E0DDF">
        <w:rPr>
          <w:lang w:val="ru-RU"/>
        </w:rPr>
        <w:t xml:space="preserve"> </w:t>
      </w:r>
      <w:r>
        <w:rPr>
          <w:lang w:val="ru-RU"/>
        </w:rPr>
        <w:t>гендерного</w:t>
      </w:r>
      <w:r w:rsidRPr="000E0DDF">
        <w:rPr>
          <w:lang w:val="ru-RU"/>
        </w:rPr>
        <w:t xml:space="preserve"> </w:t>
      </w:r>
      <w:r>
        <w:rPr>
          <w:lang w:val="ru-RU"/>
        </w:rPr>
        <w:t>равенства</w:t>
      </w:r>
      <w:r w:rsidRPr="000E0DDF">
        <w:rPr>
          <w:lang w:val="ru-RU"/>
        </w:rPr>
        <w:t xml:space="preserve"> </w:t>
      </w:r>
      <w:r>
        <w:rPr>
          <w:lang w:val="ru-RU"/>
        </w:rPr>
        <w:t>согласуется</w:t>
      </w:r>
      <w:r w:rsidRPr="000E0DDF">
        <w:rPr>
          <w:lang w:val="ru-RU"/>
        </w:rPr>
        <w:t xml:space="preserve"> </w:t>
      </w:r>
      <w:r>
        <w:rPr>
          <w:lang w:val="ru-RU"/>
        </w:rPr>
        <w:t>с</w:t>
      </w:r>
      <w:r w:rsidRPr="000E0DDF">
        <w:rPr>
          <w:lang w:val="ru-RU"/>
        </w:rPr>
        <w:t xml:space="preserve"> </w:t>
      </w:r>
      <w:r>
        <w:rPr>
          <w:lang w:val="ru-RU"/>
        </w:rPr>
        <w:t>потребностями</w:t>
      </w:r>
      <w:r w:rsidRPr="000E0DDF">
        <w:rPr>
          <w:lang w:val="ru-RU"/>
        </w:rPr>
        <w:t xml:space="preserve"> </w:t>
      </w:r>
      <w:r>
        <w:rPr>
          <w:lang w:val="ru-RU"/>
        </w:rPr>
        <w:t>Организации</w:t>
      </w:r>
      <w:r w:rsidRPr="000E0DDF">
        <w:rPr>
          <w:lang w:val="ru-RU"/>
        </w:rPr>
        <w:t xml:space="preserve"> </w:t>
      </w:r>
      <w:r>
        <w:rPr>
          <w:lang w:val="ru-RU"/>
        </w:rPr>
        <w:t>и</w:t>
      </w:r>
      <w:r w:rsidRPr="000E0DDF">
        <w:rPr>
          <w:lang w:val="ru-RU"/>
        </w:rPr>
        <w:t xml:space="preserve"> </w:t>
      </w:r>
      <w:r>
        <w:rPr>
          <w:lang w:val="ru-RU"/>
        </w:rPr>
        <w:t>ее программами.  Вместе</w:t>
      </w:r>
      <w:r w:rsidRPr="000E0DDF">
        <w:rPr>
          <w:lang w:val="ru-RU"/>
        </w:rPr>
        <w:t xml:space="preserve"> </w:t>
      </w:r>
      <w:r>
        <w:rPr>
          <w:lang w:val="ru-RU"/>
        </w:rPr>
        <w:t>с</w:t>
      </w:r>
      <w:r w:rsidRPr="000E0DDF">
        <w:rPr>
          <w:lang w:val="ru-RU"/>
        </w:rPr>
        <w:t xml:space="preserve"> </w:t>
      </w:r>
      <w:r>
        <w:rPr>
          <w:lang w:val="ru-RU"/>
        </w:rPr>
        <w:t>тем</w:t>
      </w:r>
      <w:r w:rsidRPr="000E0DDF">
        <w:rPr>
          <w:lang w:val="ru-RU"/>
        </w:rPr>
        <w:t xml:space="preserve"> </w:t>
      </w:r>
      <w:r>
        <w:rPr>
          <w:lang w:val="ru-RU"/>
        </w:rPr>
        <w:t>она</w:t>
      </w:r>
      <w:r w:rsidRPr="000E0DDF">
        <w:rPr>
          <w:lang w:val="ru-RU"/>
        </w:rPr>
        <w:t xml:space="preserve"> </w:t>
      </w:r>
      <w:r>
        <w:rPr>
          <w:lang w:val="ru-RU"/>
        </w:rPr>
        <w:t>лишь</w:t>
      </w:r>
      <w:r w:rsidRPr="000E0DDF">
        <w:rPr>
          <w:lang w:val="ru-RU"/>
        </w:rPr>
        <w:t xml:space="preserve"> </w:t>
      </w:r>
      <w:r>
        <w:rPr>
          <w:lang w:val="ru-RU"/>
        </w:rPr>
        <w:t>частично</w:t>
      </w:r>
      <w:r w:rsidRPr="000E0DDF">
        <w:rPr>
          <w:lang w:val="ru-RU"/>
        </w:rPr>
        <w:t xml:space="preserve"> </w:t>
      </w:r>
      <w:r>
        <w:rPr>
          <w:lang w:val="ru-RU"/>
        </w:rPr>
        <w:t>обеспечивает</w:t>
      </w:r>
      <w:r w:rsidRPr="000E0DDF">
        <w:rPr>
          <w:lang w:val="ru-RU"/>
        </w:rPr>
        <w:t xml:space="preserve"> </w:t>
      </w:r>
      <w:r>
        <w:rPr>
          <w:lang w:val="ru-RU"/>
        </w:rPr>
        <w:t>удовлетворение</w:t>
      </w:r>
      <w:r w:rsidRPr="000E0DDF">
        <w:rPr>
          <w:lang w:val="ru-RU"/>
        </w:rPr>
        <w:t xml:space="preserve"> </w:t>
      </w:r>
      <w:r>
        <w:rPr>
          <w:lang w:val="ru-RU"/>
        </w:rPr>
        <w:t>потребностей заинтересованных сторон.  Сотрудники</w:t>
      </w:r>
      <w:r w:rsidRPr="000E0DDF">
        <w:rPr>
          <w:lang w:val="ru-RU"/>
        </w:rPr>
        <w:t xml:space="preserve"> </w:t>
      </w:r>
      <w:r>
        <w:rPr>
          <w:lang w:val="ru-RU"/>
        </w:rPr>
        <w:t>не</w:t>
      </w:r>
      <w:r w:rsidRPr="000E0DDF">
        <w:rPr>
          <w:lang w:val="ru-RU"/>
        </w:rPr>
        <w:t xml:space="preserve"> </w:t>
      </w:r>
      <w:r>
        <w:rPr>
          <w:lang w:val="ru-RU"/>
        </w:rPr>
        <w:t>полностью</w:t>
      </w:r>
      <w:r w:rsidRPr="000E0DDF">
        <w:rPr>
          <w:lang w:val="ru-RU"/>
        </w:rPr>
        <w:t xml:space="preserve"> </w:t>
      </w:r>
      <w:r>
        <w:rPr>
          <w:lang w:val="ru-RU"/>
        </w:rPr>
        <w:t>осведомлены</w:t>
      </w:r>
      <w:r w:rsidRPr="000E0DDF">
        <w:rPr>
          <w:lang w:val="ru-RU"/>
        </w:rPr>
        <w:t xml:space="preserve"> </w:t>
      </w:r>
      <w:r>
        <w:rPr>
          <w:lang w:val="ru-RU"/>
        </w:rPr>
        <w:t>об</w:t>
      </w:r>
      <w:r w:rsidRPr="000E0DDF">
        <w:rPr>
          <w:lang w:val="ru-RU"/>
        </w:rPr>
        <w:t xml:space="preserve"> </w:t>
      </w:r>
      <w:r>
        <w:rPr>
          <w:lang w:val="ru-RU"/>
        </w:rPr>
        <w:t>существующих</w:t>
      </w:r>
      <w:r w:rsidRPr="000E0DDF">
        <w:rPr>
          <w:lang w:val="ru-RU"/>
        </w:rPr>
        <w:t xml:space="preserve"> </w:t>
      </w:r>
      <w:r>
        <w:rPr>
          <w:lang w:val="ru-RU"/>
        </w:rPr>
        <w:t>инициативах</w:t>
      </w:r>
      <w:r w:rsidRPr="000E0DDF">
        <w:rPr>
          <w:lang w:val="ru-RU"/>
        </w:rPr>
        <w:t xml:space="preserve"> </w:t>
      </w:r>
      <w:r>
        <w:rPr>
          <w:lang w:val="ru-RU"/>
        </w:rPr>
        <w:t>и</w:t>
      </w:r>
      <w:r w:rsidRPr="000E0DDF">
        <w:rPr>
          <w:lang w:val="ru-RU"/>
        </w:rPr>
        <w:t xml:space="preserve"> </w:t>
      </w:r>
      <w:r>
        <w:rPr>
          <w:lang w:val="ru-RU"/>
        </w:rPr>
        <w:t>проектах</w:t>
      </w:r>
      <w:r w:rsidRPr="000E0DDF">
        <w:rPr>
          <w:lang w:val="ru-RU"/>
        </w:rPr>
        <w:t xml:space="preserve">, </w:t>
      </w:r>
      <w:r>
        <w:rPr>
          <w:lang w:val="ru-RU"/>
        </w:rPr>
        <w:t>связанных</w:t>
      </w:r>
      <w:r w:rsidRPr="000E0DDF">
        <w:rPr>
          <w:lang w:val="ru-RU"/>
        </w:rPr>
        <w:t xml:space="preserve"> </w:t>
      </w:r>
      <w:r>
        <w:rPr>
          <w:lang w:val="ru-RU"/>
        </w:rPr>
        <w:t>с</w:t>
      </w:r>
      <w:r w:rsidRPr="000E0DDF">
        <w:rPr>
          <w:lang w:val="ru-RU"/>
        </w:rPr>
        <w:t xml:space="preserve"> </w:t>
      </w:r>
      <w:r>
        <w:rPr>
          <w:lang w:val="ru-RU"/>
        </w:rPr>
        <w:t>приданием</w:t>
      </w:r>
      <w:r w:rsidRPr="000E0DDF">
        <w:rPr>
          <w:lang w:val="ru-RU"/>
        </w:rPr>
        <w:t xml:space="preserve"> </w:t>
      </w:r>
      <w:r>
        <w:rPr>
          <w:lang w:val="ru-RU"/>
        </w:rPr>
        <w:t>гендерным</w:t>
      </w:r>
      <w:r w:rsidRPr="000E0DDF">
        <w:rPr>
          <w:lang w:val="ru-RU"/>
        </w:rPr>
        <w:t xml:space="preserve"> </w:t>
      </w:r>
      <w:r>
        <w:rPr>
          <w:lang w:val="ru-RU"/>
        </w:rPr>
        <w:t>вопросам</w:t>
      </w:r>
      <w:r w:rsidRPr="000E0DDF">
        <w:rPr>
          <w:lang w:val="ru-RU"/>
        </w:rPr>
        <w:t xml:space="preserve"> </w:t>
      </w:r>
      <w:r>
        <w:rPr>
          <w:lang w:val="ru-RU"/>
        </w:rPr>
        <w:t>магистрального</w:t>
      </w:r>
      <w:r w:rsidRPr="000E0DDF">
        <w:rPr>
          <w:lang w:val="ru-RU"/>
        </w:rPr>
        <w:t xml:space="preserve"> </w:t>
      </w:r>
      <w:r>
        <w:rPr>
          <w:lang w:val="ru-RU"/>
        </w:rPr>
        <w:t>значения, а также об их увязке с Политикой.</w:t>
      </w:r>
      <w:r w:rsidRPr="000E0DDF">
        <w:rPr>
          <w:lang w:val="ru-RU"/>
        </w:rPr>
        <w:t xml:space="preserve"> </w:t>
      </w:r>
      <w:r>
        <w:rPr>
          <w:lang w:val="ru-RU"/>
        </w:rPr>
        <w:t xml:space="preserve"> Степень</w:t>
      </w:r>
      <w:r w:rsidRPr="000E0DDF">
        <w:rPr>
          <w:lang w:val="ru-RU"/>
        </w:rPr>
        <w:t xml:space="preserve"> </w:t>
      </w:r>
      <w:r>
        <w:rPr>
          <w:lang w:val="ru-RU"/>
        </w:rPr>
        <w:t>соответствия</w:t>
      </w:r>
      <w:r w:rsidRPr="000E0DDF">
        <w:rPr>
          <w:lang w:val="ru-RU"/>
        </w:rPr>
        <w:t xml:space="preserve"> </w:t>
      </w:r>
      <w:r>
        <w:rPr>
          <w:lang w:val="ru-RU"/>
        </w:rPr>
        <w:t>Политики</w:t>
      </w:r>
      <w:r w:rsidRPr="000E0DDF">
        <w:rPr>
          <w:lang w:val="ru-RU"/>
        </w:rPr>
        <w:t xml:space="preserve"> </w:t>
      </w:r>
      <w:r>
        <w:rPr>
          <w:lang w:val="ru-RU"/>
        </w:rPr>
        <w:t>ВОИС</w:t>
      </w:r>
      <w:r w:rsidRPr="000E0DDF">
        <w:rPr>
          <w:lang w:val="ru-RU"/>
        </w:rPr>
        <w:t xml:space="preserve"> </w:t>
      </w:r>
      <w:r>
        <w:rPr>
          <w:lang w:val="ru-RU"/>
        </w:rPr>
        <w:t>в</w:t>
      </w:r>
      <w:r w:rsidRPr="000E0DDF">
        <w:rPr>
          <w:lang w:val="ru-RU"/>
        </w:rPr>
        <w:t xml:space="preserve"> </w:t>
      </w:r>
      <w:r>
        <w:rPr>
          <w:lang w:val="ru-RU"/>
        </w:rPr>
        <w:t>области</w:t>
      </w:r>
      <w:r w:rsidRPr="000E0DDF">
        <w:rPr>
          <w:lang w:val="ru-RU"/>
        </w:rPr>
        <w:t xml:space="preserve"> </w:t>
      </w:r>
      <w:r>
        <w:rPr>
          <w:lang w:val="ru-RU"/>
        </w:rPr>
        <w:t>гендерного</w:t>
      </w:r>
      <w:r w:rsidRPr="000E0DDF">
        <w:rPr>
          <w:lang w:val="ru-RU"/>
        </w:rPr>
        <w:t xml:space="preserve"> </w:t>
      </w:r>
      <w:r>
        <w:rPr>
          <w:lang w:val="ru-RU"/>
        </w:rPr>
        <w:t>равенства</w:t>
      </w:r>
      <w:r w:rsidRPr="000E0DDF">
        <w:rPr>
          <w:lang w:val="ru-RU"/>
        </w:rPr>
        <w:t xml:space="preserve"> </w:t>
      </w:r>
      <w:r>
        <w:rPr>
          <w:lang w:val="ru-RU"/>
        </w:rPr>
        <w:t>потребностям</w:t>
      </w:r>
      <w:r w:rsidRPr="000E0DDF">
        <w:rPr>
          <w:lang w:val="ru-RU"/>
        </w:rPr>
        <w:t xml:space="preserve"> </w:t>
      </w:r>
      <w:r>
        <w:rPr>
          <w:lang w:val="ru-RU"/>
        </w:rPr>
        <w:t>Организации, включая нужды ее сотрудников, составляет</w:t>
      </w:r>
      <w:r w:rsidRPr="000E0DDF">
        <w:rPr>
          <w:lang w:val="ru-RU"/>
        </w:rPr>
        <w:t xml:space="preserve"> 45 </w:t>
      </w:r>
      <w:r>
        <w:rPr>
          <w:lang w:val="ru-RU"/>
        </w:rPr>
        <w:t>процентов, а для потребностей заинтересованных сторон, не относящихся к Организации, этот показатель составляет 58 процентов</w:t>
      </w:r>
      <w:r w:rsidRPr="000E0DDF">
        <w:rPr>
          <w:lang w:val="ru-RU"/>
        </w:rPr>
        <w:t>.</w:t>
      </w:r>
      <w:r>
        <w:rPr>
          <w:lang w:val="ru-RU"/>
        </w:rPr>
        <w:t xml:space="preserve">  </w:t>
      </w:r>
    </w:p>
    <w:p w14:paraId="49A0CB31" w14:textId="0001F65F" w:rsidR="00A61DF8" w:rsidRDefault="000E0DDF" w:rsidP="009D49E5">
      <w:pPr>
        <w:pStyle w:val="ONUME"/>
        <w:rPr>
          <w:lang w:val="ru-RU"/>
        </w:rPr>
      </w:pPr>
      <w:r>
        <w:rPr>
          <w:lang w:val="ru-RU"/>
        </w:rPr>
        <w:t>По</w:t>
      </w:r>
      <w:r w:rsidRPr="000E0DDF">
        <w:rPr>
          <w:lang w:val="ru-RU"/>
        </w:rPr>
        <w:t xml:space="preserve"> </w:t>
      </w:r>
      <w:r>
        <w:rPr>
          <w:lang w:val="ru-RU"/>
        </w:rPr>
        <w:t>итогам</w:t>
      </w:r>
      <w:r w:rsidRPr="000E0DDF">
        <w:rPr>
          <w:lang w:val="ru-RU"/>
        </w:rPr>
        <w:t xml:space="preserve"> </w:t>
      </w:r>
      <w:r>
        <w:rPr>
          <w:lang w:val="ru-RU"/>
        </w:rPr>
        <w:t>совместной</w:t>
      </w:r>
      <w:r w:rsidRPr="000E0DDF">
        <w:rPr>
          <w:lang w:val="ru-RU"/>
        </w:rPr>
        <w:t xml:space="preserve"> </w:t>
      </w:r>
      <w:r>
        <w:rPr>
          <w:lang w:val="ru-RU"/>
        </w:rPr>
        <w:t>оценки</w:t>
      </w:r>
      <w:r w:rsidRPr="000E0DDF">
        <w:rPr>
          <w:lang w:val="ru-RU"/>
        </w:rPr>
        <w:t xml:space="preserve"> </w:t>
      </w:r>
      <w:r>
        <w:rPr>
          <w:lang w:val="ru-RU"/>
        </w:rPr>
        <w:t>и</w:t>
      </w:r>
      <w:r w:rsidRPr="000E0DDF">
        <w:rPr>
          <w:lang w:val="ru-RU"/>
        </w:rPr>
        <w:t xml:space="preserve"> </w:t>
      </w:r>
      <w:r>
        <w:rPr>
          <w:lang w:val="ru-RU"/>
        </w:rPr>
        <w:t>аудиторской</w:t>
      </w:r>
      <w:r w:rsidRPr="000E0DDF">
        <w:rPr>
          <w:lang w:val="ru-RU"/>
        </w:rPr>
        <w:t xml:space="preserve"> </w:t>
      </w:r>
      <w:r>
        <w:rPr>
          <w:lang w:val="ru-RU"/>
        </w:rPr>
        <w:t>проверки</w:t>
      </w:r>
      <w:r w:rsidRPr="000E0DDF">
        <w:rPr>
          <w:lang w:val="ru-RU"/>
        </w:rPr>
        <w:t xml:space="preserve"> </w:t>
      </w:r>
      <w:r>
        <w:rPr>
          <w:lang w:val="ru-RU"/>
        </w:rPr>
        <w:t>было</w:t>
      </w:r>
      <w:r w:rsidRPr="000E0DDF">
        <w:rPr>
          <w:lang w:val="ru-RU"/>
        </w:rPr>
        <w:t xml:space="preserve"> </w:t>
      </w:r>
      <w:r>
        <w:rPr>
          <w:lang w:val="ru-RU"/>
        </w:rPr>
        <w:t>установлено</w:t>
      </w:r>
      <w:r w:rsidRPr="000E0DDF">
        <w:rPr>
          <w:lang w:val="ru-RU"/>
        </w:rPr>
        <w:t xml:space="preserve">, </w:t>
      </w:r>
      <w:r>
        <w:rPr>
          <w:lang w:val="ru-RU"/>
        </w:rPr>
        <w:t>что</w:t>
      </w:r>
      <w:r w:rsidRPr="000E0DDF">
        <w:rPr>
          <w:lang w:val="ru-RU"/>
        </w:rPr>
        <w:t xml:space="preserve"> </w:t>
      </w:r>
      <w:r>
        <w:rPr>
          <w:lang w:val="ru-RU"/>
        </w:rPr>
        <w:t>в</w:t>
      </w:r>
      <w:r w:rsidRPr="000E0DDF">
        <w:rPr>
          <w:lang w:val="ru-RU"/>
        </w:rPr>
        <w:t xml:space="preserve"> </w:t>
      </w:r>
      <w:r>
        <w:rPr>
          <w:lang w:val="ru-RU"/>
        </w:rPr>
        <w:t>ВОИС</w:t>
      </w:r>
      <w:r w:rsidRPr="000E0DDF">
        <w:rPr>
          <w:lang w:val="ru-RU"/>
        </w:rPr>
        <w:t xml:space="preserve"> </w:t>
      </w:r>
      <w:r>
        <w:rPr>
          <w:lang w:val="ru-RU"/>
        </w:rPr>
        <w:t>внедрены</w:t>
      </w:r>
      <w:r w:rsidRPr="000E0DDF">
        <w:rPr>
          <w:lang w:val="ru-RU"/>
        </w:rPr>
        <w:t xml:space="preserve"> </w:t>
      </w:r>
      <w:r>
        <w:rPr>
          <w:lang w:val="ru-RU"/>
        </w:rPr>
        <w:t>программы</w:t>
      </w:r>
      <w:r w:rsidRPr="000E0DDF">
        <w:rPr>
          <w:lang w:val="ru-RU"/>
        </w:rPr>
        <w:t xml:space="preserve">, </w:t>
      </w:r>
      <w:r>
        <w:rPr>
          <w:lang w:val="ru-RU"/>
        </w:rPr>
        <w:t>которые способствуют созданию на рабочих местах условий, благоприятствующих гендерному равенству.  Вместе</w:t>
      </w:r>
      <w:r w:rsidRPr="00155D73">
        <w:rPr>
          <w:lang w:val="ru-RU"/>
        </w:rPr>
        <w:t xml:space="preserve"> </w:t>
      </w:r>
      <w:r>
        <w:rPr>
          <w:lang w:val="ru-RU"/>
        </w:rPr>
        <w:t>с</w:t>
      </w:r>
      <w:r w:rsidRPr="00155D73">
        <w:rPr>
          <w:lang w:val="ru-RU"/>
        </w:rPr>
        <w:t xml:space="preserve"> </w:t>
      </w:r>
      <w:r>
        <w:rPr>
          <w:lang w:val="ru-RU"/>
        </w:rPr>
        <w:t>тем</w:t>
      </w:r>
      <w:r w:rsidRPr="00155D73">
        <w:rPr>
          <w:lang w:val="ru-RU"/>
        </w:rPr>
        <w:t xml:space="preserve"> </w:t>
      </w:r>
      <w:r>
        <w:rPr>
          <w:lang w:val="ru-RU"/>
        </w:rPr>
        <w:t>отмечается</w:t>
      </w:r>
      <w:r w:rsidRPr="00155D73">
        <w:rPr>
          <w:lang w:val="ru-RU"/>
        </w:rPr>
        <w:t xml:space="preserve">, </w:t>
      </w:r>
      <w:r>
        <w:rPr>
          <w:lang w:val="ru-RU"/>
        </w:rPr>
        <w:t>что</w:t>
      </w:r>
      <w:r w:rsidRPr="00155D73">
        <w:rPr>
          <w:lang w:val="ru-RU"/>
        </w:rPr>
        <w:t xml:space="preserve"> </w:t>
      </w:r>
      <w:r>
        <w:rPr>
          <w:lang w:val="ru-RU"/>
        </w:rPr>
        <w:t>для</w:t>
      </w:r>
      <w:r w:rsidRPr="00155D73">
        <w:rPr>
          <w:lang w:val="ru-RU"/>
        </w:rPr>
        <w:t xml:space="preserve"> </w:t>
      </w:r>
      <w:r>
        <w:rPr>
          <w:lang w:val="ru-RU"/>
        </w:rPr>
        <w:t>решения</w:t>
      </w:r>
      <w:r w:rsidRPr="00155D73">
        <w:rPr>
          <w:lang w:val="ru-RU"/>
        </w:rPr>
        <w:t xml:space="preserve"> </w:t>
      </w:r>
      <w:r w:rsidR="00D01054">
        <w:rPr>
          <w:lang w:val="ru-RU"/>
        </w:rPr>
        <w:t>ряда</w:t>
      </w:r>
      <w:r w:rsidRPr="00155D73">
        <w:rPr>
          <w:lang w:val="ru-RU"/>
        </w:rPr>
        <w:t xml:space="preserve"> </w:t>
      </w:r>
      <w:r>
        <w:rPr>
          <w:lang w:val="ru-RU"/>
        </w:rPr>
        <w:t>сохраняющихся</w:t>
      </w:r>
      <w:r w:rsidRPr="00155D73">
        <w:rPr>
          <w:lang w:val="ru-RU"/>
        </w:rPr>
        <w:t xml:space="preserve"> </w:t>
      </w:r>
      <w:r>
        <w:rPr>
          <w:lang w:val="ru-RU"/>
        </w:rPr>
        <w:t>проблем</w:t>
      </w:r>
      <w:r w:rsidRPr="00155D73">
        <w:rPr>
          <w:lang w:val="ru-RU"/>
        </w:rPr>
        <w:t xml:space="preserve"> </w:t>
      </w:r>
      <w:r>
        <w:rPr>
          <w:lang w:val="ru-RU"/>
        </w:rPr>
        <w:t>гендерного</w:t>
      </w:r>
      <w:r w:rsidRPr="00155D73">
        <w:rPr>
          <w:lang w:val="ru-RU"/>
        </w:rPr>
        <w:t xml:space="preserve"> </w:t>
      </w:r>
      <w:r>
        <w:rPr>
          <w:lang w:val="ru-RU"/>
        </w:rPr>
        <w:t>характера</w:t>
      </w:r>
      <w:r w:rsidRPr="00155D73">
        <w:rPr>
          <w:lang w:val="ru-RU"/>
        </w:rPr>
        <w:t xml:space="preserve"> </w:t>
      </w:r>
      <w:r>
        <w:rPr>
          <w:lang w:val="ru-RU"/>
        </w:rPr>
        <w:t>необходимо</w:t>
      </w:r>
      <w:r w:rsidRPr="00155D73">
        <w:rPr>
          <w:lang w:val="ru-RU"/>
        </w:rPr>
        <w:t xml:space="preserve"> </w:t>
      </w:r>
      <w:r w:rsidR="00155D73">
        <w:rPr>
          <w:lang w:val="ru-RU"/>
        </w:rPr>
        <w:t>провести</w:t>
      </w:r>
      <w:r w:rsidR="00155D73" w:rsidRPr="00155D73">
        <w:rPr>
          <w:lang w:val="ru-RU"/>
        </w:rPr>
        <w:t xml:space="preserve"> </w:t>
      </w:r>
      <w:r w:rsidR="00155D73">
        <w:rPr>
          <w:lang w:val="ru-RU"/>
        </w:rPr>
        <w:t>оценку</w:t>
      </w:r>
      <w:r w:rsidR="00155D73" w:rsidRPr="00155D73">
        <w:rPr>
          <w:lang w:val="ru-RU"/>
        </w:rPr>
        <w:t xml:space="preserve"> </w:t>
      </w:r>
      <w:r w:rsidR="00155D73">
        <w:rPr>
          <w:lang w:val="ru-RU"/>
        </w:rPr>
        <w:t>некоторых программ.  Кроме</w:t>
      </w:r>
      <w:r w:rsidR="00155D73" w:rsidRPr="00155D73">
        <w:rPr>
          <w:lang w:val="ru-RU"/>
        </w:rPr>
        <w:t xml:space="preserve"> </w:t>
      </w:r>
      <w:r w:rsidR="00155D73">
        <w:rPr>
          <w:lang w:val="ru-RU"/>
        </w:rPr>
        <w:t>того</w:t>
      </w:r>
      <w:r w:rsidR="00155D73" w:rsidRPr="00155D73">
        <w:rPr>
          <w:lang w:val="ru-RU"/>
        </w:rPr>
        <w:t xml:space="preserve">, </w:t>
      </w:r>
      <w:r w:rsidR="00155D73">
        <w:rPr>
          <w:lang w:val="ru-RU"/>
        </w:rPr>
        <w:t>следует</w:t>
      </w:r>
      <w:r w:rsidR="00155D73" w:rsidRPr="00155D73">
        <w:rPr>
          <w:lang w:val="ru-RU"/>
        </w:rPr>
        <w:t xml:space="preserve"> </w:t>
      </w:r>
      <w:r w:rsidR="00155D73">
        <w:rPr>
          <w:lang w:val="ru-RU"/>
        </w:rPr>
        <w:t>указать</w:t>
      </w:r>
      <w:r w:rsidR="00155D73" w:rsidRPr="00155D73">
        <w:rPr>
          <w:lang w:val="ru-RU"/>
        </w:rPr>
        <w:t xml:space="preserve">, </w:t>
      </w:r>
      <w:r w:rsidR="00155D73">
        <w:rPr>
          <w:lang w:val="ru-RU"/>
        </w:rPr>
        <w:t>что</w:t>
      </w:r>
      <w:r w:rsidR="00155D73" w:rsidRPr="00155D73">
        <w:rPr>
          <w:lang w:val="ru-RU"/>
        </w:rPr>
        <w:t xml:space="preserve"> </w:t>
      </w:r>
      <w:r w:rsidR="00155D73">
        <w:rPr>
          <w:lang w:val="ru-RU"/>
        </w:rPr>
        <w:t>действия</w:t>
      </w:r>
      <w:r w:rsidR="00155D73" w:rsidRPr="00155D73">
        <w:rPr>
          <w:lang w:val="ru-RU"/>
        </w:rPr>
        <w:t xml:space="preserve"> </w:t>
      </w:r>
      <w:r w:rsidR="00155D73">
        <w:rPr>
          <w:lang w:val="ru-RU"/>
        </w:rPr>
        <w:t>по</w:t>
      </w:r>
      <w:r w:rsidR="00155D73" w:rsidRPr="00155D73">
        <w:rPr>
          <w:lang w:val="ru-RU"/>
        </w:rPr>
        <w:t xml:space="preserve"> </w:t>
      </w:r>
      <w:r w:rsidR="00155D73">
        <w:rPr>
          <w:lang w:val="ru-RU"/>
        </w:rPr>
        <w:t>другим</w:t>
      </w:r>
      <w:r w:rsidR="00155D73" w:rsidRPr="00155D73">
        <w:rPr>
          <w:lang w:val="ru-RU"/>
        </w:rPr>
        <w:t xml:space="preserve"> </w:t>
      </w:r>
      <w:r w:rsidR="00155D73">
        <w:rPr>
          <w:lang w:val="ru-RU"/>
        </w:rPr>
        <w:t>ключевым</w:t>
      </w:r>
      <w:r w:rsidR="00155D73" w:rsidRPr="00155D73">
        <w:rPr>
          <w:lang w:val="ru-RU"/>
        </w:rPr>
        <w:t xml:space="preserve"> </w:t>
      </w:r>
      <w:r w:rsidR="00155D73">
        <w:rPr>
          <w:lang w:val="ru-RU"/>
        </w:rPr>
        <w:t>направлениям</w:t>
      </w:r>
      <w:r w:rsidR="00155D73" w:rsidRPr="00155D73">
        <w:rPr>
          <w:lang w:val="ru-RU"/>
        </w:rPr>
        <w:t xml:space="preserve">, </w:t>
      </w:r>
      <w:r w:rsidR="00155D73">
        <w:rPr>
          <w:lang w:val="ru-RU"/>
        </w:rPr>
        <w:t>включая</w:t>
      </w:r>
      <w:r w:rsidR="00155D73" w:rsidRPr="00155D73">
        <w:rPr>
          <w:lang w:val="ru-RU"/>
        </w:rPr>
        <w:t xml:space="preserve"> </w:t>
      </w:r>
      <w:r w:rsidR="00155D73">
        <w:rPr>
          <w:lang w:val="ru-RU"/>
        </w:rPr>
        <w:t>создание</w:t>
      </w:r>
      <w:r w:rsidR="00155D73" w:rsidRPr="00155D73">
        <w:rPr>
          <w:lang w:val="ru-RU"/>
        </w:rPr>
        <w:t xml:space="preserve"> </w:t>
      </w:r>
      <w:r w:rsidR="00155D73">
        <w:rPr>
          <w:lang w:val="ru-RU"/>
        </w:rPr>
        <w:t>системы</w:t>
      </w:r>
      <w:r w:rsidR="00155D73" w:rsidRPr="00155D73">
        <w:rPr>
          <w:lang w:val="ru-RU"/>
        </w:rPr>
        <w:t xml:space="preserve"> </w:t>
      </w:r>
      <w:r w:rsidR="00155D73">
        <w:rPr>
          <w:lang w:val="ru-RU"/>
        </w:rPr>
        <w:t>координаторов</w:t>
      </w:r>
      <w:r w:rsidR="00155D73" w:rsidRPr="00155D73">
        <w:rPr>
          <w:lang w:val="ru-RU"/>
        </w:rPr>
        <w:t xml:space="preserve"> </w:t>
      </w:r>
      <w:r w:rsidR="00155D73">
        <w:rPr>
          <w:lang w:val="ru-RU"/>
        </w:rPr>
        <w:t>по</w:t>
      </w:r>
      <w:r w:rsidR="00155D73" w:rsidRPr="00155D73">
        <w:rPr>
          <w:lang w:val="ru-RU"/>
        </w:rPr>
        <w:t xml:space="preserve"> </w:t>
      </w:r>
      <w:r w:rsidR="00155D73">
        <w:rPr>
          <w:lang w:val="ru-RU"/>
        </w:rPr>
        <w:t>гендерным</w:t>
      </w:r>
      <w:r w:rsidR="00155D73" w:rsidRPr="00155D73">
        <w:rPr>
          <w:lang w:val="ru-RU"/>
        </w:rPr>
        <w:t xml:space="preserve"> </w:t>
      </w:r>
      <w:r w:rsidR="00155D73">
        <w:rPr>
          <w:lang w:val="ru-RU"/>
        </w:rPr>
        <w:t xml:space="preserve">вопросам (КГВ), доказали свою </w:t>
      </w:r>
      <w:r w:rsidR="00925276">
        <w:rPr>
          <w:lang w:val="ru-RU"/>
        </w:rPr>
        <w:t>результативность</w:t>
      </w:r>
      <w:r w:rsidR="00155D73">
        <w:rPr>
          <w:lang w:val="ru-RU"/>
        </w:rPr>
        <w:t xml:space="preserve"> и признаются в качестве эффективной практики.  </w:t>
      </w:r>
      <w:r w:rsidR="00925276">
        <w:rPr>
          <w:lang w:val="ru-RU"/>
        </w:rPr>
        <w:t>Тем</w:t>
      </w:r>
      <w:r w:rsidR="00925276" w:rsidRPr="00925276">
        <w:rPr>
          <w:lang w:val="ru-RU"/>
        </w:rPr>
        <w:t xml:space="preserve"> </w:t>
      </w:r>
      <w:r w:rsidR="00925276">
        <w:rPr>
          <w:lang w:val="ru-RU"/>
        </w:rPr>
        <w:t>не</w:t>
      </w:r>
      <w:r w:rsidR="00925276" w:rsidRPr="00925276">
        <w:rPr>
          <w:lang w:val="ru-RU"/>
        </w:rPr>
        <w:t xml:space="preserve"> </w:t>
      </w:r>
      <w:r w:rsidR="00925276">
        <w:rPr>
          <w:lang w:val="ru-RU"/>
        </w:rPr>
        <w:t>менее</w:t>
      </w:r>
      <w:r w:rsidR="00925276" w:rsidRPr="00925276">
        <w:rPr>
          <w:lang w:val="ru-RU"/>
        </w:rPr>
        <w:t xml:space="preserve"> </w:t>
      </w:r>
      <w:r w:rsidR="00925276">
        <w:rPr>
          <w:lang w:val="ru-RU"/>
        </w:rPr>
        <w:t>существует</w:t>
      </w:r>
      <w:r w:rsidR="00925276" w:rsidRPr="00925276">
        <w:rPr>
          <w:lang w:val="ru-RU"/>
        </w:rPr>
        <w:t xml:space="preserve"> </w:t>
      </w:r>
      <w:r w:rsidR="00925276">
        <w:rPr>
          <w:lang w:val="ru-RU"/>
        </w:rPr>
        <w:t>ряд</w:t>
      </w:r>
      <w:r w:rsidR="00925276" w:rsidRPr="00925276">
        <w:rPr>
          <w:lang w:val="ru-RU"/>
        </w:rPr>
        <w:t xml:space="preserve"> </w:t>
      </w:r>
      <w:r w:rsidR="00925276">
        <w:rPr>
          <w:lang w:val="ru-RU"/>
        </w:rPr>
        <w:t>факторов</w:t>
      </w:r>
      <w:r w:rsidR="00925276" w:rsidRPr="00925276">
        <w:rPr>
          <w:lang w:val="ru-RU"/>
        </w:rPr>
        <w:t xml:space="preserve">, </w:t>
      </w:r>
      <w:r w:rsidR="00925276">
        <w:rPr>
          <w:lang w:val="ru-RU"/>
        </w:rPr>
        <w:t>препятствующих</w:t>
      </w:r>
      <w:r w:rsidR="00925276" w:rsidRPr="00925276">
        <w:rPr>
          <w:lang w:val="ru-RU"/>
        </w:rPr>
        <w:t xml:space="preserve"> </w:t>
      </w:r>
      <w:r w:rsidR="00925276">
        <w:rPr>
          <w:lang w:val="ru-RU"/>
        </w:rPr>
        <w:t>достижению</w:t>
      </w:r>
      <w:r w:rsidR="00925276" w:rsidRPr="00925276">
        <w:rPr>
          <w:lang w:val="ru-RU"/>
        </w:rPr>
        <w:t xml:space="preserve"> </w:t>
      </w:r>
      <w:r w:rsidR="00925276">
        <w:rPr>
          <w:lang w:val="ru-RU"/>
        </w:rPr>
        <w:t>еще</w:t>
      </w:r>
      <w:r w:rsidR="00925276" w:rsidRPr="00925276">
        <w:rPr>
          <w:lang w:val="ru-RU"/>
        </w:rPr>
        <w:t xml:space="preserve"> </w:t>
      </w:r>
      <w:r w:rsidR="00925276">
        <w:rPr>
          <w:lang w:val="ru-RU"/>
        </w:rPr>
        <w:t>более</w:t>
      </w:r>
      <w:r w:rsidR="00925276" w:rsidRPr="00925276">
        <w:rPr>
          <w:lang w:val="ru-RU"/>
        </w:rPr>
        <w:t xml:space="preserve"> </w:t>
      </w:r>
      <w:r w:rsidR="00925276">
        <w:rPr>
          <w:lang w:val="ru-RU"/>
        </w:rPr>
        <w:t>впечатляющих результатов.  Проведенный</w:t>
      </w:r>
      <w:r w:rsidR="00925276" w:rsidRPr="00925276">
        <w:rPr>
          <w:lang w:val="ru-RU"/>
        </w:rPr>
        <w:t xml:space="preserve"> </w:t>
      </w:r>
      <w:r w:rsidR="00925276">
        <w:rPr>
          <w:lang w:val="ru-RU"/>
        </w:rPr>
        <w:t>в</w:t>
      </w:r>
      <w:r w:rsidR="00925276" w:rsidRPr="00925276">
        <w:rPr>
          <w:lang w:val="ru-RU"/>
        </w:rPr>
        <w:t xml:space="preserve"> </w:t>
      </w:r>
      <w:r w:rsidR="00925276">
        <w:rPr>
          <w:lang w:val="ru-RU"/>
        </w:rPr>
        <w:t>данной</w:t>
      </w:r>
      <w:r w:rsidR="00925276" w:rsidRPr="00925276">
        <w:rPr>
          <w:lang w:val="ru-RU"/>
        </w:rPr>
        <w:t xml:space="preserve"> </w:t>
      </w:r>
      <w:r w:rsidR="00925276">
        <w:rPr>
          <w:lang w:val="ru-RU"/>
        </w:rPr>
        <w:t>связи</w:t>
      </w:r>
      <w:r w:rsidR="00925276" w:rsidRPr="00925276">
        <w:rPr>
          <w:lang w:val="ru-RU"/>
        </w:rPr>
        <w:t xml:space="preserve"> </w:t>
      </w:r>
      <w:r w:rsidR="00925276">
        <w:rPr>
          <w:lang w:val="ru-RU"/>
        </w:rPr>
        <w:t>опрос</w:t>
      </w:r>
      <w:r w:rsidR="00925276" w:rsidRPr="00925276">
        <w:rPr>
          <w:lang w:val="ru-RU"/>
        </w:rPr>
        <w:t xml:space="preserve"> </w:t>
      </w:r>
      <w:r w:rsidR="00925276">
        <w:rPr>
          <w:lang w:val="ru-RU"/>
        </w:rPr>
        <w:t>свидетельствует</w:t>
      </w:r>
      <w:r w:rsidR="00925276" w:rsidRPr="00925276">
        <w:rPr>
          <w:lang w:val="ru-RU"/>
        </w:rPr>
        <w:t xml:space="preserve"> </w:t>
      </w:r>
      <w:r w:rsidR="00925276">
        <w:rPr>
          <w:lang w:val="ru-RU"/>
        </w:rPr>
        <w:t>о</w:t>
      </w:r>
      <w:r w:rsidR="00925276" w:rsidRPr="00925276">
        <w:rPr>
          <w:lang w:val="ru-RU"/>
        </w:rPr>
        <w:t xml:space="preserve"> </w:t>
      </w:r>
      <w:r w:rsidR="00925276">
        <w:rPr>
          <w:lang w:val="ru-RU"/>
        </w:rPr>
        <w:t>том</w:t>
      </w:r>
      <w:r w:rsidR="00925276" w:rsidRPr="00925276">
        <w:rPr>
          <w:lang w:val="ru-RU"/>
        </w:rPr>
        <w:t xml:space="preserve">, </w:t>
      </w:r>
      <w:r w:rsidR="00925276">
        <w:rPr>
          <w:lang w:val="ru-RU"/>
        </w:rPr>
        <w:t>что</w:t>
      </w:r>
      <w:r w:rsidR="00925276" w:rsidRPr="00925276">
        <w:rPr>
          <w:lang w:val="ru-RU"/>
        </w:rPr>
        <w:t xml:space="preserve"> 53 </w:t>
      </w:r>
      <w:r w:rsidR="00925276">
        <w:rPr>
          <w:lang w:val="ru-RU"/>
        </w:rPr>
        <w:t>процента</w:t>
      </w:r>
      <w:r w:rsidR="00925276" w:rsidRPr="00925276">
        <w:rPr>
          <w:lang w:val="ru-RU"/>
        </w:rPr>
        <w:t xml:space="preserve"> </w:t>
      </w:r>
      <w:r w:rsidR="00925276">
        <w:rPr>
          <w:lang w:val="ru-RU"/>
        </w:rPr>
        <w:t xml:space="preserve">респондентов не знают, кто является их координатором. </w:t>
      </w:r>
      <w:r w:rsidR="00925276" w:rsidRPr="00925276">
        <w:rPr>
          <w:lang w:val="ru-RU"/>
        </w:rPr>
        <w:t xml:space="preserve"> </w:t>
      </w:r>
      <w:r w:rsidR="00925276">
        <w:rPr>
          <w:lang w:val="ru-RU"/>
        </w:rPr>
        <w:t>В</w:t>
      </w:r>
      <w:r w:rsidR="00925276" w:rsidRPr="00A61DF8">
        <w:rPr>
          <w:lang w:val="ru-RU"/>
        </w:rPr>
        <w:t xml:space="preserve"> </w:t>
      </w:r>
      <w:r w:rsidR="00925276">
        <w:rPr>
          <w:lang w:val="ru-RU"/>
        </w:rPr>
        <w:t>число</w:t>
      </w:r>
      <w:r w:rsidR="00925276" w:rsidRPr="00A61DF8">
        <w:rPr>
          <w:lang w:val="ru-RU"/>
        </w:rPr>
        <w:t xml:space="preserve"> </w:t>
      </w:r>
      <w:r w:rsidR="00925276">
        <w:rPr>
          <w:lang w:val="ru-RU"/>
        </w:rPr>
        <w:t>выявленных</w:t>
      </w:r>
      <w:r w:rsidR="00925276" w:rsidRPr="00A61DF8">
        <w:rPr>
          <w:lang w:val="ru-RU"/>
        </w:rPr>
        <w:t xml:space="preserve"> </w:t>
      </w:r>
      <w:r w:rsidR="00925276">
        <w:rPr>
          <w:lang w:val="ru-RU"/>
        </w:rPr>
        <w:t>недостатков</w:t>
      </w:r>
      <w:r w:rsidR="00925276" w:rsidRPr="00A61DF8">
        <w:rPr>
          <w:lang w:val="ru-RU"/>
        </w:rPr>
        <w:t xml:space="preserve"> </w:t>
      </w:r>
      <w:r w:rsidR="00925276">
        <w:rPr>
          <w:lang w:val="ru-RU"/>
        </w:rPr>
        <w:t>входят</w:t>
      </w:r>
      <w:r w:rsidR="00925276" w:rsidRPr="00A61DF8">
        <w:rPr>
          <w:lang w:val="ru-RU"/>
        </w:rPr>
        <w:t xml:space="preserve"> </w:t>
      </w:r>
      <w:r w:rsidR="00925276">
        <w:rPr>
          <w:lang w:val="ru-RU"/>
        </w:rPr>
        <w:t>отсутствие</w:t>
      </w:r>
      <w:r w:rsidR="00925276" w:rsidRPr="00A61DF8">
        <w:rPr>
          <w:lang w:val="ru-RU"/>
        </w:rPr>
        <w:t xml:space="preserve"> </w:t>
      </w:r>
      <w:r w:rsidR="00925276">
        <w:rPr>
          <w:lang w:val="ru-RU"/>
        </w:rPr>
        <w:t>четко</w:t>
      </w:r>
      <w:r w:rsidR="00925276" w:rsidRPr="00A61DF8">
        <w:rPr>
          <w:lang w:val="ru-RU"/>
        </w:rPr>
        <w:t xml:space="preserve"> </w:t>
      </w:r>
      <w:r w:rsidR="00925276">
        <w:rPr>
          <w:lang w:val="ru-RU"/>
        </w:rPr>
        <w:t>определенного</w:t>
      </w:r>
      <w:r w:rsidR="00925276" w:rsidRPr="00A61DF8">
        <w:rPr>
          <w:lang w:val="ru-RU"/>
        </w:rPr>
        <w:t xml:space="preserve"> </w:t>
      </w:r>
      <w:r w:rsidR="00925276">
        <w:rPr>
          <w:lang w:val="ru-RU"/>
        </w:rPr>
        <w:t>круга</w:t>
      </w:r>
      <w:r w:rsidR="00925276" w:rsidRPr="00A61DF8">
        <w:rPr>
          <w:lang w:val="ru-RU"/>
        </w:rPr>
        <w:t xml:space="preserve"> </w:t>
      </w:r>
      <w:r w:rsidR="00925276">
        <w:rPr>
          <w:lang w:val="ru-RU"/>
        </w:rPr>
        <w:t>полномочий</w:t>
      </w:r>
      <w:r w:rsidR="00925276" w:rsidRPr="00A61DF8">
        <w:rPr>
          <w:lang w:val="ru-RU"/>
        </w:rPr>
        <w:t xml:space="preserve"> </w:t>
      </w:r>
      <w:r w:rsidR="00925276">
        <w:rPr>
          <w:lang w:val="ru-RU"/>
        </w:rPr>
        <w:t>КГВ</w:t>
      </w:r>
      <w:r w:rsidR="00925276" w:rsidRPr="00A61DF8">
        <w:rPr>
          <w:lang w:val="ru-RU"/>
        </w:rPr>
        <w:t xml:space="preserve">, </w:t>
      </w:r>
      <w:r w:rsidR="00925276">
        <w:rPr>
          <w:lang w:val="ru-RU"/>
        </w:rPr>
        <w:t>ограниченность</w:t>
      </w:r>
      <w:r w:rsidR="00925276" w:rsidRPr="00A61DF8">
        <w:rPr>
          <w:lang w:val="ru-RU"/>
        </w:rPr>
        <w:t xml:space="preserve"> </w:t>
      </w:r>
      <w:r w:rsidR="00925276">
        <w:rPr>
          <w:lang w:val="ru-RU"/>
        </w:rPr>
        <w:t>ресурсов</w:t>
      </w:r>
      <w:r w:rsidR="00925276" w:rsidRPr="00A61DF8">
        <w:rPr>
          <w:lang w:val="ru-RU"/>
        </w:rPr>
        <w:t xml:space="preserve">, </w:t>
      </w:r>
      <w:r w:rsidR="00925276">
        <w:rPr>
          <w:lang w:val="ru-RU"/>
        </w:rPr>
        <w:t>выделяемых</w:t>
      </w:r>
      <w:r w:rsidR="00925276" w:rsidRPr="00A61DF8">
        <w:rPr>
          <w:lang w:val="ru-RU"/>
        </w:rPr>
        <w:t xml:space="preserve"> </w:t>
      </w:r>
      <w:r w:rsidR="00925276">
        <w:rPr>
          <w:lang w:val="ru-RU"/>
        </w:rPr>
        <w:t>на</w:t>
      </w:r>
      <w:r w:rsidR="00925276" w:rsidRPr="00A61DF8">
        <w:rPr>
          <w:lang w:val="ru-RU"/>
        </w:rPr>
        <w:t xml:space="preserve"> </w:t>
      </w:r>
      <w:r w:rsidR="00925276">
        <w:rPr>
          <w:lang w:val="ru-RU"/>
        </w:rPr>
        <w:t>цели</w:t>
      </w:r>
      <w:r w:rsidR="00925276" w:rsidRPr="00A61DF8">
        <w:rPr>
          <w:lang w:val="ru-RU"/>
        </w:rPr>
        <w:t xml:space="preserve"> </w:t>
      </w:r>
      <w:r w:rsidR="00A61DF8">
        <w:rPr>
          <w:lang w:val="ru-RU"/>
        </w:rPr>
        <w:t>наращивания</w:t>
      </w:r>
      <w:r w:rsidR="00A61DF8" w:rsidRPr="00A61DF8">
        <w:rPr>
          <w:lang w:val="ru-RU"/>
        </w:rPr>
        <w:t xml:space="preserve"> </w:t>
      </w:r>
      <w:r w:rsidR="00A61DF8">
        <w:rPr>
          <w:lang w:val="ru-RU"/>
        </w:rPr>
        <w:t>их</w:t>
      </w:r>
      <w:r w:rsidR="00A61DF8" w:rsidRPr="00A61DF8">
        <w:rPr>
          <w:lang w:val="ru-RU"/>
        </w:rPr>
        <w:t xml:space="preserve"> </w:t>
      </w:r>
      <w:r w:rsidR="00A61DF8">
        <w:rPr>
          <w:lang w:val="ru-RU"/>
        </w:rPr>
        <w:t>потенциала</w:t>
      </w:r>
      <w:r w:rsidR="00A61DF8" w:rsidRPr="00A61DF8">
        <w:rPr>
          <w:lang w:val="ru-RU"/>
        </w:rPr>
        <w:t xml:space="preserve">, </w:t>
      </w:r>
      <w:r w:rsidR="00A61DF8">
        <w:rPr>
          <w:lang w:val="ru-RU"/>
        </w:rPr>
        <w:t>нехватка</w:t>
      </w:r>
      <w:r w:rsidR="00A61DF8" w:rsidRPr="00A61DF8">
        <w:rPr>
          <w:lang w:val="ru-RU"/>
        </w:rPr>
        <w:t xml:space="preserve"> </w:t>
      </w:r>
      <w:r w:rsidR="00A61DF8">
        <w:rPr>
          <w:lang w:val="ru-RU"/>
        </w:rPr>
        <w:t>времени</w:t>
      </w:r>
      <w:r w:rsidR="00A61DF8" w:rsidRPr="00A61DF8">
        <w:rPr>
          <w:lang w:val="ru-RU"/>
        </w:rPr>
        <w:t xml:space="preserve">, </w:t>
      </w:r>
      <w:r w:rsidR="00A61DF8">
        <w:rPr>
          <w:lang w:val="ru-RU"/>
        </w:rPr>
        <w:t>официально</w:t>
      </w:r>
      <w:r w:rsidR="00A61DF8" w:rsidRPr="00A61DF8">
        <w:rPr>
          <w:lang w:val="ru-RU"/>
        </w:rPr>
        <w:t xml:space="preserve"> </w:t>
      </w:r>
      <w:r w:rsidR="00A61DF8">
        <w:rPr>
          <w:lang w:val="ru-RU"/>
        </w:rPr>
        <w:t>выделяемого</w:t>
      </w:r>
      <w:r w:rsidR="00A61DF8" w:rsidRPr="00A61DF8">
        <w:rPr>
          <w:lang w:val="ru-RU"/>
        </w:rPr>
        <w:t xml:space="preserve"> </w:t>
      </w:r>
      <w:r w:rsidR="00A61DF8">
        <w:rPr>
          <w:lang w:val="ru-RU"/>
        </w:rPr>
        <w:t>КГВ</w:t>
      </w:r>
      <w:r w:rsidR="00A61DF8" w:rsidRPr="00A61DF8">
        <w:rPr>
          <w:lang w:val="ru-RU"/>
        </w:rPr>
        <w:t xml:space="preserve"> </w:t>
      </w:r>
      <w:r w:rsidR="00A61DF8">
        <w:rPr>
          <w:lang w:val="ru-RU"/>
        </w:rPr>
        <w:t>для</w:t>
      </w:r>
      <w:r w:rsidR="00A61DF8" w:rsidRPr="00A61DF8">
        <w:rPr>
          <w:lang w:val="ru-RU"/>
        </w:rPr>
        <w:t xml:space="preserve"> </w:t>
      </w:r>
      <w:r w:rsidR="00A61DF8">
        <w:rPr>
          <w:lang w:val="ru-RU"/>
        </w:rPr>
        <w:t xml:space="preserve">выполнения их функций, а также не до конца понятные критерии отбора КГВ и их ротации между различными подразделениями.  </w:t>
      </w:r>
    </w:p>
    <w:p w14:paraId="61BFCAE7" w14:textId="058A7704" w:rsidR="00FD0C02" w:rsidRDefault="00FD0C02" w:rsidP="009D49E5">
      <w:pPr>
        <w:pStyle w:val="ONUME"/>
        <w:rPr>
          <w:lang w:val="ru-RU"/>
        </w:rPr>
      </w:pPr>
      <w:r>
        <w:rPr>
          <w:lang w:val="ru-RU"/>
        </w:rPr>
        <w:t>В</w:t>
      </w:r>
      <w:r w:rsidRPr="00FD0C02">
        <w:rPr>
          <w:lang w:val="ru-RU"/>
        </w:rPr>
        <w:t xml:space="preserve"> </w:t>
      </w:r>
      <w:r>
        <w:rPr>
          <w:lang w:val="ru-RU"/>
        </w:rPr>
        <w:t>ходе</w:t>
      </w:r>
      <w:r w:rsidRPr="00FD0C02">
        <w:rPr>
          <w:lang w:val="ru-RU"/>
        </w:rPr>
        <w:t xml:space="preserve"> </w:t>
      </w:r>
      <w:r>
        <w:rPr>
          <w:lang w:val="ru-RU"/>
        </w:rPr>
        <w:t>совместной</w:t>
      </w:r>
      <w:r w:rsidRPr="00FD0C02">
        <w:rPr>
          <w:lang w:val="ru-RU"/>
        </w:rPr>
        <w:t xml:space="preserve"> </w:t>
      </w:r>
      <w:r>
        <w:rPr>
          <w:lang w:val="ru-RU"/>
        </w:rPr>
        <w:t>оценки</w:t>
      </w:r>
      <w:r w:rsidRPr="00FD0C02">
        <w:rPr>
          <w:lang w:val="ru-RU"/>
        </w:rPr>
        <w:t xml:space="preserve"> </w:t>
      </w:r>
      <w:r>
        <w:rPr>
          <w:lang w:val="ru-RU"/>
        </w:rPr>
        <w:t>и</w:t>
      </w:r>
      <w:r w:rsidRPr="00FD0C02">
        <w:rPr>
          <w:lang w:val="ru-RU"/>
        </w:rPr>
        <w:t xml:space="preserve"> </w:t>
      </w:r>
      <w:r>
        <w:rPr>
          <w:lang w:val="ru-RU"/>
        </w:rPr>
        <w:t>аудиторской</w:t>
      </w:r>
      <w:r w:rsidRPr="00FD0C02">
        <w:rPr>
          <w:lang w:val="ru-RU"/>
        </w:rPr>
        <w:t xml:space="preserve"> </w:t>
      </w:r>
      <w:r>
        <w:rPr>
          <w:lang w:val="ru-RU"/>
        </w:rPr>
        <w:t>проверки</w:t>
      </w:r>
      <w:r w:rsidRPr="00FD0C02">
        <w:rPr>
          <w:lang w:val="ru-RU"/>
        </w:rPr>
        <w:t xml:space="preserve"> </w:t>
      </w:r>
      <w:r>
        <w:rPr>
          <w:lang w:val="ru-RU"/>
        </w:rPr>
        <w:t>было</w:t>
      </w:r>
      <w:r w:rsidRPr="00FD0C02">
        <w:rPr>
          <w:lang w:val="ru-RU"/>
        </w:rPr>
        <w:t xml:space="preserve"> </w:t>
      </w:r>
      <w:r>
        <w:rPr>
          <w:lang w:val="ru-RU"/>
        </w:rPr>
        <w:t>выявлено</w:t>
      </w:r>
      <w:r w:rsidRPr="00FD0C02">
        <w:rPr>
          <w:lang w:val="ru-RU"/>
        </w:rPr>
        <w:t xml:space="preserve"> </w:t>
      </w:r>
      <w:r>
        <w:rPr>
          <w:lang w:val="ru-RU"/>
        </w:rPr>
        <w:t>более</w:t>
      </w:r>
      <w:r w:rsidRPr="00FD0C02">
        <w:rPr>
          <w:lang w:val="ru-RU"/>
        </w:rPr>
        <w:t xml:space="preserve"> </w:t>
      </w:r>
      <w:r>
        <w:rPr>
          <w:lang w:val="ru-RU"/>
        </w:rPr>
        <w:t>активное</w:t>
      </w:r>
      <w:r w:rsidRPr="00FD0C02">
        <w:rPr>
          <w:lang w:val="ru-RU"/>
        </w:rPr>
        <w:t xml:space="preserve"> </w:t>
      </w:r>
      <w:r>
        <w:rPr>
          <w:lang w:val="ru-RU"/>
        </w:rPr>
        <w:t>использование</w:t>
      </w:r>
      <w:r w:rsidRPr="00FD0C02">
        <w:rPr>
          <w:lang w:val="ru-RU"/>
        </w:rPr>
        <w:t xml:space="preserve"> </w:t>
      </w:r>
      <w:r>
        <w:rPr>
          <w:lang w:val="ru-RU"/>
        </w:rPr>
        <w:t>маркеров</w:t>
      </w:r>
      <w:r w:rsidRPr="00FD0C02">
        <w:rPr>
          <w:lang w:val="ru-RU"/>
        </w:rPr>
        <w:t xml:space="preserve">, </w:t>
      </w:r>
      <w:r>
        <w:rPr>
          <w:lang w:val="ru-RU"/>
        </w:rPr>
        <w:t>которые</w:t>
      </w:r>
      <w:r w:rsidRPr="00FD0C02">
        <w:rPr>
          <w:lang w:val="ru-RU"/>
        </w:rPr>
        <w:t xml:space="preserve"> </w:t>
      </w:r>
      <w:r>
        <w:rPr>
          <w:lang w:val="ru-RU"/>
        </w:rPr>
        <w:t>применялись</w:t>
      </w:r>
      <w:r w:rsidRPr="00FD0C02">
        <w:rPr>
          <w:lang w:val="ru-RU"/>
        </w:rPr>
        <w:t xml:space="preserve"> </w:t>
      </w:r>
      <w:r>
        <w:rPr>
          <w:lang w:val="ru-RU"/>
        </w:rPr>
        <w:t>в</w:t>
      </w:r>
      <w:r w:rsidRPr="00FD0C02">
        <w:rPr>
          <w:lang w:val="ru-RU"/>
        </w:rPr>
        <w:t xml:space="preserve"> 47 </w:t>
      </w:r>
      <w:r>
        <w:rPr>
          <w:lang w:val="ru-RU"/>
        </w:rPr>
        <w:t>процентах</w:t>
      </w:r>
      <w:r w:rsidRPr="00FD0C02">
        <w:rPr>
          <w:lang w:val="ru-RU"/>
        </w:rPr>
        <w:t xml:space="preserve"> </w:t>
      </w:r>
      <w:r>
        <w:rPr>
          <w:lang w:val="ru-RU"/>
        </w:rPr>
        <w:t>случаев</w:t>
      </w:r>
      <w:r w:rsidRPr="00FD0C02">
        <w:rPr>
          <w:lang w:val="ru-RU"/>
        </w:rPr>
        <w:t xml:space="preserve"> </w:t>
      </w:r>
      <w:r>
        <w:rPr>
          <w:lang w:val="ru-RU"/>
        </w:rPr>
        <w:t>в</w:t>
      </w:r>
      <w:r w:rsidRPr="00FD0C02">
        <w:rPr>
          <w:lang w:val="ru-RU"/>
        </w:rPr>
        <w:t xml:space="preserve"> </w:t>
      </w:r>
      <w:r>
        <w:rPr>
          <w:lang w:val="ru-RU"/>
        </w:rPr>
        <w:t>рамках</w:t>
      </w:r>
      <w:r w:rsidRPr="00FD0C02">
        <w:rPr>
          <w:lang w:val="ru-RU"/>
        </w:rPr>
        <w:t xml:space="preserve"> 848 </w:t>
      </w:r>
      <w:r>
        <w:rPr>
          <w:lang w:val="ru-RU"/>
        </w:rPr>
        <w:t>программных мероприятий, включенных в отчетность за последние три года.  Вместе</w:t>
      </w:r>
      <w:r w:rsidRPr="00FD0C02">
        <w:rPr>
          <w:lang w:val="ru-RU"/>
        </w:rPr>
        <w:t xml:space="preserve"> </w:t>
      </w:r>
      <w:r>
        <w:rPr>
          <w:lang w:val="ru-RU"/>
        </w:rPr>
        <w:t>с</w:t>
      </w:r>
      <w:r w:rsidRPr="00FD0C02">
        <w:rPr>
          <w:lang w:val="ru-RU"/>
        </w:rPr>
        <w:t xml:space="preserve"> </w:t>
      </w:r>
      <w:r>
        <w:rPr>
          <w:lang w:val="ru-RU"/>
        </w:rPr>
        <w:t>тем</w:t>
      </w:r>
      <w:r w:rsidRPr="00FD0C02">
        <w:rPr>
          <w:lang w:val="ru-RU"/>
        </w:rPr>
        <w:t xml:space="preserve"> </w:t>
      </w:r>
      <w:r>
        <w:rPr>
          <w:lang w:val="ru-RU"/>
        </w:rPr>
        <w:t>еще</w:t>
      </w:r>
      <w:r w:rsidRPr="00FD0C02">
        <w:rPr>
          <w:lang w:val="ru-RU"/>
        </w:rPr>
        <w:t xml:space="preserve"> </w:t>
      </w:r>
      <w:r>
        <w:rPr>
          <w:lang w:val="ru-RU"/>
        </w:rPr>
        <w:t>есть</w:t>
      </w:r>
      <w:r w:rsidRPr="00FD0C02">
        <w:rPr>
          <w:lang w:val="ru-RU"/>
        </w:rPr>
        <w:t xml:space="preserve"> </w:t>
      </w:r>
      <w:r>
        <w:rPr>
          <w:lang w:val="ru-RU"/>
        </w:rPr>
        <w:t>резервы</w:t>
      </w:r>
      <w:r w:rsidRPr="00FD0C02">
        <w:rPr>
          <w:lang w:val="ru-RU"/>
        </w:rPr>
        <w:t xml:space="preserve"> </w:t>
      </w:r>
      <w:r>
        <w:rPr>
          <w:lang w:val="ru-RU"/>
        </w:rPr>
        <w:t>в</w:t>
      </w:r>
      <w:r w:rsidRPr="00FD0C02">
        <w:rPr>
          <w:lang w:val="ru-RU"/>
        </w:rPr>
        <w:t xml:space="preserve"> </w:t>
      </w:r>
      <w:r>
        <w:rPr>
          <w:lang w:val="ru-RU"/>
        </w:rPr>
        <w:t>плане</w:t>
      </w:r>
      <w:r w:rsidRPr="00FD0C02">
        <w:rPr>
          <w:lang w:val="ru-RU"/>
        </w:rPr>
        <w:t xml:space="preserve"> </w:t>
      </w:r>
      <w:r>
        <w:rPr>
          <w:lang w:val="ru-RU"/>
        </w:rPr>
        <w:t>углубления</w:t>
      </w:r>
      <w:r w:rsidRPr="00FD0C02">
        <w:rPr>
          <w:lang w:val="ru-RU"/>
        </w:rPr>
        <w:t xml:space="preserve"> </w:t>
      </w:r>
      <w:r>
        <w:rPr>
          <w:lang w:val="ru-RU"/>
        </w:rPr>
        <w:t>понимания</w:t>
      </w:r>
      <w:r w:rsidRPr="00FD0C02">
        <w:rPr>
          <w:lang w:val="ru-RU"/>
        </w:rPr>
        <w:t xml:space="preserve"> </w:t>
      </w:r>
      <w:r>
        <w:rPr>
          <w:lang w:val="ru-RU"/>
        </w:rPr>
        <w:t>и</w:t>
      </w:r>
      <w:r w:rsidRPr="00FD0C02">
        <w:rPr>
          <w:lang w:val="ru-RU"/>
        </w:rPr>
        <w:t xml:space="preserve"> </w:t>
      </w:r>
      <w:r>
        <w:rPr>
          <w:lang w:val="ru-RU"/>
        </w:rPr>
        <w:t>расширения</w:t>
      </w:r>
      <w:r w:rsidRPr="00FD0C02">
        <w:rPr>
          <w:lang w:val="ru-RU"/>
        </w:rPr>
        <w:t xml:space="preserve"> </w:t>
      </w:r>
      <w:r>
        <w:rPr>
          <w:lang w:val="ru-RU"/>
        </w:rPr>
        <w:t>использования</w:t>
      </w:r>
      <w:r w:rsidRPr="00FD0C02">
        <w:rPr>
          <w:lang w:val="ru-RU"/>
        </w:rPr>
        <w:t xml:space="preserve"> </w:t>
      </w:r>
      <w:r>
        <w:rPr>
          <w:lang w:val="ru-RU"/>
        </w:rPr>
        <w:t>этих</w:t>
      </w:r>
      <w:r w:rsidRPr="00FD0C02">
        <w:rPr>
          <w:lang w:val="ru-RU"/>
        </w:rPr>
        <w:t xml:space="preserve"> </w:t>
      </w:r>
      <w:r>
        <w:rPr>
          <w:lang w:val="ru-RU"/>
        </w:rPr>
        <w:lastRenderedPageBreak/>
        <w:t>маркеров</w:t>
      </w:r>
      <w:r w:rsidRPr="00FD0C02">
        <w:rPr>
          <w:lang w:val="ru-RU"/>
        </w:rPr>
        <w:t xml:space="preserve">, </w:t>
      </w:r>
      <w:r>
        <w:rPr>
          <w:lang w:val="ru-RU"/>
        </w:rPr>
        <w:t>с</w:t>
      </w:r>
      <w:r w:rsidRPr="00FD0C02">
        <w:rPr>
          <w:lang w:val="ru-RU"/>
        </w:rPr>
        <w:t xml:space="preserve"> </w:t>
      </w:r>
      <w:r>
        <w:rPr>
          <w:lang w:val="ru-RU"/>
        </w:rPr>
        <w:t>тем</w:t>
      </w:r>
      <w:r w:rsidRPr="00FD0C02">
        <w:rPr>
          <w:lang w:val="ru-RU"/>
        </w:rPr>
        <w:t xml:space="preserve"> </w:t>
      </w:r>
      <w:r>
        <w:rPr>
          <w:lang w:val="ru-RU"/>
        </w:rPr>
        <w:t>чтобы избежать представления неполной информации, а также упущений.  Пятьдесят</w:t>
      </w:r>
      <w:r w:rsidRPr="00FD0C02">
        <w:rPr>
          <w:lang w:val="ru-RU"/>
        </w:rPr>
        <w:t xml:space="preserve"> </w:t>
      </w:r>
      <w:r>
        <w:rPr>
          <w:lang w:val="ru-RU"/>
        </w:rPr>
        <w:t>девять</w:t>
      </w:r>
      <w:r w:rsidRPr="00FD0C02">
        <w:rPr>
          <w:lang w:val="ru-RU"/>
        </w:rPr>
        <w:t xml:space="preserve"> </w:t>
      </w:r>
      <w:r>
        <w:rPr>
          <w:lang w:val="ru-RU"/>
        </w:rPr>
        <w:t>процентов</w:t>
      </w:r>
      <w:r w:rsidRPr="00FD0C02">
        <w:rPr>
          <w:lang w:val="ru-RU"/>
        </w:rPr>
        <w:t xml:space="preserve"> </w:t>
      </w:r>
      <w:r>
        <w:rPr>
          <w:lang w:val="ru-RU"/>
        </w:rPr>
        <w:t>сотрудников</w:t>
      </w:r>
      <w:r w:rsidRPr="00FD0C02">
        <w:rPr>
          <w:lang w:val="ru-RU"/>
        </w:rPr>
        <w:t xml:space="preserve"> </w:t>
      </w:r>
      <w:r>
        <w:rPr>
          <w:lang w:val="ru-RU"/>
        </w:rPr>
        <w:t>не</w:t>
      </w:r>
      <w:r w:rsidRPr="00FD0C02">
        <w:rPr>
          <w:lang w:val="ru-RU"/>
        </w:rPr>
        <w:t xml:space="preserve"> </w:t>
      </w:r>
      <w:r>
        <w:rPr>
          <w:lang w:val="ru-RU"/>
        </w:rPr>
        <w:t>имеют</w:t>
      </w:r>
      <w:r w:rsidRPr="00FD0C02">
        <w:rPr>
          <w:lang w:val="ru-RU"/>
        </w:rPr>
        <w:t xml:space="preserve"> </w:t>
      </w:r>
      <w:r>
        <w:rPr>
          <w:lang w:val="ru-RU"/>
        </w:rPr>
        <w:t>полного</w:t>
      </w:r>
      <w:r w:rsidRPr="00FD0C02">
        <w:rPr>
          <w:lang w:val="ru-RU"/>
        </w:rPr>
        <w:t xml:space="preserve"> </w:t>
      </w:r>
      <w:r>
        <w:rPr>
          <w:lang w:val="ru-RU"/>
        </w:rPr>
        <w:t>представления</w:t>
      </w:r>
      <w:r w:rsidRPr="00FD0C02">
        <w:rPr>
          <w:lang w:val="ru-RU"/>
        </w:rPr>
        <w:t xml:space="preserve"> </w:t>
      </w:r>
      <w:r>
        <w:rPr>
          <w:lang w:val="ru-RU"/>
        </w:rPr>
        <w:t>о</w:t>
      </w:r>
      <w:r w:rsidRPr="00FD0C02">
        <w:rPr>
          <w:lang w:val="ru-RU"/>
        </w:rPr>
        <w:t xml:space="preserve"> </w:t>
      </w:r>
      <w:r>
        <w:rPr>
          <w:lang w:val="ru-RU"/>
        </w:rPr>
        <w:t>целях</w:t>
      </w:r>
      <w:r w:rsidRPr="00FD0C02">
        <w:rPr>
          <w:lang w:val="ru-RU"/>
        </w:rPr>
        <w:t xml:space="preserve"> </w:t>
      </w:r>
      <w:r>
        <w:rPr>
          <w:lang w:val="ru-RU"/>
        </w:rPr>
        <w:t>гендерных</w:t>
      </w:r>
      <w:r w:rsidRPr="00FD0C02">
        <w:rPr>
          <w:lang w:val="ru-RU"/>
        </w:rPr>
        <w:t xml:space="preserve"> </w:t>
      </w:r>
      <w:r>
        <w:rPr>
          <w:lang w:val="ru-RU"/>
        </w:rPr>
        <w:t>маркеров</w:t>
      </w:r>
      <w:r w:rsidRPr="00FD0C02">
        <w:rPr>
          <w:lang w:val="ru-RU"/>
        </w:rPr>
        <w:t xml:space="preserve">, </w:t>
      </w:r>
      <w:r>
        <w:rPr>
          <w:lang w:val="ru-RU"/>
        </w:rPr>
        <w:t>их</w:t>
      </w:r>
      <w:r w:rsidRPr="00FD0C02">
        <w:rPr>
          <w:lang w:val="ru-RU"/>
        </w:rPr>
        <w:t xml:space="preserve"> </w:t>
      </w:r>
      <w:r>
        <w:rPr>
          <w:lang w:val="ru-RU"/>
        </w:rPr>
        <w:t>возможном</w:t>
      </w:r>
      <w:r w:rsidRPr="00FD0C02">
        <w:rPr>
          <w:lang w:val="ru-RU"/>
        </w:rPr>
        <w:t xml:space="preserve"> </w:t>
      </w:r>
      <w:r>
        <w:rPr>
          <w:lang w:val="ru-RU"/>
        </w:rPr>
        <w:t>вкладе</w:t>
      </w:r>
      <w:r w:rsidRPr="00FD0C02">
        <w:rPr>
          <w:lang w:val="ru-RU"/>
        </w:rPr>
        <w:t xml:space="preserve"> </w:t>
      </w:r>
      <w:r>
        <w:rPr>
          <w:lang w:val="ru-RU"/>
        </w:rPr>
        <w:t>в</w:t>
      </w:r>
      <w:r w:rsidRPr="00FD0C02">
        <w:rPr>
          <w:lang w:val="ru-RU"/>
        </w:rPr>
        <w:t xml:space="preserve"> </w:t>
      </w:r>
      <w:r>
        <w:rPr>
          <w:lang w:val="ru-RU"/>
        </w:rPr>
        <w:t>определение</w:t>
      </w:r>
      <w:r w:rsidRPr="00FD0C02">
        <w:rPr>
          <w:lang w:val="ru-RU"/>
        </w:rPr>
        <w:t xml:space="preserve"> </w:t>
      </w:r>
      <w:r>
        <w:rPr>
          <w:lang w:val="ru-RU"/>
        </w:rPr>
        <w:t>значений</w:t>
      </w:r>
      <w:r w:rsidRPr="00FD0C02">
        <w:rPr>
          <w:lang w:val="ru-RU"/>
        </w:rPr>
        <w:t xml:space="preserve"> </w:t>
      </w:r>
      <w:r>
        <w:rPr>
          <w:lang w:val="ru-RU"/>
        </w:rPr>
        <w:t>индикаторов</w:t>
      </w:r>
      <w:r w:rsidRPr="00FD0C02">
        <w:rPr>
          <w:lang w:val="ru-RU"/>
        </w:rPr>
        <w:t xml:space="preserve"> </w:t>
      </w:r>
      <w:r w:rsidR="00D01054">
        <w:rPr>
          <w:lang w:val="ru-RU"/>
        </w:rPr>
        <w:t>первого</w:t>
      </w:r>
      <w:r>
        <w:rPr>
          <w:lang w:val="ru-RU"/>
        </w:rPr>
        <w:t xml:space="preserve"> уровня, а также о методике их использования. </w:t>
      </w:r>
      <w:r w:rsidRPr="00FD0C02">
        <w:rPr>
          <w:lang w:val="ru-RU"/>
        </w:rPr>
        <w:t xml:space="preserve"> </w:t>
      </w:r>
    </w:p>
    <w:p w14:paraId="2E90E4C7" w14:textId="598F0989" w:rsidR="00851BE5" w:rsidRDefault="00FD0C02" w:rsidP="009D49E5">
      <w:pPr>
        <w:pStyle w:val="ONUME"/>
        <w:rPr>
          <w:lang w:val="ru-RU"/>
        </w:rPr>
      </w:pPr>
      <w:r>
        <w:rPr>
          <w:lang w:val="ru-RU"/>
        </w:rPr>
        <w:t>Кроме</w:t>
      </w:r>
      <w:r w:rsidRPr="004D2C1E">
        <w:rPr>
          <w:lang w:val="ru-RU"/>
        </w:rPr>
        <w:t xml:space="preserve"> </w:t>
      </w:r>
      <w:r>
        <w:rPr>
          <w:lang w:val="ru-RU"/>
        </w:rPr>
        <w:t>того</w:t>
      </w:r>
      <w:r w:rsidRPr="004D2C1E">
        <w:rPr>
          <w:lang w:val="ru-RU"/>
        </w:rPr>
        <w:t xml:space="preserve">, </w:t>
      </w:r>
      <w:r>
        <w:rPr>
          <w:lang w:val="ru-RU"/>
        </w:rPr>
        <w:t>в</w:t>
      </w:r>
      <w:r w:rsidRPr="004D2C1E">
        <w:rPr>
          <w:lang w:val="ru-RU"/>
        </w:rPr>
        <w:t xml:space="preserve"> </w:t>
      </w:r>
      <w:r>
        <w:rPr>
          <w:lang w:val="ru-RU"/>
        </w:rPr>
        <w:t>дополнение</w:t>
      </w:r>
      <w:r w:rsidRPr="004D2C1E">
        <w:rPr>
          <w:lang w:val="ru-RU"/>
        </w:rPr>
        <w:t xml:space="preserve"> </w:t>
      </w:r>
      <w:r>
        <w:rPr>
          <w:lang w:val="ru-RU"/>
        </w:rPr>
        <w:t>к</w:t>
      </w:r>
      <w:r w:rsidRPr="004D2C1E">
        <w:rPr>
          <w:lang w:val="ru-RU"/>
        </w:rPr>
        <w:t xml:space="preserve"> </w:t>
      </w:r>
      <w:r>
        <w:rPr>
          <w:lang w:val="ru-RU"/>
        </w:rPr>
        <w:t>практике</w:t>
      </w:r>
      <w:r w:rsidRPr="004D2C1E">
        <w:rPr>
          <w:lang w:val="ru-RU"/>
        </w:rPr>
        <w:t xml:space="preserve"> </w:t>
      </w:r>
      <w:r>
        <w:rPr>
          <w:lang w:val="ru-RU"/>
        </w:rPr>
        <w:t>учета</w:t>
      </w:r>
      <w:r w:rsidRPr="004D2C1E">
        <w:rPr>
          <w:lang w:val="ru-RU"/>
        </w:rPr>
        <w:t xml:space="preserve"> </w:t>
      </w:r>
      <w:r>
        <w:rPr>
          <w:lang w:val="ru-RU"/>
        </w:rPr>
        <w:t>гендерного</w:t>
      </w:r>
      <w:r w:rsidRPr="004D2C1E">
        <w:rPr>
          <w:lang w:val="ru-RU"/>
        </w:rPr>
        <w:t xml:space="preserve"> </w:t>
      </w:r>
      <w:r>
        <w:rPr>
          <w:lang w:val="ru-RU"/>
        </w:rPr>
        <w:t>фактора</w:t>
      </w:r>
      <w:r w:rsidRPr="004D2C1E">
        <w:rPr>
          <w:lang w:val="ru-RU"/>
        </w:rPr>
        <w:t xml:space="preserve"> </w:t>
      </w:r>
      <w:r>
        <w:rPr>
          <w:lang w:val="ru-RU"/>
        </w:rPr>
        <w:t>при</w:t>
      </w:r>
      <w:r w:rsidRPr="004D2C1E">
        <w:rPr>
          <w:lang w:val="ru-RU"/>
        </w:rPr>
        <w:t xml:space="preserve"> </w:t>
      </w:r>
      <w:r>
        <w:rPr>
          <w:lang w:val="ru-RU"/>
        </w:rPr>
        <w:t>составлении</w:t>
      </w:r>
      <w:r w:rsidRPr="004D2C1E">
        <w:rPr>
          <w:lang w:val="ru-RU"/>
        </w:rPr>
        <w:t xml:space="preserve"> </w:t>
      </w:r>
      <w:r>
        <w:rPr>
          <w:lang w:val="ru-RU"/>
        </w:rPr>
        <w:t>бюджетов</w:t>
      </w:r>
      <w:r w:rsidRPr="004D2C1E">
        <w:rPr>
          <w:lang w:val="ru-RU"/>
        </w:rPr>
        <w:t xml:space="preserve"> </w:t>
      </w:r>
      <w:r>
        <w:rPr>
          <w:lang w:val="ru-RU"/>
        </w:rPr>
        <w:t>программных</w:t>
      </w:r>
      <w:r w:rsidRPr="004D2C1E">
        <w:rPr>
          <w:lang w:val="ru-RU"/>
        </w:rPr>
        <w:t xml:space="preserve"> </w:t>
      </w:r>
      <w:r>
        <w:rPr>
          <w:lang w:val="ru-RU"/>
        </w:rPr>
        <w:t>мероприятий</w:t>
      </w:r>
      <w:r w:rsidRPr="004D2C1E">
        <w:rPr>
          <w:lang w:val="ru-RU"/>
        </w:rPr>
        <w:t xml:space="preserve"> </w:t>
      </w:r>
      <w:r>
        <w:rPr>
          <w:lang w:val="ru-RU"/>
        </w:rPr>
        <w:t>ВОИС</w:t>
      </w:r>
      <w:r w:rsidRPr="004D2C1E">
        <w:rPr>
          <w:lang w:val="ru-RU"/>
        </w:rPr>
        <w:t xml:space="preserve"> </w:t>
      </w:r>
      <w:r>
        <w:rPr>
          <w:lang w:val="ru-RU"/>
        </w:rPr>
        <w:t>необходимо</w:t>
      </w:r>
      <w:r w:rsidRPr="004D2C1E">
        <w:rPr>
          <w:lang w:val="ru-RU"/>
        </w:rPr>
        <w:t xml:space="preserve"> </w:t>
      </w:r>
      <w:r w:rsidR="004D2C1E">
        <w:rPr>
          <w:lang w:val="ru-RU"/>
        </w:rPr>
        <w:t>использовать имеющиеся финансовые данные для создания инструмента оценки прогресса в гендерных вопросах.  С</w:t>
      </w:r>
      <w:r w:rsidR="004D2C1E" w:rsidRPr="004D2C1E">
        <w:rPr>
          <w:lang w:val="ru-RU"/>
        </w:rPr>
        <w:t xml:space="preserve"> </w:t>
      </w:r>
      <w:r w:rsidR="004D2C1E">
        <w:rPr>
          <w:lang w:val="ru-RU"/>
        </w:rPr>
        <w:t>точки</w:t>
      </w:r>
      <w:r w:rsidR="004D2C1E" w:rsidRPr="004D2C1E">
        <w:rPr>
          <w:lang w:val="ru-RU"/>
        </w:rPr>
        <w:t xml:space="preserve"> </w:t>
      </w:r>
      <w:r w:rsidR="004D2C1E">
        <w:rPr>
          <w:lang w:val="ru-RU"/>
        </w:rPr>
        <w:t>зрения</w:t>
      </w:r>
      <w:r w:rsidR="004D2C1E" w:rsidRPr="004D2C1E">
        <w:rPr>
          <w:lang w:val="ru-RU"/>
        </w:rPr>
        <w:t xml:space="preserve"> </w:t>
      </w:r>
      <w:r w:rsidR="004D2C1E">
        <w:rPr>
          <w:lang w:val="ru-RU"/>
        </w:rPr>
        <w:t>практики</w:t>
      </w:r>
      <w:r w:rsidR="004D2C1E" w:rsidRPr="004D2C1E">
        <w:rPr>
          <w:lang w:val="ru-RU"/>
        </w:rPr>
        <w:t xml:space="preserve"> </w:t>
      </w:r>
      <w:r w:rsidR="004D2C1E">
        <w:rPr>
          <w:lang w:val="ru-RU"/>
        </w:rPr>
        <w:t>управления</w:t>
      </w:r>
      <w:r w:rsidR="004D2C1E" w:rsidRPr="004D2C1E">
        <w:rPr>
          <w:lang w:val="ru-RU"/>
        </w:rPr>
        <w:t xml:space="preserve">, </w:t>
      </w:r>
      <w:r w:rsidR="004D2C1E">
        <w:rPr>
          <w:lang w:val="ru-RU"/>
        </w:rPr>
        <w:t>ориентированной</w:t>
      </w:r>
      <w:r w:rsidR="004D2C1E" w:rsidRPr="004D2C1E">
        <w:rPr>
          <w:lang w:val="ru-RU"/>
        </w:rPr>
        <w:t xml:space="preserve"> </w:t>
      </w:r>
      <w:r w:rsidR="004D2C1E">
        <w:rPr>
          <w:lang w:val="ru-RU"/>
        </w:rPr>
        <w:t>на</w:t>
      </w:r>
      <w:r w:rsidR="004D2C1E" w:rsidRPr="004D2C1E">
        <w:rPr>
          <w:lang w:val="ru-RU"/>
        </w:rPr>
        <w:t xml:space="preserve"> </w:t>
      </w:r>
      <w:r w:rsidR="004D2C1E">
        <w:rPr>
          <w:lang w:val="ru-RU"/>
        </w:rPr>
        <w:t>достижение</w:t>
      </w:r>
      <w:r w:rsidR="004D2C1E" w:rsidRPr="004D2C1E">
        <w:rPr>
          <w:lang w:val="ru-RU"/>
        </w:rPr>
        <w:t xml:space="preserve"> </w:t>
      </w:r>
      <w:r w:rsidR="004D2C1E">
        <w:rPr>
          <w:lang w:val="ru-RU"/>
        </w:rPr>
        <w:t>результатов</w:t>
      </w:r>
      <w:r w:rsidR="004D2C1E" w:rsidRPr="004D2C1E">
        <w:rPr>
          <w:lang w:val="ru-RU"/>
        </w:rPr>
        <w:t xml:space="preserve">, </w:t>
      </w:r>
      <w:r w:rsidR="004D2C1E">
        <w:rPr>
          <w:lang w:val="ru-RU"/>
        </w:rPr>
        <w:t>по</w:t>
      </w:r>
      <w:r w:rsidR="004D2C1E" w:rsidRPr="004D2C1E">
        <w:rPr>
          <w:lang w:val="ru-RU"/>
        </w:rPr>
        <w:t xml:space="preserve"> </w:t>
      </w:r>
      <w:r w:rsidR="004D2C1E">
        <w:rPr>
          <w:lang w:val="ru-RU"/>
        </w:rPr>
        <w:t>итогам</w:t>
      </w:r>
      <w:r w:rsidR="004D2C1E" w:rsidRPr="004D2C1E">
        <w:rPr>
          <w:lang w:val="ru-RU"/>
        </w:rPr>
        <w:t xml:space="preserve"> </w:t>
      </w:r>
      <w:r w:rsidR="004D2C1E">
        <w:rPr>
          <w:lang w:val="ru-RU"/>
        </w:rPr>
        <w:t>оценки</w:t>
      </w:r>
      <w:r w:rsidR="004D2C1E" w:rsidRPr="004D2C1E">
        <w:rPr>
          <w:lang w:val="ru-RU"/>
        </w:rPr>
        <w:t xml:space="preserve"> </w:t>
      </w:r>
      <w:r w:rsidR="004D2C1E">
        <w:rPr>
          <w:lang w:val="ru-RU"/>
        </w:rPr>
        <w:t>и</w:t>
      </w:r>
      <w:r w:rsidR="004D2C1E" w:rsidRPr="004D2C1E">
        <w:rPr>
          <w:lang w:val="ru-RU"/>
        </w:rPr>
        <w:t xml:space="preserve"> </w:t>
      </w:r>
      <w:r w:rsidR="004D2C1E">
        <w:rPr>
          <w:lang w:val="ru-RU"/>
        </w:rPr>
        <w:t>аудиторской</w:t>
      </w:r>
      <w:r w:rsidR="004D2C1E" w:rsidRPr="004D2C1E">
        <w:rPr>
          <w:lang w:val="ru-RU"/>
        </w:rPr>
        <w:t xml:space="preserve"> </w:t>
      </w:r>
      <w:r w:rsidR="004D2C1E">
        <w:rPr>
          <w:lang w:val="ru-RU"/>
        </w:rPr>
        <w:t>проверки</w:t>
      </w:r>
      <w:r w:rsidR="004D2C1E" w:rsidRPr="004D2C1E">
        <w:rPr>
          <w:lang w:val="ru-RU"/>
        </w:rPr>
        <w:t xml:space="preserve"> </w:t>
      </w:r>
      <w:r w:rsidR="004D2C1E">
        <w:rPr>
          <w:lang w:val="ru-RU"/>
        </w:rPr>
        <w:t>было</w:t>
      </w:r>
      <w:r w:rsidR="004D2C1E" w:rsidRPr="004D2C1E">
        <w:rPr>
          <w:lang w:val="ru-RU"/>
        </w:rPr>
        <w:t xml:space="preserve"> </w:t>
      </w:r>
      <w:r w:rsidR="004D2C1E">
        <w:rPr>
          <w:lang w:val="ru-RU"/>
        </w:rPr>
        <w:t>установлено</w:t>
      </w:r>
      <w:r w:rsidR="004D2C1E" w:rsidRPr="004D2C1E">
        <w:rPr>
          <w:lang w:val="ru-RU"/>
        </w:rPr>
        <w:t xml:space="preserve">, </w:t>
      </w:r>
      <w:r w:rsidR="004D2C1E">
        <w:rPr>
          <w:lang w:val="ru-RU"/>
        </w:rPr>
        <w:t>что</w:t>
      </w:r>
      <w:r w:rsidR="004D2C1E" w:rsidRPr="004D2C1E">
        <w:rPr>
          <w:lang w:val="ru-RU"/>
        </w:rPr>
        <w:t xml:space="preserve"> </w:t>
      </w:r>
      <w:r w:rsidR="004D2C1E">
        <w:rPr>
          <w:lang w:val="ru-RU"/>
        </w:rPr>
        <w:t>ныне</w:t>
      </w:r>
      <w:r w:rsidR="004D2C1E" w:rsidRPr="004D2C1E">
        <w:rPr>
          <w:lang w:val="ru-RU"/>
        </w:rPr>
        <w:t xml:space="preserve"> </w:t>
      </w:r>
      <w:r w:rsidR="004D2C1E">
        <w:rPr>
          <w:lang w:val="ru-RU"/>
        </w:rPr>
        <w:t>действующие</w:t>
      </w:r>
      <w:r w:rsidR="004D2C1E" w:rsidRPr="004D2C1E">
        <w:rPr>
          <w:lang w:val="ru-RU"/>
        </w:rPr>
        <w:t xml:space="preserve"> </w:t>
      </w:r>
      <w:r w:rsidR="004D2C1E">
        <w:rPr>
          <w:lang w:val="ru-RU"/>
        </w:rPr>
        <w:t>индикаторы эффективности деятельности, целевые показатели и отчеты о проделанной работе</w:t>
      </w:r>
      <w:r w:rsidR="004D2C1E" w:rsidRPr="004D2C1E">
        <w:rPr>
          <w:lang w:val="ru-RU"/>
        </w:rPr>
        <w:t xml:space="preserve"> </w:t>
      </w:r>
      <w:r w:rsidR="004D2C1E">
        <w:rPr>
          <w:lang w:val="ru-RU"/>
        </w:rPr>
        <w:t>лишь в ограниченной степени учитывают гендерный фактор</w:t>
      </w:r>
      <w:r w:rsidRPr="004D2C1E">
        <w:rPr>
          <w:lang w:val="ru-RU"/>
        </w:rPr>
        <w:t xml:space="preserve">.  </w:t>
      </w:r>
      <w:r w:rsidR="004D2C1E">
        <w:rPr>
          <w:lang w:val="ru-RU"/>
        </w:rPr>
        <w:t>В</w:t>
      </w:r>
      <w:r w:rsidR="004D2C1E" w:rsidRPr="00851BE5">
        <w:rPr>
          <w:lang w:val="ru-RU"/>
        </w:rPr>
        <w:t xml:space="preserve"> </w:t>
      </w:r>
      <w:r w:rsidR="004D2C1E">
        <w:rPr>
          <w:lang w:val="ru-RU"/>
        </w:rPr>
        <w:t>контексте</w:t>
      </w:r>
      <w:r w:rsidR="004D2C1E" w:rsidRPr="00851BE5">
        <w:rPr>
          <w:lang w:val="ru-RU"/>
        </w:rPr>
        <w:t xml:space="preserve"> </w:t>
      </w:r>
      <w:r w:rsidR="004D2C1E">
        <w:rPr>
          <w:lang w:val="ru-RU"/>
        </w:rPr>
        <w:t>проанализированных</w:t>
      </w:r>
      <w:r w:rsidR="004D2C1E" w:rsidRPr="00851BE5">
        <w:rPr>
          <w:lang w:val="ru-RU"/>
        </w:rPr>
        <w:t xml:space="preserve"> </w:t>
      </w:r>
      <w:r w:rsidR="004D2C1E">
        <w:rPr>
          <w:lang w:val="ru-RU"/>
        </w:rPr>
        <w:t>гендерных</w:t>
      </w:r>
      <w:r w:rsidR="004D2C1E" w:rsidRPr="00851BE5">
        <w:rPr>
          <w:lang w:val="ru-RU"/>
        </w:rPr>
        <w:t xml:space="preserve"> </w:t>
      </w:r>
      <w:r w:rsidR="004D2C1E">
        <w:rPr>
          <w:lang w:val="ru-RU"/>
        </w:rPr>
        <w:t>мероприятий</w:t>
      </w:r>
      <w:r w:rsidR="004D2C1E" w:rsidRPr="00851BE5">
        <w:rPr>
          <w:lang w:val="ru-RU"/>
        </w:rPr>
        <w:t xml:space="preserve"> </w:t>
      </w:r>
      <w:r w:rsidR="004D2C1E">
        <w:rPr>
          <w:lang w:val="ru-RU"/>
        </w:rPr>
        <w:t>в</w:t>
      </w:r>
      <w:r w:rsidR="004D2C1E" w:rsidRPr="00851BE5">
        <w:rPr>
          <w:lang w:val="ru-RU"/>
        </w:rPr>
        <w:t xml:space="preserve"> 31 </w:t>
      </w:r>
      <w:r w:rsidR="004D2C1E">
        <w:rPr>
          <w:lang w:val="ru-RU"/>
        </w:rPr>
        <w:t>проценте</w:t>
      </w:r>
      <w:r w:rsidR="004D2C1E" w:rsidRPr="00851BE5">
        <w:rPr>
          <w:lang w:val="ru-RU"/>
        </w:rPr>
        <w:t xml:space="preserve"> </w:t>
      </w:r>
      <w:r w:rsidR="004D2C1E">
        <w:rPr>
          <w:lang w:val="ru-RU"/>
        </w:rPr>
        <w:t>случаев</w:t>
      </w:r>
      <w:r w:rsidR="004D2C1E" w:rsidRPr="00851BE5">
        <w:rPr>
          <w:lang w:val="ru-RU"/>
        </w:rPr>
        <w:t xml:space="preserve"> </w:t>
      </w:r>
      <w:r w:rsidR="00851BE5">
        <w:rPr>
          <w:lang w:val="ru-RU"/>
        </w:rPr>
        <w:t>был</w:t>
      </w:r>
      <w:r w:rsidR="00851BE5" w:rsidRPr="00851BE5">
        <w:rPr>
          <w:lang w:val="ru-RU"/>
        </w:rPr>
        <w:t xml:space="preserve"> </w:t>
      </w:r>
      <w:r w:rsidR="00851BE5">
        <w:rPr>
          <w:lang w:val="ru-RU"/>
        </w:rPr>
        <w:t>выявлен</w:t>
      </w:r>
      <w:r w:rsidR="00851BE5" w:rsidRPr="00851BE5">
        <w:rPr>
          <w:lang w:val="ru-RU"/>
        </w:rPr>
        <w:t xml:space="preserve"> </w:t>
      </w:r>
      <w:r w:rsidR="00851BE5">
        <w:rPr>
          <w:lang w:val="ru-RU"/>
        </w:rPr>
        <w:t>лишь</w:t>
      </w:r>
      <w:r w:rsidR="00851BE5" w:rsidRPr="00851BE5">
        <w:rPr>
          <w:lang w:val="ru-RU"/>
        </w:rPr>
        <w:t xml:space="preserve"> </w:t>
      </w:r>
      <w:r w:rsidR="00851BE5">
        <w:rPr>
          <w:lang w:val="ru-RU"/>
        </w:rPr>
        <w:t>незначительный объем данных, дезагрегированных по признаку пола, а также данных гендерно ориентированного мониторинга.</w:t>
      </w:r>
    </w:p>
    <w:p w14:paraId="0179C129" w14:textId="3A791C70" w:rsidR="00851BE5" w:rsidRDefault="00851BE5" w:rsidP="009D49E5">
      <w:pPr>
        <w:pStyle w:val="ONUME"/>
        <w:rPr>
          <w:lang w:val="ru-RU"/>
        </w:rPr>
      </w:pPr>
      <w:r>
        <w:rPr>
          <w:lang w:val="ru-RU"/>
        </w:rPr>
        <w:t>На</w:t>
      </w:r>
      <w:r w:rsidRPr="00851BE5">
        <w:rPr>
          <w:lang w:val="ru-RU"/>
        </w:rPr>
        <w:t xml:space="preserve"> </w:t>
      </w:r>
      <w:r>
        <w:rPr>
          <w:lang w:val="ru-RU"/>
        </w:rPr>
        <w:t>основе</w:t>
      </w:r>
      <w:r w:rsidRPr="00851BE5">
        <w:rPr>
          <w:lang w:val="ru-RU"/>
        </w:rPr>
        <w:t xml:space="preserve"> </w:t>
      </w:r>
      <w:r>
        <w:rPr>
          <w:lang w:val="ru-RU"/>
        </w:rPr>
        <w:t>выводов</w:t>
      </w:r>
      <w:r w:rsidRPr="00851BE5">
        <w:rPr>
          <w:lang w:val="ru-RU"/>
        </w:rPr>
        <w:t xml:space="preserve"> </w:t>
      </w:r>
      <w:r>
        <w:rPr>
          <w:lang w:val="ru-RU"/>
        </w:rPr>
        <w:t>и</w:t>
      </w:r>
      <w:r w:rsidRPr="00851BE5">
        <w:rPr>
          <w:lang w:val="ru-RU"/>
        </w:rPr>
        <w:t xml:space="preserve"> </w:t>
      </w:r>
      <w:r>
        <w:rPr>
          <w:lang w:val="ru-RU"/>
        </w:rPr>
        <w:t>заключений</w:t>
      </w:r>
      <w:r w:rsidRPr="00851BE5">
        <w:rPr>
          <w:lang w:val="ru-RU"/>
        </w:rPr>
        <w:t xml:space="preserve">, </w:t>
      </w:r>
      <w:r>
        <w:rPr>
          <w:lang w:val="ru-RU"/>
        </w:rPr>
        <w:t>содержащихся</w:t>
      </w:r>
      <w:r w:rsidRPr="00851BE5">
        <w:rPr>
          <w:lang w:val="ru-RU"/>
        </w:rPr>
        <w:t xml:space="preserve"> </w:t>
      </w:r>
      <w:r>
        <w:rPr>
          <w:lang w:val="ru-RU"/>
        </w:rPr>
        <w:t>в</w:t>
      </w:r>
      <w:r w:rsidRPr="00851BE5">
        <w:rPr>
          <w:lang w:val="ru-RU"/>
        </w:rPr>
        <w:t xml:space="preserve"> </w:t>
      </w:r>
      <w:r>
        <w:rPr>
          <w:lang w:val="ru-RU"/>
        </w:rPr>
        <w:t>отчете</w:t>
      </w:r>
      <w:r w:rsidRPr="00851BE5">
        <w:rPr>
          <w:lang w:val="ru-RU"/>
        </w:rPr>
        <w:t xml:space="preserve"> </w:t>
      </w:r>
      <w:r>
        <w:rPr>
          <w:lang w:val="ru-RU"/>
        </w:rPr>
        <w:t>по</w:t>
      </w:r>
      <w:r w:rsidRPr="00851BE5">
        <w:rPr>
          <w:lang w:val="ru-RU"/>
        </w:rPr>
        <w:t xml:space="preserve"> </w:t>
      </w:r>
      <w:r>
        <w:rPr>
          <w:lang w:val="ru-RU"/>
        </w:rPr>
        <w:t>итогам</w:t>
      </w:r>
      <w:r w:rsidRPr="00851BE5">
        <w:rPr>
          <w:lang w:val="ru-RU"/>
        </w:rPr>
        <w:t xml:space="preserve"> </w:t>
      </w:r>
      <w:r>
        <w:rPr>
          <w:lang w:val="ru-RU"/>
        </w:rPr>
        <w:t>совместной</w:t>
      </w:r>
      <w:r w:rsidRPr="00851BE5">
        <w:rPr>
          <w:lang w:val="ru-RU"/>
        </w:rPr>
        <w:t xml:space="preserve"> </w:t>
      </w:r>
      <w:r>
        <w:rPr>
          <w:lang w:val="ru-RU"/>
        </w:rPr>
        <w:t>оценки</w:t>
      </w:r>
      <w:r w:rsidRPr="00851BE5">
        <w:rPr>
          <w:lang w:val="ru-RU"/>
        </w:rPr>
        <w:t xml:space="preserve"> </w:t>
      </w:r>
      <w:r>
        <w:rPr>
          <w:lang w:val="ru-RU"/>
        </w:rPr>
        <w:t>и</w:t>
      </w:r>
      <w:r w:rsidRPr="00851BE5">
        <w:rPr>
          <w:lang w:val="ru-RU"/>
        </w:rPr>
        <w:t xml:space="preserve"> </w:t>
      </w:r>
      <w:r>
        <w:rPr>
          <w:lang w:val="ru-RU"/>
        </w:rPr>
        <w:t>аудиторской</w:t>
      </w:r>
      <w:r w:rsidRPr="00851BE5">
        <w:rPr>
          <w:lang w:val="ru-RU"/>
        </w:rPr>
        <w:t xml:space="preserve"> </w:t>
      </w:r>
      <w:r>
        <w:rPr>
          <w:lang w:val="ru-RU"/>
        </w:rPr>
        <w:t>проверки</w:t>
      </w:r>
      <w:r w:rsidRPr="00851BE5">
        <w:rPr>
          <w:lang w:val="ru-RU"/>
        </w:rPr>
        <w:t xml:space="preserve">, </w:t>
      </w:r>
      <w:r>
        <w:rPr>
          <w:lang w:val="ru-RU"/>
        </w:rPr>
        <w:t>был</w:t>
      </w:r>
      <w:r w:rsidRPr="00851BE5">
        <w:rPr>
          <w:lang w:val="ru-RU"/>
        </w:rPr>
        <w:t xml:space="preserve"> </w:t>
      </w:r>
      <w:r>
        <w:rPr>
          <w:lang w:val="ru-RU"/>
        </w:rPr>
        <w:t>вынесен</w:t>
      </w:r>
      <w:r w:rsidRPr="00851BE5">
        <w:rPr>
          <w:lang w:val="ru-RU"/>
        </w:rPr>
        <w:t xml:space="preserve"> </w:t>
      </w:r>
      <w:r>
        <w:rPr>
          <w:lang w:val="ru-RU"/>
        </w:rPr>
        <w:t>ряд</w:t>
      </w:r>
      <w:r w:rsidRPr="00851BE5">
        <w:rPr>
          <w:lang w:val="ru-RU"/>
        </w:rPr>
        <w:t xml:space="preserve"> </w:t>
      </w:r>
      <w:r>
        <w:rPr>
          <w:lang w:val="ru-RU"/>
        </w:rPr>
        <w:t>рекомендаций</w:t>
      </w:r>
      <w:r w:rsidRPr="00851BE5">
        <w:rPr>
          <w:lang w:val="ru-RU"/>
        </w:rPr>
        <w:t xml:space="preserve">, </w:t>
      </w:r>
      <w:r>
        <w:rPr>
          <w:lang w:val="ru-RU"/>
        </w:rPr>
        <w:t>выполнением</w:t>
      </w:r>
      <w:r w:rsidRPr="00851BE5">
        <w:rPr>
          <w:lang w:val="ru-RU"/>
        </w:rPr>
        <w:t xml:space="preserve"> </w:t>
      </w:r>
      <w:r>
        <w:rPr>
          <w:lang w:val="ru-RU"/>
        </w:rPr>
        <w:t>которых</w:t>
      </w:r>
      <w:r w:rsidRPr="00851BE5">
        <w:rPr>
          <w:lang w:val="ru-RU"/>
        </w:rPr>
        <w:t xml:space="preserve"> </w:t>
      </w:r>
      <w:r>
        <w:rPr>
          <w:lang w:val="ru-RU"/>
        </w:rPr>
        <w:t>Организация</w:t>
      </w:r>
      <w:r w:rsidRPr="00851BE5">
        <w:rPr>
          <w:lang w:val="ru-RU"/>
        </w:rPr>
        <w:t xml:space="preserve"> </w:t>
      </w:r>
      <w:r>
        <w:rPr>
          <w:lang w:val="ru-RU"/>
        </w:rPr>
        <w:t>будет</w:t>
      </w:r>
      <w:r w:rsidRPr="00851BE5">
        <w:rPr>
          <w:lang w:val="ru-RU"/>
        </w:rPr>
        <w:t xml:space="preserve"> </w:t>
      </w:r>
      <w:r>
        <w:rPr>
          <w:lang w:val="ru-RU"/>
        </w:rPr>
        <w:t>заниматься</w:t>
      </w:r>
      <w:r w:rsidRPr="00851BE5">
        <w:rPr>
          <w:lang w:val="ru-RU"/>
        </w:rPr>
        <w:t xml:space="preserve"> </w:t>
      </w:r>
      <w:r>
        <w:rPr>
          <w:lang w:val="ru-RU"/>
        </w:rPr>
        <w:t>в</w:t>
      </w:r>
      <w:r w:rsidRPr="00851BE5">
        <w:rPr>
          <w:lang w:val="ru-RU"/>
        </w:rPr>
        <w:t xml:space="preserve"> </w:t>
      </w:r>
      <w:r w:rsidR="00046C7F">
        <w:rPr>
          <w:lang w:val="ru-RU"/>
        </w:rPr>
        <w:t>будущем.</w:t>
      </w:r>
    </w:p>
    <w:p w14:paraId="3C2C8B16" w14:textId="2FD0FE72" w:rsidR="00F953FF" w:rsidRPr="00CE0303" w:rsidRDefault="009D49E5" w:rsidP="009651CC">
      <w:pPr>
        <w:pStyle w:val="ONUME"/>
        <w:rPr>
          <w:lang w:val="ru-RU" w:eastAsia="en-GB"/>
        </w:rPr>
      </w:pPr>
      <w:r>
        <w:rPr>
          <w:lang w:val="ru-RU"/>
        </w:rPr>
        <w:t>Департаменту</w:t>
      </w:r>
      <w:r w:rsidRPr="009D49E5">
        <w:rPr>
          <w:lang w:val="ru-RU"/>
        </w:rPr>
        <w:t xml:space="preserve"> </w:t>
      </w:r>
      <w:r>
        <w:rPr>
          <w:lang w:val="ru-RU"/>
        </w:rPr>
        <w:t>управления</w:t>
      </w:r>
      <w:r w:rsidRPr="009D49E5">
        <w:rPr>
          <w:lang w:val="ru-RU"/>
        </w:rPr>
        <w:t xml:space="preserve"> </w:t>
      </w:r>
      <w:r>
        <w:rPr>
          <w:lang w:val="ru-RU"/>
        </w:rPr>
        <w:t>людскими</w:t>
      </w:r>
      <w:r w:rsidRPr="009D49E5">
        <w:rPr>
          <w:lang w:val="ru-RU"/>
        </w:rPr>
        <w:t xml:space="preserve"> </w:t>
      </w:r>
      <w:r>
        <w:rPr>
          <w:lang w:val="ru-RU"/>
        </w:rPr>
        <w:t>ресурсами</w:t>
      </w:r>
      <w:r w:rsidRPr="009D49E5">
        <w:rPr>
          <w:lang w:val="ru-RU"/>
        </w:rPr>
        <w:t xml:space="preserve"> (</w:t>
      </w:r>
      <w:r>
        <w:rPr>
          <w:lang w:val="ru-RU"/>
        </w:rPr>
        <w:t>ДУЛР</w:t>
      </w:r>
      <w:r w:rsidRPr="009D49E5">
        <w:rPr>
          <w:lang w:val="ru-RU"/>
        </w:rPr>
        <w:t xml:space="preserve">) </w:t>
      </w:r>
      <w:r>
        <w:rPr>
          <w:lang w:val="ru-RU"/>
        </w:rPr>
        <w:t>необходимо</w:t>
      </w:r>
      <w:r w:rsidRPr="009D49E5">
        <w:rPr>
          <w:lang w:val="ru-RU"/>
        </w:rPr>
        <w:t xml:space="preserve"> </w:t>
      </w:r>
      <w:r>
        <w:rPr>
          <w:lang w:val="ru-RU"/>
        </w:rPr>
        <w:t>будет</w:t>
      </w:r>
      <w:r w:rsidRPr="009D49E5">
        <w:rPr>
          <w:lang w:val="ru-RU"/>
        </w:rPr>
        <w:t xml:space="preserve"> </w:t>
      </w:r>
      <w:r>
        <w:rPr>
          <w:lang w:val="ru-RU"/>
        </w:rPr>
        <w:t>обеспечивать</w:t>
      </w:r>
      <w:r w:rsidRPr="009D49E5">
        <w:rPr>
          <w:lang w:val="ru-RU"/>
        </w:rPr>
        <w:t xml:space="preserve"> </w:t>
      </w:r>
      <w:r>
        <w:rPr>
          <w:lang w:val="ru-RU"/>
        </w:rPr>
        <w:t>координацию</w:t>
      </w:r>
      <w:r w:rsidRPr="009D49E5">
        <w:rPr>
          <w:lang w:val="ru-RU"/>
        </w:rPr>
        <w:t xml:space="preserve"> </w:t>
      </w:r>
      <w:r>
        <w:rPr>
          <w:lang w:val="ru-RU"/>
        </w:rPr>
        <w:t>действий</w:t>
      </w:r>
      <w:r w:rsidRPr="009D49E5">
        <w:rPr>
          <w:lang w:val="ru-RU"/>
        </w:rPr>
        <w:t xml:space="preserve"> </w:t>
      </w:r>
      <w:r>
        <w:rPr>
          <w:lang w:val="ru-RU"/>
        </w:rPr>
        <w:t>и</w:t>
      </w:r>
      <w:r w:rsidRPr="009D49E5">
        <w:rPr>
          <w:lang w:val="ru-RU"/>
        </w:rPr>
        <w:t xml:space="preserve"> </w:t>
      </w:r>
      <w:r>
        <w:rPr>
          <w:lang w:val="ru-RU"/>
        </w:rPr>
        <w:t>осуществление</w:t>
      </w:r>
      <w:r w:rsidRPr="009D49E5">
        <w:rPr>
          <w:lang w:val="ru-RU"/>
        </w:rPr>
        <w:t xml:space="preserve"> </w:t>
      </w:r>
      <w:r>
        <w:rPr>
          <w:lang w:val="ru-RU"/>
        </w:rPr>
        <w:t>рекомендаций</w:t>
      </w:r>
      <w:r w:rsidRPr="009D49E5">
        <w:rPr>
          <w:lang w:val="ru-RU"/>
        </w:rPr>
        <w:t xml:space="preserve">, </w:t>
      </w:r>
      <w:r>
        <w:rPr>
          <w:lang w:val="ru-RU"/>
        </w:rPr>
        <w:t>включая</w:t>
      </w:r>
      <w:r w:rsidRPr="009D49E5">
        <w:rPr>
          <w:lang w:val="ru-RU"/>
        </w:rPr>
        <w:t xml:space="preserve">:  </w:t>
      </w:r>
      <w:r w:rsidR="00851BE5" w:rsidRPr="009D49E5">
        <w:rPr>
          <w:lang w:val="ru-RU"/>
        </w:rPr>
        <w:t>(</w:t>
      </w:r>
      <w:r w:rsidR="00851BE5" w:rsidRPr="00851BE5">
        <w:t>i</w:t>
      </w:r>
      <w:r w:rsidR="00851BE5" w:rsidRPr="009D49E5">
        <w:rPr>
          <w:lang w:val="ru-RU"/>
        </w:rPr>
        <w:t xml:space="preserve">) </w:t>
      </w:r>
      <w:r>
        <w:rPr>
          <w:lang w:val="ru-RU"/>
        </w:rPr>
        <w:t>взаимодействие</w:t>
      </w:r>
      <w:r w:rsidRPr="009D49E5">
        <w:rPr>
          <w:lang w:val="ru-RU"/>
        </w:rPr>
        <w:t xml:space="preserve"> </w:t>
      </w:r>
      <w:r>
        <w:rPr>
          <w:lang w:val="ru-RU"/>
        </w:rPr>
        <w:t>с</w:t>
      </w:r>
      <w:r w:rsidRPr="009D49E5">
        <w:rPr>
          <w:lang w:val="ru-RU"/>
        </w:rPr>
        <w:t xml:space="preserve"> </w:t>
      </w:r>
      <w:r>
        <w:rPr>
          <w:lang w:val="ru-RU"/>
        </w:rPr>
        <w:t>основными</w:t>
      </w:r>
      <w:r w:rsidRPr="009D49E5">
        <w:rPr>
          <w:lang w:val="ru-RU"/>
        </w:rPr>
        <w:t xml:space="preserve"> </w:t>
      </w:r>
      <w:r>
        <w:rPr>
          <w:lang w:val="ru-RU"/>
        </w:rPr>
        <w:t>заинтересованными</w:t>
      </w:r>
      <w:r w:rsidRPr="009D49E5">
        <w:rPr>
          <w:lang w:val="ru-RU"/>
        </w:rPr>
        <w:t xml:space="preserve"> </w:t>
      </w:r>
      <w:r>
        <w:rPr>
          <w:lang w:val="ru-RU"/>
        </w:rPr>
        <w:t>сторонами</w:t>
      </w:r>
      <w:r w:rsidRPr="009D49E5">
        <w:rPr>
          <w:lang w:val="ru-RU"/>
        </w:rPr>
        <w:t xml:space="preserve"> </w:t>
      </w:r>
      <w:r>
        <w:rPr>
          <w:lang w:val="ru-RU"/>
        </w:rPr>
        <w:t>в</w:t>
      </w:r>
      <w:r w:rsidRPr="009D49E5">
        <w:rPr>
          <w:lang w:val="ru-RU"/>
        </w:rPr>
        <w:t xml:space="preserve"> </w:t>
      </w:r>
      <w:r>
        <w:rPr>
          <w:lang w:val="ru-RU"/>
        </w:rPr>
        <w:t>целях</w:t>
      </w:r>
      <w:r w:rsidRPr="009D49E5">
        <w:rPr>
          <w:lang w:val="ru-RU"/>
        </w:rPr>
        <w:t xml:space="preserve"> </w:t>
      </w:r>
      <w:r>
        <w:rPr>
          <w:lang w:val="ru-RU"/>
        </w:rPr>
        <w:t>пересмотра</w:t>
      </w:r>
      <w:r w:rsidRPr="009D49E5">
        <w:rPr>
          <w:lang w:val="ru-RU"/>
        </w:rPr>
        <w:t xml:space="preserve"> </w:t>
      </w:r>
      <w:r>
        <w:rPr>
          <w:lang w:val="ru-RU"/>
        </w:rPr>
        <w:t>и</w:t>
      </w:r>
      <w:r w:rsidRPr="009D49E5">
        <w:rPr>
          <w:lang w:val="ru-RU"/>
        </w:rPr>
        <w:t xml:space="preserve"> </w:t>
      </w:r>
      <w:r>
        <w:rPr>
          <w:lang w:val="ru-RU"/>
        </w:rPr>
        <w:t>обновления</w:t>
      </w:r>
      <w:r w:rsidRPr="009D49E5">
        <w:rPr>
          <w:lang w:val="ru-RU"/>
        </w:rPr>
        <w:t xml:space="preserve"> </w:t>
      </w:r>
      <w:r>
        <w:rPr>
          <w:lang w:val="ru-RU"/>
        </w:rPr>
        <w:t>Политики</w:t>
      </w:r>
      <w:r w:rsidRPr="009D49E5">
        <w:rPr>
          <w:lang w:val="ru-RU"/>
        </w:rPr>
        <w:t xml:space="preserve"> </w:t>
      </w:r>
      <w:r>
        <w:rPr>
          <w:lang w:val="ru-RU"/>
        </w:rPr>
        <w:t>с</w:t>
      </w:r>
      <w:r w:rsidRPr="009D49E5">
        <w:rPr>
          <w:lang w:val="ru-RU"/>
        </w:rPr>
        <w:t xml:space="preserve"> </w:t>
      </w:r>
      <w:r>
        <w:rPr>
          <w:lang w:val="ru-RU"/>
        </w:rPr>
        <w:t>учетом</w:t>
      </w:r>
      <w:r w:rsidRPr="009D49E5">
        <w:rPr>
          <w:lang w:val="ru-RU"/>
        </w:rPr>
        <w:t xml:space="preserve"> </w:t>
      </w:r>
      <w:r>
        <w:rPr>
          <w:lang w:val="ru-RU"/>
        </w:rPr>
        <w:t>потребностей</w:t>
      </w:r>
      <w:r w:rsidRPr="009D49E5">
        <w:rPr>
          <w:lang w:val="ru-RU"/>
        </w:rPr>
        <w:t xml:space="preserve"> </w:t>
      </w:r>
      <w:r>
        <w:rPr>
          <w:lang w:val="ru-RU"/>
        </w:rPr>
        <w:t>внутренних</w:t>
      </w:r>
      <w:r w:rsidRPr="009D49E5">
        <w:rPr>
          <w:lang w:val="ru-RU"/>
        </w:rPr>
        <w:t xml:space="preserve"> </w:t>
      </w:r>
      <w:r>
        <w:rPr>
          <w:lang w:val="ru-RU"/>
        </w:rPr>
        <w:t>и</w:t>
      </w:r>
      <w:r w:rsidRPr="009D49E5">
        <w:rPr>
          <w:lang w:val="ru-RU"/>
        </w:rPr>
        <w:t xml:space="preserve"> </w:t>
      </w:r>
      <w:r>
        <w:rPr>
          <w:lang w:val="ru-RU"/>
        </w:rPr>
        <w:t>внешних</w:t>
      </w:r>
      <w:r w:rsidRPr="009D49E5">
        <w:rPr>
          <w:lang w:val="ru-RU"/>
        </w:rPr>
        <w:t xml:space="preserve"> </w:t>
      </w:r>
      <w:r>
        <w:rPr>
          <w:lang w:val="ru-RU"/>
        </w:rPr>
        <w:t>заинтересованных</w:t>
      </w:r>
      <w:r w:rsidRPr="009D49E5">
        <w:rPr>
          <w:lang w:val="ru-RU"/>
        </w:rPr>
        <w:t xml:space="preserve"> </w:t>
      </w:r>
      <w:r>
        <w:rPr>
          <w:lang w:val="ru-RU"/>
        </w:rPr>
        <w:t>сторон</w:t>
      </w:r>
      <w:r w:rsidRPr="009D49E5">
        <w:rPr>
          <w:lang w:val="ru-RU"/>
        </w:rPr>
        <w:t xml:space="preserve">, </w:t>
      </w:r>
      <w:r>
        <w:rPr>
          <w:lang w:val="ru-RU"/>
        </w:rPr>
        <w:t>а</w:t>
      </w:r>
      <w:r w:rsidRPr="009D49E5">
        <w:rPr>
          <w:lang w:val="ru-RU"/>
        </w:rPr>
        <w:t xml:space="preserve"> </w:t>
      </w:r>
      <w:r>
        <w:rPr>
          <w:lang w:val="ru-RU"/>
        </w:rPr>
        <w:t>также</w:t>
      </w:r>
      <w:r w:rsidRPr="009D49E5">
        <w:rPr>
          <w:lang w:val="ru-RU"/>
        </w:rPr>
        <w:t xml:space="preserve"> </w:t>
      </w:r>
      <w:r>
        <w:rPr>
          <w:lang w:val="ru-RU"/>
        </w:rPr>
        <w:t>передового</w:t>
      </w:r>
      <w:r w:rsidRPr="009D49E5">
        <w:rPr>
          <w:lang w:val="ru-RU"/>
        </w:rPr>
        <w:t xml:space="preserve"> </w:t>
      </w:r>
      <w:r>
        <w:rPr>
          <w:lang w:val="ru-RU"/>
        </w:rPr>
        <w:t>опыта</w:t>
      </w:r>
      <w:r w:rsidRPr="009D49E5">
        <w:rPr>
          <w:lang w:val="ru-RU"/>
        </w:rPr>
        <w:t xml:space="preserve">, </w:t>
      </w:r>
      <w:r>
        <w:rPr>
          <w:lang w:val="ru-RU"/>
        </w:rPr>
        <w:t>накопленного</w:t>
      </w:r>
      <w:r w:rsidRPr="009D49E5">
        <w:rPr>
          <w:lang w:val="ru-RU"/>
        </w:rPr>
        <w:t xml:space="preserve"> </w:t>
      </w:r>
      <w:r>
        <w:rPr>
          <w:lang w:val="ru-RU"/>
        </w:rPr>
        <w:t>в</w:t>
      </w:r>
      <w:r w:rsidRPr="009D49E5">
        <w:rPr>
          <w:lang w:val="ru-RU"/>
        </w:rPr>
        <w:t xml:space="preserve"> </w:t>
      </w:r>
      <w:r>
        <w:rPr>
          <w:lang w:val="ru-RU"/>
        </w:rPr>
        <w:t>ходе</w:t>
      </w:r>
      <w:r w:rsidRPr="009D49E5">
        <w:rPr>
          <w:lang w:val="ru-RU"/>
        </w:rPr>
        <w:t xml:space="preserve"> </w:t>
      </w:r>
      <w:r>
        <w:rPr>
          <w:lang w:val="ru-RU"/>
        </w:rPr>
        <w:t>реализации</w:t>
      </w:r>
      <w:r w:rsidRPr="009D49E5">
        <w:rPr>
          <w:lang w:val="ru-RU"/>
        </w:rPr>
        <w:t xml:space="preserve"> </w:t>
      </w:r>
      <w:r>
        <w:rPr>
          <w:lang w:val="ru-RU"/>
        </w:rPr>
        <w:t>ОПД</w:t>
      </w:r>
      <w:r w:rsidRPr="009D49E5">
        <w:rPr>
          <w:lang w:val="ru-RU"/>
        </w:rPr>
        <w:t xml:space="preserve"> </w:t>
      </w:r>
      <w:r>
        <w:rPr>
          <w:lang w:val="ru-RU"/>
        </w:rPr>
        <w:t>ООН</w:t>
      </w:r>
      <w:r w:rsidRPr="009D49E5">
        <w:rPr>
          <w:lang w:val="ru-RU"/>
        </w:rPr>
        <w:t xml:space="preserve"> 2.0</w:t>
      </w:r>
      <w:r w:rsidR="00851BE5" w:rsidRPr="009D49E5">
        <w:rPr>
          <w:lang w:val="ru-RU"/>
        </w:rPr>
        <w:t>;  (</w:t>
      </w:r>
      <w:r w:rsidR="00851BE5" w:rsidRPr="00851BE5">
        <w:t>ii</w:t>
      </w:r>
      <w:r w:rsidR="00851BE5" w:rsidRPr="009D49E5">
        <w:rPr>
          <w:lang w:val="ru-RU"/>
        </w:rPr>
        <w:t xml:space="preserve">) </w:t>
      </w:r>
      <w:r>
        <w:rPr>
          <w:lang w:val="ru-RU"/>
        </w:rPr>
        <w:t>разработку</w:t>
      </w:r>
      <w:r w:rsidRPr="009D49E5">
        <w:rPr>
          <w:lang w:val="ru-RU"/>
        </w:rPr>
        <w:t xml:space="preserve"> </w:t>
      </w:r>
      <w:r>
        <w:rPr>
          <w:lang w:val="ru-RU"/>
        </w:rPr>
        <w:t>и</w:t>
      </w:r>
      <w:r w:rsidRPr="009D49E5">
        <w:rPr>
          <w:lang w:val="ru-RU"/>
        </w:rPr>
        <w:t xml:space="preserve"> </w:t>
      </w:r>
      <w:r>
        <w:rPr>
          <w:lang w:val="ru-RU"/>
        </w:rPr>
        <w:t>реализацию</w:t>
      </w:r>
      <w:r w:rsidRPr="009D49E5">
        <w:rPr>
          <w:lang w:val="ru-RU"/>
        </w:rPr>
        <w:t xml:space="preserve"> </w:t>
      </w:r>
      <w:r>
        <w:rPr>
          <w:lang w:val="ru-RU"/>
        </w:rPr>
        <w:t>плана</w:t>
      </w:r>
      <w:r w:rsidRPr="009D49E5">
        <w:rPr>
          <w:lang w:val="ru-RU"/>
        </w:rPr>
        <w:t xml:space="preserve"> </w:t>
      </w:r>
      <w:r>
        <w:rPr>
          <w:lang w:val="ru-RU"/>
        </w:rPr>
        <w:t>развития</w:t>
      </w:r>
      <w:r w:rsidRPr="009D49E5">
        <w:rPr>
          <w:lang w:val="ru-RU"/>
        </w:rPr>
        <w:t xml:space="preserve"> </w:t>
      </w:r>
      <w:r>
        <w:rPr>
          <w:lang w:val="ru-RU"/>
        </w:rPr>
        <w:t>потенциала</w:t>
      </w:r>
      <w:r w:rsidRPr="009D49E5">
        <w:rPr>
          <w:lang w:val="ru-RU"/>
        </w:rPr>
        <w:t xml:space="preserve"> </w:t>
      </w:r>
      <w:r>
        <w:rPr>
          <w:lang w:val="ru-RU"/>
        </w:rPr>
        <w:t>в</w:t>
      </w:r>
      <w:r w:rsidRPr="009D49E5">
        <w:rPr>
          <w:lang w:val="ru-RU"/>
        </w:rPr>
        <w:t xml:space="preserve"> </w:t>
      </w:r>
      <w:r>
        <w:rPr>
          <w:lang w:val="ru-RU"/>
        </w:rPr>
        <w:t>области</w:t>
      </w:r>
      <w:r w:rsidRPr="009D49E5">
        <w:rPr>
          <w:lang w:val="ru-RU"/>
        </w:rPr>
        <w:t xml:space="preserve"> </w:t>
      </w:r>
      <w:r>
        <w:rPr>
          <w:lang w:val="ru-RU"/>
        </w:rPr>
        <w:t>придания</w:t>
      </w:r>
      <w:r w:rsidRPr="009D49E5">
        <w:rPr>
          <w:lang w:val="ru-RU"/>
        </w:rPr>
        <w:t xml:space="preserve"> </w:t>
      </w:r>
      <w:r>
        <w:rPr>
          <w:lang w:val="ru-RU"/>
        </w:rPr>
        <w:t>гендерной</w:t>
      </w:r>
      <w:r w:rsidRPr="009D49E5">
        <w:rPr>
          <w:lang w:val="ru-RU"/>
        </w:rPr>
        <w:t xml:space="preserve"> </w:t>
      </w:r>
      <w:r>
        <w:rPr>
          <w:lang w:val="ru-RU"/>
        </w:rPr>
        <w:t>проблематике</w:t>
      </w:r>
      <w:r w:rsidRPr="009D49E5">
        <w:rPr>
          <w:lang w:val="ru-RU"/>
        </w:rPr>
        <w:t xml:space="preserve"> </w:t>
      </w:r>
      <w:r>
        <w:rPr>
          <w:lang w:val="ru-RU"/>
        </w:rPr>
        <w:t>магистрального</w:t>
      </w:r>
      <w:r w:rsidRPr="009D49E5">
        <w:rPr>
          <w:lang w:val="ru-RU"/>
        </w:rPr>
        <w:t xml:space="preserve"> </w:t>
      </w:r>
      <w:r>
        <w:rPr>
          <w:lang w:val="ru-RU"/>
        </w:rPr>
        <w:t>значения</w:t>
      </w:r>
      <w:r w:rsidR="00851BE5" w:rsidRPr="009D49E5">
        <w:rPr>
          <w:lang w:val="ru-RU"/>
        </w:rPr>
        <w:t>;  (</w:t>
      </w:r>
      <w:r w:rsidR="00851BE5" w:rsidRPr="00851BE5">
        <w:t>iii</w:t>
      </w:r>
      <w:r w:rsidR="00851BE5" w:rsidRPr="009D49E5">
        <w:rPr>
          <w:lang w:val="ru-RU"/>
        </w:rPr>
        <w:t xml:space="preserve">) </w:t>
      </w:r>
      <w:r>
        <w:rPr>
          <w:lang w:val="ru-RU"/>
        </w:rPr>
        <w:t>обеспечение того, чтобы все программы и внутренние инструкции надлежащим образом отражали гендерную проблематику</w:t>
      </w:r>
      <w:r w:rsidR="00851BE5" w:rsidRPr="009D49E5">
        <w:rPr>
          <w:lang w:val="ru-RU"/>
        </w:rPr>
        <w:t>;  (</w:t>
      </w:r>
      <w:r w:rsidR="00851BE5" w:rsidRPr="00851BE5">
        <w:t>iv</w:t>
      </w:r>
      <w:r w:rsidR="00851BE5" w:rsidRPr="009D49E5">
        <w:rPr>
          <w:lang w:val="ru-RU"/>
        </w:rPr>
        <w:t xml:space="preserve">) </w:t>
      </w:r>
      <w:r w:rsidRPr="009D49E5">
        <w:rPr>
          <w:lang w:val="ru-RU"/>
        </w:rPr>
        <w:t xml:space="preserve">поиск путей, которые позволили бы добиться дальнейшего прогресса в деле </w:t>
      </w:r>
      <w:r w:rsidR="0085356D">
        <w:rPr>
          <w:lang w:val="ru-RU"/>
        </w:rPr>
        <w:t>внедрения комплексного гендерного подхода</w:t>
      </w:r>
      <w:r w:rsidRPr="009D49E5">
        <w:rPr>
          <w:lang w:val="ru-RU"/>
        </w:rPr>
        <w:t xml:space="preserve"> в рамках механизмов управления, ориентированных на достижение результата</w:t>
      </w:r>
      <w:r w:rsidR="00851BE5" w:rsidRPr="009D49E5">
        <w:rPr>
          <w:lang w:val="ru-RU"/>
        </w:rPr>
        <w:t>;  (</w:t>
      </w:r>
      <w:r w:rsidR="00851BE5" w:rsidRPr="00851BE5">
        <w:t>v</w:t>
      </w:r>
      <w:r w:rsidR="00851BE5" w:rsidRPr="009D49E5">
        <w:rPr>
          <w:lang w:val="ru-RU"/>
        </w:rPr>
        <w:t xml:space="preserve">) </w:t>
      </w:r>
      <w:r>
        <w:rPr>
          <w:lang w:val="ru-RU"/>
        </w:rPr>
        <w:t>поощрение использования гендерного маркера</w:t>
      </w:r>
      <w:r w:rsidR="00851BE5" w:rsidRPr="009D49E5">
        <w:rPr>
          <w:lang w:val="ru-RU"/>
        </w:rPr>
        <w:t>;  (</w:t>
      </w:r>
      <w:r w:rsidR="00851BE5" w:rsidRPr="00851BE5">
        <w:t>vi</w:t>
      </w:r>
      <w:r w:rsidR="00851BE5" w:rsidRPr="009D49E5">
        <w:rPr>
          <w:lang w:val="ru-RU"/>
        </w:rPr>
        <w:t xml:space="preserve">) </w:t>
      </w:r>
      <w:r>
        <w:rPr>
          <w:lang w:val="ru-RU"/>
        </w:rPr>
        <w:t>консолидацию и представление финансовой информации с использованием гендерного маркера;</w:t>
      </w:r>
      <w:r w:rsidR="00851BE5" w:rsidRPr="009D49E5">
        <w:rPr>
          <w:lang w:val="ru-RU"/>
        </w:rPr>
        <w:t xml:space="preserve">  (</w:t>
      </w:r>
      <w:r w:rsidR="00851BE5" w:rsidRPr="00851BE5">
        <w:t>vii</w:t>
      </w:r>
      <w:r w:rsidR="00851BE5" w:rsidRPr="009D49E5">
        <w:rPr>
          <w:lang w:val="ru-RU"/>
        </w:rPr>
        <w:t xml:space="preserve">) </w:t>
      </w:r>
      <w:r>
        <w:rPr>
          <w:lang w:val="ru-RU"/>
        </w:rPr>
        <w:t>обновление круга полномочий КГВ и взаимодействие с ним</w:t>
      </w:r>
      <w:r w:rsidR="00046C7F">
        <w:rPr>
          <w:lang w:val="ru-RU"/>
        </w:rPr>
        <w:t xml:space="preserve">и; </w:t>
      </w:r>
      <w:r>
        <w:rPr>
          <w:lang w:val="ru-RU"/>
        </w:rPr>
        <w:t xml:space="preserve"> и</w:t>
      </w:r>
      <w:r w:rsidR="00851BE5" w:rsidRPr="009D49E5">
        <w:rPr>
          <w:lang w:val="ru-RU"/>
        </w:rPr>
        <w:t xml:space="preserve"> (</w:t>
      </w:r>
      <w:r w:rsidR="00851BE5" w:rsidRPr="00851BE5">
        <w:t>viii</w:t>
      </w:r>
      <w:r w:rsidR="00851BE5" w:rsidRPr="009D49E5">
        <w:rPr>
          <w:lang w:val="ru-RU"/>
        </w:rPr>
        <w:t xml:space="preserve">) </w:t>
      </w:r>
      <w:r w:rsidR="009651CC" w:rsidRPr="009651CC">
        <w:rPr>
          <w:lang w:val="ru-RU"/>
        </w:rPr>
        <w:t>оценку текущих и будущих потребностей в области людских ресурсов в целях эффективной поддержки комплексного гендерного подхода в рамках реализации программ, а также обеспечения разнообразия, инклюзивности и гендерного равенства в ВОИС.</w:t>
      </w:r>
    </w:p>
    <w:p w14:paraId="13E0A0CA" w14:textId="7396CE59" w:rsidR="00F953FF" w:rsidRPr="00F953FF" w:rsidRDefault="00D953CD" w:rsidP="00F953FF">
      <w:pPr>
        <w:pStyle w:val="Heading2"/>
        <w:rPr>
          <w:szCs w:val="20"/>
        </w:rPr>
      </w:pPr>
      <w:bookmarkStart w:id="34" w:name="_Toc40299728"/>
      <w:r w:rsidRPr="00D953CD">
        <w:rPr>
          <w:szCs w:val="22"/>
          <w:lang w:val="ru-RU"/>
        </w:rPr>
        <w:t>оценка</w:t>
      </w:r>
      <w:r w:rsidRPr="00D953CD">
        <w:rPr>
          <w:szCs w:val="22"/>
        </w:rPr>
        <w:t xml:space="preserve"> </w:t>
      </w:r>
      <w:r w:rsidRPr="00D953CD">
        <w:rPr>
          <w:szCs w:val="22"/>
          <w:lang w:val="ru-RU"/>
        </w:rPr>
        <w:t>партнерских</w:t>
      </w:r>
      <w:r w:rsidRPr="00D953CD">
        <w:rPr>
          <w:szCs w:val="22"/>
        </w:rPr>
        <w:t xml:space="preserve"> </w:t>
      </w:r>
      <w:r w:rsidR="003F602D">
        <w:rPr>
          <w:szCs w:val="22"/>
          <w:lang w:val="ru-RU"/>
        </w:rPr>
        <w:t>проектов</w:t>
      </w:r>
      <w:r w:rsidRPr="00D953CD">
        <w:rPr>
          <w:szCs w:val="22"/>
        </w:rPr>
        <w:t xml:space="preserve"> </w:t>
      </w:r>
      <w:r w:rsidRPr="00D953CD">
        <w:rPr>
          <w:szCs w:val="22"/>
          <w:lang w:val="ru-RU"/>
        </w:rPr>
        <w:t>ВОИС</w:t>
      </w:r>
      <w:bookmarkEnd w:id="34"/>
    </w:p>
    <w:p w14:paraId="36A82035" w14:textId="404A4460" w:rsidR="00D6115A" w:rsidRPr="00527841" w:rsidRDefault="00D6115A" w:rsidP="00F953FF">
      <w:pPr>
        <w:pStyle w:val="ONUME"/>
        <w:rPr>
          <w:lang w:val="ru-RU"/>
        </w:rPr>
      </w:pPr>
      <w:r>
        <w:rPr>
          <w:lang w:val="ru-RU"/>
        </w:rPr>
        <w:t>Партнерские</w:t>
      </w:r>
      <w:r w:rsidRPr="00D6115A">
        <w:rPr>
          <w:lang w:val="ru-RU"/>
        </w:rPr>
        <w:t xml:space="preserve"> </w:t>
      </w:r>
      <w:r>
        <w:rPr>
          <w:lang w:val="ru-RU"/>
        </w:rPr>
        <w:t>проекты</w:t>
      </w:r>
      <w:r w:rsidRPr="00D6115A">
        <w:rPr>
          <w:lang w:val="ru-RU"/>
        </w:rPr>
        <w:t xml:space="preserve"> </w:t>
      </w:r>
      <w:r>
        <w:rPr>
          <w:lang w:val="ru-RU"/>
        </w:rPr>
        <w:t>ВОИС</w:t>
      </w:r>
      <w:r w:rsidRPr="00D6115A">
        <w:rPr>
          <w:lang w:val="ru-RU"/>
        </w:rPr>
        <w:t xml:space="preserve"> </w:t>
      </w:r>
      <w:r>
        <w:rPr>
          <w:lang w:val="ru-RU"/>
        </w:rPr>
        <w:t>имеют</w:t>
      </w:r>
      <w:r w:rsidRPr="00D6115A">
        <w:rPr>
          <w:lang w:val="ru-RU"/>
        </w:rPr>
        <w:t xml:space="preserve"> </w:t>
      </w:r>
      <w:r>
        <w:rPr>
          <w:lang w:val="ru-RU"/>
        </w:rPr>
        <w:t>ключевое</w:t>
      </w:r>
      <w:r w:rsidRPr="00D6115A">
        <w:rPr>
          <w:lang w:val="ru-RU"/>
        </w:rPr>
        <w:t xml:space="preserve"> </w:t>
      </w:r>
      <w:r>
        <w:rPr>
          <w:lang w:val="ru-RU"/>
        </w:rPr>
        <w:t>значение</w:t>
      </w:r>
      <w:r w:rsidRPr="00D6115A">
        <w:rPr>
          <w:lang w:val="ru-RU"/>
        </w:rPr>
        <w:t xml:space="preserve"> </w:t>
      </w:r>
      <w:r>
        <w:rPr>
          <w:lang w:val="ru-RU"/>
        </w:rPr>
        <w:t>для</w:t>
      </w:r>
      <w:r w:rsidRPr="00D6115A">
        <w:rPr>
          <w:lang w:val="ru-RU"/>
        </w:rPr>
        <w:t xml:space="preserve"> </w:t>
      </w:r>
      <w:r>
        <w:rPr>
          <w:lang w:val="ru-RU"/>
        </w:rPr>
        <w:t>поддержки</w:t>
      </w:r>
      <w:r w:rsidRPr="00D6115A">
        <w:rPr>
          <w:lang w:val="ru-RU"/>
        </w:rPr>
        <w:t xml:space="preserve"> </w:t>
      </w:r>
      <w:r>
        <w:rPr>
          <w:lang w:val="ru-RU"/>
        </w:rPr>
        <w:t>усилий</w:t>
      </w:r>
      <w:r w:rsidRPr="00D6115A">
        <w:rPr>
          <w:lang w:val="ru-RU"/>
        </w:rPr>
        <w:t xml:space="preserve"> </w:t>
      </w:r>
      <w:r>
        <w:rPr>
          <w:lang w:val="ru-RU"/>
        </w:rPr>
        <w:t>ВОИС</w:t>
      </w:r>
      <w:r w:rsidRPr="00D6115A">
        <w:rPr>
          <w:lang w:val="ru-RU"/>
        </w:rPr>
        <w:t xml:space="preserve">, </w:t>
      </w:r>
      <w:r>
        <w:rPr>
          <w:lang w:val="ru-RU"/>
        </w:rPr>
        <w:t>направленных</w:t>
      </w:r>
      <w:r w:rsidRPr="00D6115A">
        <w:rPr>
          <w:lang w:val="ru-RU"/>
        </w:rPr>
        <w:t xml:space="preserve">, </w:t>
      </w:r>
      <w:r>
        <w:rPr>
          <w:lang w:val="ru-RU"/>
        </w:rPr>
        <w:t>в</w:t>
      </w:r>
      <w:r w:rsidRPr="00D6115A">
        <w:rPr>
          <w:lang w:val="ru-RU"/>
        </w:rPr>
        <w:t xml:space="preserve"> </w:t>
      </w:r>
      <w:r>
        <w:rPr>
          <w:lang w:val="ru-RU"/>
        </w:rPr>
        <w:t>частности</w:t>
      </w:r>
      <w:r w:rsidRPr="00D6115A">
        <w:rPr>
          <w:lang w:val="ru-RU"/>
        </w:rPr>
        <w:t xml:space="preserve">, </w:t>
      </w:r>
      <w:r>
        <w:rPr>
          <w:lang w:val="ru-RU"/>
        </w:rPr>
        <w:t>на</w:t>
      </w:r>
      <w:r w:rsidRPr="00D6115A">
        <w:rPr>
          <w:lang w:val="ru-RU"/>
        </w:rPr>
        <w:t xml:space="preserve"> </w:t>
      </w:r>
      <w:r>
        <w:rPr>
          <w:lang w:val="ru-RU"/>
        </w:rPr>
        <w:t>укрепление</w:t>
      </w:r>
      <w:r w:rsidRPr="00D6115A">
        <w:rPr>
          <w:lang w:val="ru-RU"/>
        </w:rPr>
        <w:t xml:space="preserve"> </w:t>
      </w:r>
      <w:r>
        <w:rPr>
          <w:lang w:val="ru-RU"/>
        </w:rPr>
        <w:t>потенциала</w:t>
      </w:r>
      <w:r w:rsidRPr="00D6115A">
        <w:rPr>
          <w:lang w:val="ru-RU"/>
        </w:rPr>
        <w:t xml:space="preserve"> </w:t>
      </w:r>
      <w:r>
        <w:rPr>
          <w:lang w:val="ru-RU"/>
        </w:rPr>
        <w:t>в</w:t>
      </w:r>
      <w:r w:rsidRPr="00D6115A">
        <w:rPr>
          <w:lang w:val="ru-RU"/>
        </w:rPr>
        <w:t xml:space="preserve"> </w:t>
      </w:r>
      <w:r>
        <w:rPr>
          <w:lang w:val="ru-RU"/>
        </w:rPr>
        <w:t>сфере</w:t>
      </w:r>
      <w:r w:rsidRPr="00D6115A">
        <w:rPr>
          <w:lang w:val="ru-RU"/>
        </w:rPr>
        <w:t xml:space="preserve"> </w:t>
      </w:r>
      <w:r>
        <w:rPr>
          <w:lang w:val="ru-RU"/>
        </w:rPr>
        <w:t>инноваций</w:t>
      </w:r>
      <w:r w:rsidRPr="00D6115A">
        <w:rPr>
          <w:lang w:val="ru-RU"/>
        </w:rPr>
        <w:t xml:space="preserve">, </w:t>
      </w:r>
      <w:r>
        <w:rPr>
          <w:lang w:val="ru-RU"/>
        </w:rPr>
        <w:t>обмен</w:t>
      </w:r>
      <w:r w:rsidRPr="00D6115A">
        <w:rPr>
          <w:lang w:val="ru-RU"/>
        </w:rPr>
        <w:t xml:space="preserve"> </w:t>
      </w:r>
      <w:r>
        <w:rPr>
          <w:lang w:val="ru-RU"/>
        </w:rPr>
        <w:t>информацией</w:t>
      </w:r>
      <w:r w:rsidRPr="00D6115A">
        <w:rPr>
          <w:lang w:val="ru-RU"/>
        </w:rPr>
        <w:t xml:space="preserve"> </w:t>
      </w:r>
      <w:r>
        <w:rPr>
          <w:lang w:val="ru-RU"/>
        </w:rPr>
        <w:t>и</w:t>
      </w:r>
      <w:r w:rsidRPr="00D6115A">
        <w:rPr>
          <w:lang w:val="ru-RU"/>
        </w:rPr>
        <w:t xml:space="preserve"> </w:t>
      </w:r>
      <w:r>
        <w:rPr>
          <w:lang w:val="ru-RU"/>
        </w:rPr>
        <w:t>инструментами</w:t>
      </w:r>
      <w:r w:rsidRPr="00D6115A">
        <w:rPr>
          <w:lang w:val="ru-RU"/>
        </w:rPr>
        <w:t xml:space="preserve">, </w:t>
      </w:r>
      <w:r>
        <w:rPr>
          <w:lang w:val="ru-RU"/>
        </w:rPr>
        <w:t>содействие</w:t>
      </w:r>
      <w:r w:rsidRPr="00D6115A">
        <w:rPr>
          <w:lang w:val="ru-RU"/>
        </w:rPr>
        <w:t xml:space="preserve"> </w:t>
      </w:r>
      <w:r>
        <w:rPr>
          <w:lang w:val="ru-RU"/>
        </w:rPr>
        <w:t>научным</w:t>
      </w:r>
      <w:r w:rsidRPr="00D6115A">
        <w:rPr>
          <w:lang w:val="ru-RU"/>
        </w:rPr>
        <w:t xml:space="preserve"> </w:t>
      </w:r>
      <w:r>
        <w:rPr>
          <w:lang w:val="ru-RU"/>
        </w:rPr>
        <w:t>исследованиям</w:t>
      </w:r>
      <w:r w:rsidRPr="00D6115A">
        <w:rPr>
          <w:lang w:val="ru-RU"/>
        </w:rPr>
        <w:t xml:space="preserve">, </w:t>
      </w:r>
      <w:r>
        <w:rPr>
          <w:lang w:val="ru-RU"/>
        </w:rPr>
        <w:t>а</w:t>
      </w:r>
      <w:r w:rsidRPr="00D6115A">
        <w:rPr>
          <w:lang w:val="ru-RU"/>
        </w:rPr>
        <w:t xml:space="preserve"> </w:t>
      </w:r>
      <w:r>
        <w:rPr>
          <w:lang w:val="ru-RU"/>
        </w:rPr>
        <w:t>также</w:t>
      </w:r>
      <w:r w:rsidRPr="00D6115A">
        <w:rPr>
          <w:lang w:val="ru-RU"/>
        </w:rPr>
        <w:t xml:space="preserve"> </w:t>
      </w:r>
      <w:r>
        <w:rPr>
          <w:lang w:val="ru-RU"/>
        </w:rPr>
        <w:t>популяризацию</w:t>
      </w:r>
      <w:r w:rsidRPr="00D6115A">
        <w:rPr>
          <w:lang w:val="ru-RU"/>
        </w:rPr>
        <w:t xml:space="preserve"> </w:t>
      </w:r>
      <w:r>
        <w:rPr>
          <w:lang w:val="ru-RU"/>
        </w:rPr>
        <w:t>системы</w:t>
      </w:r>
      <w:r w:rsidRPr="00D6115A">
        <w:rPr>
          <w:lang w:val="ru-RU"/>
        </w:rPr>
        <w:t xml:space="preserve"> </w:t>
      </w:r>
      <w:r>
        <w:rPr>
          <w:lang w:val="ru-RU"/>
        </w:rPr>
        <w:t>ИС</w:t>
      </w:r>
      <w:r w:rsidRPr="00D6115A">
        <w:rPr>
          <w:lang w:val="ru-RU"/>
        </w:rPr>
        <w:t>.</w:t>
      </w:r>
      <w:r>
        <w:rPr>
          <w:lang w:val="ru-RU"/>
        </w:rPr>
        <w:t xml:space="preserve">  Проведенная</w:t>
      </w:r>
      <w:r w:rsidRPr="00D6115A">
        <w:rPr>
          <w:lang w:val="ru-RU"/>
        </w:rPr>
        <w:t xml:space="preserve"> </w:t>
      </w:r>
      <w:r>
        <w:rPr>
          <w:lang w:val="ru-RU"/>
        </w:rPr>
        <w:t>оценка</w:t>
      </w:r>
      <w:r w:rsidRPr="00D6115A">
        <w:rPr>
          <w:lang w:val="ru-RU"/>
        </w:rPr>
        <w:t xml:space="preserve"> </w:t>
      </w:r>
      <w:r>
        <w:rPr>
          <w:lang w:val="ru-RU"/>
        </w:rPr>
        <w:t>стала</w:t>
      </w:r>
      <w:r w:rsidRPr="00D6115A">
        <w:rPr>
          <w:lang w:val="ru-RU"/>
        </w:rPr>
        <w:t xml:space="preserve"> </w:t>
      </w:r>
      <w:r>
        <w:rPr>
          <w:lang w:val="ru-RU"/>
        </w:rPr>
        <w:t>первым</w:t>
      </w:r>
      <w:r w:rsidRPr="00D6115A">
        <w:rPr>
          <w:lang w:val="ru-RU"/>
        </w:rPr>
        <w:t xml:space="preserve"> </w:t>
      </w:r>
      <w:r>
        <w:rPr>
          <w:lang w:val="ru-RU"/>
        </w:rPr>
        <w:t>в</w:t>
      </w:r>
      <w:r w:rsidRPr="00D6115A">
        <w:rPr>
          <w:lang w:val="ru-RU"/>
        </w:rPr>
        <w:t xml:space="preserve"> </w:t>
      </w:r>
      <w:r>
        <w:rPr>
          <w:lang w:val="ru-RU"/>
        </w:rPr>
        <w:t>своем</w:t>
      </w:r>
      <w:r w:rsidRPr="00D6115A">
        <w:rPr>
          <w:lang w:val="ru-RU"/>
        </w:rPr>
        <w:t xml:space="preserve"> </w:t>
      </w:r>
      <w:r>
        <w:rPr>
          <w:lang w:val="ru-RU"/>
        </w:rPr>
        <w:t>роде</w:t>
      </w:r>
      <w:r w:rsidRPr="00D6115A">
        <w:rPr>
          <w:lang w:val="ru-RU"/>
        </w:rPr>
        <w:t xml:space="preserve"> </w:t>
      </w:r>
      <w:r>
        <w:rPr>
          <w:lang w:val="ru-RU"/>
        </w:rPr>
        <w:t>мероприятием</w:t>
      </w:r>
      <w:r w:rsidRPr="00D6115A">
        <w:rPr>
          <w:lang w:val="ru-RU"/>
        </w:rPr>
        <w:t xml:space="preserve">, </w:t>
      </w:r>
      <w:r>
        <w:rPr>
          <w:lang w:val="ru-RU"/>
        </w:rPr>
        <w:t>позволившим</w:t>
      </w:r>
      <w:r w:rsidRPr="00D6115A">
        <w:rPr>
          <w:lang w:val="ru-RU"/>
        </w:rPr>
        <w:t xml:space="preserve"> </w:t>
      </w:r>
      <w:r>
        <w:rPr>
          <w:lang w:val="ru-RU"/>
        </w:rPr>
        <w:t>провести</w:t>
      </w:r>
      <w:r w:rsidRPr="00D6115A">
        <w:rPr>
          <w:lang w:val="ru-RU"/>
        </w:rPr>
        <w:t xml:space="preserve"> </w:t>
      </w:r>
      <w:r>
        <w:rPr>
          <w:lang w:val="ru-RU"/>
        </w:rPr>
        <w:t>независимую</w:t>
      </w:r>
      <w:r w:rsidRPr="00D6115A">
        <w:rPr>
          <w:lang w:val="ru-RU"/>
        </w:rPr>
        <w:t xml:space="preserve"> </w:t>
      </w:r>
      <w:r>
        <w:rPr>
          <w:lang w:val="ru-RU"/>
        </w:rPr>
        <w:t>комплексную оценку</w:t>
      </w:r>
      <w:r w:rsidRPr="00D6115A">
        <w:rPr>
          <w:lang w:val="ru-RU"/>
        </w:rPr>
        <w:t xml:space="preserve"> </w:t>
      </w:r>
      <w:r>
        <w:rPr>
          <w:lang w:val="ru-RU"/>
        </w:rPr>
        <w:t>партнерских проектов ВОИС.  В</w:t>
      </w:r>
      <w:r w:rsidRPr="00D6115A">
        <w:rPr>
          <w:lang w:val="ru-RU"/>
        </w:rPr>
        <w:t xml:space="preserve"> </w:t>
      </w:r>
      <w:r>
        <w:rPr>
          <w:lang w:val="ru-RU"/>
        </w:rPr>
        <w:t>рамках</w:t>
      </w:r>
      <w:r w:rsidRPr="00D6115A">
        <w:rPr>
          <w:lang w:val="ru-RU"/>
        </w:rPr>
        <w:t xml:space="preserve"> </w:t>
      </w:r>
      <w:r>
        <w:rPr>
          <w:lang w:val="ru-RU"/>
        </w:rPr>
        <w:t>оценки</w:t>
      </w:r>
      <w:r w:rsidRPr="00D6115A">
        <w:rPr>
          <w:lang w:val="ru-RU"/>
        </w:rPr>
        <w:t xml:space="preserve"> </w:t>
      </w:r>
      <w:r>
        <w:rPr>
          <w:lang w:val="ru-RU"/>
        </w:rPr>
        <w:t>сначала</w:t>
      </w:r>
      <w:r w:rsidRPr="00D6115A">
        <w:rPr>
          <w:lang w:val="ru-RU"/>
        </w:rPr>
        <w:t xml:space="preserve"> </w:t>
      </w:r>
      <w:r>
        <w:rPr>
          <w:lang w:val="ru-RU"/>
        </w:rPr>
        <w:t>были</w:t>
      </w:r>
      <w:r w:rsidRPr="00D6115A">
        <w:rPr>
          <w:lang w:val="ru-RU"/>
        </w:rPr>
        <w:t xml:space="preserve"> </w:t>
      </w:r>
      <w:r>
        <w:rPr>
          <w:lang w:val="ru-RU"/>
        </w:rPr>
        <w:t>проанализирован</w:t>
      </w:r>
      <w:r w:rsidRPr="00D6115A">
        <w:rPr>
          <w:lang w:val="ru-RU"/>
        </w:rPr>
        <w:t xml:space="preserve"> </w:t>
      </w:r>
      <w:r>
        <w:rPr>
          <w:lang w:val="ru-RU"/>
        </w:rPr>
        <w:t>и</w:t>
      </w:r>
      <w:r w:rsidRPr="00D6115A">
        <w:rPr>
          <w:lang w:val="ru-RU"/>
        </w:rPr>
        <w:t xml:space="preserve"> </w:t>
      </w:r>
      <w:r>
        <w:rPr>
          <w:lang w:val="ru-RU"/>
        </w:rPr>
        <w:t>описан</w:t>
      </w:r>
      <w:r w:rsidRPr="00D6115A">
        <w:rPr>
          <w:lang w:val="ru-RU"/>
        </w:rPr>
        <w:t xml:space="preserve"> </w:t>
      </w:r>
      <w:r>
        <w:rPr>
          <w:lang w:val="ru-RU"/>
        </w:rPr>
        <w:t>комплекс</w:t>
      </w:r>
      <w:r w:rsidRPr="00D6115A">
        <w:rPr>
          <w:lang w:val="ru-RU"/>
        </w:rPr>
        <w:t xml:space="preserve"> </w:t>
      </w:r>
      <w:r>
        <w:rPr>
          <w:lang w:val="ru-RU"/>
        </w:rPr>
        <w:t>партнерских</w:t>
      </w:r>
      <w:r w:rsidRPr="00D6115A">
        <w:rPr>
          <w:lang w:val="ru-RU"/>
        </w:rPr>
        <w:t xml:space="preserve"> </w:t>
      </w:r>
      <w:r>
        <w:rPr>
          <w:lang w:val="ru-RU"/>
        </w:rPr>
        <w:t>проектов</w:t>
      </w:r>
      <w:r w:rsidRPr="00D6115A">
        <w:rPr>
          <w:lang w:val="ru-RU"/>
        </w:rPr>
        <w:t xml:space="preserve"> </w:t>
      </w:r>
      <w:r>
        <w:rPr>
          <w:lang w:val="ru-RU"/>
        </w:rPr>
        <w:t>на</w:t>
      </w:r>
      <w:r w:rsidRPr="00D6115A">
        <w:rPr>
          <w:lang w:val="ru-RU"/>
        </w:rPr>
        <w:t xml:space="preserve"> </w:t>
      </w:r>
      <w:r>
        <w:rPr>
          <w:lang w:val="ru-RU"/>
        </w:rPr>
        <w:t>организационном</w:t>
      </w:r>
      <w:r w:rsidRPr="00D6115A">
        <w:rPr>
          <w:lang w:val="ru-RU"/>
        </w:rPr>
        <w:t xml:space="preserve"> </w:t>
      </w:r>
      <w:r>
        <w:rPr>
          <w:lang w:val="ru-RU"/>
        </w:rPr>
        <w:t>уровне</w:t>
      </w:r>
      <w:r w:rsidRPr="00D6115A">
        <w:rPr>
          <w:lang w:val="ru-RU"/>
        </w:rPr>
        <w:t xml:space="preserve">, </w:t>
      </w:r>
      <w:r>
        <w:rPr>
          <w:lang w:val="ru-RU"/>
        </w:rPr>
        <w:t>а</w:t>
      </w:r>
      <w:r w:rsidRPr="00D6115A">
        <w:rPr>
          <w:lang w:val="ru-RU"/>
        </w:rPr>
        <w:t xml:space="preserve"> </w:t>
      </w:r>
      <w:r>
        <w:rPr>
          <w:lang w:val="ru-RU"/>
        </w:rPr>
        <w:t>затем</w:t>
      </w:r>
      <w:r w:rsidRPr="00D6115A">
        <w:rPr>
          <w:lang w:val="ru-RU"/>
        </w:rPr>
        <w:t xml:space="preserve"> </w:t>
      </w:r>
      <w:r>
        <w:rPr>
          <w:lang w:val="ru-RU"/>
        </w:rPr>
        <w:t>более</w:t>
      </w:r>
      <w:r w:rsidRPr="00D6115A">
        <w:rPr>
          <w:lang w:val="ru-RU"/>
        </w:rPr>
        <w:t xml:space="preserve"> </w:t>
      </w:r>
      <w:r>
        <w:rPr>
          <w:lang w:val="ru-RU"/>
        </w:rPr>
        <w:t>подробно</w:t>
      </w:r>
      <w:r w:rsidRPr="00D6115A">
        <w:rPr>
          <w:lang w:val="ru-RU"/>
        </w:rPr>
        <w:t xml:space="preserve"> </w:t>
      </w:r>
      <w:r>
        <w:rPr>
          <w:lang w:val="ru-RU"/>
        </w:rPr>
        <w:t>изучена конкретная</w:t>
      </w:r>
      <w:r w:rsidR="00046C7F">
        <w:rPr>
          <w:lang w:val="ru-RU"/>
        </w:rPr>
        <w:t xml:space="preserve"> выборка партнерских проектов.</w:t>
      </w:r>
    </w:p>
    <w:p w14:paraId="2B851809" w14:textId="75EEA168" w:rsidR="00F953FF" w:rsidRDefault="00D6115A" w:rsidP="00F953FF">
      <w:pPr>
        <w:pStyle w:val="ONUME"/>
        <w:rPr>
          <w:lang w:val="ru-RU"/>
        </w:rPr>
      </w:pPr>
      <w:r>
        <w:rPr>
          <w:lang w:val="ru-RU"/>
        </w:rPr>
        <w:t>В целом п</w:t>
      </w:r>
      <w:r w:rsidR="00D953CD">
        <w:rPr>
          <w:lang w:val="ru-RU"/>
        </w:rPr>
        <w:t>о</w:t>
      </w:r>
      <w:r w:rsidR="00D953CD" w:rsidRPr="00D6115A">
        <w:rPr>
          <w:lang w:val="ru-RU"/>
        </w:rPr>
        <w:t xml:space="preserve"> </w:t>
      </w:r>
      <w:r w:rsidR="00D953CD">
        <w:rPr>
          <w:lang w:val="ru-RU"/>
        </w:rPr>
        <w:t>итогам</w:t>
      </w:r>
      <w:r w:rsidR="00D953CD" w:rsidRPr="00D6115A">
        <w:rPr>
          <w:lang w:val="ru-RU"/>
        </w:rPr>
        <w:t xml:space="preserve"> </w:t>
      </w:r>
      <w:r w:rsidR="00D953CD">
        <w:rPr>
          <w:lang w:val="ru-RU"/>
        </w:rPr>
        <w:t>оценки</w:t>
      </w:r>
      <w:r w:rsidR="00D953CD" w:rsidRPr="00D6115A">
        <w:rPr>
          <w:lang w:val="ru-RU"/>
        </w:rPr>
        <w:t xml:space="preserve"> </w:t>
      </w:r>
      <w:bookmarkEnd w:id="31"/>
      <w:r w:rsidR="0051368E">
        <w:rPr>
          <w:lang w:val="ru-RU"/>
        </w:rPr>
        <w:t xml:space="preserve">была отмечена конструктивная роль партнерских проектов как на организационном, так и на стратегическом уровнях.  Если говорить более конкретно, то </w:t>
      </w:r>
      <w:r w:rsidR="0051368E" w:rsidRPr="0051368E">
        <w:rPr>
          <w:lang w:val="ru-RU"/>
        </w:rPr>
        <w:t xml:space="preserve">был отмечен </w:t>
      </w:r>
      <w:r w:rsidR="00527841">
        <w:rPr>
          <w:lang w:val="ru-RU"/>
        </w:rPr>
        <w:t xml:space="preserve">несомненный </w:t>
      </w:r>
      <w:r w:rsidR="0051368E" w:rsidRPr="0051368E">
        <w:rPr>
          <w:lang w:val="ru-RU"/>
        </w:rPr>
        <w:t>конструктивный вклад в достижение стратегических целей (СЦ) III, IV и VII</w:t>
      </w:r>
      <w:r w:rsidR="0051368E" w:rsidRPr="0051368E">
        <w:rPr>
          <w:vertAlign w:val="superscript"/>
        </w:rPr>
        <w:footnoteReference w:id="8"/>
      </w:r>
      <w:r w:rsidR="0051368E" w:rsidRPr="0051368E">
        <w:rPr>
          <w:lang w:val="ru-RU"/>
        </w:rPr>
        <w:t xml:space="preserve"> , особенно в случае с Консорциумом доступных книг (ABC), платформами WIPO Green и WIPO ReSearch, центрами поддержки технологий и инноваций (ЦПТИ) и Академией ВОИС.</w:t>
      </w:r>
      <w:r w:rsidR="00B13575" w:rsidRPr="00B13575">
        <w:rPr>
          <w:lang w:val="ru-RU"/>
        </w:rPr>
        <w:t xml:space="preserve">   Вместе с тем нынешние показатели </w:t>
      </w:r>
      <w:r w:rsidR="00B13575" w:rsidRPr="00B13575">
        <w:rPr>
          <w:lang w:val="ru-RU"/>
        </w:rPr>
        <w:lastRenderedPageBreak/>
        <w:t>эффективности деятельности в сфере партнерских проектов сосредоточиваются на количественных результатах, что отчасти ограничивает возможности в плане оценки долгосрочной результативности и побочных эффектов, к которым имеют отношение партнерские проекты</w:t>
      </w:r>
      <w:r w:rsidR="00B13575">
        <w:rPr>
          <w:lang w:val="ru-RU"/>
        </w:rPr>
        <w:t>.</w:t>
      </w:r>
    </w:p>
    <w:p w14:paraId="4F9ABA44" w14:textId="57C9D0A5" w:rsidR="00B13575" w:rsidRPr="00527841" w:rsidRDefault="00B13575" w:rsidP="00F953FF">
      <w:pPr>
        <w:pStyle w:val="ONUME"/>
        <w:rPr>
          <w:lang w:val="ru-RU"/>
        </w:rPr>
      </w:pPr>
      <w:r>
        <w:rPr>
          <w:lang w:val="ru-RU"/>
        </w:rPr>
        <w:t>Х</w:t>
      </w:r>
      <w:r w:rsidRPr="00B13575">
        <w:rPr>
          <w:lang w:val="ru-RU"/>
        </w:rPr>
        <w:t xml:space="preserve">отя в прошлом партнерские проекты в основном были направлены на мобилизацию средств и содействие реализации программ, за последние десять лет наметилась тенденция к росту числа гораздо более новаторских по своему характеру проектов, многие из которых </w:t>
      </w:r>
      <w:r>
        <w:rPr>
          <w:lang w:val="ru-RU"/>
        </w:rPr>
        <w:t>разрабатываются</w:t>
      </w:r>
      <w:r w:rsidRPr="00B13575">
        <w:rPr>
          <w:lang w:val="ru-RU"/>
        </w:rPr>
        <w:t xml:space="preserve"> в сотрудничестве с частным сектором</w:t>
      </w:r>
      <w:r>
        <w:rPr>
          <w:lang w:val="ru-RU"/>
        </w:rPr>
        <w:t>.</w:t>
      </w:r>
      <w:r w:rsidRPr="00B13575">
        <w:rPr>
          <w:lang w:val="ru-RU"/>
        </w:rPr>
        <w:t xml:space="preserve">  </w:t>
      </w:r>
      <w:r>
        <w:rPr>
          <w:lang w:val="ru-RU"/>
        </w:rPr>
        <w:t>В</w:t>
      </w:r>
      <w:r w:rsidRPr="00B13575">
        <w:rPr>
          <w:lang w:val="ru-RU"/>
        </w:rPr>
        <w:t xml:space="preserve"> </w:t>
      </w:r>
      <w:r>
        <w:rPr>
          <w:lang w:val="ru-RU"/>
        </w:rPr>
        <w:t>отличие</w:t>
      </w:r>
      <w:r w:rsidRPr="00B13575">
        <w:rPr>
          <w:lang w:val="ru-RU"/>
        </w:rPr>
        <w:t xml:space="preserve"> </w:t>
      </w:r>
      <w:r>
        <w:rPr>
          <w:lang w:val="ru-RU"/>
        </w:rPr>
        <w:t>от</w:t>
      </w:r>
      <w:r w:rsidRPr="00B13575">
        <w:rPr>
          <w:lang w:val="ru-RU"/>
        </w:rPr>
        <w:t xml:space="preserve"> </w:t>
      </w:r>
      <w:r>
        <w:rPr>
          <w:lang w:val="ru-RU"/>
        </w:rPr>
        <w:t>других</w:t>
      </w:r>
      <w:r w:rsidRPr="00B13575">
        <w:rPr>
          <w:lang w:val="ru-RU"/>
        </w:rPr>
        <w:t xml:space="preserve"> </w:t>
      </w:r>
      <w:r>
        <w:rPr>
          <w:lang w:val="ru-RU"/>
        </w:rPr>
        <w:t>организаций</w:t>
      </w:r>
      <w:r w:rsidRPr="00B13575">
        <w:rPr>
          <w:lang w:val="ru-RU"/>
        </w:rPr>
        <w:t xml:space="preserve"> </w:t>
      </w:r>
      <w:r>
        <w:rPr>
          <w:lang w:val="ru-RU"/>
        </w:rPr>
        <w:t>системы</w:t>
      </w:r>
      <w:r w:rsidRPr="00B13575">
        <w:rPr>
          <w:lang w:val="ru-RU"/>
        </w:rPr>
        <w:t xml:space="preserve"> </w:t>
      </w:r>
      <w:r>
        <w:rPr>
          <w:lang w:val="ru-RU"/>
        </w:rPr>
        <w:t>ООН</w:t>
      </w:r>
      <w:r w:rsidRPr="00B13575">
        <w:rPr>
          <w:lang w:val="ru-RU"/>
        </w:rPr>
        <w:t xml:space="preserve"> (11 </w:t>
      </w:r>
      <w:r>
        <w:rPr>
          <w:lang w:val="ru-RU"/>
        </w:rPr>
        <w:t>организаций</w:t>
      </w:r>
      <w:r w:rsidRPr="00B13575">
        <w:rPr>
          <w:lang w:val="ru-RU"/>
        </w:rPr>
        <w:t>)</w:t>
      </w:r>
      <w:r w:rsidRPr="00B13575">
        <w:rPr>
          <w:vertAlign w:val="superscript"/>
        </w:rPr>
        <w:footnoteReference w:id="9"/>
      </w:r>
      <w:r w:rsidRPr="00B13575">
        <w:rPr>
          <w:lang w:val="ru-RU"/>
        </w:rPr>
        <w:t xml:space="preserve">, </w:t>
      </w:r>
      <w:r>
        <w:rPr>
          <w:lang w:val="ru-RU"/>
        </w:rPr>
        <w:t>в</w:t>
      </w:r>
      <w:r w:rsidRPr="00B13575">
        <w:rPr>
          <w:lang w:val="ru-RU"/>
        </w:rPr>
        <w:t xml:space="preserve"> </w:t>
      </w:r>
      <w:r>
        <w:rPr>
          <w:lang w:val="ru-RU"/>
        </w:rPr>
        <w:t>ВОИС</w:t>
      </w:r>
      <w:r w:rsidRPr="00B13575">
        <w:rPr>
          <w:lang w:val="ru-RU"/>
        </w:rPr>
        <w:t xml:space="preserve"> </w:t>
      </w:r>
      <w:r>
        <w:rPr>
          <w:lang w:val="ru-RU"/>
        </w:rPr>
        <w:t>не</w:t>
      </w:r>
      <w:r w:rsidRPr="00B13575">
        <w:rPr>
          <w:lang w:val="ru-RU"/>
        </w:rPr>
        <w:t xml:space="preserve"> </w:t>
      </w:r>
      <w:r>
        <w:rPr>
          <w:lang w:val="ru-RU"/>
        </w:rPr>
        <w:t>применяется</w:t>
      </w:r>
      <w:r w:rsidRPr="00B13575">
        <w:rPr>
          <w:lang w:val="ru-RU"/>
        </w:rPr>
        <w:t xml:space="preserve"> </w:t>
      </w:r>
      <w:r>
        <w:rPr>
          <w:lang w:val="ru-RU"/>
        </w:rPr>
        <w:t>ни единый</w:t>
      </w:r>
      <w:r w:rsidRPr="00B13575">
        <w:rPr>
          <w:lang w:val="ru-RU"/>
        </w:rPr>
        <w:t xml:space="preserve"> </w:t>
      </w:r>
      <w:r>
        <w:rPr>
          <w:lang w:val="ru-RU"/>
        </w:rPr>
        <w:t>комплекс</w:t>
      </w:r>
      <w:r w:rsidRPr="00B13575">
        <w:rPr>
          <w:lang w:val="ru-RU"/>
        </w:rPr>
        <w:t xml:space="preserve"> </w:t>
      </w:r>
      <w:r>
        <w:rPr>
          <w:lang w:val="ru-RU"/>
        </w:rPr>
        <w:t>руководящих</w:t>
      </w:r>
      <w:r w:rsidRPr="00B13575">
        <w:rPr>
          <w:lang w:val="ru-RU"/>
        </w:rPr>
        <w:t xml:space="preserve"> </w:t>
      </w:r>
      <w:r>
        <w:rPr>
          <w:lang w:val="ru-RU"/>
        </w:rPr>
        <w:t>принципов, которые регламентировали бы партнерские проекты, ни общие концепции или определения.  Кроме</w:t>
      </w:r>
      <w:r w:rsidRPr="000746B5">
        <w:rPr>
          <w:lang w:val="ru-RU"/>
        </w:rPr>
        <w:t xml:space="preserve"> </w:t>
      </w:r>
      <w:r>
        <w:rPr>
          <w:lang w:val="ru-RU"/>
        </w:rPr>
        <w:t>того</w:t>
      </w:r>
      <w:r w:rsidRPr="000746B5">
        <w:rPr>
          <w:lang w:val="ru-RU"/>
        </w:rPr>
        <w:t xml:space="preserve">, </w:t>
      </w:r>
      <w:r>
        <w:rPr>
          <w:lang w:val="ru-RU"/>
        </w:rPr>
        <w:t>как</w:t>
      </w:r>
      <w:r w:rsidRPr="000746B5">
        <w:rPr>
          <w:lang w:val="ru-RU"/>
        </w:rPr>
        <w:t xml:space="preserve"> </w:t>
      </w:r>
      <w:r>
        <w:rPr>
          <w:lang w:val="ru-RU"/>
        </w:rPr>
        <w:t>показала</w:t>
      </w:r>
      <w:r w:rsidRPr="000746B5">
        <w:rPr>
          <w:lang w:val="ru-RU"/>
        </w:rPr>
        <w:t xml:space="preserve"> </w:t>
      </w:r>
      <w:r>
        <w:rPr>
          <w:lang w:val="ru-RU"/>
        </w:rPr>
        <w:t>оценка</w:t>
      </w:r>
      <w:r w:rsidRPr="000746B5">
        <w:rPr>
          <w:lang w:val="ru-RU"/>
        </w:rPr>
        <w:t xml:space="preserve">, </w:t>
      </w:r>
      <w:r>
        <w:rPr>
          <w:lang w:val="ru-RU"/>
        </w:rPr>
        <w:t>есть</w:t>
      </w:r>
      <w:r w:rsidRPr="000746B5">
        <w:rPr>
          <w:lang w:val="ru-RU"/>
        </w:rPr>
        <w:t xml:space="preserve"> </w:t>
      </w:r>
      <w:r>
        <w:rPr>
          <w:lang w:val="ru-RU"/>
        </w:rPr>
        <w:t>резервы</w:t>
      </w:r>
      <w:r w:rsidRPr="000746B5">
        <w:rPr>
          <w:lang w:val="ru-RU"/>
        </w:rPr>
        <w:t xml:space="preserve"> </w:t>
      </w:r>
      <w:r>
        <w:rPr>
          <w:lang w:val="ru-RU"/>
        </w:rPr>
        <w:t>для</w:t>
      </w:r>
      <w:r w:rsidRPr="000746B5">
        <w:rPr>
          <w:lang w:val="ru-RU"/>
        </w:rPr>
        <w:t xml:space="preserve"> </w:t>
      </w:r>
      <w:r>
        <w:rPr>
          <w:lang w:val="ru-RU"/>
        </w:rPr>
        <w:t>улучшений</w:t>
      </w:r>
      <w:r w:rsidRPr="000746B5">
        <w:rPr>
          <w:lang w:val="ru-RU"/>
        </w:rPr>
        <w:t xml:space="preserve"> </w:t>
      </w:r>
      <w:r>
        <w:rPr>
          <w:lang w:val="ru-RU"/>
        </w:rPr>
        <w:t>в</w:t>
      </w:r>
      <w:r w:rsidRPr="000746B5">
        <w:rPr>
          <w:lang w:val="ru-RU"/>
        </w:rPr>
        <w:t xml:space="preserve"> </w:t>
      </w:r>
      <w:r>
        <w:rPr>
          <w:lang w:val="ru-RU"/>
        </w:rPr>
        <w:t>плане</w:t>
      </w:r>
      <w:r w:rsidRPr="000746B5">
        <w:rPr>
          <w:lang w:val="ru-RU"/>
        </w:rPr>
        <w:t xml:space="preserve"> </w:t>
      </w:r>
      <w:r>
        <w:rPr>
          <w:lang w:val="ru-RU"/>
        </w:rPr>
        <w:t>четкости</w:t>
      </w:r>
      <w:r w:rsidRPr="000746B5">
        <w:rPr>
          <w:lang w:val="ru-RU"/>
        </w:rPr>
        <w:t xml:space="preserve"> </w:t>
      </w:r>
      <w:r>
        <w:rPr>
          <w:lang w:val="ru-RU"/>
        </w:rPr>
        <w:t>предоставляемых</w:t>
      </w:r>
      <w:r w:rsidRPr="000746B5">
        <w:rPr>
          <w:lang w:val="ru-RU"/>
        </w:rPr>
        <w:t xml:space="preserve"> </w:t>
      </w:r>
      <w:r>
        <w:rPr>
          <w:lang w:val="ru-RU"/>
        </w:rPr>
        <w:t>ВОИС</w:t>
      </w:r>
      <w:r w:rsidRPr="000746B5">
        <w:rPr>
          <w:lang w:val="ru-RU"/>
        </w:rPr>
        <w:t xml:space="preserve"> </w:t>
      </w:r>
      <w:r>
        <w:rPr>
          <w:lang w:val="ru-RU"/>
        </w:rPr>
        <w:t>руководящих</w:t>
      </w:r>
      <w:r w:rsidRPr="000746B5">
        <w:rPr>
          <w:lang w:val="ru-RU"/>
        </w:rPr>
        <w:t xml:space="preserve"> </w:t>
      </w:r>
      <w:r>
        <w:rPr>
          <w:lang w:val="ru-RU"/>
        </w:rPr>
        <w:t>указаний</w:t>
      </w:r>
      <w:r w:rsidRPr="000746B5">
        <w:rPr>
          <w:lang w:val="ru-RU"/>
        </w:rPr>
        <w:t xml:space="preserve"> </w:t>
      </w:r>
      <w:r w:rsidR="000746B5">
        <w:rPr>
          <w:lang w:val="ru-RU"/>
        </w:rPr>
        <w:t>в</w:t>
      </w:r>
      <w:r w:rsidR="000746B5" w:rsidRPr="000746B5">
        <w:rPr>
          <w:lang w:val="ru-RU"/>
        </w:rPr>
        <w:t xml:space="preserve"> </w:t>
      </w:r>
      <w:r w:rsidR="000746B5">
        <w:rPr>
          <w:lang w:val="ru-RU"/>
        </w:rPr>
        <w:t>отношении</w:t>
      </w:r>
      <w:r w:rsidR="000746B5" w:rsidRPr="000746B5">
        <w:rPr>
          <w:lang w:val="ru-RU"/>
        </w:rPr>
        <w:t xml:space="preserve"> </w:t>
      </w:r>
      <w:r w:rsidR="000746B5">
        <w:rPr>
          <w:lang w:val="ru-RU"/>
        </w:rPr>
        <w:t>партнерских</w:t>
      </w:r>
      <w:r w:rsidR="000746B5" w:rsidRPr="000746B5">
        <w:rPr>
          <w:lang w:val="ru-RU"/>
        </w:rPr>
        <w:t xml:space="preserve"> </w:t>
      </w:r>
      <w:r w:rsidR="000746B5">
        <w:rPr>
          <w:lang w:val="ru-RU"/>
        </w:rPr>
        <w:t>проектов</w:t>
      </w:r>
      <w:r w:rsidR="000746B5" w:rsidRPr="000746B5">
        <w:rPr>
          <w:lang w:val="ru-RU"/>
        </w:rPr>
        <w:t xml:space="preserve">, </w:t>
      </w:r>
      <w:r w:rsidR="000746B5">
        <w:rPr>
          <w:lang w:val="ru-RU"/>
        </w:rPr>
        <w:t>которые</w:t>
      </w:r>
      <w:r w:rsidR="000746B5" w:rsidRPr="000746B5">
        <w:rPr>
          <w:lang w:val="ru-RU"/>
        </w:rPr>
        <w:t xml:space="preserve"> </w:t>
      </w:r>
      <w:r w:rsidR="000746B5">
        <w:rPr>
          <w:lang w:val="ru-RU"/>
        </w:rPr>
        <w:t>должны</w:t>
      </w:r>
      <w:r w:rsidR="000746B5" w:rsidRPr="000746B5">
        <w:rPr>
          <w:lang w:val="ru-RU"/>
        </w:rPr>
        <w:t xml:space="preserve"> </w:t>
      </w:r>
      <w:r w:rsidR="000746B5">
        <w:rPr>
          <w:lang w:val="ru-RU"/>
        </w:rPr>
        <w:t>разделять</w:t>
      </w:r>
      <w:r w:rsidR="000746B5" w:rsidRPr="000746B5">
        <w:rPr>
          <w:lang w:val="ru-RU"/>
        </w:rPr>
        <w:t xml:space="preserve"> </w:t>
      </w:r>
      <w:r w:rsidR="000746B5">
        <w:rPr>
          <w:lang w:val="ru-RU"/>
        </w:rPr>
        <w:t>обычное</w:t>
      </w:r>
      <w:r w:rsidR="000746B5" w:rsidRPr="000746B5">
        <w:rPr>
          <w:lang w:val="ru-RU"/>
        </w:rPr>
        <w:t xml:space="preserve"> </w:t>
      </w:r>
      <w:r w:rsidR="000746B5">
        <w:rPr>
          <w:lang w:val="ru-RU"/>
        </w:rPr>
        <w:t>сотрудничество</w:t>
      </w:r>
      <w:r w:rsidR="000746B5" w:rsidRPr="000746B5">
        <w:rPr>
          <w:lang w:val="ru-RU"/>
        </w:rPr>
        <w:t xml:space="preserve"> </w:t>
      </w:r>
      <w:r w:rsidR="000746B5">
        <w:rPr>
          <w:lang w:val="ru-RU"/>
        </w:rPr>
        <w:t>и</w:t>
      </w:r>
      <w:r w:rsidR="000746B5" w:rsidRPr="000746B5">
        <w:rPr>
          <w:lang w:val="ru-RU"/>
        </w:rPr>
        <w:t xml:space="preserve"> </w:t>
      </w:r>
      <w:r w:rsidR="000746B5">
        <w:rPr>
          <w:lang w:val="ru-RU"/>
        </w:rPr>
        <w:t>стратегические</w:t>
      </w:r>
      <w:r w:rsidR="000746B5" w:rsidRPr="000746B5">
        <w:rPr>
          <w:lang w:val="ru-RU"/>
        </w:rPr>
        <w:t xml:space="preserve"> </w:t>
      </w:r>
      <w:r w:rsidR="000746B5">
        <w:rPr>
          <w:lang w:val="ru-RU"/>
        </w:rPr>
        <w:t>партнерства</w:t>
      </w:r>
      <w:r w:rsidR="000746B5" w:rsidRPr="000746B5">
        <w:rPr>
          <w:lang w:val="ru-RU"/>
        </w:rPr>
        <w:t xml:space="preserve">, </w:t>
      </w:r>
      <w:r w:rsidR="000746B5">
        <w:rPr>
          <w:lang w:val="ru-RU"/>
        </w:rPr>
        <w:t>а</w:t>
      </w:r>
      <w:r w:rsidR="000746B5" w:rsidRPr="000746B5">
        <w:rPr>
          <w:lang w:val="ru-RU"/>
        </w:rPr>
        <w:t xml:space="preserve"> </w:t>
      </w:r>
      <w:r w:rsidR="000746B5">
        <w:rPr>
          <w:lang w:val="ru-RU"/>
        </w:rPr>
        <w:t>также</w:t>
      </w:r>
      <w:r w:rsidR="000746B5" w:rsidRPr="000746B5">
        <w:rPr>
          <w:lang w:val="ru-RU"/>
        </w:rPr>
        <w:t xml:space="preserve"> </w:t>
      </w:r>
      <w:r w:rsidR="000746B5">
        <w:rPr>
          <w:lang w:val="ru-RU"/>
        </w:rPr>
        <w:t>предусматривать</w:t>
      </w:r>
      <w:r w:rsidR="000746B5" w:rsidRPr="000746B5">
        <w:rPr>
          <w:lang w:val="ru-RU"/>
        </w:rPr>
        <w:t xml:space="preserve"> </w:t>
      </w:r>
      <w:r w:rsidR="000746B5">
        <w:rPr>
          <w:lang w:val="ru-RU"/>
        </w:rPr>
        <w:t>показатели</w:t>
      </w:r>
      <w:r w:rsidR="000746B5" w:rsidRPr="000746B5">
        <w:rPr>
          <w:lang w:val="ru-RU"/>
        </w:rPr>
        <w:t xml:space="preserve"> </w:t>
      </w:r>
      <w:r w:rsidR="000746B5">
        <w:rPr>
          <w:lang w:val="ru-RU"/>
        </w:rPr>
        <w:t>оценки</w:t>
      </w:r>
      <w:r w:rsidR="000746B5" w:rsidRPr="000746B5">
        <w:rPr>
          <w:lang w:val="ru-RU"/>
        </w:rPr>
        <w:t xml:space="preserve"> </w:t>
      </w:r>
      <w:r w:rsidR="000746B5">
        <w:rPr>
          <w:lang w:val="ru-RU"/>
        </w:rPr>
        <w:t>оперативной</w:t>
      </w:r>
      <w:r w:rsidR="000746B5" w:rsidRPr="000746B5">
        <w:rPr>
          <w:lang w:val="ru-RU"/>
        </w:rPr>
        <w:t xml:space="preserve"> </w:t>
      </w:r>
      <w:r w:rsidR="000746B5">
        <w:rPr>
          <w:lang w:val="ru-RU"/>
        </w:rPr>
        <w:t>деятельности</w:t>
      </w:r>
      <w:r w:rsidR="000746B5" w:rsidRPr="000746B5">
        <w:rPr>
          <w:lang w:val="ru-RU"/>
        </w:rPr>
        <w:t xml:space="preserve">, </w:t>
      </w:r>
      <w:r w:rsidR="000746B5">
        <w:rPr>
          <w:lang w:val="ru-RU"/>
        </w:rPr>
        <w:t>позволяющие отслеживать более широкие последствия партнерских проектов в качестве уникального направления деятельности со свои</w:t>
      </w:r>
      <w:r w:rsidR="00046C7F">
        <w:rPr>
          <w:lang w:val="ru-RU"/>
        </w:rPr>
        <w:t>ми характерными особенностями.</w:t>
      </w:r>
    </w:p>
    <w:p w14:paraId="11A08079" w14:textId="77777777" w:rsidR="00FB3E47" w:rsidRPr="00527841" w:rsidRDefault="000746B5" w:rsidP="00F953FF">
      <w:pPr>
        <w:pStyle w:val="ONUME"/>
        <w:rPr>
          <w:lang w:val="ru-RU"/>
        </w:rPr>
      </w:pPr>
      <w:r>
        <w:rPr>
          <w:lang w:val="ru-RU"/>
        </w:rPr>
        <w:t>Оценка</w:t>
      </w:r>
      <w:r w:rsidRPr="000746B5">
        <w:rPr>
          <w:lang w:val="ru-RU"/>
        </w:rPr>
        <w:t xml:space="preserve"> </w:t>
      </w:r>
      <w:r>
        <w:rPr>
          <w:lang w:val="ru-RU"/>
        </w:rPr>
        <w:t>показала</w:t>
      </w:r>
      <w:r w:rsidRPr="000746B5">
        <w:rPr>
          <w:lang w:val="ru-RU"/>
        </w:rPr>
        <w:t xml:space="preserve">, </w:t>
      </w:r>
      <w:r>
        <w:rPr>
          <w:lang w:val="ru-RU"/>
        </w:rPr>
        <w:t>что</w:t>
      </w:r>
      <w:r w:rsidRPr="000746B5">
        <w:rPr>
          <w:lang w:val="ru-RU"/>
        </w:rPr>
        <w:t xml:space="preserve"> </w:t>
      </w:r>
      <w:r>
        <w:rPr>
          <w:lang w:val="ru-RU"/>
        </w:rPr>
        <w:t>система</w:t>
      </w:r>
      <w:r w:rsidRPr="000746B5">
        <w:rPr>
          <w:lang w:val="ru-RU"/>
        </w:rPr>
        <w:t xml:space="preserve"> </w:t>
      </w:r>
      <w:r>
        <w:rPr>
          <w:lang w:val="ru-RU"/>
        </w:rPr>
        <w:t>управления</w:t>
      </w:r>
      <w:r w:rsidRPr="000746B5">
        <w:rPr>
          <w:lang w:val="ru-RU"/>
        </w:rPr>
        <w:t xml:space="preserve"> </w:t>
      </w:r>
      <w:r>
        <w:rPr>
          <w:lang w:val="ru-RU"/>
        </w:rPr>
        <w:t>информацией</w:t>
      </w:r>
      <w:r w:rsidRPr="000746B5">
        <w:rPr>
          <w:lang w:val="ru-RU"/>
        </w:rPr>
        <w:t xml:space="preserve"> </w:t>
      </w:r>
      <w:r>
        <w:rPr>
          <w:lang w:val="ru-RU"/>
        </w:rPr>
        <w:t>и</w:t>
      </w:r>
      <w:r w:rsidRPr="000746B5">
        <w:rPr>
          <w:lang w:val="ru-RU"/>
        </w:rPr>
        <w:t xml:space="preserve"> </w:t>
      </w:r>
      <w:r>
        <w:rPr>
          <w:lang w:val="ru-RU"/>
        </w:rPr>
        <w:t>знаниями</w:t>
      </w:r>
      <w:r w:rsidRPr="000746B5">
        <w:rPr>
          <w:lang w:val="ru-RU"/>
        </w:rPr>
        <w:t xml:space="preserve">, </w:t>
      </w:r>
      <w:r>
        <w:rPr>
          <w:lang w:val="ru-RU"/>
        </w:rPr>
        <w:t>применяемая</w:t>
      </w:r>
      <w:r w:rsidRPr="000746B5">
        <w:rPr>
          <w:lang w:val="ru-RU"/>
        </w:rPr>
        <w:t xml:space="preserve"> </w:t>
      </w:r>
      <w:r>
        <w:rPr>
          <w:lang w:val="ru-RU"/>
        </w:rPr>
        <w:t>в</w:t>
      </w:r>
      <w:r w:rsidRPr="000746B5">
        <w:rPr>
          <w:lang w:val="ru-RU"/>
        </w:rPr>
        <w:t xml:space="preserve"> </w:t>
      </w:r>
      <w:r>
        <w:rPr>
          <w:lang w:val="ru-RU"/>
        </w:rPr>
        <w:t>рамках</w:t>
      </w:r>
      <w:r w:rsidRPr="000746B5">
        <w:rPr>
          <w:lang w:val="ru-RU"/>
        </w:rPr>
        <w:t xml:space="preserve"> </w:t>
      </w:r>
      <w:r>
        <w:rPr>
          <w:lang w:val="ru-RU"/>
        </w:rPr>
        <w:t>партнерских</w:t>
      </w:r>
      <w:r w:rsidRPr="000746B5">
        <w:rPr>
          <w:lang w:val="ru-RU"/>
        </w:rPr>
        <w:t xml:space="preserve"> </w:t>
      </w:r>
      <w:r>
        <w:rPr>
          <w:lang w:val="ru-RU"/>
        </w:rPr>
        <w:t>проектов</w:t>
      </w:r>
      <w:r w:rsidRPr="000746B5">
        <w:rPr>
          <w:lang w:val="ru-RU"/>
        </w:rPr>
        <w:t xml:space="preserve">, </w:t>
      </w:r>
      <w:r>
        <w:rPr>
          <w:lang w:val="ru-RU"/>
        </w:rPr>
        <w:t>требует</w:t>
      </w:r>
      <w:r w:rsidRPr="000746B5">
        <w:rPr>
          <w:lang w:val="ru-RU"/>
        </w:rPr>
        <w:t xml:space="preserve"> </w:t>
      </w:r>
      <w:r>
        <w:rPr>
          <w:lang w:val="ru-RU"/>
        </w:rPr>
        <w:t>улучшений</w:t>
      </w:r>
      <w:r w:rsidRPr="000746B5">
        <w:rPr>
          <w:lang w:val="ru-RU"/>
        </w:rPr>
        <w:t xml:space="preserve"> </w:t>
      </w:r>
      <w:r>
        <w:rPr>
          <w:lang w:val="ru-RU"/>
        </w:rPr>
        <w:t>в</w:t>
      </w:r>
      <w:r w:rsidRPr="000746B5">
        <w:rPr>
          <w:lang w:val="ru-RU"/>
        </w:rPr>
        <w:t xml:space="preserve"> </w:t>
      </w:r>
      <w:r>
        <w:rPr>
          <w:lang w:val="ru-RU"/>
        </w:rPr>
        <w:t>рамках</w:t>
      </w:r>
      <w:r w:rsidRPr="000746B5">
        <w:rPr>
          <w:lang w:val="ru-RU"/>
        </w:rPr>
        <w:t xml:space="preserve"> </w:t>
      </w:r>
      <w:r>
        <w:rPr>
          <w:lang w:val="ru-RU"/>
        </w:rPr>
        <w:t>большинства</w:t>
      </w:r>
      <w:r w:rsidRPr="000746B5">
        <w:rPr>
          <w:lang w:val="ru-RU"/>
        </w:rPr>
        <w:t xml:space="preserve"> </w:t>
      </w:r>
      <w:r>
        <w:rPr>
          <w:lang w:val="ru-RU"/>
        </w:rPr>
        <w:t>партнерских</w:t>
      </w:r>
      <w:r w:rsidRPr="000746B5">
        <w:rPr>
          <w:lang w:val="ru-RU"/>
        </w:rPr>
        <w:t xml:space="preserve"> </w:t>
      </w:r>
      <w:r>
        <w:rPr>
          <w:lang w:val="ru-RU"/>
        </w:rPr>
        <w:t>проектов</w:t>
      </w:r>
      <w:r w:rsidRPr="000746B5">
        <w:rPr>
          <w:lang w:val="ru-RU"/>
        </w:rPr>
        <w:t xml:space="preserve">, </w:t>
      </w:r>
      <w:r>
        <w:rPr>
          <w:lang w:val="ru-RU"/>
        </w:rPr>
        <w:t>которые</w:t>
      </w:r>
      <w:r w:rsidRPr="000746B5">
        <w:rPr>
          <w:lang w:val="ru-RU"/>
        </w:rPr>
        <w:t xml:space="preserve"> </w:t>
      </w:r>
      <w:r>
        <w:rPr>
          <w:lang w:val="ru-RU"/>
        </w:rPr>
        <w:t>не</w:t>
      </w:r>
      <w:r w:rsidRPr="000746B5">
        <w:rPr>
          <w:lang w:val="ru-RU"/>
        </w:rPr>
        <w:t xml:space="preserve"> </w:t>
      </w:r>
      <w:r>
        <w:rPr>
          <w:lang w:val="ru-RU"/>
        </w:rPr>
        <w:t>подпадают</w:t>
      </w:r>
      <w:r w:rsidRPr="000746B5">
        <w:rPr>
          <w:lang w:val="ru-RU"/>
        </w:rPr>
        <w:t xml:space="preserve"> </w:t>
      </w:r>
      <w:r>
        <w:rPr>
          <w:lang w:val="ru-RU"/>
        </w:rPr>
        <w:t>под</w:t>
      </w:r>
      <w:r w:rsidRPr="000746B5">
        <w:rPr>
          <w:lang w:val="ru-RU"/>
        </w:rPr>
        <w:t xml:space="preserve"> </w:t>
      </w:r>
      <w:r>
        <w:rPr>
          <w:lang w:val="ru-RU"/>
        </w:rPr>
        <w:t>категорию</w:t>
      </w:r>
      <w:r w:rsidRPr="000746B5">
        <w:rPr>
          <w:lang w:val="ru-RU"/>
        </w:rPr>
        <w:t xml:space="preserve"> </w:t>
      </w:r>
      <w:r>
        <w:rPr>
          <w:lang w:val="ru-RU"/>
        </w:rPr>
        <w:t>целевых</w:t>
      </w:r>
      <w:r w:rsidRPr="000746B5">
        <w:rPr>
          <w:lang w:val="ru-RU"/>
        </w:rPr>
        <w:t xml:space="preserve"> </w:t>
      </w:r>
      <w:r>
        <w:rPr>
          <w:lang w:val="ru-RU"/>
        </w:rPr>
        <w:t>фондов.</w:t>
      </w:r>
      <w:r w:rsidRPr="000746B5">
        <w:rPr>
          <w:lang w:val="ru-RU"/>
        </w:rPr>
        <w:t xml:space="preserve"> </w:t>
      </w:r>
      <w:r>
        <w:rPr>
          <w:lang w:val="ru-RU"/>
        </w:rPr>
        <w:t xml:space="preserve"> Многие</w:t>
      </w:r>
      <w:r w:rsidRPr="000746B5">
        <w:rPr>
          <w:lang w:val="ru-RU"/>
        </w:rPr>
        <w:t xml:space="preserve"> </w:t>
      </w:r>
      <w:r>
        <w:rPr>
          <w:lang w:val="ru-RU"/>
        </w:rPr>
        <w:t>аспекты</w:t>
      </w:r>
      <w:r w:rsidRPr="000746B5">
        <w:rPr>
          <w:lang w:val="ru-RU"/>
        </w:rPr>
        <w:t xml:space="preserve"> </w:t>
      </w:r>
      <w:r>
        <w:rPr>
          <w:lang w:val="ru-RU"/>
        </w:rPr>
        <w:t>партнерских</w:t>
      </w:r>
      <w:r w:rsidRPr="000746B5">
        <w:rPr>
          <w:lang w:val="ru-RU"/>
        </w:rPr>
        <w:t xml:space="preserve"> </w:t>
      </w:r>
      <w:r>
        <w:rPr>
          <w:lang w:val="ru-RU"/>
        </w:rPr>
        <w:t>проектов</w:t>
      </w:r>
      <w:r w:rsidRPr="000746B5">
        <w:rPr>
          <w:lang w:val="ru-RU"/>
        </w:rPr>
        <w:t xml:space="preserve"> </w:t>
      </w:r>
      <w:r>
        <w:rPr>
          <w:lang w:val="ru-RU"/>
        </w:rPr>
        <w:t>ВОИС</w:t>
      </w:r>
      <w:r w:rsidRPr="000746B5">
        <w:rPr>
          <w:lang w:val="ru-RU"/>
        </w:rPr>
        <w:t xml:space="preserve"> </w:t>
      </w:r>
      <w:r>
        <w:rPr>
          <w:lang w:val="ru-RU"/>
        </w:rPr>
        <w:t>неадекватно</w:t>
      </w:r>
      <w:r w:rsidRPr="000746B5">
        <w:rPr>
          <w:lang w:val="ru-RU"/>
        </w:rPr>
        <w:t xml:space="preserve"> </w:t>
      </w:r>
      <w:r>
        <w:rPr>
          <w:lang w:val="ru-RU"/>
        </w:rPr>
        <w:t>отражены</w:t>
      </w:r>
      <w:r w:rsidRPr="000746B5">
        <w:rPr>
          <w:lang w:val="ru-RU"/>
        </w:rPr>
        <w:t xml:space="preserve"> </w:t>
      </w:r>
      <w:r>
        <w:rPr>
          <w:lang w:val="ru-RU"/>
        </w:rPr>
        <w:t>в</w:t>
      </w:r>
      <w:r w:rsidRPr="000746B5">
        <w:rPr>
          <w:lang w:val="ru-RU"/>
        </w:rPr>
        <w:t xml:space="preserve"> </w:t>
      </w:r>
      <w:r>
        <w:rPr>
          <w:lang w:val="ru-RU"/>
        </w:rPr>
        <w:t>отчетной</w:t>
      </w:r>
      <w:r w:rsidRPr="000746B5">
        <w:rPr>
          <w:lang w:val="ru-RU"/>
        </w:rPr>
        <w:t xml:space="preserve"> </w:t>
      </w:r>
      <w:r>
        <w:rPr>
          <w:lang w:val="ru-RU"/>
        </w:rPr>
        <w:t>документации</w:t>
      </w:r>
      <w:r w:rsidRPr="000746B5">
        <w:rPr>
          <w:lang w:val="ru-RU"/>
        </w:rPr>
        <w:t xml:space="preserve">, </w:t>
      </w:r>
      <w:r>
        <w:rPr>
          <w:lang w:val="ru-RU"/>
        </w:rPr>
        <w:t>а</w:t>
      </w:r>
      <w:r w:rsidRPr="000746B5">
        <w:rPr>
          <w:lang w:val="ru-RU"/>
        </w:rPr>
        <w:t xml:space="preserve"> </w:t>
      </w:r>
      <w:r>
        <w:rPr>
          <w:lang w:val="ru-RU"/>
        </w:rPr>
        <w:t>в</w:t>
      </w:r>
      <w:r w:rsidRPr="000746B5">
        <w:rPr>
          <w:lang w:val="ru-RU"/>
        </w:rPr>
        <w:t xml:space="preserve"> </w:t>
      </w:r>
      <w:r>
        <w:rPr>
          <w:lang w:val="ru-RU"/>
        </w:rPr>
        <w:t>некоторых</w:t>
      </w:r>
      <w:r w:rsidRPr="000746B5">
        <w:rPr>
          <w:lang w:val="ru-RU"/>
        </w:rPr>
        <w:t xml:space="preserve"> </w:t>
      </w:r>
      <w:r>
        <w:rPr>
          <w:lang w:val="ru-RU"/>
        </w:rPr>
        <w:t>случаях</w:t>
      </w:r>
      <w:r w:rsidRPr="000746B5">
        <w:rPr>
          <w:lang w:val="ru-RU"/>
        </w:rPr>
        <w:t xml:space="preserve"> </w:t>
      </w:r>
      <w:r>
        <w:rPr>
          <w:lang w:val="ru-RU"/>
        </w:rPr>
        <w:t>вообще</w:t>
      </w:r>
      <w:r w:rsidRPr="000746B5">
        <w:rPr>
          <w:lang w:val="ru-RU"/>
        </w:rPr>
        <w:t xml:space="preserve"> </w:t>
      </w:r>
      <w:r>
        <w:rPr>
          <w:lang w:val="ru-RU"/>
        </w:rPr>
        <w:t>отсутствует</w:t>
      </w:r>
      <w:r w:rsidRPr="000746B5">
        <w:rPr>
          <w:lang w:val="ru-RU"/>
        </w:rPr>
        <w:t xml:space="preserve"> </w:t>
      </w:r>
      <w:r>
        <w:rPr>
          <w:lang w:val="ru-RU"/>
        </w:rPr>
        <w:t>какая-либо документация, за исключением меморандумов о вза</w:t>
      </w:r>
      <w:r w:rsidR="00BB6DFC">
        <w:rPr>
          <w:lang w:val="ru-RU"/>
        </w:rPr>
        <w:t>и</w:t>
      </w:r>
      <w:r>
        <w:rPr>
          <w:lang w:val="ru-RU"/>
        </w:rPr>
        <w:t xml:space="preserve">мопонимании </w:t>
      </w:r>
      <w:r w:rsidR="00BB6DFC">
        <w:rPr>
          <w:lang w:val="ru-RU"/>
        </w:rPr>
        <w:t>(МоВ).  Систематический</w:t>
      </w:r>
      <w:r w:rsidR="00BB6DFC" w:rsidRPr="00BB6DFC">
        <w:rPr>
          <w:lang w:val="ru-RU"/>
        </w:rPr>
        <w:t xml:space="preserve"> </w:t>
      </w:r>
      <w:r w:rsidR="00BB6DFC">
        <w:rPr>
          <w:lang w:val="ru-RU"/>
        </w:rPr>
        <w:t>учет</w:t>
      </w:r>
      <w:r w:rsidR="00BB6DFC" w:rsidRPr="00BB6DFC">
        <w:rPr>
          <w:lang w:val="ru-RU"/>
        </w:rPr>
        <w:t xml:space="preserve"> </w:t>
      </w:r>
      <w:r w:rsidR="00BB6DFC">
        <w:rPr>
          <w:lang w:val="ru-RU"/>
        </w:rPr>
        <w:t>успехов</w:t>
      </w:r>
      <w:r w:rsidR="00BB6DFC" w:rsidRPr="00BB6DFC">
        <w:rPr>
          <w:lang w:val="ru-RU"/>
        </w:rPr>
        <w:t xml:space="preserve">, </w:t>
      </w:r>
      <w:r w:rsidR="00BB6DFC">
        <w:rPr>
          <w:lang w:val="ru-RU"/>
        </w:rPr>
        <w:t>проблем</w:t>
      </w:r>
      <w:r w:rsidR="00BB6DFC" w:rsidRPr="00BB6DFC">
        <w:rPr>
          <w:lang w:val="ru-RU"/>
        </w:rPr>
        <w:t xml:space="preserve"> </w:t>
      </w:r>
      <w:r w:rsidR="00BB6DFC">
        <w:rPr>
          <w:lang w:val="ru-RU"/>
        </w:rPr>
        <w:t>и</w:t>
      </w:r>
      <w:r w:rsidR="00BB6DFC" w:rsidRPr="00BB6DFC">
        <w:rPr>
          <w:lang w:val="ru-RU"/>
        </w:rPr>
        <w:t xml:space="preserve"> </w:t>
      </w:r>
      <w:r w:rsidR="00BB6DFC">
        <w:rPr>
          <w:lang w:val="ru-RU"/>
        </w:rPr>
        <w:t>достижений</w:t>
      </w:r>
      <w:r w:rsidR="00BB6DFC" w:rsidRPr="00BB6DFC">
        <w:rPr>
          <w:lang w:val="ru-RU"/>
        </w:rPr>
        <w:t xml:space="preserve"> </w:t>
      </w:r>
      <w:r w:rsidR="00BB6DFC">
        <w:rPr>
          <w:lang w:val="ru-RU"/>
        </w:rPr>
        <w:t>не</w:t>
      </w:r>
      <w:r w:rsidR="00BB6DFC" w:rsidRPr="00BB6DFC">
        <w:rPr>
          <w:lang w:val="ru-RU"/>
        </w:rPr>
        <w:t xml:space="preserve"> </w:t>
      </w:r>
      <w:r w:rsidR="00BB6DFC">
        <w:rPr>
          <w:lang w:val="ru-RU"/>
        </w:rPr>
        <w:t>ведется</w:t>
      </w:r>
      <w:r w:rsidR="00BB6DFC" w:rsidRPr="00BB6DFC">
        <w:rPr>
          <w:lang w:val="ru-RU"/>
        </w:rPr>
        <w:t xml:space="preserve">, </w:t>
      </w:r>
      <w:r w:rsidR="00BB6DFC">
        <w:rPr>
          <w:lang w:val="ru-RU"/>
        </w:rPr>
        <w:t>что</w:t>
      </w:r>
      <w:r w:rsidR="00BB6DFC" w:rsidRPr="00BB6DFC">
        <w:rPr>
          <w:lang w:val="ru-RU"/>
        </w:rPr>
        <w:t xml:space="preserve"> </w:t>
      </w:r>
      <w:r w:rsidR="00BB6DFC">
        <w:rPr>
          <w:lang w:val="ru-RU"/>
        </w:rPr>
        <w:t>ограничивает</w:t>
      </w:r>
      <w:r w:rsidR="00BB6DFC" w:rsidRPr="00BB6DFC">
        <w:rPr>
          <w:lang w:val="ru-RU"/>
        </w:rPr>
        <w:t xml:space="preserve"> </w:t>
      </w:r>
      <w:r w:rsidR="00BB6DFC">
        <w:rPr>
          <w:lang w:val="ru-RU"/>
        </w:rPr>
        <w:t>возможности</w:t>
      </w:r>
      <w:r w:rsidR="00BB6DFC" w:rsidRPr="00BB6DFC">
        <w:rPr>
          <w:lang w:val="ru-RU"/>
        </w:rPr>
        <w:t xml:space="preserve"> </w:t>
      </w:r>
      <w:r w:rsidR="00BB6DFC">
        <w:rPr>
          <w:lang w:val="ru-RU"/>
        </w:rPr>
        <w:t>в</w:t>
      </w:r>
      <w:r w:rsidR="00BB6DFC" w:rsidRPr="00BB6DFC">
        <w:rPr>
          <w:lang w:val="ru-RU"/>
        </w:rPr>
        <w:t xml:space="preserve"> </w:t>
      </w:r>
      <w:r w:rsidR="00BB6DFC">
        <w:rPr>
          <w:lang w:val="ru-RU"/>
        </w:rPr>
        <w:t>плане</w:t>
      </w:r>
      <w:r w:rsidR="00BB6DFC" w:rsidRPr="00BB6DFC">
        <w:rPr>
          <w:lang w:val="ru-RU"/>
        </w:rPr>
        <w:t xml:space="preserve"> </w:t>
      </w:r>
      <w:r w:rsidR="00BB6DFC">
        <w:rPr>
          <w:lang w:val="ru-RU"/>
        </w:rPr>
        <w:t xml:space="preserve">извлечения уроков из накопленного опыта. </w:t>
      </w:r>
      <w:r w:rsidR="00BB6DFC" w:rsidRPr="00BB6DFC">
        <w:rPr>
          <w:lang w:val="ru-RU"/>
        </w:rPr>
        <w:t xml:space="preserve"> </w:t>
      </w:r>
      <w:r w:rsidR="00BB6DFC">
        <w:rPr>
          <w:lang w:val="ru-RU"/>
        </w:rPr>
        <w:t>По</w:t>
      </w:r>
      <w:r w:rsidR="00BB6DFC" w:rsidRPr="00BB6DFC">
        <w:rPr>
          <w:lang w:val="ru-RU"/>
        </w:rPr>
        <w:t xml:space="preserve"> </w:t>
      </w:r>
      <w:r w:rsidR="00BB6DFC">
        <w:rPr>
          <w:lang w:val="ru-RU"/>
        </w:rPr>
        <w:t>итогам</w:t>
      </w:r>
      <w:r w:rsidR="00BB6DFC" w:rsidRPr="00BB6DFC">
        <w:rPr>
          <w:lang w:val="ru-RU"/>
        </w:rPr>
        <w:t xml:space="preserve"> </w:t>
      </w:r>
      <w:r w:rsidR="00BB6DFC">
        <w:rPr>
          <w:lang w:val="ru-RU"/>
        </w:rPr>
        <w:t>оценки</w:t>
      </w:r>
      <w:r w:rsidR="00BB6DFC" w:rsidRPr="00BB6DFC">
        <w:rPr>
          <w:lang w:val="ru-RU"/>
        </w:rPr>
        <w:t xml:space="preserve"> </w:t>
      </w:r>
      <w:r w:rsidR="00BB6DFC">
        <w:rPr>
          <w:lang w:val="ru-RU"/>
        </w:rPr>
        <w:t>выявились</w:t>
      </w:r>
      <w:r w:rsidR="00BB6DFC" w:rsidRPr="00BB6DFC">
        <w:rPr>
          <w:lang w:val="ru-RU"/>
        </w:rPr>
        <w:t xml:space="preserve"> </w:t>
      </w:r>
      <w:r w:rsidR="00BB6DFC">
        <w:rPr>
          <w:lang w:val="ru-RU"/>
        </w:rPr>
        <w:t>ощутимые</w:t>
      </w:r>
      <w:r w:rsidR="00BB6DFC" w:rsidRPr="00BB6DFC">
        <w:rPr>
          <w:lang w:val="ru-RU"/>
        </w:rPr>
        <w:t xml:space="preserve"> </w:t>
      </w:r>
      <w:r w:rsidR="00BB6DFC">
        <w:rPr>
          <w:lang w:val="ru-RU"/>
        </w:rPr>
        <w:t>пробелы</w:t>
      </w:r>
      <w:r w:rsidR="00BB6DFC" w:rsidRPr="00BB6DFC">
        <w:rPr>
          <w:lang w:val="ru-RU"/>
        </w:rPr>
        <w:t xml:space="preserve"> </w:t>
      </w:r>
      <w:r w:rsidR="00BB6DFC">
        <w:rPr>
          <w:lang w:val="ru-RU"/>
        </w:rPr>
        <w:t>в</w:t>
      </w:r>
      <w:r w:rsidR="00BB6DFC" w:rsidRPr="00BB6DFC">
        <w:rPr>
          <w:lang w:val="ru-RU"/>
        </w:rPr>
        <w:t xml:space="preserve"> </w:t>
      </w:r>
      <w:r w:rsidR="00BB6DFC">
        <w:rPr>
          <w:lang w:val="ru-RU"/>
        </w:rPr>
        <w:t>рамках</w:t>
      </w:r>
      <w:r w:rsidR="00BB6DFC" w:rsidRPr="00BB6DFC">
        <w:rPr>
          <w:lang w:val="ru-RU"/>
        </w:rPr>
        <w:t xml:space="preserve"> </w:t>
      </w:r>
      <w:r w:rsidR="00BB6DFC">
        <w:rPr>
          <w:lang w:val="ru-RU"/>
        </w:rPr>
        <w:t>систем</w:t>
      </w:r>
      <w:r w:rsidR="00BB6DFC" w:rsidRPr="00BB6DFC">
        <w:rPr>
          <w:lang w:val="ru-RU"/>
        </w:rPr>
        <w:t xml:space="preserve"> </w:t>
      </w:r>
      <w:r w:rsidR="00BB6DFC">
        <w:rPr>
          <w:lang w:val="ru-RU"/>
        </w:rPr>
        <w:t>управления</w:t>
      </w:r>
      <w:r w:rsidR="00BB6DFC" w:rsidRPr="00BB6DFC">
        <w:rPr>
          <w:lang w:val="ru-RU"/>
        </w:rPr>
        <w:t xml:space="preserve"> </w:t>
      </w:r>
      <w:r w:rsidR="00BB6DFC">
        <w:rPr>
          <w:lang w:val="ru-RU"/>
        </w:rPr>
        <w:t>знаниями</w:t>
      </w:r>
      <w:r w:rsidR="00BB6DFC" w:rsidRPr="00BB6DFC">
        <w:rPr>
          <w:lang w:val="ru-RU"/>
        </w:rPr>
        <w:t xml:space="preserve"> </w:t>
      </w:r>
      <w:r w:rsidR="00BB6DFC">
        <w:rPr>
          <w:lang w:val="ru-RU"/>
        </w:rPr>
        <w:t>и</w:t>
      </w:r>
      <w:r w:rsidR="00BB6DFC" w:rsidRPr="00BB6DFC">
        <w:rPr>
          <w:lang w:val="ru-RU"/>
        </w:rPr>
        <w:t xml:space="preserve"> </w:t>
      </w:r>
      <w:r w:rsidR="00BB6DFC">
        <w:rPr>
          <w:lang w:val="ru-RU"/>
        </w:rPr>
        <w:t>коммуникации</w:t>
      </w:r>
      <w:r w:rsidR="00BB6DFC" w:rsidRPr="00BB6DFC">
        <w:rPr>
          <w:lang w:val="ru-RU"/>
        </w:rPr>
        <w:t xml:space="preserve"> </w:t>
      </w:r>
      <w:r w:rsidR="00BB6DFC">
        <w:rPr>
          <w:lang w:val="ru-RU"/>
        </w:rPr>
        <w:t>в</w:t>
      </w:r>
      <w:r w:rsidR="00BB6DFC" w:rsidRPr="00BB6DFC">
        <w:rPr>
          <w:lang w:val="ru-RU"/>
        </w:rPr>
        <w:t xml:space="preserve"> </w:t>
      </w:r>
      <w:r w:rsidR="00BB6DFC">
        <w:rPr>
          <w:lang w:val="ru-RU"/>
        </w:rPr>
        <w:t>том</w:t>
      </w:r>
      <w:r w:rsidR="00BB6DFC" w:rsidRPr="00BB6DFC">
        <w:rPr>
          <w:lang w:val="ru-RU"/>
        </w:rPr>
        <w:t xml:space="preserve">, </w:t>
      </w:r>
      <w:r w:rsidR="00BB6DFC">
        <w:rPr>
          <w:lang w:val="ru-RU"/>
        </w:rPr>
        <w:t xml:space="preserve">что касается партнерских проектов.  </w:t>
      </w:r>
      <w:r w:rsidR="00FB3E47">
        <w:rPr>
          <w:lang w:val="ru-RU"/>
        </w:rPr>
        <w:t xml:space="preserve">Оба этих момента </w:t>
      </w:r>
      <w:r w:rsidR="00BB6DFC" w:rsidRPr="00BB6DFC">
        <w:rPr>
          <w:lang w:val="ru-RU"/>
        </w:rPr>
        <w:t>имеют ключевое значение для содействия развитию партнерских проектов, повышения эффективности и задействования возможностей для дальнейшего сотрудничества на организационном уровне.</w:t>
      </w:r>
      <w:r w:rsidR="00BB6DFC">
        <w:rPr>
          <w:lang w:val="ru-RU"/>
        </w:rPr>
        <w:t xml:space="preserve">  </w:t>
      </w:r>
    </w:p>
    <w:p w14:paraId="1CE05A69" w14:textId="2678DF01" w:rsidR="00C46B12" w:rsidRPr="00046C7F" w:rsidRDefault="00292F87" w:rsidP="00046C7F">
      <w:pPr>
        <w:pStyle w:val="ONUME"/>
        <w:numPr>
          <w:ilvl w:val="0"/>
          <w:numId w:val="0"/>
        </w:numPr>
        <w:spacing w:after="480"/>
        <w:ind w:left="547"/>
        <w:rPr>
          <w:lang w:val="ru-RU"/>
        </w:rPr>
      </w:pPr>
      <w:r w:rsidRPr="00046C7F">
        <w:rPr>
          <w:lang w:val="ru-RU"/>
        </w:rPr>
        <w:t xml:space="preserve">Согласно рекомендациям, содержащимся в отчете по итогам оценки, в рамках </w:t>
      </w:r>
      <w:r w:rsidR="001317B1" w:rsidRPr="00046C7F">
        <w:rPr>
          <w:lang w:val="ru-RU"/>
        </w:rPr>
        <w:t xml:space="preserve">изученных </w:t>
      </w:r>
      <w:r w:rsidRPr="00046C7F">
        <w:rPr>
          <w:lang w:val="ru-RU"/>
        </w:rPr>
        <w:t xml:space="preserve">секторов и программ необходимы новые или улучшенные </w:t>
      </w:r>
      <w:r w:rsidR="001317B1" w:rsidRPr="00046C7F">
        <w:rPr>
          <w:lang w:val="ru-RU"/>
        </w:rPr>
        <w:t>принципы организации партнерских проектов</w:t>
      </w:r>
      <w:r w:rsidRPr="00046C7F">
        <w:rPr>
          <w:lang w:val="ru-RU"/>
        </w:rPr>
        <w:t xml:space="preserve">, ясно сформулированные и реалистичные цели, четко работающие схемы сотрудничества (включая меморандумы о взаимопонимании (МоВ)), контрактные механизмы, а также мероприятия в сфере профессиональной подготовки, мониторинга и обмена партнерским опытом в целях удовлетворения программных потребностей.  </w:t>
      </w:r>
      <w:r w:rsidR="001317B1" w:rsidRPr="00046C7F">
        <w:rPr>
          <w:lang w:val="ru-RU"/>
        </w:rPr>
        <w:t>В рамках этих секторов и программ следует использовать систему УОР для содействия обучению и обмену опытом путем ее увязки с партнерскими соглашениями и аналогичными документами, включая планы, МоВ, доклады, а также данные о результатах работы, достигнутых успехах и накопленном опыте</w:t>
      </w:r>
      <w:bookmarkStart w:id="35" w:name="_Hlk40807507"/>
      <w:r w:rsidR="00046C7F">
        <w:rPr>
          <w:lang w:val="ru-RU"/>
        </w:rPr>
        <w:t>.</w:t>
      </w:r>
    </w:p>
    <w:p w14:paraId="33224FED" w14:textId="0CD0187D" w:rsidR="00841A9C" w:rsidRPr="00841A9C" w:rsidRDefault="00841A9C" w:rsidP="00841A9C">
      <w:pPr>
        <w:pStyle w:val="Heading1"/>
        <w:rPr>
          <w:lang w:val="ru-RU"/>
        </w:rPr>
      </w:pPr>
      <w:bookmarkStart w:id="36" w:name="_Toc11683741"/>
      <w:bookmarkStart w:id="37" w:name="_Toc40299729"/>
      <w:bookmarkStart w:id="38" w:name="_Toc328920437"/>
      <w:bookmarkEnd w:id="35"/>
      <w:r w:rsidRPr="00841A9C">
        <w:rPr>
          <w:lang w:val="ru-RU"/>
        </w:rPr>
        <w:t>РАССЛЕДОВАНИЯ</w:t>
      </w:r>
      <w:bookmarkEnd w:id="36"/>
      <w:bookmarkEnd w:id="37"/>
    </w:p>
    <w:p w14:paraId="22D073D2" w14:textId="5F375185" w:rsidR="00C46B12" w:rsidRPr="00164401" w:rsidRDefault="00841A9C" w:rsidP="00C46B12">
      <w:pPr>
        <w:pStyle w:val="Heading2"/>
        <w:rPr>
          <w:lang w:val="en-GB"/>
        </w:rPr>
      </w:pPr>
      <w:bookmarkStart w:id="39" w:name="_Toc40299730"/>
      <w:r>
        <w:rPr>
          <w:lang w:val="ru-RU"/>
        </w:rPr>
        <w:t>обзор рабочей нагрузки</w:t>
      </w:r>
      <w:bookmarkEnd w:id="39"/>
    </w:p>
    <w:p w14:paraId="31F8135C" w14:textId="3E1339C9" w:rsidR="00C46B12" w:rsidRPr="00CE0303" w:rsidRDefault="00164401" w:rsidP="00046C7F">
      <w:pPr>
        <w:pStyle w:val="ONUME"/>
        <w:spacing w:after="480"/>
        <w:rPr>
          <w:lang w:val="ru-RU"/>
        </w:rPr>
      </w:pPr>
      <w:r w:rsidRPr="00164401">
        <w:rPr>
          <w:lang w:val="ru-RU"/>
        </w:rPr>
        <w:t>В течение отчетного периода было зарегистрировано 17 нов</w:t>
      </w:r>
      <w:r w:rsidR="00431669">
        <w:rPr>
          <w:lang w:val="ru-RU"/>
        </w:rPr>
        <w:t>ых</w:t>
      </w:r>
      <w:r w:rsidRPr="00164401">
        <w:rPr>
          <w:lang w:val="ru-RU"/>
        </w:rPr>
        <w:t xml:space="preserve"> дел (что на 47 процентов </w:t>
      </w:r>
      <w:r w:rsidR="00431669">
        <w:rPr>
          <w:lang w:val="ru-RU"/>
        </w:rPr>
        <w:t>меньше</w:t>
      </w:r>
      <w:r w:rsidRPr="00164401">
        <w:rPr>
          <w:lang w:val="ru-RU"/>
        </w:rPr>
        <w:t xml:space="preserve"> по сравнению с предыдущим отчетным периодом) и было закрыто 20 дел.</w:t>
      </w:r>
      <w:r w:rsidR="00C46B12" w:rsidRPr="00164401">
        <w:rPr>
          <w:lang w:val="ru-RU"/>
        </w:rPr>
        <w:t xml:space="preserve">  </w:t>
      </w:r>
      <w:r w:rsidRPr="00164401">
        <w:rPr>
          <w:lang w:val="ru-RU"/>
        </w:rPr>
        <w:t>По состоянию на 31</w:t>
      </w:r>
      <w:r w:rsidRPr="00164401">
        <w:rPr>
          <w:lang w:val="en-GB"/>
        </w:rPr>
        <w:t> </w:t>
      </w:r>
      <w:r>
        <w:rPr>
          <w:lang w:val="ru-RU"/>
        </w:rPr>
        <w:t>декабря</w:t>
      </w:r>
      <w:r w:rsidRPr="00164401">
        <w:rPr>
          <w:lang w:val="ru-RU"/>
        </w:rPr>
        <w:t xml:space="preserve"> 2019 г. в разработке находились 1</w:t>
      </w:r>
      <w:r>
        <w:rPr>
          <w:lang w:val="ru-RU"/>
        </w:rPr>
        <w:t>1</w:t>
      </w:r>
      <w:r w:rsidRPr="00164401">
        <w:rPr>
          <w:lang w:val="ru-RU"/>
        </w:rPr>
        <w:t xml:space="preserve"> дел, в том числе </w:t>
      </w:r>
      <w:r>
        <w:rPr>
          <w:lang w:val="ru-RU"/>
        </w:rPr>
        <w:t>пять</w:t>
      </w:r>
      <w:r w:rsidRPr="00164401">
        <w:rPr>
          <w:lang w:val="ru-RU"/>
        </w:rPr>
        <w:t xml:space="preserve"> на этапе предварительной оценки, </w:t>
      </w:r>
      <w:r>
        <w:rPr>
          <w:lang w:val="ru-RU"/>
        </w:rPr>
        <w:t>два</w:t>
      </w:r>
      <w:r w:rsidRPr="00164401">
        <w:rPr>
          <w:lang w:val="ru-RU"/>
        </w:rPr>
        <w:t xml:space="preserve"> — в процессе полномасштабного расследования и еще </w:t>
      </w:r>
      <w:r>
        <w:rPr>
          <w:lang w:val="ru-RU"/>
        </w:rPr>
        <w:t>четыре</w:t>
      </w:r>
      <w:r w:rsidRPr="00164401">
        <w:rPr>
          <w:lang w:val="ru-RU"/>
        </w:rPr>
        <w:t xml:space="preserve"> были приостановлены в ожидании решения сторонней </w:t>
      </w:r>
      <w:r w:rsidRPr="00164401">
        <w:rPr>
          <w:lang w:val="ru-RU"/>
        </w:rPr>
        <w:lastRenderedPageBreak/>
        <w:t>организации.</w:t>
      </w:r>
      <w:r w:rsidR="00C46B12" w:rsidRPr="00164401">
        <w:rPr>
          <w:lang w:val="ru-RU"/>
        </w:rPr>
        <w:t xml:space="preserve">  </w:t>
      </w:r>
      <w:r w:rsidRPr="00164401">
        <w:rPr>
          <w:lang w:val="ru-RU"/>
        </w:rPr>
        <w:t>Из незавершенных дел 10 были открыты в 2019 г. и одно — в 2016 г. По состоянию на 31 </w:t>
      </w:r>
      <w:r>
        <w:rPr>
          <w:lang w:val="ru-RU"/>
        </w:rPr>
        <w:t>декабря</w:t>
      </w:r>
      <w:r w:rsidRPr="00164401">
        <w:rPr>
          <w:lang w:val="ru-RU"/>
        </w:rPr>
        <w:t xml:space="preserve"> 2019 г. средний срок расследования дел составляет </w:t>
      </w:r>
      <w:r>
        <w:rPr>
          <w:lang w:val="ru-RU"/>
        </w:rPr>
        <w:t>4,2</w:t>
      </w:r>
      <w:r w:rsidRPr="00164401">
        <w:rPr>
          <w:lang w:val="ru-RU"/>
        </w:rPr>
        <w:t> месяца.</w:t>
      </w:r>
    </w:p>
    <w:p w14:paraId="759ECB33" w14:textId="7034A267" w:rsidR="00C46B12" w:rsidRPr="00164401" w:rsidRDefault="00164401" w:rsidP="00C46B12">
      <w:pPr>
        <w:pStyle w:val="ONUME"/>
        <w:numPr>
          <w:ilvl w:val="0"/>
          <w:numId w:val="0"/>
        </w:numPr>
        <w:jc w:val="center"/>
        <w:rPr>
          <w:b/>
          <w:sz w:val="18"/>
          <w:szCs w:val="18"/>
          <w:lang w:val="ru-RU"/>
        </w:rPr>
      </w:pPr>
      <w:r w:rsidRPr="00164401">
        <w:rPr>
          <w:b/>
          <w:sz w:val="18"/>
          <w:szCs w:val="18"/>
          <w:lang w:val="ru-RU"/>
        </w:rPr>
        <w:t>График 1. Сравнительный анализ рабочей нагрузки (расследования)</w:t>
      </w:r>
      <w:r w:rsidRPr="00164401">
        <w:rPr>
          <w:b/>
          <w:sz w:val="18"/>
          <w:szCs w:val="18"/>
          <w:lang w:val="ru-RU"/>
        </w:rPr>
        <w:br/>
        <w:t>с 30</w:t>
      </w:r>
      <w:r w:rsidRPr="00164401">
        <w:rPr>
          <w:b/>
          <w:sz w:val="18"/>
          <w:szCs w:val="18"/>
        </w:rPr>
        <w:t> </w:t>
      </w:r>
      <w:r w:rsidRPr="00164401">
        <w:rPr>
          <w:b/>
          <w:sz w:val="18"/>
          <w:szCs w:val="18"/>
          <w:lang w:val="ru-RU"/>
        </w:rPr>
        <w:t>июня 201</w:t>
      </w:r>
      <w:r>
        <w:rPr>
          <w:b/>
          <w:sz w:val="18"/>
          <w:szCs w:val="18"/>
          <w:lang w:val="ru-RU"/>
        </w:rPr>
        <w:t>7</w:t>
      </w:r>
      <w:r w:rsidRPr="00164401">
        <w:rPr>
          <w:b/>
          <w:sz w:val="18"/>
          <w:szCs w:val="18"/>
        </w:rPr>
        <w:t> </w:t>
      </w:r>
      <w:r w:rsidRPr="00164401">
        <w:rPr>
          <w:b/>
          <w:sz w:val="18"/>
          <w:szCs w:val="18"/>
          <w:lang w:val="ru-RU"/>
        </w:rPr>
        <w:t>г. по 3</w:t>
      </w:r>
      <w:r>
        <w:rPr>
          <w:b/>
          <w:sz w:val="18"/>
          <w:szCs w:val="18"/>
          <w:lang w:val="ru-RU"/>
        </w:rPr>
        <w:t>1</w:t>
      </w:r>
      <w:r w:rsidRPr="00164401">
        <w:rPr>
          <w:b/>
          <w:sz w:val="18"/>
          <w:szCs w:val="18"/>
        </w:rPr>
        <w:t> </w:t>
      </w:r>
      <w:r>
        <w:rPr>
          <w:b/>
          <w:sz w:val="18"/>
          <w:szCs w:val="18"/>
          <w:lang w:val="ru-RU"/>
        </w:rPr>
        <w:t xml:space="preserve">декабря </w:t>
      </w:r>
      <w:r w:rsidRPr="00164401">
        <w:rPr>
          <w:b/>
          <w:sz w:val="18"/>
          <w:szCs w:val="18"/>
          <w:lang w:val="ru-RU"/>
        </w:rPr>
        <w:t>2019</w:t>
      </w:r>
      <w:r w:rsidRPr="00164401">
        <w:rPr>
          <w:b/>
          <w:sz w:val="18"/>
          <w:szCs w:val="18"/>
        </w:rPr>
        <w:t> </w:t>
      </w:r>
      <w:r w:rsidRPr="00164401">
        <w:rPr>
          <w:b/>
          <w:sz w:val="18"/>
          <w:szCs w:val="18"/>
          <w:lang w:val="ru-RU"/>
        </w:rPr>
        <w:t>г.</w:t>
      </w:r>
      <w:r>
        <w:rPr>
          <w:b/>
          <w:sz w:val="18"/>
          <w:szCs w:val="18"/>
          <w:lang w:val="ru-RU"/>
        </w:rPr>
        <w:t xml:space="preserve"> </w:t>
      </w:r>
      <w:r w:rsidR="003821DD" w:rsidRPr="009A03AA">
        <w:rPr>
          <w:b/>
          <w:noProof/>
          <w:sz w:val="18"/>
          <w:szCs w:val="18"/>
          <w:lang w:eastAsia="en-US"/>
        </w:rPr>
        <w:drawing>
          <wp:inline distT="0" distB="0" distL="0" distR="0" wp14:anchorId="10A9E563" wp14:editId="292A0C77">
            <wp:extent cx="4285615" cy="2886075"/>
            <wp:effectExtent l="0" t="0" r="635" b="9525"/>
            <wp:docPr id="2" name="Picture 2" descr="Сравнительный анализ рабочей нагрузки (расследования)&#10;с 30 июня 2017 г. по 31 декабря 2019 г." title="Грфик 1 – Сравнительный анализ рабочей нагрузки (расслед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5615" cy="2886075"/>
                    </a:xfrm>
                    <a:prstGeom prst="rect">
                      <a:avLst/>
                    </a:prstGeom>
                    <a:noFill/>
                    <a:ln>
                      <a:noFill/>
                    </a:ln>
                  </pic:spPr>
                </pic:pic>
              </a:graphicData>
            </a:graphic>
          </wp:inline>
        </w:drawing>
      </w:r>
    </w:p>
    <w:p w14:paraId="55C6CBAE" w14:textId="77777777" w:rsidR="009C27E1" w:rsidRPr="00164401" w:rsidRDefault="009C27E1" w:rsidP="009C27E1">
      <w:pPr>
        <w:pStyle w:val="NormalWeb"/>
        <w:spacing w:before="0" w:beforeAutospacing="0" w:after="480" w:afterAutospacing="0"/>
        <w:rPr>
          <w:sz w:val="24"/>
          <w:szCs w:val="24"/>
          <w:lang w:val="ru-RU"/>
        </w:rPr>
      </w:pPr>
      <w:r w:rsidRPr="00164401">
        <w:rPr>
          <w:rFonts w:asciiTheme="minorHAnsi" w:hAnsi="Calibri" w:cstheme="minorBidi"/>
          <w:color w:val="000000" w:themeColor="dark1"/>
          <w:sz w:val="22"/>
          <w:szCs w:val="22"/>
          <w:lang w:val="ru-RU"/>
        </w:rPr>
        <w:t xml:space="preserve">* </w:t>
      </w:r>
      <w:r>
        <w:rPr>
          <w:rFonts w:asciiTheme="minorHAnsi" w:hAnsi="Calibri" w:cstheme="minorBidi"/>
          <w:color w:val="000000" w:themeColor="dark1"/>
          <w:sz w:val="22"/>
          <w:szCs w:val="22"/>
          <w:lang w:val="ru-RU"/>
        </w:rPr>
        <w:t>Количество</w:t>
      </w:r>
      <w:r w:rsidRPr="00164401">
        <w:rPr>
          <w:rFonts w:asciiTheme="minorHAnsi" w:hAnsi="Calibri" w:cstheme="minorBidi"/>
          <w:color w:val="000000" w:themeColor="dark1"/>
          <w:sz w:val="22"/>
          <w:szCs w:val="22"/>
          <w:lang w:val="ru-RU"/>
        </w:rPr>
        <w:t xml:space="preserve"> </w:t>
      </w:r>
      <w:r>
        <w:rPr>
          <w:rFonts w:asciiTheme="minorHAnsi" w:hAnsi="Calibri" w:cstheme="minorBidi"/>
          <w:color w:val="000000" w:themeColor="dark1"/>
          <w:sz w:val="22"/>
          <w:szCs w:val="22"/>
          <w:lang w:val="ru-RU"/>
        </w:rPr>
        <w:t>дел</w:t>
      </w:r>
      <w:r w:rsidRPr="00164401">
        <w:rPr>
          <w:rFonts w:asciiTheme="minorHAnsi" w:hAnsi="Calibri" w:cstheme="minorBidi"/>
          <w:color w:val="000000" w:themeColor="dark1"/>
          <w:sz w:val="22"/>
          <w:szCs w:val="22"/>
          <w:lang w:val="ru-RU"/>
        </w:rPr>
        <w:t xml:space="preserve"> </w:t>
      </w:r>
      <w:r>
        <w:rPr>
          <w:rFonts w:asciiTheme="minorHAnsi" w:hAnsi="Calibri" w:cstheme="minorBidi"/>
          <w:color w:val="000000" w:themeColor="dark1"/>
          <w:sz w:val="22"/>
          <w:szCs w:val="22"/>
          <w:lang w:val="ru-RU"/>
        </w:rPr>
        <w:t>на</w:t>
      </w:r>
      <w:r w:rsidRPr="00164401">
        <w:rPr>
          <w:rFonts w:asciiTheme="minorHAnsi" w:hAnsi="Calibri" w:cstheme="minorBidi"/>
          <w:color w:val="000000" w:themeColor="dark1"/>
          <w:sz w:val="22"/>
          <w:szCs w:val="22"/>
          <w:lang w:val="ru-RU"/>
        </w:rPr>
        <w:t xml:space="preserve"> </w:t>
      </w:r>
      <w:r>
        <w:rPr>
          <w:rFonts w:asciiTheme="minorHAnsi" w:hAnsi="Calibri" w:cstheme="minorBidi"/>
          <w:color w:val="000000" w:themeColor="dark1"/>
          <w:sz w:val="22"/>
          <w:szCs w:val="22"/>
          <w:lang w:val="ru-RU"/>
        </w:rPr>
        <w:t>рассмотрении</w:t>
      </w:r>
      <w:r w:rsidRPr="00164401">
        <w:rPr>
          <w:rFonts w:asciiTheme="minorHAnsi" w:hAnsi="Calibri" w:cstheme="minorBidi"/>
          <w:color w:val="000000" w:themeColor="dark1"/>
          <w:sz w:val="22"/>
          <w:szCs w:val="22"/>
          <w:lang w:val="ru-RU"/>
        </w:rPr>
        <w:t xml:space="preserve"> </w:t>
      </w:r>
      <w:r>
        <w:rPr>
          <w:rFonts w:asciiTheme="minorHAnsi" w:hAnsi="Calibri" w:cstheme="minorBidi"/>
          <w:color w:val="000000" w:themeColor="dark1"/>
          <w:sz w:val="22"/>
          <w:szCs w:val="22"/>
          <w:lang w:val="ru-RU"/>
        </w:rPr>
        <w:t>по</w:t>
      </w:r>
      <w:r w:rsidRPr="00164401">
        <w:rPr>
          <w:rFonts w:asciiTheme="minorHAnsi" w:hAnsi="Calibri" w:cstheme="minorBidi"/>
          <w:color w:val="000000" w:themeColor="dark1"/>
          <w:sz w:val="22"/>
          <w:szCs w:val="22"/>
          <w:lang w:val="ru-RU"/>
        </w:rPr>
        <w:t xml:space="preserve"> </w:t>
      </w:r>
      <w:r>
        <w:rPr>
          <w:rFonts w:asciiTheme="minorHAnsi" w:hAnsi="Calibri" w:cstheme="minorBidi"/>
          <w:color w:val="000000" w:themeColor="dark1"/>
          <w:sz w:val="22"/>
          <w:szCs w:val="22"/>
          <w:lang w:val="ru-RU"/>
        </w:rPr>
        <w:t>состоянию</w:t>
      </w:r>
      <w:r w:rsidRPr="00164401">
        <w:rPr>
          <w:rFonts w:asciiTheme="minorHAnsi" w:hAnsi="Calibri" w:cstheme="minorBidi"/>
          <w:color w:val="000000" w:themeColor="dark1"/>
          <w:sz w:val="22"/>
          <w:szCs w:val="22"/>
          <w:lang w:val="ru-RU"/>
        </w:rPr>
        <w:t xml:space="preserve"> </w:t>
      </w:r>
      <w:r>
        <w:rPr>
          <w:rFonts w:asciiTheme="minorHAnsi" w:hAnsi="Calibri" w:cstheme="minorBidi"/>
          <w:color w:val="000000" w:themeColor="dark1"/>
          <w:sz w:val="22"/>
          <w:szCs w:val="22"/>
          <w:lang w:val="ru-RU"/>
        </w:rPr>
        <w:t>на</w:t>
      </w:r>
      <w:r w:rsidRPr="00164401">
        <w:rPr>
          <w:rFonts w:asciiTheme="minorHAnsi" w:hAnsi="Calibri" w:cstheme="minorBidi"/>
          <w:color w:val="000000" w:themeColor="dark1"/>
          <w:sz w:val="22"/>
          <w:szCs w:val="22"/>
          <w:lang w:val="ru-RU"/>
        </w:rPr>
        <w:t xml:space="preserve"> </w:t>
      </w:r>
      <w:r>
        <w:rPr>
          <w:rFonts w:asciiTheme="minorHAnsi" w:hAnsi="Calibri" w:cstheme="minorBidi"/>
          <w:color w:val="000000" w:themeColor="dark1"/>
          <w:sz w:val="22"/>
          <w:szCs w:val="22"/>
          <w:lang w:val="ru-RU"/>
        </w:rPr>
        <w:t>июнь</w:t>
      </w:r>
      <w:r w:rsidRPr="00164401">
        <w:rPr>
          <w:rFonts w:asciiTheme="minorHAnsi" w:hAnsi="Calibri" w:cstheme="minorBidi"/>
          <w:color w:val="000000" w:themeColor="dark1"/>
          <w:sz w:val="22"/>
          <w:szCs w:val="22"/>
          <w:lang w:val="ru-RU"/>
        </w:rPr>
        <w:t xml:space="preserve"> 2017, 2018 </w:t>
      </w:r>
      <w:r>
        <w:rPr>
          <w:rFonts w:asciiTheme="minorHAnsi" w:hAnsi="Calibri" w:cstheme="minorBidi"/>
          <w:color w:val="000000" w:themeColor="dark1"/>
          <w:sz w:val="22"/>
          <w:szCs w:val="22"/>
          <w:lang w:val="ru-RU"/>
        </w:rPr>
        <w:t>и</w:t>
      </w:r>
      <w:r w:rsidRPr="00164401">
        <w:rPr>
          <w:rFonts w:asciiTheme="minorHAnsi" w:hAnsi="Calibri" w:cstheme="minorBidi"/>
          <w:color w:val="000000" w:themeColor="dark1"/>
          <w:sz w:val="22"/>
          <w:szCs w:val="22"/>
          <w:lang w:val="ru-RU"/>
        </w:rPr>
        <w:t xml:space="preserve"> 2019 </w:t>
      </w:r>
      <w:r>
        <w:rPr>
          <w:rFonts w:asciiTheme="minorHAnsi" w:hAnsi="Calibri" w:cstheme="minorBidi"/>
          <w:color w:val="000000" w:themeColor="dark1"/>
          <w:sz w:val="22"/>
          <w:szCs w:val="22"/>
          <w:lang w:val="ru-RU"/>
        </w:rPr>
        <w:t>гг</w:t>
      </w:r>
      <w:r w:rsidRPr="00164401">
        <w:rPr>
          <w:rFonts w:asciiTheme="minorHAnsi" w:hAnsi="Calibri" w:cstheme="minorBidi"/>
          <w:color w:val="000000" w:themeColor="dark1"/>
          <w:sz w:val="22"/>
          <w:szCs w:val="22"/>
          <w:lang w:val="ru-RU"/>
        </w:rPr>
        <w:t xml:space="preserve">. </w:t>
      </w:r>
      <w:r>
        <w:rPr>
          <w:rFonts w:asciiTheme="minorHAnsi" w:hAnsi="Calibri" w:cstheme="minorBidi"/>
          <w:color w:val="000000" w:themeColor="dark1"/>
          <w:sz w:val="22"/>
          <w:szCs w:val="22"/>
          <w:lang w:val="ru-RU"/>
        </w:rPr>
        <w:t>и</w:t>
      </w:r>
      <w:r w:rsidRPr="00164401">
        <w:rPr>
          <w:rFonts w:asciiTheme="minorHAnsi" w:hAnsi="Calibri" w:cstheme="minorBidi"/>
          <w:color w:val="000000" w:themeColor="dark1"/>
          <w:sz w:val="22"/>
          <w:szCs w:val="22"/>
          <w:lang w:val="ru-RU"/>
        </w:rPr>
        <w:t xml:space="preserve"> </w:t>
      </w:r>
      <w:r>
        <w:rPr>
          <w:rFonts w:asciiTheme="minorHAnsi" w:hAnsi="Calibri" w:cstheme="minorBidi"/>
          <w:color w:val="000000" w:themeColor="dark1"/>
          <w:sz w:val="22"/>
          <w:szCs w:val="22"/>
          <w:lang w:val="ru-RU"/>
        </w:rPr>
        <w:t>декабрь</w:t>
      </w:r>
      <w:r w:rsidRPr="00164401">
        <w:rPr>
          <w:rFonts w:asciiTheme="minorHAnsi" w:hAnsi="Calibri" w:cstheme="minorBidi"/>
          <w:color w:val="000000" w:themeColor="dark1"/>
          <w:sz w:val="22"/>
          <w:szCs w:val="22"/>
          <w:lang w:val="ru-RU"/>
        </w:rPr>
        <w:t xml:space="preserve"> 2019 </w:t>
      </w:r>
      <w:r>
        <w:rPr>
          <w:rFonts w:asciiTheme="minorHAnsi" w:hAnsi="Calibri" w:cstheme="minorBidi"/>
          <w:color w:val="000000" w:themeColor="dark1"/>
          <w:sz w:val="22"/>
          <w:szCs w:val="22"/>
          <w:lang w:val="ru-RU"/>
        </w:rPr>
        <w:t>г</w:t>
      </w:r>
      <w:r w:rsidRPr="00164401">
        <w:rPr>
          <w:rFonts w:asciiTheme="minorHAnsi" w:hAnsi="Calibri" w:cstheme="minorBidi"/>
          <w:color w:val="000000" w:themeColor="dark1"/>
          <w:sz w:val="22"/>
          <w:szCs w:val="22"/>
          <w:lang w:val="ru-RU"/>
        </w:rPr>
        <w:t xml:space="preserve">. </w:t>
      </w:r>
    </w:p>
    <w:p w14:paraId="1E6F2E95" w14:textId="25C2DC95" w:rsidR="00C46B12" w:rsidRPr="00164401" w:rsidRDefault="00164401" w:rsidP="00AC38B6">
      <w:pPr>
        <w:pStyle w:val="ONUME"/>
        <w:rPr>
          <w:lang w:val="ru-RU"/>
        </w:rPr>
      </w:pPr>
      <w:r>
        <w:rPr>
          <w:lang w:val="ru-RU"/>
        </w:rPr>
        <w:t xml:space="preserve">Ни одно из </w:t>
      </w:r>
      <w:r w:rsidRPr="00164401">
        <w:rPr>
          <w:lang w:val="ru-RU"/>
        </w:rPr>
        <w:t>17</w:t>
      </w:r>
      <w:r w:rsidRPr="00164401">
        <w:rPr>
          <w:lang w:val="en-GB"/>
        </w:rPr>
        <w:t> </w:t>
      </w:r>
      <w:r w:rsidRPr="00164401">
        <w:rPr>
          <w:lang w:val="ru-RU"/>
        </w:rPr>
        <w:t>дел, открыт</w:t>
      </w:r>
      <w:r>
        <w:rPr>
          <w:lang w:val="ru-RU"/>
        </w:rPr>
        <w:t>ых</w:t>
      </w:r>
      <w:r w:rsidRPr="00164401">
        <w:rPr>
          <w:lang w:val="ru-RU"/>
        </w:rPr>
        <w:t xml:space="preserve"> в течение отчетного периода, </w:t>
      </w:r>
      <w:r>
        <w:rPr>
          <w:lang w:val="ru-RU"/>
        </w:rPr>
        <w:t>не</w:t>
      </w:r>
      <w:r w:rsidRPr="00164401">
        <w:rPr>
          <w:lang w:val="ru-RU"/>
        </w:rPr>
        <w:t xml:space="preserve"> был</w:t>
      </w:r>
      <w:r>
        <w:rPr>
          <w:lang w:val="ru-RU"/>
        </w:rPr>
        <w:t>о</w:t>
      </w:r>
      <w:r w:rsidRPr="00164401">
        <w:rPr>
          <w:lang w:val="ru-RU"/>
        </w:rPr>
        <w:t xml:space="preserve"> передан</w:t>
      </w:r>
      <w:r>
        <w:rPr>
          <w:lang w:val="ru-RU"/>
        </w:rPr>
        <w:t>о</w:t>
      </w:r>
      <w:r w:rsidRPr="00164401">
        <w:rPr>
          <w:lang w:val="ru-RU"/>
        </w:rPr>
        <w:t xml:space="preserve"> НККН для консультации </w:t>
      </w:r>
      <w:r>
        <w:rPr>
          <w:lang w:val="ru-RU"/>
        </w:rPr>
        <w:t>согласно</w:t>
      </w:r>
      <w:r w:rsidRPr="00164401">
        <w:rPr>
          <w:lang w:val="ru-RU"/>
        </w:rPr>
        <w:t xml:space="preserve"> соответствующим положениям УВН</w:t>
      </w:r>
      <w:r w:rsidR="00C46B12">
        <w:rPr>
          <w:rStyle w:val="FootnoteReference"/>
        </w:rPr>
        <w:footnoteReference w:id="10"/>
      </w:r>
      <w:r w:rsidR="00C46B12" w:rsidRPr="00164401">
        <w:rPr>
          <w:lang w:val="ru-RU"/>
        </w:rPr>
        <w:t xml:space="preserve">.  </w:t>
      </w:r>
    </w:p>
    <w:p w14:paraId="4FA4C8FB" w14:textId="106037F8" w:rsidR="00164401" w:rsidRPr="00164401" w:rsidRDefault="00164401" w:rsidP="00164401">
      <w:pPr>
        <w:pStyle w:val="Heading2"/>
        <w:rPr>
          <w:lang w:val="ru-RU"/>
        </w:rPr>
      </w:pPr>
      <w:bookmarkStart w:id="40" w:name="_Toc40299731"/>
      <w:r w:rsidRPr="00164401">
        <w:rPr>
          <w:lang w:val="ru-RU"/>
        </w:rPr>
        <w:t>Результаты проведенных расследований</w:t>
      </w:r>
      <w:bookmarkEnd w:id="40"/>
    </w:p>
    <w:p w14:paraId="149ABEA4" w14:textId="2D72A2B0" w:rsidR="00C46B12" w:rsidRPr="006B7E80" w:rsidRDefault="00164401" w:rsidP="002C23BF">
      <w:pPr>
        <w:pStyle w:val="ONUME"/>
        <w:rPr>
          <w:lang w:val="ru-RU"/>
        </w:rPr>
      </w:pPr>
      <w:r w:rsidRPr="00164401">
        <w:rPr>
          <w:lang w:val="ru-RU"/>
        </w:rPr>
        <w:t>Согласно УВН</w:t>
      </w:r>
      <w:r w:rsidR="00D67501">
        <w:rPr>
          <w:rStyle w:val="FootnoteReference"/>
          <w:lang w:val="ru-RU"/>
        </w:rPr>
        <w:footnoteReference w:id="11"/>
      </w:r>
      <w:r w:rsidRPr="006B7E80">
        <w:rPr>
          <w:u w:val="single"/>
          <w:lang w:val="ru-RU"/>
        </w:rPr>
        <w:t xml:space="preserve"> </w:t>
      </w:r>
      <w:r w:rsidRPr="00164401">
        <w:rPr>
          <w:lang w:val="ru-RU"/>
        </w:rPr>
        <w:t>годовой отчет должен включать описание связанных с проведением расследования дел, которые были сочтены обоснованными, и решений по таким делам.</w:t>
      </w:r>
      <w:r>
        <w:rPr>
          <w:lang w:val="ru-RU"/>
        </w:rPr>
        <w:t xml:space="preserve">  Из</w:t>
      </w:r>
      <w:r w:rsidRPr="006B7E80">
        <w:rPr>
          <w:lang w:val="ru-RU"/>
        </w:rPr>
        <w:t xml:space="preserve"> </w:t>
      </w:r>
      <w:r>
        <w:rPr>
          <w:lang w:val="ru-RU"/>
        </w:rPr>
        <w:t>этих</w:t>
      </w:r>
      <w:r w:rsidRPr="006B7E80">
        <w:rPr>
          <w:lang w:val="ru-RU"/>
        </w:rPr>
        <w:t xml:space="preserve"> </w:t>
      </w:r>
      <w:r>
        <w:rPr>
          <w:lang w:val="ru-RU"/>
        </w:rPr>
        <w:t>восьми</w:t>
      </w:r>
      <w:r w:rsidRPr="006B7E80">
        <w:rPr>
          <w:lang w:val="ru-RU"/>
        </w:rPr>
        <w:t xml:space="preserve"> </w:t>
      </w:r>
      <w:r>
        <w:rPr>
          <w:lang w:val="ru-RU"/>
        </w:rPr>
        <w:t>дел</w:t>
      </w:r>
      <w:r w:rsidRPr="006B7E80">
        <w:rPr>
          <w:lang w:val="ru-RU"/>
        </w:rPr>
        <w:t xml:space="preserve">:  </w:t>
      </w:r>
    </w:p>
    <w:p w14:paraId="0F904F01" w14:textId="4391A43E" w:rsidR="0093644C" w:rsidRPr="00164401" w:rsidRDefault="00164401" w:rsidP="0093644C">
      <w:pPr>
        <w:pStyle w:val="ONUME"/>
        <w:numPr>
          <w:ilvl w:val="1"/>
          <w:numId w:val="2"/>
        </w:numPr>
        <w:rPr>
          <w:lang w:val="ru-RU"/>
        </w:rPr>
      </w:pPr>
      <w:r>
        <w:rPr>
          <w:lang w:val="ru-RU"/>
        </w:rPr>
        <w:t>одно</w:t>
      </w:r>
      <w:r w:rsidRPr="00164401">
        <w:rPr>
          <w:lang w:val="ru-RU"/>
        </w:rPr>
        <w:t xml:space="preserve"> </w:t>
      </w:r>
      <w:r>
        <w:rPr>
          <w:lang w:val="ru-RU"/>
        </w:rPr>
        <w:t>дело</w:t>
      </w:r>
      <w:r w:rsidRPr="00164401">
        <w:rPr>
          <w:lang w:val="ru-RU"/>
        </w:rPr>
        <w:t xml:space="preserve"> </w:t>
      </w:r>
      <w:r>
        <w:rPr>
          <w:lang w:val="ru-RU"/>
        </w:rPr>
        <w:t>касалось</w:t>
      </w:r>
      <w:r w:rsidRPr="00164401">
        <w:rPr>
          <w:lang w:val="ru-RU"/>
        </w:rPr>
        <w:t xml:space="preserve"> </w:t>
      </w:r>
      <w:r>
        <w:rPr>
          <w:lang w:val="ru-RU"/>
        </w:rPr>
        <w:t>предполагаемых</w:t>
      </w:r>
      <w:r w:rsidRPr="00164401">
        <w:rPr>
          <w:lang w:val="ru-RU"/>
        </w:rPr>
        <w:t xml:space="preserve"> </w:t>
      </w:r>
      <w:r>
        <w:rPr>
          <w:lang w:val="ru-RU"/>
        </w:rPr>
        <w:t xml:space="preserve">действий </w:t>
      </w:r>
      <w:r w:rsidR="00431669">
        <w:rPr>
          <w:lang w:val="ru-RU"/>
        </w:rPr>
        <w:t>на почве</w:t>
      </w:r>
      <w:r>
        <w:rPr>
          <w:lang w:val="ru-RU"/>
        </w:rPr>
        <w:t xml:space="preserve"> мести</w:t>
      </w:r>
      <w:r w:rsidR="0093644C" w:rsidRPr="00164401">
        <w:rPr>
          <w:lang w:val="ru-RU"/>
        </w:rPr>
        <w:t xml:space="preserve">; </w:t>
      </w:r>
    </w:p>
    <w:p w14:paraId="2E33A066" w14:textId="3215570E" w:rsidR="0093644C" w:rsidRPr="00164401" w:rsidRDefault="00164401" w:rsidP="0093644C">
      <w:pPr>
        <w:pStyle w:val="ONUME"/>
        <w:numPr>
          <w:ilvl w:val="1"/>
          <w:numId w:val="2"/>
        </w:numPr>
        <w:rPr>
          <w:lang w:val="ru-RU"/>
        </w:rPr>
      </w:pPr>
      <w:r>
        <w:rPr>
          <w:lang w:val="ru-RU"/>
        </w:rPr>
        <w:t>два</w:t>
      </w:r>
      <w:r w:rsidRPr="00164401">
        <w:rPr>
          <w:lang w:val="ru-RU"/>
        </w:rPr>
        <w:t xml:space="preserve"> </w:t>
      </w:r>
      <w:r>
        <w:rPr>
          <w:lang w:val="ru-RU"/>
        </w:rPr>
        <w:t>дела</w:t>
      </w:r>
      <w:r w:rsidRPr="00164401">
        <w:rPr>
          <w:lang w:val="ru-RU"/>
        </w:rPr>
        <w:t xml:space="preserve"> </w:t>
      </w:r>
      <w:r>
        <w:rPr>
          <w:lang w:val="ru-RU"/>
        </w:rPr>
        <w:t>касались</w:t>
      </w:r>
      <w:r w:rsidRPr="00164401">
        <w:rPr>
          <w:lang w:val="ru-RU"/>
        </w:rPr>
        <w:t xml:space="preserve"> </w:t>
      </w:r>
      <w:r>
        <w:rPr>
          <w:lang w:val="ru-RU"/>
        </w:rPr>
        <w:t>предоставления</w:t>
      </w:r>
      <w:r w:rsidRPr="00164401">
        <w:rPr>
          <w:lang w:val="ru-RU"/>
        </w:rPr>
        <w:t xml:space="preserve"> </w:t>
      </w:r>
      <w:r>
        <w:rPr>
          <w:lang w:val="ru-RU"/>
        </w:rPr>
        <w:t>сотрудником</w:t>
      </w:r>
      <w:r w:rsidRPr="00164401">
        <w:rPr>
          <w:lang w:val="ru-RU"/>
        </w:rPr>
        <w:t xml:space="preserve"> </w:t>
      </w:r>
      <w:r>
        <w:rPr>
          <w:lang w:val="ru-RU"/>
        </w:rPr>
        <w:t>недостоверных</w:t>
      </w:r>
      <w:r w:rsidRPr="00164401">
        <w:rPr>
          <w:lang w:val="ru-RU"/>
        </w:rPr>
        <w:t xml:space="preserve"> </w:t>
      </w:r>
      <w:r>
        <w:rPr>
          <w:lang w:val="ru-RU"/>
        </w:rPr>
        <w:t>сведений</w:t>
      </w:r>
      <w:r w:rsidRPr="00164401">
        <w:rPr>
          <w:lang w:val="ru-RU"/>
        </w:rPr>
        <w:t xml:space="preserve"> </w:t>
      </w:r>
      <w:r>
        <w:rPr>
          <w:lang w:val="ru-RU"/>
        </w:rPr>
        <w:t>о</w:t>
      </w:r>
      <w:r w:rsidRPr="00164401">
        <w:rPr>
          <w:lang w:val="ru-RU"/>
        </w:rPr>
        <w:t xml:space="preserve"> </w:t>
      </w:r>
      <w:r>
        <w:rPr>
          <w:lang w:val="ru-RU"/>
        </w:rPr>
        <w:t>времени, проведенном на работе</w:t>
      </w:r>
      <w:r w:rsidR="0093644C" w:rsidRPr="00164401">
        <w:rPr>
          <w:lang w:val="ru-RU"/>
        </w:rPr>
        <w:t>;</w:t>
      </w:r>
    </w:p>
    <w:p w14:paraId="0D9D2407" w14:textId="75C5140A" w:rsidR="0093644C" w:rsidRPr="00164401" w:rsidRDefault="00164401" w:rsidP="0093644C">
      <w:pPr>
        <w:pStyle w:val="ONUME"/>
        <w:numPr>
          <w:ilvl w:val="1"/>
          <w:numId w:val="2"/>
        </w:numPr>
        <w:rPr>
          <w:lang w:val="ru-RU"/>
        </w:rPr>
      </w:pPr>
      <w:r>
        <w:rPr>
          <w:lang w:val="ru-RU"/>
        </w:rPr>
        <w:t>два</w:t>
      </w:r>
      <w:r w:rsidRPr="00164401">
        <w:rPr>
          <w:lang w:val="ru-RU"/>
        </w:rPr>
        <w:t xml:space="preserve"> </w:t>
      </w:r>
      <w:r>
        <w:rPr>
          <w:lang w:val="ru-RU"/>
        </w:rPr>
        <w:t>дела</w:t>
      </w:r>
      <w:r w:rsidRPr="00164401">
        <w:rPr>
          <w:lang w:val="ru-RU"/>
        </w:rPr>
        <w:t xml:space="preserve"> </w:t>
      </w:r>
      <w:r>
        <w:rPr>
          <w:lang w:val="ru-RU"/>
        </w:rPr>
        <w:t>касались</w:t>
      </w:r>
      <w:r w:rsidRPr="00164401">
        <w:rPr>
          <w:lang w:val="ru-RU"/>
        </w:rPr>
        <w:t xml:space="preserve"> </w:t>
      </w:r>
      <w:r>
        <w:rPr>
          <w:lang w:val="ru-RU"/>
        </w:rPr>
        <w:t>несанкционированной</w:t>
      </w:r>
      <w:r w:rsidRPr="00164401">
        <w:rPr>
          <w:lang w:val="ru-RU"/>
        </w:rPr>
        <w:t xml:space="preserve"> </w:t>
      </w:r>
      <w:r>
        <w:rPr>
          <w:lang w:val="ru-RU"/>
        </w:rPr>
        <w:t>профессиональной</w:t>
      </w:r>
      <w:r w:rsidRPr="00164401">
        <w:rPr>
          <w:lang w:val="ru-RU"/>
        </w:rPr>
        <w:t xml:space="preserve"> </w:t>
      </w:r>
      <w:r>
        <w:rPr>
          <w:lang w:val="ru-RU"/>
        </w:rPr>
        <w:t>деятельности</w:t>
      </w:r>
      <w:r w:rsidRPr="00164401">
        <w:rPr>
          <w:lang w:val="ru-RU"/>
        </w:rPr>
        <w:t xml:space="preserve"> </w:t>
      </w:r>
      <w:r>
        <w:rPr>
          <w:lang w:val="ru-RU"/>
        </w:rPr>
        <w:t>сотрудника</w:t>
      </w:r>
      <w:r w:rsidRPr="00164401">
        <w:rPr>
          <w:lang w:val="ru-RU"/>
        </w:rPr>
        <w:t xml:space="preserve"> </w:t>
      </w:r>
      <w:r>
        <w:rPr>
          <w:lang w:val="ru-RU"/>
        </w:rPr>
        <w:t>за пределами Организации</w:t>
      </w:r>
      <w:r w:rsidR="0093644C" w:rsidRPr="00164401">
        <w:rPr>
          <w:lang w:val="ru-RU"/>
        </w:rPr>
        <w:t>;</w:t>
      </w:r>
    </w:p>
    <w:p w14:paraId="607BD225" w14:textId="2084C8B1" w:rsidR="0093644C" w:rsidRPr="00164401" w:rsidRDefault="00164401" w:rsidP="0093644C">
      <w:pPr>
        <w:pStyle w:val="ONUME"/>
        <w:numPr>
          <w:ilvl w:val="1"/>
          <w:numId w:val="2"/>
        </w:numPr>
        <w:rPr>
          <w:lang w:val="ru-RU"/>
        </w:rPr>
      </w:pPr>
      <w:r>
        <w:rPr>
          <w:lang w:val="ru-RU"/>
        </w:rPr>
        <w:t>одно</w:t>
      </w:r>
      <w:r w:rsidRPr="00164401">
        <w:rPr>
          <w:lang w:val="ru-RU"/>
        </w:rPr>
        <w:t xml:space="preserve"> </w:t>
      </w:r>
      <w:r>
        <w:rPr>
          <w:lang w:val="ru-RU"/>
        </w:rPr>
        <w:t>дело</w:t>
      </w:r>
      <w:r w:rsidRPr="00164401">
        <w:rPr>
          <w:lang w:val="ru-RU"/>
        </w:rPr>
        <w:t xml:space="preserve"> </w:t>
      </w:r>
      <w:r>
        <w:rPr>
          <w:lang w:val="ru-RU"/>
        </w:rPr>
        <w:t>касалось</w:t>
      </w:r>
      <w:r w:rsidRPr="00164401">
        <w:rPr>
          <w:lang w:val="ru-RU"/>
        </w:rPr>
        <w:t xml:space="preserve"> </w:t>
      </w:r>
      <w:r>
        <w:rPr>
          <w:lang w:val="ru-RU"/>
        </w:rPr>
        <w:t>предполагаемых</w:t>
      </w:r>
      <w:r w:rsidRPr="00164401">
        <w:rPr>
          <w:lang w:val="ru-RU"/>
        </w:rPr>
        <w:t xml:space="preserve"> </w:t>
      </w:r>
      <w:r>
        <w:rPr>
          <w:lang w:val="ru-RU"/>
        </w:rPr>
        <w:t>нарушений</w:t>
      </w:r>
      <w:r w:rsidRPr="00164401">
        <w:rPr>
          <w:lang w:val="ru-RU"/>
        </w:rPr>
        <w:t xml:space="preserve"> </w:t>
      </w:r>
      <w:r>
        <w:rPr>
          <w:lang w:val="ru-RU"/>
        </w:rPr>
        <w:t>со</w:t>
      </w:r>
      <w:r w:rsidRPr="00164401">
        <w:rPr>
          <w:lang w:val="ru-RU"/>
        </w:rPr>
        <w:t xml:space="preserve"> </w:t>
      </w:r>
      <w:r>
        <w:rPr>
          <w:lang w:val="ru-RU"/>
        </w:rPr>
        <w:t>стороны</w:t>
      </w:r>
      <w:r w:rsidRPr="00164401">
        <w:rPr>
          <w:lang w:val="ru-RU"/>
        </w:rPr>
        <w:t xml:space="preserve"> </w:t>
      </w:r>
      <w:r>
        <w:rPr>
          <w:lang w:val="ru-RU"/>
        </w:rPr>
        <w:t>кандидата на вакантную должность</w:t>
      </w:r>
      <w:r w:rsidR="0093644C" w:rsidRPr="00164401">
        <w:rPr>
          <w:lang w:val="ru-RU"/>
        </w:rPr>
        <w:t xml:space="preserve">; </w:t>
      </w:r>
    </w:p>
    <w:p w14:paraId="0939B8BA" w14:textId="2F8A3EC6" w:rsidR="0093644C" w:rsidRPr="00C752E4" w:rsidRDefault="00C752E4" w:rsidP="0093644C">
      <w:pPr>
        <w:pStyle w:val="ONUME"/>
        <w:numPr>
          <w:ilvl w:val="1"/>
          <w:numId w:val="2"/>
        </w:numPr>
        <w:rPr>
          <w:lang w:val="ru-RU"/>
        </w:rPr>
      </w:pPr>
      <w:r>
        <w:rPr>
          <w:lang w:val="ru-RU"/>
        </w:rPr>
        <w:t>одно</w:t>
      </w:r>
      <w:r w:rsidRPr="00C752E4">
        <w:rPr>
          <w:lang w:val="ru-RU"/>
        </w:rPr>
        <w:t xml:space="preserve"> </w:t>
      </w:r>
      <w:r>
        <w:rPr>
          <w:lang w:val="ru-RU"/>
        </w:rPr>
        <w:t>дело</w:t>
      </w:r>
      <w:r w:rsidRPr="00C752E4">
        <w:rPr>
          <w:lang w:val="ru-RU"/>
        </w:rPr>
        <w:t xml:space="preserve"> </w:t>
      </w:r>
      <w:r>
        <w:rPr>
          <w:lang w:val="ru-RU"/>
        </w:rPr>
        <w:t>касалось</w:t>
      </w:r>
      <w:r w:rsidRPr="00C752E4">
        <w:rPr>
          <w:lang w:val="ru-RU"/>
        </w:rPr>
        <w:t xml:space="preserve"> </w:t>
      </w:r>
      <w:r>
        <w:rPr>
          <w:lang w:val="ru-RU"/>
        </w:rPr>
        <w:t>домогательств</w:t>
      </w:r>
      <w:r w:rsidRPr="00C752E4">
        <w:rPr>
          <w:lang w:val="ru-RU"/>
        </w:rPr>
        <w:t xml:space="preserve"> </w:t>
      </w:r>
      <w:r>
        <w:rPr>
          <w:lang w:val="ru-RU"/>
        </w:rPr>
        <w:t>и</w:t>
      </w:r>
      <w:r w:rsidRPr="00C752E4">
        <w:rPr>
          <w:lang w:val="ru-RU"/>
        </w:rPr>
        <w:t>/</w:t>
      </w:r>
      <w:r>
        <w:rPr>
          <w:lang w:val="ru-RU"/>
        </w:rPr>
        <w:t>или</w:t>
      </w:r>
      <w:r w:rsidRPr="00C752E4">
        <w:rPr>
          <w:lang w:val="ru-RU"/>
        </w:rPr>
        <w:t xml:space="preserve"> </w:t>
      </w:r>
      <w:r>
        <w:rPr>
          <w:lang w:val="ru-RU"/>
        </w:rPr>
        <w:t>злоупотребления</w:t>
      </w:r>
      <w:r w:rsidRPr="00C752E4">
        <w:rPr>
          <w:lang w:val="ru-RU"/>
        </w:rPr>
        <w:t xml:space="preserve"> </w:t>
      </w:r>
      <w:r>
        <w:rPr>
          <w:lang w:val="ru-RU"/>
        </w:rPr>
        <w:t>служебным</w:t>
      </w:r>
      <w:r w:rsidRPr="00C752E4">
        <w:rPr>
          <w:lang w:val="ru-RU"/>
        </w:rPr>
        <w:t xml:space="preserve"> </w:t>
      </w:r>
      <w:r>
        <w:rPr>
          <w:lang w:val="ru-RU"/>
        </w:rPr>
        <w:t>положением</w:t>
      </w:r>
      <w:r w:rsidRPr="00C752E4">
        <w:rPr>
          <w:lang w:val="ru-RU"/>
        </w:rPr>
        <w:t xml:space="preserve"> </w:t>
      </w:r>
      <w:r>
        <w:rPr>
          <w:lang w:val="ru-RU"/>
        </w:rPr>
        <w:t>со</w:t>
      </w:r>
      <w:r w:rsidRPr="00C752E4">
        <w:rPr>
          <w:lang w:val="ru-RU"/>
        </w:rPr>
        <w:t xml:space="preserve"> </w:t>
      </w:r>
      <w:r>
        <w:rPr>
          <w:lang w:val="ru-RU"/>
        </w:rPr>
        <w:t>стороны сотрудника</w:t>
      </w:r>
      <w:r w:rsidR="0093644C" w:rsidRPr="00C752E4">
        <w:rPr>
          <w:lang w:val="ru-RU"/>
        </w:rPr>
        <w:t xml:space="preserve">; </w:t>
      </w:r>
      <w:r w:rsidR="00F87F84" w:rsidRPr="00C752E4">
        <w:rPr>
          <w:lang w:val="ru-RU"/>
        </w:rPr>
        <w:t xml:space="preserve"> </w:t>
      </w:r>
      <w:r>
        <w:rPr>
          <w:lang w:val="ru-RU"/>
        </w:rPr>
        <w:t>и</w:t>
      </w:r>
    </w:p>
    <w:p w14:paraId="06705E89" w14:textId="3066C25E" w:rsidR="0093644C" w:rsidRPr="00C752E4" w:rsidRDefault="00C752E4" w:rsidP="0093644C">
      <w:pPr>
        <w:pStyle w:val="ONUME"/>
        <w:numPr>
          <w:ilvl w:val="1"/>
          <w:numId w:val="2"/>
        </w:numPr>
        <w:rPr>
          <w:lang w:val="ru-RU"/>
        </w:rPr>
      </w:pPr>
      <w:r>
        <w:rPr>
          <w:lang w:val="ru-RU"/>
        </w:rPr>
        <w:t>одно</w:t>
      </w:r>
      <w:r w:rsidRPr="00C752E4">
        <w:rPr>
          <w:lang w:val="ru-RU"/>
        </w:rPr>
        <w:t xml:space="preserve"> </w:t>
      </w:r>
      <w:r>
        <w:rPr>
          <w:lang w:val="ru-RU"/>
        </w:rPr>
        <w:t>дело</w:t>
      </w:r>
      <w:r w:rsidRPr="00C752E4">
        <w:rPr>
          <w:lang w:val="ru-RU"/>
        </w:rPr>
        <w:t xml:space="preserve"> </w:t>
      </w:r>
      <w:r>
        <w:rPr>
          <w:lang w:val="ru-RU"/>
        </w:rPr>
        <w:t>касалось</w:t>
      </w:r>
      <w:r w:rsidRPr="00C752E4">
        <w:rPr>
          <w:lang w:val="ru-RU"/>
        </w:rPr>
        <w:t xml:space="preserve"> </w:t>
      </w:r>
      <w:r>
        <w:rPr>
          <w:lang w:val="ru-RU"/>
        </w:rPr>
        <w:t>предполагаемых</w:t>
      </w:r>
      <w:r w:rsidRPr="00C752E4">
        <w:rPr>
          <w:lang w:val="ru-RU"/>
        </w:rPr>
        <w:t xml:space="preserve"> </w:t>
      </w:r>
      <w:r>
        <w:rPr>
          <w:lang w:val="ru-RU"/>
        </w:rPr>
        <w:t>домогательств в отношении коллеги</w:t>
      </w:r>
      <w:r w:rsidR="0093644C" w:rsidRPr="00C752E4">
        <w:rPr>
          <w:lang w:val="ru-RU"/>
        </w:rPr>
        <w:t>.</w:t>
      </w:r>
    </w:p>
    <w:p w14:paraId="1FE772A2" w14:textId="7E5171A8" w:rsidR="00C46B12" w:rsidRPr="00C752E4" w:rsidRDefault="00C752E4" w:rsidP="002C23BF">
      <w:pPr>
        <w:pStyle w:val="ONUME"/>
        <w:rPr>
          <w:lang w:val="ru-RU"/>
        </w:rPr>
      </w:pPr>
      <w:r w:rsidRPr="00C752E4">
        <w:rPr>
          <w:lang w:val="ru-RU"/>
        </w:rPr>
        <w:lastRenderedPageBreak/>
        <w:t xml:space="preserve">После </w:t>
      </w:r>
      <w:r>
        <w:rPr>
          <w:lang w:val="ru-RU"/>
        </w:rPr>
        <w:t>опубликования</w:t>
      </w:r>
      <w:r w:rsidRPr="00C752E4">
        <w:rPr>
          <w:lang w:val="ru-RU"/>
        </w:rPr>
        <w:t xml:space="preserve"> </w:t>
      </w:r>
      <w:r>
        <w:rPr>
          <w:lang w:val="ru-RU"/>
        </w:rPr>
        <w:t>отчетов</w:t>
      </w:r>
      <w:r w:rsidRPr="00C752E4">
        <w:rPr>
          <w:lang w:val="ru-RU"/>
        </w:rPr>
        <w:t xml:space="preserve"> </w:t>
      </w:r>
      <w:r>
        <w:rPr>
          <w:lang w:val="ru-RU"/>
        </w:rPr>
        <w:t>по</w:t>
      </w:r>
      <w:r w:rsidRPr="00C752E4">
        <w:rPr>
          <w:lang w:val="ru-RU"/>
        </w:rPr>
        <w:t xml:space="preserve"> </w:t>
      </w:r>
      <w:r>
        <w:rPr>
          <w:lang w:val="ru-RU"/>
        </w:rPr>
        <w:t>итогам</w:t>
      </w:r>
      <w:r w:rsidRPr="00C752E4">
        <w:rPr>
          <w:lang w:val="ru-RU"/>
        </w:rPr>
        <w:t xml:space="preserve"> </w:t>
      </w:r>
      <w:r>
        <w:rPr>
          <w:lang w:val="ru-RU"/>
        </w:rPr>
        <w:t>расследований</w:t>
      </w:r>
      <w:r w:rsidRPr="00C752E4">
        <w:rPr>
          <w:lang w:val="ru-RU"/>
        </w:rPr>
        <w:t xml:space="preserve">, </w:t>
      </w:r>
      <w:r>
        <w:rPr>
          <w:lang w:val="ru-RU"/>
        </w:rPr>
        <w:t>которые</w:t>
      </w:r>
      <w:r w:rsidRPr="00C752E4">
        <w:rPr>
          <w:lang w:val="ru-RU"/>
        </w:rPr>
        <w:t xml:space="preserve"> </w:t>
      </w:r>
      <w:r>
        <w:rPr>
          <w:lang w:val="ru-RU"/>
        </w:rPr>
        <w:t>подтвердили</w:t>
      </w:r>
      <w:r w:rsidRPr="00C752E4">
        <w:rPr>
          <w:lang w:val="ru-RU"/>
        </w:rPr>
        <w:t xml:space="preserve"> </w:t>
      </w:r>
      <w:r>
        <w:rPr>
          <w:lang w:val="ru-RU"/>
        </w:rPr>
        <w:t>допущенные нарушения</w:t>
      </w:r>
      <w:r w:rsidRPr="00C752E4">
        <w:rPr>
          <w:lang w:val="ru-RU"/>
        </w:rPr>
        <w:t xml:space="preserve">: </w:t>
      </w:r>
    </w:p>
    <w:p w14:paraId="0D25618F" w14:textId="3D55A124" w:rsidR="00C46B12" w:rsidRPr="00C752E4" w:rsidRDefault="00C752E4" w:rsidP="002C23BF">
      <w:pPr>
        <w:pStyle w:val="ONUME"/>
        <w:numPr>
          <w:ilvl w:val="1"/>
          <w:numId w:val="10"/>
        </w:numPr>
        <w:rPr>
          <w:lang w:val="ru-RU"/>
        </w:rPr>
      </w:pPr>
      <w:r>
        <w:rPr>
          <w:lang w:val="ru-RU"/>
        </w:rPr>
        <w:t>в</w:t>
      </w:r>
      <w:r w:rsidRPr="00C752E4">
        <w:rPr>
          <w:lang w:val="ru-RU"/>
        </w:rPr>
        <w:t xml:space="preserve"> </w:t>
      </w:r>
      <w:r>
        <w:rPr>
          <w:lang w:val="ru-RU"/>
        </w:rPr>
        <w:t>двух</w:t>
      </w:r>
      <w:r w:rsidRPr="00C752E4">
        <w:rPr>
          <w:lang w:val="ru-RU"/>
        </w:rPr>
        <w:t xml:space="preserve"> </w:t>
      </w:r>
      <w:r>
        <w:rPr>
          <w:lang w:val="ru-RU"/>
        </w:rPr>
        <w:t>случаях</w:t>
      </w:r>
      <w:r w:rsidRPr="00C752E4">
        <w:rPr>
          <w:lang w:val="ru-RU"/>
        </w:rPr>
        <w:t xml:space="preserve"> </w:t>
      </w:r>
      <w:r>
        <w:rPr>
          <w:lang w:val="ru-RU"/>
        </w:rPr>
        <w:t>сотрудники</w:t>
      </w:r>
      <w:r w:rsidRPr="00C752E4">
        <w:rPr>
          <w:lang w:val="ru-RU"/>
        </w:rPr>
        <w:t xml:space="preserve"> </w:t>
      </w:r>
      <w:r>
        <w:rPr>
          <w:lang w:val="ru-RU"/>
        </w:rPr>
        <w:t>были</w:t>
      </w:r>
      <w:r w:rsidRPr="00C752E4">
        <w:rPr>
          <w:lang w:val="ru-RU"/>
        </w:rPr>
        <w:t xml:space="preserve"> </w:t>
      </w:r>
      <w:r>
        <w:rPr>
          <w:lang w:val="ru-RU"/>
        </w:rPr>
        <w:t>уволены</w:t>
      </w:r>
      <w:r w:rsidRPr="00C752E4">
        <w:rPr>
          <w:lang w:val="ru-RU"/>
        </w:rPr>
        <w:t xml:space="preserve"> </w:t>
      </w:r>
      <w:r>
        <w:rPr>
          <w:lang w:val="ru-RU"/>
        </w:rPr>
        <w:t>из</w:t>
      </w:r>
      <w:r w:rsidRPr="00C752E4">
        <w:rPr>
          <w:lang w:val="ru-RU"/>
        </w:rPr>
        <w:t xml:space="preserve"> </w:t>
      </w:r>
      <w:r>
        <w:rPr>
          <w:lang w:val="ru-RU"/>
        </w:rPr>
        <w:t>Организации</w:t>
      </w:r>
      <w:r w:rsidR="00C46B12" w:rsidRPr="00C752E4">
        <w:rPr>
          <w:lang w:val="ru-RU"/>
        </w:rPr>
        <w:t>;</w:t>
      </w:r>
    </w:p>
    <w:p w14:paraId="6E1C60F8" w14:textId="5E3474BC" w:rsidR="00C46B12" w:rsidRPr="00C752E4" w:rsidRDefault="00C752E4" w:rsidP="002C23BF">
      <w:pPr>
        <w:pStyle w:val="ONUME"/>
        <w:numPr>
          <w:ilvl w:val="1"/>
          <w:numId w:val="10"/>
        </w:numPr>
        <w:rPr>
          <w:lang w:val="ru-RU"/>
        </w:rPr>
      </w:pPr>
      <w:r>
        <w:rPr>
          <w:lang w:val="ru-RU"/>
        </w:rPr>
        <w:t>в</w:t>
      </w:r>
      <w:r w:rsidRPr="00C752E4">
        <w:rPr>
          <w:lang w:val="ru-RU"/>
        </w:rPr>
        <w:t xml:space="preserve"> </w:t>
      </w:r>
      <w:r>
        <w:rPr>
          <w:lang w:val="ru-RU"/>
        </w:rPr>
        <w:t>одном</w:t>
      </w:r>
      <w:r w:rsidRPr="00C752E4">
        <w:rPr>
          <w:lang w:val="ru-RU"/>
        </w:rPr>
        <w:t xml:space="preserve"> </w:t>
      </w:r>
      <w:r>
        <w:rPr>
          <w:lang w:val="ru-RU"/>
        </w:rPr>
        <w:t>случае</w:t>
      </w:r>
      <w:r w:rsidRPr="00C752E4">
        <w:rPr>
          <w:lang w:val="ru-RU"/>
        </w:rPr>
        <w:t xml:space="preserve"> </w:t>
      </w:r>
      <w:r>
        <w:rPr>
          <w:lang w:val="ru-RU"/>
        </w:rPr>
        <w:t>сотрудник</w:t>
      </w:r>
      <w:r w:rsidRPr="00C752E4">
        <w:rPr>
          <w:lang w:val="ru-RU"/>
        </w:rPr>
        <w:t xml:space="preserve"> </w:t>
      </w:r>
      <w:r>
        <w:rPr>
          <w:lang w:val="ru-RU"/>
        </w:rPr>
        <w:t>был</w:t>
      </w:r>
      <w:r w:rsidRPr="00C752E4">
        <w:rPr>
          <w:lang w:val="ru-RU"/>
        </w:rPr>
        <w:t xml:space="preserve"> </w:t>
      </w:r>
      <w:r>
        <w:rPr>
          <w:lang w:val="ru-RU"/>
        </w:rPr>
        <w:t>понижен</w:t>
      </w:r>
      <w:r w:rsidRPr="00C752E4">
        <w:rPr>
          <w:lang w:val="ru-RU"/>
        </w:rPr>
        <w:t xml:space="preserve"> </w:t>
      </w:r>
      <w:r>
        <w:rPr>
          <w:lang w:val="ru-RU"/>
        </w:rPr>
        <w:t>в</w:t>
      </w:r>
      <w:r w:rsidRPr="00C752E4">
        <w:rPr>
          <w:lang w:val="ru-RU"/>
        </w:rPr>
        <w:t xml:space="preserve"> </w:t>
      </w:r>
      <w:r>
        <w:rPr>
          <w:lang w:val="ru-RU"/>
        </w:rPr>
        <w:t>должности</w:t>
      </w:r>
      <w:r w:rsidR="00C46B12" w:rsidRPr="00C752E4">
        <w:rPr>
          <w:lang w:val="ru-RU"/>
        </w:rPr>
        <w:t xml:space="preserve">; </w:t>
      </w:r>
    </w:p>
    <w:p w14:paraId="51C108DF" w14:textId="67983F88" w:rsidR="000E2BF2" w:rsidRPr="00C752E4" w:rsidRDefault="00C752E4" w:rsidP="002C23BF">
      <w:pPr>
        <w:pStyle w:val="ONUME"/>
        <w:numPr>
          <w:ilvl w:val="1"/>
          <w:numId w:val="10"/>
        </w:numPr>
        <w:rPr>
          <w:lang w:val="ru-RU"/>
        </w:rPr>
      </w:pPr>
      <w:r>
        <w:rPr>
          <w:lang w:val="ru-RU"/>
        </w:rPr>
        <w:t>в</w:t>
      </w:r>
      <w:r w:rsidRPr="00C752E4">
        <w:rPr>
          <w:lang w:val="ru-RU"/>
        </w:rPr>
        <w:t xml:space="preserve"> </w:t>
      </w:r>
      <w:r>
        <w:rPr>
          <w:lang w:val="ru-RU"/>
        </w:rPr>
        <w:t>одном</w:t>
      </w:r>
      <w:r w:rsidRPr="00C752E4">
        <w:rPr>
          <w:lang w:val="ru-RU"/>
        </w:rPr>
        <w:t xml:space="preserve"> </w:t>
      </w:r>
      <w:r>
        <w:rPr>
          <w:lang w:val="ru-RU"/>
        </w:rPr>
        <w:t>случае</w:t>
      </w:r>
      <w:r w:rsidRPr="00C752E4">
        <w:rPr>
          <w:lang w:val="ru-RU"/>
        </w:rPr>
        <w:t xml:space="preserve"> </w:t>
      </w:r>
      <w:r>
        <w:rPr>
          <w:lang w:val="ru-RU"/>
        </w:rPr>
        <w:t>руководство</w:t>
      </w:r>
      <w:r w:rsidRPr="00C752E4">
        <w:rPr>
          <w:lang w:val="ru-RU"/>
        </w:rPr>
        <w:t xml:space="preserve"> </w:t>
      </w:r>
      <w:r>
        <w:rPr>
          <w:lang w:val="ru-RU"/>
        </w:rPr>
        <w:t>решило</w:t>
      </w:r>
      <w:r w:rsidRPr="00C752E4">
        <w:rPr>
          <w:lang w:val="ru-RU"/>
        </w:rPr>
        <w:t xml:space="preserve"> </w:t>
      </w:r>
      <w:r>
        <w:rPr>
          <w:lang w:val="ru-RU"/>
        </w:rPr>
        <w:t>не</w:t>
      </w:r>
      <w:r w:rsidRPr="00C752E4">
        <w:rPr>
          <w:lang w:val="ru-RU"/>
        </w:rPr>
        <w:t xml:space="preserve"> </w:t>
      </w:r>
      <w:r>
        <w:rPr>
          <w:lang w:val="ru-RU"/>
        </w:rPr>
        <w:t>применять</w:t>
      </w:r>
      <w:r w:rsidRPr="00C752E4">
        <w:rPr>
          <w:lang w:val="ru-RU"/>
        </w:rPr>
        <w:t xml:space="preserve"> </w:t>
      </w:r>
      <w:r>
        <w:rPr>
          <w:lang w:val="ru-RU"/>
        </w:rPr>
        <w:t>в</w:t>
      </w:r>
      <w:r w:rsidRPr="00C752E4">
        <w:rPr>
          <w:lang w:val="ru-RU"/>
        </w:rPr>
        <w:t xml:space="preserve"> </w:t>
      </w:r>
      <w:r>
        <w:rPr>
          <w:lang w:val="ru-RU"/>
        </w:rPr>
        <w:t>отношении</w:t>
      </w:r>
      <w:r w:rsidRPr="00C752E4">
        <w:rPr>
          <w:lang w:val="ru-RU"/>
        </w:rPr>
        <w:t xml:space="preserve"> </w:t>
      </w:r>
      <w:r>
        <w:rPr>
          <w:lang w:val="ru-RU"/>
        </w:rPr>
        <w:t>сотрудника</w:t>
      </w:r>
      <w:r w:rsidRPr="00C752E4">
        <w:rPr>
          <w:lang w:val="ru-RU"/>
        </w:rPr>
        <w:t xml:space="preserve"> </w:t>
      </w:r>
      <w:r>
        <w:rPr>
          <w:lang w:val="ru-RU"/>
        </w:rPr>
        <w:t>мер</w:t>
      </w:r>
      <w:r w:rsidR="00431669">
        <w:rPr>
          <w:lang w:val="ru-RU"/>
        </w:rPr>
        <w:t>ы</w:t>
      </w:r>
      <w:r w:rsidRPr="00C752E4">
        <w:rPr>
          <w:lang w:val="ru-RU"/>
        </w:rPr>
        <w:t xml:space="preserve"> </w:t>
      </w:r>
      <w:r>
        <w:rPr>
          <w:lang w:val="ru-RU"/>
        </w:rPr>
        <w:t>дисциплинарного</w:t>
      </w:r>
      <w:r w:rsidRPr="00C752E4">
        <w:rPr>
          <w:lang w:val="ru-RU"/>
        </w:rPr>
        <w:t xml:space="preserve"> </w:t>
      </w:r>
      <w:r>
        <w:rPr>
          <w:lang w:val="ru-RU"/>
        </w:rPr>
        <w:t>взыскания</w:t>
      </w:r>
      <w:r w:rsidR="000E2BF2" w:rsidRPr="00C752E4">
        <w:rPr>
          <w:lang w:val="ru-RU"/>
        </w:rPr>
        <w:t>;</w:t>
      </w:r>
    </w:p>
    <w:p w14:paraId="757E39BC" w14:textId="1A695596" w:rsidR="00C46B12" w:rsidRPr="00C752E4" w:rsidRDefault="00C752E4" w:rsidP="002C23BF">
      <w:pPr>
        <w:pStyle w:val="ONUME"/>
        <w:numPr>
          <w:ilvl w:val="1"/>
          <w:numId w:val="10"/>
        </w:numPr>
        <w:rPr>
          <w:lang w:val="ru-RU"/>
        </w:rPr>
      </w:pPr>
      <w:r>
        <w:rPr>
          <w:lang w:val="ru-RU"/>
        </w:rPr>
        <w:t>в</w:t>
      </w:r>
      <w:r w:rsidRPr="00C752E4">
        <w:rPr>
          <w:lang w:val="ru-RU"/>
        </w:rPr>
        <w:t xml:space="preserve"> </w:t>
      </w:r>
      <w:r>
        <w:rPr>
          <w:lang w:val="ru-RU"/>
        </w:rPr>
        <w:t>одном</w:t>
      </w:r>
      <w:r w:rsidRPr="00C752E4">
        <w:rPr>
          <w:lang w:val="ru-RU"/>
        </w:rPr>
        <w:t xml:space="preserve"> </w:t>
      </w:r>
      <w:r>
        <w:rPr>
          <w:lang w:val="ru-RU"/>
        </w:rPr>
        <w:t>случае</w:t>
      </w:r>
      <w:r w:rsidRPr="00C752E4">
        <w:rPr>
          <w:lang w:val="ru-RU"/>
        </w:rPr>
        <w:t xml:space="preserve"> </w:t>
      </w:r>
      <w:r>
        <w:rPr>
          <w:lang w:val="ru-RU"/>
        </w:rPr>
        <w:t>принятие</w:t>
      </w:r>
      <w:r w:rsidRPr="00C752E4">
        <w:rPr>
          <w:lang w:val="ru-RU"/>
        </w:rPr>
        <w:t xml:space="preserve"> </w:t>
      </w:r>
      <w:r>
        <w:rPr>
          <w:lang w:val="ru-RU"/>
        </w:rPr>
        <w:t>мер</w:t>
      </w:r>
      <w:r w:rsidRPr="00C752E4">
        <w:rPr>
          <w:lang w:val="ru-RU"/>
        </w:rPr>
        <w:t xml:space="preserve"> </w:t>
      </w:r>
      <w:r>
        <w:rPr>
          <w:lang w:val="ru-RU"/>
        </w:rPr>
        <w:t>дисциплинарного</w:t>
      </w:r>
      <w:r w:rsidRPr="00C752E4">
        <w:rPr>
          <w:lang w:val="ru-RU"/>
        </w:rPr>
        <w:t xml:space="preserve"> </w:t>
      </w:r>
      <w:r>
        <w:rPr>
          <w:lang w:val="ru-RU"/>
        </w:rPr>
        <w:t>характера</w:t>
      </w:r>
      <w:r w:rsidRPr="00C752E4">
        <w:rPr>
          <w:lang w:val="ru-RU"/>
        </w:rPr>
        <w:t xml:space="preserve"> </w:t>
      </w:r>
      <w:r>
        <w:rPr>
          <w:lang w:val="ru-RU"/>
        </w:rPr>
        <w:t>было</w:t>
      </w:r>
      <w:r w:rsidRPr="00C752E4">
        <w:rPr>
          <w:lang w:val="ru-RU"/>
        </w:rPr>
        <w:t xml:space="preserve"> </w:t>
      </w:r>
      <w:r>
        <w:rPr>
          <w:lang w:val="ru-RU"/>
        </w:rPr>
        <w:t>невозможным</w:t>
      </w:r>
      <w:r w:rsidRPr="00C752E4">
        <w:rPr>
          <w:lang w:val="ru-RU"/>
        </w:rPr>
        <w:t xml:space="preserve"> </w:t>
      </w:r>
      <w:r>
        <w:rPr>
          <w:lang w:val="ru-RU"/>
        </w:rPr>
        <w:t>по</w:t>
      </w:r>
      <w:r w:rsidRPr="00C752E4">
        <w:rPr>
          <w:lang w:val="ru-RU"/>
        </w:rPr>
        <w:t xml:space="preserve"> </w:t>
      </w:r>
      <w:r>
        <w:rPr>
          <w:lang w:val="ru-RU"/>
        </w:rPr>
        <w:t>причине</w:t>
      </w:r>
      <w:r w:rsidRPr="00C752E4">
        <w:rPr>
          <w:lang w:val="ru-RU"/>
        </w:rPr>
        <w:t xml:space="preserve"> </w:t>
      </w:r>
      <w:r>
        <w:rPr>
          <w:lang w:val="ru-RU"/>
        </w:rPr>
        <w:t>того</w:t>
      </w:r>
      <w:r w:rsidRPr="00C752E4">
        <w:rPr>
          <w:lang w:val="ru-RU"/>
        </w:rPr>
        <w:t xml:space="preserve">, </w:t>
      </w:r>
      <w:r>
        <w:rPr>
          <w:lang w:val="ru-RU"/>
        </w:rPr>
        <w:t>что</w:t>
      </w:r>
      <w:r w:rsidRPr="00C752E4">
        <w:rPr>
          <w:lang w:val="ru-RU"/>
        </w:rPr>
        <w:t xml:space="preserve"> </w:t>
      </w:r>
      <w:r>
        <w:rPr>
          <w:lang w:val="ru-RU"/>
        </w:rPr>
        <w:t>сотрудник</w:t>
      </w:r>
      <w:r w:rsidRPr="00C752E4">
        <w:rPr>
          <w:lang w:val="ru-RU"/>
        </w:rPr>
        <w:t xml:space="preserve"> </w:t>
      </w:r>
      <w:r>
        <w:rPr>
          <w:lang w:val="ru-RU"/>
        </w:rPr>
        <w:t xml:space="preserve">покинул Организацию;  и </w:t>
      </w:r>
    </w:p>
    <w:p w14:paraId="0679E2A1" w14:textId="0D13512E" w:rsidR="00C46B12" w:rsidRPr="00CE0303" w:rsidRDefault="00C752E4" w:rsidP="002C23BF">
      <w:pPr>
        <w:pStyle w:val="ONUME"/>
        <w:numPr>
          <w:ilvl w:val="1"/>
          <w:numId w:val="10"/>
        </w:numPr>
        <w:rPr>
          <w:lang w:val="ru-RU"/>
        </w:rPr>
      </w:pPr>
      <w:r>
        <w:rPr>
          <w:lang w:val="ru-RU"/>
        </w:rPr>
        <w:t>в</w:t>
      </w:r>
      <w:r w:rsidRPr="00C752E4">
        <w:rPr>
          <w:lang w:val="ru-RU"/>
        </w:rPr>
        <w:t xml:space="preserve"> </w:t>
      </w:r>
      <w:r>
        <w:rPr>
          <w:lang w:val="ru-RU"/>
        </w:rPr>
        <w:t>трех</w:t>
      </w:r>
      <w:r w:rsidRPr="00C752E4">
        <w:rPr>
          <w:lang w:val="ru-RU"/>
        </w:rPr>
        <w:t xml:space="preserve"> </w:t>
      </w:r>
      <w:r>
        <w:rPr>
          <w:lang w:val="ru-RU"/>
        </w:rPr>
        <w:t>случаях</w:t>
      </w:r>
      <w:r w:rsidRPr="00C752E4">
        <w:rPr>
          <w:lang w:val="ru-RU"/>
        </w:rPr>
        <w:t xml:space="preserve"> </w:t>
      </w:r>
      <w:r>
        <w:rPr>
          <w:lang w:val="ru-RU"/>
        </w:rPr>
        <w:t>по</w:t>
      </w:r>
      <w:r w:rsidRPr="00C752E4">
        <w:rPr>
          <w:lang w:val="ru-RU"/>
        </w:rPr>
        <w:t xml:space="preserve"> </w:t>
      </w:r>
      <w:r>
        <w:rPr>
          <w:lang w:val="ru-RU"/>
        </w:rPr>
        <w:t>состоянию</w:t>
      </w:r>
      <w:r w:rsidRPr="00C752E4">
        <w:rPr>
          <w:lang w:val="ru-RU"/>
        </w:rPr>
        <w:t xml:space="preserve"> </w:t>
      </w:r>
      <w:r>
        <w:rPr>
          <w:lang w:val="ru-RU"/>
        </w:rPr>
        <w:t>на</w:t>
      </w:r>
      <w:r w:rsidRPr="00C752E4">
        <w:rPr>
          <w:lang w:val="ru-RU"/>
        </w:rPr>
        <w:t xml:space="preserve"> 31 </w:t>
      </w:r>
      <w:r>
        <w:rPr>
          <w:lang w:val="ru-RU"/>
        </w:rPr>
        <w:t>декабря</w:t>
      </w:r>
      <w:r w:rsidRPr="00C752E4">
        <w:rPr>
          <w:lang w:val="ru-RU"/>
        </w:rPr>
        <w:t xml:space="preserve"> 2019 </w:t>
      </w:r>
      <w:r>
        <w:rPr>
          <w:lang w:val="ru-RU"/>
        </w:rPr>
        <w:t>г</w:t>
      </w:r>
      <w:r w:rsidRPr="00C752E4">
        <w:rPr>
          <w:lang w:val="ru-RU"/>
        </w:rPr>
        <w:t xml:space="preserve">. </w:t>
      </w:r>
      <w:r>
        <w:rPr>
          <w:lang w:val="ru-RU"/>
        </w:rPr>
        <w:t>руководство</w:t>
      </w:r>
      <w:r w:rsidRPr="00C752E4">
        <w:rPr>
          <w:lang w:val="ru-RU"/>
        </w:rPr>
        <w:t xml:space="preserve"> </w:t>
      </w:r>
      <w:r>
        <w:rPr>
          <w:lang w:val="ru-RU"/>
        </w:rPr>
        <w:t>пока</w:t>
      </w:r>
      <w:r w:rsidRPr="00C752E4">
        <w:rPr>
          <w:lang w:val="ru-RU"/>
        </w:rPr>
        <w:t xml:space="preserve"> </w:t>
      </w:r>
      <w:r>
        <w:rPr>
          <w:lang w:val="ru-RU"/>
        </w:rPr>
        <w:t>еще</w:t>
      </w:r>
      <w:r w:rsidRPr="00C752E4">
        <w:rPr>
          <w:lang w:val="ru-RU"/>
        </w:rPr>
        <w:t xml:space="preserve"> </w:t>
      </w:r>
      <w:r>
        <w:rPr>
          <w:lang w:val="ru-RU"/>
        </w:rPr>
        <w:t>не</w:t>
      </w:r>
      <w:r w:rsidRPr="00C752E4">
        <w:rPr>
          <w:lang w:val="ru-RU"/>
        </w:rPr>
        <w:t xml:space="preserve"> </w:t>
      </w:r>
      <w:r>
        <w:rPr>
          <w:lang w:val="ru-RU"/>
        </w:rPr>
        <w:t>приняло</w:t>
      </w:r>
      <w:r w:rsidRPr="00C752E4">
        <w:rPr>
          <w:lang w:val="ru-RU"/>
        </w:rPr>
        <w:t xml:space="preserve"> </w:t>
      </w:r>
      <w:r>
        <w:rPr>
          <w:lang w:val="ru-RU"/>
        </w:rPr>
        <w:t xml:space="preserve">окончательного решения.  </w:t>
      </w:r>
    </w:p>
    <w:p w14:paraId="0CF7DB63" w14:textId="5E342315" w:rsidR="000E2BF2" w:rsidRPr="00CE0303" w:rsidRDefault="00CC0241" w:rsidP="002C23BF">
      <w:pPr>
        <w:pStyle w:val="ONUME"/>
        <w:rPr>
          <w:lang w:val="ru-RU"/>
        </w:rPr>
      </w:pPr>
      <w:bookmarkStart w:id="41" w:name="_Ref10466696"/>
      <w:r>
        <w:rPr>
          <w:lang w:val="ru-RU"/>
        </w:rPr>
        <w:t>Кроме</w:t>
      </w:r>
      <w:r w:rsidRPr="00CC0241">
        <w:rPr>
          <w:lang w:val="ru-RU"/>
        </w:rPr>
        <w:t xml:space="preserve"> </w:t>
      </w:r>
      <w:r>
        <w:rPr>
          <w:lang w:val="ru-RU"/>
        </w:rPr>
        <w:t>того</w:t>
      </w:r>
      <w:r w:rsidRPr="00CC0241">
        <w:rPr>
          <w:lang w:val="ru-RU"/>
        </w:rPr>
        <w:t xml:space="preserve">, </w:t>
      </w:r>
      <w:r>
        <w:rPr>
          <w:lang w:val="ru-RU"/>
        </w:rPr>
        <w:t>проведенные</w:t>
      </w:r>
      <w:r w:rsidRPr="00CC0241">
        <w:rPr>
          <w:lang w:val="ru-RU"/>
        </w:rPr>
        <w:t xml:space="preserve"> </w:t>
      </w:r>
      <w:r>
        <w:rPr>
          <w:lang w:val="ru-RU"/>
        </w:rPr>
        <w:t>расследования</w:t>
      </w:r>
      <w:r w:rsidRPr="00CC0241">
        <w:rPr>
          <w:lang w:val="ru-RU"/>
        </w:rPr>
        <w:t xml:space="preserve"> </w:t>
      </w:r>
      <w:r>
        <w:rPr>
          <w:lang w:val="ru-RU"/>
        </w:rPr>
        <w:t>позволили</w:t>
      </w:r>
      <w:r w:rsidRPr="00CC0241">
        <w:rPr>
          <w:lang w:val="ru-RU"/>
        </w:rPr>
        <w:t xml:space="preserve"> </w:t>
      </w:r>
      <w:r>
        <w:rPr>
          <w:lang w:val="ru-RU"/>
        </w:rPr>
        <w:t>ОВН</w:t>
      </w:r>
      <w:r w:rsidRPr="00CC0241">
        <w:rPr>
          <w:lang w:val="ru-RU"/>
        </w:rPr>
        <w:t xml:space="preserve"> </w:t>
      </w:r>
      <w:r>
        <w:rPr>
          <w:lang w:val="ru-RU"/>
        </w:rPr>
        <w:t>накопить</w:t>
      </w:r>
      <w:r w:rsidRPr="00CC0241">
        <w:rPr>
          <w:lang w:val="ru-RU"/>
        </w:rPr>
        <w:t xml:space="preserve"> </w:t>
      </w:r>
      <w:r>
        <w:rPr>
          <w:lang w:val="ru-RU"/>
        </w:rPr>
        <w:t>определенный</w:t>
      </w:r>
      <w:r w:rsidRPr="00CC0241">
        <w:rPr>
          <w:lang w:val="ru-RU"/>
        </w:rPr>
        <w:t xml:space="preserve"> </w:t>
      </w:r>
      <w:r>
        <w:rPr>
          <w:lang w:val="ru-RU"/>
        </w:rPr>
        <w:t>опыт.</w:t>
      </w:r>
      <w:r w:rsidR="00C46B12" w:rsidRPr="00CC0241">
        <w:rPr>
          <w:lang w:val="ru-RU"/>
        </w:rPr>
        <w:t xml:space="preserve">  </w:t>
      </w:r>
      <w:r>
        <w:rPr>
          <w:lang w:val="ru-RU"/>
        </w:rPr>
        <w:t>В</w:t>
      </w:r>
      <w:r w:rsidRPr="00CC0241">
        <w:rPr>
          <w:lang w:val="ru-RU"/>
        </w:rPr>
        <w:t xml:space="preserve"> </w:t>
      </w:r>
      <w:r>
        <w:rPr>
          <w:lang w:val="ru-RU"/>
        </w:rPr>
        <w:t>ходе</w:t>
      </w:r>
      <w:r w:rsidRPr="00CC0241">
        <w:rPr>
          <w:lang w:val="ru-RU"/>
        </w:rPr>
        <w:t xml:space="preserve"> </w:t>
      </w:r>
      <w:r>
        <w:rPr>
          <w:lang w:val="ru-RU"/>
        </w:rPr>
        <w:t>отчетного</w:t>
      </w:r>
      <w:r w:rsidRPr="00CC0241">
        <w:rPr>
          <w:lang w:val="ru-RU"/>
        </w:rPr>
        <w:t xml:space="preserve"> </w:t>
      </w:r>
      <w:r>
        <w:rPr>
          <w:lang w:val="ru-RU"/>
        </w:rPr>
        <w:t>периода</w:t>
      </w:r>
      <w:r w:rsidRPr="00CC0241">
        <w:rPr>
          <w:lang w:val="ru-RU"/>
        </w:rPr>
        <w:t xml:space="preserve"> </w:t>
      </w:r>
      <w:r>
        <w:rPr>
          <w:lang w:val="ru-RU"/>
        </w:rPr>
        <w:t>были</w:t>
      </w:r>
      <w:r w:rsidRPr="00CC0241">
        <w:rPr>
          <w:lang w:val="ru-RU"/>
        </w:rPr>
        <w:t xml:space="preserve"> </w:t>
      </w:r>
      <w:r>
        <w:rPr>
          <w:lang w:val="ru-RU"/>
        </w:rPr>
        <w:t>опубликованы</w:t>
      </w:r>
      <w:r w:rsidRPr="00CC0241">
        <w:rPr>
          <w:lang w:val="ru-RU"/>
        </w:rPr>
        <w:t xml:space="preserve"> </w:t>
      </w:r>
      <w:r>
        <w:rPr>
          <w:lang w:val="ru-RU"/>
        </w:rPr>
        <w:t>три</w:t>
      </w:r>
      <w:r w:rsidRPr="00CC0241">
        <w:rPr>
          <w:lang w:val="ru-RU"/>
        </w:rPr>
        <w:t xml:space="preserve"> </w:t>
      </w:r>
      <w:r>
        <w:rPr>
          <w:lang w:val="ru-RU"/>
        </w:rPr>
        <w:t>ОРРР</w:t>
      </w:r>
      <w:r w:rsidRPr="00CC0241">
        <w:rPr>
          <w:lang w:val="ru-RU"/>
        </w:rPr>
        <w:t xml:space="preserve">, </w:t>
      </w:r>
      <w:r>
        <w:rPr>
          <w:lang w:val="ru-RU"/>
        </w:rPr>
        <w:t>которые</w:t>
      </w:r>
      <w:r w:rsidRPr="00CC0241">
        <w:rPr>
          <w:lang w:val="ru-RU"/>
        </w:rPr>
        <w:t xml:space="preserve"> </w:t>
      </w:r>
      <w:r>
        <w:rPr>
          <w:lang w:val="ru-RU"/>
        </w:rPr>
        <w:t>касались</w:t>
      </w:r>
      <w:r w:rsidRPr="00CC0241">
        <w:rPr>
          <w:lang w:val="ru-RU"/>
        </w:rPr>
        <w:t xml:space="preserve"> систем работы с запросами клиентов, </w:t>
      </w:r>
      <w:r>
        <w:rPr>
          <w:lang w:val="ru-RU"/>
        </w:rPr>
        <w:t>процедур</w:t>
      </w:r>
      <w:r w:rsidRPr="00CC0241">
        <w:rPr>
          <w:lang w:val="ru-RU"/>
        </w:rPr>
        <w:t xml:space="preserve"> </w:t>
      </w:r>
      <w:r>
        <w:rPr>
          <w:lang w:val="ru-RU"/>
        </w:rPr>
        <w:t>осуществления закупок и контроля физического доступа</w:t>
      </w:r>
      <w:r w:rsidR="00046C7F">
        <w:rPr>
          <w:lang w:val="ru-RU"/>
        </w:rPr>
        <w:t xml:space="preserve"> на территорию комплекса ВОИС.</w:t>
      </w:r>
    </w:p>
    <w:bookmarkEnd w:id="41"/>
    <w:p w14:paraId="194029ED" w14:textId="5B81EF5A" w:rsidR="00C46B12" w:rsidRPr="00CE0303" w:rsidRDefault="00CC0241" w:rsidP="002C23BF">
      <w:pPr>
        <w:pStyle w:val="ONUME"/>
        <w:rPr>
          <w:lang w:val="ru-RU"/>
        </w:rPr>
      </w:pPr>
      <w:r w:rsidRPr="00CC0241">
        <w:rPr>
          <w:lang w:val="ru-RU"/>
        </w:rPr>
        <w:t>Сравнительный</w:t>
      </w:r>
      <w:r w:rsidRPr="00CE0303">
        <w:rPr>
          <w:lang w:val="ru-RU"/>
        </w:rPr>
        <w:t xml:space="preserve"> </w:t>
      </w:r>
      <w:r w:rsidRPr="00CC0241">
        <w:rPr>
          <w:lang w:val="ru-RU"/>
        </w:rPr>
        <w:t>анализ</w:t>
      </w:r>
      <w:r w:rsidRPr="00CE0303">
        <w:rPr>
          <w:lang w:val="ru-RU"/>
        </w:rPr>
        <w:t xml:space="preserve"> </w:t>
      </w:r>
      <w:r w:rsidRPr="00CC0241">
        <w:rPr>
          <w:lang w:val="ru-RU"/>
        </w:rPr>
        <w:t>дел</w:t>
      </w:r>
      <w:r w:rsidRPr="00CE0303">
        <w:rPr>
          <w:lang w:val="ru-RU"/>
        </w:rPr>
        <w:t xml:space="preserve">, </w:t>
      </w:r>
      <w:r w:rsidRPr="00CC0241">
        <w:rPr>
          <w:lang w:val="ru-RU"/>
        </w:rPr>
        <w:t>зарегистрированных</w:t>
      </w:r>
      <w:r w:rsidRPr="00CE0303">
        <w:rPr>
          <w:lang w:val="ru-RU"/>
        </w:rPr>
        <w:t xml:space="preserve"> </w:t>
      </w:r>
      <w:r w:rsidRPr="00CC0241">
        <w:rPr>
          <w:lang w:val="ru-RU"/>
        </w:rPr>
        <w:t>в</w:t>
      </w:r>
      <w:r w:rsidRPr="00CE0303">
        <w:rPr>
          <w:lang w:val="ru-RU"/>
        </w:rPr>
        <w:t xml:space="preserve"> </w:t>
      </w:r>
      <w:r w:rsidRPr="00CC0241">
        <w:rPr>
          <w:lang w:val="ru-RU"/>
        </w:rPr>
        <w:t>период</w:t>
      </w:r>
      <w:r w:rsidRPr="00CE0303">
        <w:rPr>
          <w:lang w:val="ru-RU"/>
        </w:rPr>
        <w:t xml:space="preserve"> </w:t>
      </w:r>
      <w:r w:rsidRPr="00CC0241">
        <w:rPr>
          <w:lang w:val="ru-RU"/>
        </w:rPr>
        <w:t>с</w:t>
      </w:r>
      <w:r w:rsidRPr="00CE0303">
        <w:rPr>
          <w:lang w:val="ru-RU"/>
        </w:rPr>
        <w:t xml:space="preserve"> 1</w:t>
      </w:r>
      <w:r w:rsidRPr="00CC0241">
        <w:t> </w:t>
      </w:r>
      <w:r w:rsidRPr="00CC0241">
        <w:rPr>
          <w:lang w:val="ru-RU"/>
        </w:rPr>
        <w:t>июля</w:t>
      </w:r>
      <w:r w:rsidRPr="00CE0303">
        <w:rPr>
          <w:lang w:val="ru-RU"/>
        </w:rPr>
        <w:t xml:space="preserve"> 2017</w:t>
      </w:r>
      <w:r w:rsidRPr="00CC0241">
        <w:t> </w:t>
      </w:r>
      <w:r w:rsidRPr="00CC0241">
        <w:rPr>
          <w:lang w:val="ru-RU"/>
        </w:rPr>
        <w:t>г</w:t>
      </w:r>
      <w:r w:rsidRPr="00CE0303">
        <w:rPr>
          <w:lang w:val="ru-RU"/>
        </w:rPr>
        <w:t xml:space="preserve">. </w:t>
      </w:r>
      <w:r w:rsidRPr="00CC0241">
        <w:rPr>
          <w:lang w:val="ru-RU"/>
        </w:rPr>
        <w:t>по</w:t>
      </w:r>
      <w:r w:rsidRPr="00CE0303">
        <w:rPr>
          <w:lang w:val="ru-RU"/>
        </w:rPr>
        <w:t xml:space="preserve"> 31</w:t>
      </w:r>
      <w:r w:rsidRPr="00CC0241">
        <w:t> </w:t>
      </w:r>
      <w:r>
        <w:rPr>
          <w:lang w:val="ru-RU"/>
        </w:rPr>
        <w:t>декабря</w:t>
      </w:r>
      <w:r w:rsidRPr="00CC0241">
        <w:t> </w:t>
      </w:r>
      <w:r w:rsidRPr="00CE0303">
        <w:rPr>
          <w:lang w:val="ru-RU"/>
        </w:rPr>
        <w:t>2019</w:t>
      </w:r>
      <w:r w:rsidRPr="00CC0241">
        <w:t> </w:t>
      </w:r>
      <w:r w:rsidRPr="00CC0241">
        <w:rPr>
          <w:lang w:val="ru-RU"/>
        </w:rPr>
        <w:t>г</w:t>
      </w:r>
      <w:r w:rsidRPr="00CE0303">
        <w:rPr>
          <w:lang w:val="ru-RU"/>
        </w:rPr>
        <w:t xml:space="preserve">., </w:t>
      </w:r>
      <w:r w:rsidRPr="00CC0241">
        <w:rPr>
          <w:lang w:val="ru-RU"/>
        </w:rPr>
        <w:t>приводится</w:t>
      </w:r>
      <w:r w:rsidRPr="00CE0303">
        <w:rPr>
          <w:lang w:val="ru-RU"/>
        </w:rPr>
        <w:t xml:space="preserve"> </w:t>
      </w:r>
      <w:r w:rsidRPr="00CC0241">
        <w:rPr>
          <w:lang w:val="ru-RU"/>
        </w:rPr>
        <w:t>в</w:t>
      </w:r>
      <w:r w:rsidRPr="00CE0303">
        <w:rPr>
          <w:lang w:val="ru-RU"/>
        </w:rPr>
        <w:t xml:space="preserve"> </w:t>
      </w:r>
      <w:r w:rsidRPr="00CC0241">
        <w:rPr>
          <w:lang w:val="ru-RU"/>
        </w:rPr>
        <w:t>таблице</w:t>
      </w:r>
      <w:r w:rsidRPr="00CE0303">
        <w:rPr>
          <w:lang w:val="ru-RU"/>
        </w:rPr>
        <w:t xml:space="preserve"> </w:t>
      </w:r>
      <w:r w:rsidRPr="00CC0241">
        <w:rPr>
          <w:lang w:val="ru-RU"/>
        </w:rPr>
        <w:t>ниже</w:t>
      </w:r>
      <w:r w:rsidRPr="00CE0303">
        <w:rPr>
          <w:lang w:val="ru-RU"/>
        </w:rPr>
        <w:t xml:space="preserve">:  </w:t>
      </w:r>
    </w:p>
    <w:p w14:paraId="4D952723" w14:textId="46429A60" w:rsidR="00C46B12" w:rsidRPr="00CE0303" w:rsidRDefault="00CC0241" w:rsidP="00AC3480">
      <w:pPr>
        <w:pStyle w:val="ONUME"/>
        <w:keepNext/>
        <w:numPr>
          <w:ilvl w:val="0"/>
          <w:numId w:val="0"/>
        </w:numPr>
        <w:jc w:val="center"/>
        <w:rPr>
          <w:b/>
          <w:sz w:val="18"/>
          <w:szCs w:val="18"/>
          <w:lang w:val="ru-RU"/>
        </w:rPr>
      </w:pPr>
      <w:r w:rsidRPr="00CC0241">
        <w:rPr>
          <w:b/>
          <w:sz w:val="18"/>
          <w:szCs w:val="18"/>
          <w:lang w:val="ru-RU"/>
        </w:rPr>
        <w:lastRenderedPageBreak/>
        <w:t>Таблица</w:t>
      </w:r>
      <w:r w:rsidRPr="00CE0303">
        <w:rPr>
          <w:b/>
          <w:sz w:val="18"/>
          <w:szCs w:val="18"/>
          <w:lang w:val="ru-RU"/>
        </w:rPr>
        <w:t xml:space="preserve"> 1. </w:t>
      </w:r>
      <w:r w:rsidRPr="00CC0241">
        <w:rPr>
          <w:b/>
          <w:sz w:val="18"/>
          <w:szCs w:val="18"/>
          <w:lang w:val="ru-RU"/>
        </w:rPr>
        <w:t>Анализ</w:t>
      </w:r>
      <w:r w:rsidRPr="00CE0303">
        <w:rPr>
          <w:b/>
          <w:sz w:val="18"/>
          <w:szCs w:val="18"/>
          <w:lang w:val="ru-RU"/>
        </w:rPr>
        <w:t xml:space="preserve"> </w:t>
      </w:r>
      <w:r w:rsidRPr="00CC0241">
        <w:rPr>
          <w:b/>
          <w:sz w:val="18"/>
          <w:szCs w:val="18"/>
          <w:lang w:val="ru-RU"/>
        </w:rPr>
        <w:t>жалоб</w:t>
      </w:r>
      <w:r w:rsidRPr="00CE0303">
        <w:rPr>
          <w:b/>
          <w:sz w:val="18"/>
          <w:szCs w:val="18"/>
          <w:lang w:val="ru-RU"/>
        </w:rPr>
        <w:t xml:space="preserve">, </w:t>
      </w:r>
      <w:r w:rsidRPr="00CC0241">
        <w:rPr>
          <w:b/>
          <w:sz w:val="18"/>
          <w:szCs w:val="18"/>
          <w:lang w:val="ru-RU"/>
        </w:rPr>
        <w:t>полученных</w:t>
      </w:r>
      <w:r w:rsidRPr="00CE0303">
        <w:rPr>
          <w:b/>
          <w:sz w:val="18"/>
          <w:szCs w:val="18"/>
          <w:lang w:val="ru-RU"/>
        </w:rPr>
        <w:t xml:space="preserve"> </w:t>
      </w:r>
      <w:r w:rsidRPr="00CC0241">
        <w:rPr>
          <w:b/>
          <w:sz w:val="18"/>
          <w:szCs w:val="18"/>
          <w:lang w:val="ru-RU"/>
        </w:rPr>
        <w:t>с</w:t>
      </w:r>
      <w:r w:rsidRPr="00CE0303">
        <w:rPr>
          <w:b/>
          <w:sz w:val="18"/>
          <w:szCs w:val="18"/>
          <w:lang w:val="ru-RU"/>
        </w:rPr>
        <w:t xml:space="preserve"> 1</w:t>
      </w:r>
      <w:r w:rsidRPr="00CC0241">
        <w:rPr>
          <w:b/>
          <w:sz w:val="18"/>
          <w:szCs w:val="18"/>
        </w:rPr>
        <w:t> </w:t>
      </w:r>
      <w:r w:rsidRPr="00CC0241">
        <w:rPr>
          <w:b/>
          <w:sz w:val="18"/>
          <w:szCs w:val="18"/>
          <w:lang w:val="ru-RU"/>
        </w:rPr>
        <w:t>июля</w:t>
      </w:r>
      <w:r w:rsidRPr="00CE0303">
        <w:rPr>
          <w:b/>
          <w:sz w:val="18"/>
          <w:szCs w:val="18"/>
          <w:lang w:val="ru-RU"/>
        </w:rPr>
        <w:t xml:space="preserve"> 2017</w:t>
      </w:r>
      <w:r w:rsidRPr="00CC0241">
        <w:rPr>
          <w:b/>
          <w:sz w:val="18"/>
          <w:szCs w:val="18"/>
        </w:rPr>
        <w:t> </w:t>
      </w:r>
      <w:r w:rsidRPr="00CC0241">
        <w:rPr>
          <w:b/>
          <w:sz w:val="18"/>
          <w:szCs w:val="18"/>
          <w:lang w:val="ru-RU"/>
        </w:rPr>
        <w:t>г</w:t>
      </w:r>
      <w:r w:rsidRPr="00CE0303">
        <w:rPr>
          <w:b/>
          <w:sz w:val="18"/>
          <w:szCs w:val="18"/>
          <w:lang w:val="ru-RU"/>
        </w:rPr>
        <w:t xml:space="preserve">. </w:t>
      </w:r>
      <w:r w:rsidRPr="00CC0241">
        <w:rPr>
          <w:b/>
          <w:sz w:val="18"/>
          <w:szCs w:val="18"/>
          <w:lang w:val="ru-RU"/>
        </w:rPr>
        <w:t>по</w:t>
      </w:r>
      <w:r w:rsidRPr="00CE0303">
        <w:rPr>
          <w:b/>
          <w:sz w:val="18"/>
          <w:szCs w:val="18"/>
          <w:lang w:val="ru-RU"/>
        </w:rPr>
        <w:t xml:space="preserve"> 31</w:t>
      </w:r>
      <w:r w:rsidRPr="00CC0241">
        <w:rPr>
          <w:b/>
          <w:sz w:val="18"/>
          <w:szCs w:val="18"/>
        </w:rPr>
        <w:t> </w:t>
      </w:r>
      <w:r>
        <w:rPr>
          <w:b/>
          <w:sz w:val="18"/>
          <w:szCs w:val="18"/>
          <w:lang w:val="ru-RU"/>
        </w:rPr>
        <w:t>декабря</w:t>
      </w:r>
      <w:r w:rsidRPr="00CE0303">
        <w:rPr>
          <w:b/>
          <w:sz w:val="18"/>
          <w:szCs w:val="18"/>
          <w:lang w:val="ru-RU"/>
        </w:rPr>
        <w:t xml:space="preserve"> 2019</w:t>
      </w:r>
      <w:r w:rsidRPr="00CC0241">
        <w:rPr>
          <w:b/>
          <w:sz w:val="18"/>
          <w:szCs w:val="18"/>
        </w:rPr>
        <w:t> </w:t>
      </w:r>
      <w:r w:rsidRPr="00CC0241">
        <w:rPr>
          <w:b/>
          <w:sz w:val="18"/>
          <w:szCs w:val="18"/>
          <w:lang w:val="ru-RU"/>
        </w:rPr>
        <w:t>г</w:t>
      </w:r>
      <w:r w:rsidRPr="00CE0303">
        <w:rPr>
          <w:b/>
          <w:sz w:val="18"/>
          <w:szCs w:val="18"/>
          <w:lang w:val="ru-RU"/>
        </w:rPr>
        <w:t xml:space="preserve">. </w:t>
      </w:r>
    </w:p>
    <w:p w14:paraId="6E0B52D6" w14:textId="5BACDF95" w:rsidR="00CA69D4" w:rsidRDefault="003821DD" w:rsidP="00C46B12">
      <w:pPr>
        <w:pStyle w:val="ONUME"/>
        <w:numPr>
          <w:ilvl w:val="0"/>
          <w:numId w:val="0"/>
        </w:numPr>
        <w:jc w:val="center"/>
        <w:rPr>
          <w:noProof/>
          <w:lang w:eastAsia="en-US"/>
        </w:rPr>
      </w:pPr>
      <w:r w:rsidRPr="003B25AF">
        <w:rPr>
          <w:noProof/>
          <w:lang w:eastAsia="en-US"/>
        </w:rPr>
        <w:drawing>
          <wp:inline distT="0" distB="0" distL="0" distR="0" wp14:anchorId="120A46DA" wp14:editId="31AE501E">
            <wp:extent cx="5931535" cy="5160645"/>
            <wp:effectExtent l="0" t="0" r="0" b="1905"/>
            <wp:docPr id="4" name="Picture 4" descr="Анализ жалоб, полученных с 1 июля 2017 г. по 31 декабря 2019 г" title="Таблица 1. Анализ жалоб, полученных с 1 июля 2017 г. по 31 декабря 2019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1535" cy="5160645"/>
                    </a:xfrm>
                    <a:prstGeom prst="rect">
                      <a:avLst/>
                    </a:prstGeom>
                    <a:noFill/>
                    <a:ln>
                      <a:noFill/>
                    </a:ln>
                  </pic:spPr>
                </pic:pic>
              </a:graphicData>
            </a:graphic>
          </wp:inline>
        </w:drawing>
      </w:r>
    </w:p>
    <w:p w14:paraId="1A9ACF37" w14:textId="244D5B2A" w:rsidR="00C46B12" w:rsidRPr="00CE0303" w:rsidRDefault="00CC0241" w:rsidP="00C46B12">
      <w:pPr>
        <w:pStyle w:val="ONUME"/>
        <w:keepNext/>
        <w:numPr>
          <w:ilvl w:val="0"/>
          <w:numId w:val="0"/>
        </w:numPr>
        <w:jc w:val="center"/>
        <w:rPr>
          <w:b/>
          <w:sz w:val="18"/>
          <w:szCs w:val="18"/>
          <w:lang w:val="ru-RU"/>
        </w:rPr>
      </w:pPr>
      <w:r w:rsidRPr="00CC0241">
        <w:rPr>
          <w:b/>
          <w:sz w:val="18"/>
          <w:szCs w:val="18"/>
          <w:lang w:val="ru-RU"/>
        </w:rPr>
        <w:lastRenderedPageBreak/>
        <w:t>График 2. Анализ дел, закрытых с 1</w:t>
      </w:r>
      <w:r w:rsidRPr="00CC0241">
        <w:rPr>
          <w:b/>
          <w:sz w:val="18"/>
          <w:szCs w:val="18"/>
        </w:rPr>
        <w:t> </w:t>
      </w:r>
      <w:r w:rsidRPr="00CC0241">
        <w:rPr>
          <w:b/>
          <w:sz w:val="18"/>
          <w:szCs w:val="18"/>
          <w:lang w:val="ru-RU"/>
        </w:rPr>
        <w:t>июля 2017</w:t>
      </w:r>
      <w:r w:rsidRPr="00CC0241">
        <w:rPr>
          <w:b/>
          <w:sz w:val="18"/>
          <w:szCs w:val="18"/>
        </w:rPr>
        <w:t> </w:t>
      </w:r>
      <w:r w:rsidRPr="00CC0241">
        <w:rPr>
          <w:b/>
          <w:sz w:val="18"/>
          <w:szCs w:val="18"/>
          <w:lang w:val="ru-RU"/>
        </w:rPr>
        <w:t>г. по 3</w:t>
      </w:r>
      <w:r>
        <w:rPr>
          <w:b/>
          <w:sz w:val="18"/>
          <w:szCs w:val="18"/>
          <w:lang w:val="ru-RU"/>
        </w:rPr>
        <w:t>1</w:t>
      </w:r>
      <w:r w:rsidRPr="00CC0241">
        <w:rPr>
          <w:b/>
          <w:sz w:val="18"/>
          <w:szCs w:val="18"/>
        </w:rPr>
        <w:t> </w:t>
      </w:r>
      <w:r>
        <w:rPr>
          <w:b/>
          <w:sz w:val="18"/>
          <w:szCs w:val="18"/>
          <w:lang w:val="ru-RU"/>
        </w:rPr>
        <w:t xml:space="preserve">декабря </w:t>
      </w:r>
      <w:r w:rsidRPr="00CC0241">
        <w:rPr>
          <w:b/>
          <w:sz w:val="18"/>
          <w:szCs w:val="18"/>
          <w:lang w:val="ru-RU"/>
        </w:rPr>
        <w:t>2019</w:t>
      </w:r>
      <w:r w:rsidRPr="00CC0241">
        <w:rPr>
          <w:b/>
          <w:sz w:val="18"/>
          <w:szCs w:val="18"/>
        </w:rPr>
        <w:t> </w:t>
      </w:r>
      <w:r w:rsidRPr="00CC0241">
        <w:rPr>
          <w:b/>
          <w:sz w:val="18"/>
          <w:szCs w:val="18"/>
          <w:lang w:val="ru-RU"/>
        </w:rPr>
        <w:t xml:space="preserve">г.  </w:t>
      </w:r>
    </w:p>
    <w:p w14:paraId="2172A9DD" w14:textId="62CD66F1" w:rsidR="00CC0241" w:rsidRPr="00CE0303" w:rsidRDefault="003821DD" w:rsidP="00C46B12">
      <w:pPr>
        <w:pStyle w:val="ONUME"/>
        <w:keepNext/>
        <w:numPr>
          <w:ilvl w:val="0"/>
          <w:numId w:val="0"/>
        </w:numPr>
        <w:jc w:val="center"/>
        <w:rPr>
          <w:lang w:val="ru-RU"/>
        </w:rPr>
      </w:pPr>
      <w:r w:rsidRPr="003B25AF">
        <w:rPr>
          <w:noProof/>
          <w:lang w:eastAsia="en-US"/>
        </w:rPr>
        <w:drawing>
          <wp:inline distT="0" distB="0" distL="0" distR="0" wp14:anchorId="7CF311D3" wp14:editId="25970D6B">
            <wp:extent cx="4563745" cy="2734945"/>
            <wp:effectExtent l="0" t="0" r="8255" b="8255"/>
            <wp:docPr id="12" name="Picture 12" descr="Анализ дел, закрытых с 1 июля 2017 г. по 31 декабря 2019 г." title="График 2. Анализ закрытых де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63745" cy="2734945"/>
                    </a:xfrm>
                    <a:prstGeom prst="rect">
                      <a:avLst/>
                    </a:prstGeom>
                    <a:noFill/>
                    <a:ln>
                      <a:noFill/>
                    </a:ln>
                  </pic:spPr>
                </pic:pic>
              </a:graphicData>
            </a:graphic>
          </wp:inline>
        </w:drawing>
      </w:r>
    </w:p>
    <w:p w14:paraId="400C267B" w14:textId="0FBD2F2E" w:rsidR="00C46B12" w:rsidRDefault="00C46B12" w:rsidP="00C46B12">
      <w:pPr>
        <w:pStyle w:val="ONUME"/>
        <w:keepNext/>
        <w:numPr>
          <w:ilvl w:val="0"/>
          <w:numId w:val="0"/>
        </w:numPr>
        <w:jc w:val="center"/>
      </w:pPr>
    </w:p>
    <w:p w14:paraId="33FFB8C9" w14:textId="1650FFE2" w:rsidR="00C46B12" w:rsidRPr="00CC0241" w:rsidRDefault="00CC0241" w:rsidP="00C46B12">
      <w:pPr>
        <w:pStyle w:val="Heading1"/>
        <w:rPr>
          <w:lang w:val="ru-RU"/>
        </w:rPr>
      </w:pPr>
      <w:bookmarkStart w:id="42" w:name="_Toc11683742"/>
      <w:bookmarkStart w:id="43" w:name="_Toc40299732"/>
      <w:r w:rsidRPr="00CC0241">
        <w:rPr>
          <w:lang w:val="ru-RU"/>
        </w:rPr>
        <w:t>СЛУЧАИ ОТКАЗА В ПРЕДОСТАВЛЕНИИ ИНФОРМАЦИИ ИЛИ ОКАЗАНИИ ПОДДЕРЖКИ</w:t>
      </w:r>
      <w:bookmarkEnd w:id="42"/>
      <w:bookmarkEnd w:id="43"/>
    </w:p>
    <w:p w14:paraId="7460CF5B" w14:textId="295C0ADA" w:rsidR="00C46B12" w:rsidRPr="00CE0303" w:rsidRDefault="00CC0241" w:rsidP="002C23BF">
      <w:pPr>
        <w:pStyle w:val="ONUME"/>
        <w:rPr>
          <w:lang w:val="ru-RU"/>
        </w:rPr>
      </w:pPr>
      <w:r w:rsidRPr="00CC0241">
        <w:rPr>
          <w:lang w:val="ru-RU"/>
        </w:rPr>
        <w:t xml:space="preserve">Согласно пункту 48 (g) УВН директор ОВН должен сообщать обо всех случаях, имевших место в отчетный период, когда доступ ОВН к архивам, сотрудникам и помещениям был ограничен.  </w:t>
      </w:r>
    </w:p>
    <w:p w14:paraId="40FFDC2E" w14:textId="24CE67F1" w:rsidR="00C84D33" w:rsidRPr="00CE0303" w:rsidRDefault="00CC0241" w:rsidP="002C23BF">
      <w:pPr>
        <w:pStyle w:val="ONUME"/>
        <w:rPr>
          <w:lang w:val="ru-RU"/>
        </w:rPr>
      </w:pPr>
      <w:r w:rsidRPr="00CC0241">
        <w:rPr>
          <w:lang w:val="ru-RU"/>
        </w:rPr>
        <w:t xml:space="preserve">ОВН сообщает, что в течение отчетного периода ни один сотрудник Организации не отказывался предоставить информацию или оказать содействие в осуществлении текущих надзорных процедур.  </w:t>
      </w:r>
    </w:p>
    <w:p w14:paraId="6F638ADB" w14:textId="5BF3C947" w:rsidR="00CC0241" w:rsidRPr="00CC0241" w:rsidRDefault="00CC0241" w:rsidP="00CC0241">
      <w:pPr>
        <w:pStyle w:val="Heading1"/>
        <w:rPr>
          <w:lang w:val="ru-RU"/>
        </w:rPr>
      </w:pPr>
      <w:bookmarkStart w:id="44" w:name="_Toc40299733"/>
      <w:bookmarkEnd w:id="38"/>
      <w:r w:rsidRPr="00CC0241">
        <w:rPr>
          <w:lang w:val="ru-RU"/>
        </w:rPr>
        <w:t>ВЫПОЛНЕНИЕ РЕКОМЕНДАЦИЙ В ОБЛАСТИ ВНУТРЕННЕГО НАДЗОРА</w:t>
      </w:r>
      <w:bookmarkEnd w:id="44"/>
    </w:p>
    <w:p w14:paraId="72A0AB95" w14:textId="5A298C52" w:rsidR="00C46B12" w:rsidRPr="00CC0241" w:rsidRDefault="00CC0241" w:rsidP="002C23BF">
      <w:pPr>
        <w:pStyle w:val="ONUME"/>
        <w:rPr>
          <w:lang w:val="ru-RU"/>
        </w:rPr>
      </w:pPr>
      <w:r w:rsidRPr="00CC0241">
        <w:rPr>
          <w:lang w:val="ru-RU"/>
        </w:rPr>
        <w:t>Генеральный директор несет ответственность за обеспечение оперативного выполнения всех рекомендаций, вынесенных директором ОВН и другими надзорными органами, с указанием мер, принятых руководством в связи с конкретными выводами и рекомендациями, содержащимися в отчете</w:t>
      </w:r>
      <w:r w:rsidR="00C46B12" w:rsidRPr="00E04B15">
        <w:rPr>
          <w:rStyle w:val="FootnoteReference"/>
        </w:rPr>
        <w:footnoteReference w:id="12"/>
      </w:r>
      <w:r w:rsidR="00C46B12" w:rsidRPr="00CC0241">
        <w:rPr>
          <w:lang w:val="ru-RU"/>
        </w:rPr>
        <w:t xml:space="preserve">.  </w:t>
      </w:r>
      <w:r w:rsidRPr="00CC0241">
        <w:rPr>
          <w:lang w:val="ru-RU"/>
        </w:rPr>
        <w:t>Генеральный директор выполняет эту обязанность через руководителей программ, которые отвечают за конкретные направления оперативной деятельности Организации</w:t>
      </w:r>
      <w:r w:rsidR="00C46B12" w:rsidRPr="00E04B15">
        <w:rPr>
          <w:rStyle w:val="FootnoteReference"/>
        </w:rPr>
        <w:footnoteReference w:id="13"/>
      </w:r>
      <w:r w:rsidR="00C46B12" w:rsidRPr="00CC0241">
        <w:rPr>
          <w:lang w:val="ru-RU"/>
        </w:rPr>
        <w:t xml:space="preserve">.  </w:t>
      </w:r>
      <w:r w:rsidRPr="00CC0241">
        <w:rPr>
          <w:lang w:val="ru-RU"/>
        </w:rPr>
        <w:t>ОВН регулярно проверяет ход выполнения всех рекомендаций надзорных органов руководителями программ ВОИС</w:t>
      </w:r>
      <w:r w:rsidR="00C46B12" w:rsidRPr="00E04B15">
        <w:rPr>
          <w:rStyle w:val="FootnoteReference"/>
        </w:rPr>
        <w:footnoteReference w:id="14"/>
      </w:r>
      <w:r w:rsidR="00C46B12" w:rsidRPr="00CC0241">
        <w:rPr>
          <w:lang w:val="ru-RU"/>
        </w:rPr>
        <w:t>.</w:t>
      </w:r>
    </w:p>
    <w:p w14:paraId="122EA0B3" w14:textId="6537E145" w:rsidR="00C46B12" w:rsidRPr="00CC0241" w:rsidRDefault="00CC0241" w:rsidP="002C23BF">
      <w:pPr>
        <w:pStyle w:val="ONUME"/>
        <w:rPr>
          <w:lang w:val="ru-RU"/>
        </w:rPr>
      </w:pPr>
      <w:r w:rsidRPr="00CC0241">
        <w:rPr>
          <w:lang w:val="ru-RU"/>
        </w:rPr>
        <w:t>ОВН по-прежнему контролирует выполнение рекомендаций и отчитывается о проделанной работе с помощью системы TeamCentral©, которая позволяет вести интерактивный диалог с руководителями программ и их представителями для обеспечения эффективного контроля выполнения остающихся рекомендаций</w:t>
      </w:r>
      <w:r w:rsidR="00C46B12" w:rsidRPr="00CC0241">
        <w:rPr>
          <w:lang w:val="ru-RU"/>
        </w:rPr>
        <w:t xml:space="preserve">. </w:t>
      </w:r>
    </w:p>
    <w:p w14:paraId="0C06129A" w14:textId="7304C4F0" w:rsidR="00224AED" w:rsidRDefault="00CC0241" w:rsidP="002C23BF">
      <w:pPr>
        <w:pStyle w:val="ONUME"/>
      </w:pPr>
      <w:r w:rsidRPr="00CC0241">
        <w:rPr>
          <w:lang w:val="ru-RU"/>
        </w:rPr>
        <w:t>На дату составления настоящего отчета насчитывается 117 невыполненных рекомендаций, включая 41</w:t>
      </w:r>
      <w:r w:rsidRPr="00CC0241">
        <w:rPr>
          <w:lang w:val="en-GB"/>
        </w:rPr>
        <w:t> </w:t>
      </w:r>
      <w:r w:rsidRPr="00CC0241">
        <w:rPr>
          <w:lang w:val="ru-RU"/>
        </w:rPr>
        <w:t>рекомендаци</w:t>
      </w:r>
      <w:r>
        <w:rPr>
          <w:lang w:val="ru-RU"/>
        </w:rPr>
        <w:t>ю</w:t>
      </w:r>
      <w:r w:rsidRPr="00CC0241">
        <w:rPr>
          <w:lang w:val="ru-RU"/>
        </w:rPr>
        <w:t xml:space="preserve"> с высокой степенью приоритетности и </w:t>
      </w:r>
      <w:r>
        <w:rPr>
          <w:lang w:val="ru-RU"/>
        </w:rPr>
        <w:t xml:space="preserve">76 </w:t>
      </w:r>
      <w:r w:rsidRPr="00CC0241">
        <w:rPr>
          <w:lang w:val="ru-RU"/>
        </w:rPr>
        <w:t>— со средней. Рекомендации ОВН составляют 8</w:t>
      </w:r>
      <w:r>
        <w:rPr>
          <w:lang w:val="ru-RU"/>
        </w:rPr>
        <w:t>6</w:t>
      </w:r>
      <w:r w:rsidRPr="00CC0241">
        <w:t> </w:t>
      </w:r>
      <w:r w:rsidRPr="00CC0241">
        <w:rPr>
          <w:lang w:val="ru-RU"/>
        </w:rPr>
        <w:t>процентов всех не</w:t>
      </w:r>
      <w:r w:rsidR="00431669">
        <w:rPr>
          <w:lang w:val="ru-RU"/>
        </w:rPr>
        <w:t>закрыт</w:t>
      </w:r>
      <w:r w:rsidRPr="00CC0241">
        <w:rPr>
          <w:lang w:val="ru-RU"/>
        </w:rPr>
        <w:t>ых надзорных рекомендаций.</w:t>
      </w:r>
    </w:p>
    <w:p w14:paraId="204732D3" w14:textId="77777777" w:rsidR="00224AED" w:rsidRDefault="00224AED">
      <w:r>
        <w:br w:type="page"/>
      </w:r>
    </w:p>
    <w:p w14:paraId="677207AC" w14:textId="364A492A" w:rsidR="00C46B12" w:rsidRPr="00A87B76" w:rsidRDefault="00A87B76" w:rsidP="00C46B12">
      <w:pPr>
        <w:pStyle w:val="ONUME"/>
        <w:numPr>
          <w:ilvl w:val="0"/>
          <w:numId w:val="0"/>
        </w:numPr>
        <w:spacing w:after="0"/>
        <w:jc w:val="center"/>
        <w:rPr>
          <w:lang w:val="ru-RU"/>
        </w:rPr>
      </w:pPr>
      <w:r w:rsidRPr="00A87B76">
        <w:rPr>
          <w:b/>
          <w:sz w:val="18"/>
          <w:lang w:val="ru-RU"/>
        </w:rPr>
        <w:lastRenderedPageBreak/>
        <w:t xml:space="preserve">График 3. Невыполненные рекомендации в разбивке по источникам и степени приоритетности (117) </w:t>
      </w:r>
    </w:p>
    <w:p w14:paraId="1C9D4D58" w14:textId="00AE3842" w:rsidR="00C46B12" w:rsidRDefault="003821DD" w:rsidP="009D5455">
      <w:pPr>
        <w:pStyle w:val="ONUME"/>
        <w:numPr>
          <w:ilvl w:val="0"/>
          <w:numId w:val="0"/>
        </w:numPr>
        <w:jc w:val="center"/>
      </w:pPr>
      <w:r w:rsidRPr="003B25AF">
        <w:rPr>
          <w:noProof/>
          <w:lang w:eastAsia="en-US"/>
        </w:rPr>
        <w:drawing>
          <wp:inline distT="0" distB="0" distL="0" distR="0" wp14:anchorId="36B0FFA3" wp14:editId="65747DE6">
            <wp:extent cx="4810760" cy="2734945"/>
            <wp:effectExtent l="0" t="0" r="8890" b="8255"/>
            <wp:docPr id="13" name="Picture 13" descr="Невыполненные рекомендации в разбивке по источникам и степени приоритетности (117)" title="График 3. Невыполненные рекомендации в разбивке по источникам и степени приоритет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0760" cy="2734945"/>
                    </a:xfrm>
                    <a:prstGeom prst="rect">
                      <a:avLst/>
                    </a:prstGeom>
                    <a:noFill/>
                    <a:ln>
                      <a:noFill/>
                    </a:ln>
                  </pic:spPr>
                </pic:pic>
              </a:graphicData>
            </a:graphic>
          </wp:inline>
        </w:drawing>
      </w:r>
    </w:p>
    <w:p w14:paraId="59ACE61C" w14:textId="45C45C53" w:rsidR="009D5455" w:rsidRPr="00CE0303" w:rsidRDefault="00A87B76" w:rsidP="00C84D33">
      <w:pPr>
        <w:pStyle w:val="ONUME"/>
        <w:rPr>
          <w:lang w:val="ru-RU"/>
        </w:rPr>
      </w:pPr>
      <w:r>
        <w:rPr>
          <w:lang w:val="ru-RU"/>
        </w:rPr>
        <w:t>В</w:t>
      </w:r>
      <w:r w:rsidRPr="00A87B76">
        <w:rPr>
          <w:lang w:val="ru-RU"/>
        </w:rPr>
        <w:t xml:space="preserve"> </w:t>
      </w:r>
      <w:r>
        <w:rPr>
          <w:lang w:val="ru-RU"/>
        </w:rPr>
        <w:t>период</w:t>
      </w:r>
      <w:r w:rsidRPr="00A87B76">
        <w:rPr>
          <w:lang w:val="ru-RU"/>
        </w:rPr>
        <w:t xml:space="preserve"> </w:t>
      </w:r>
      <w:r>
        <w:rPr>
          <w:lang w:val="ru-RU"/>
        </w:rPr>
        <w:t>с</w:t>
      </w:r>
      <w:r w:rsidRPr="00A87B76">
        <w:rPr>
          <w:lang w:val="ru-RU"/>
        </w:rPr>
        <w:t xml:space="preserve"> </w:t>
      </w:r>
      <w:r>
        <w:rPr>
          <w:lang w:val="ru-RU"/>
        </w:rPr>
        <w:t>июля</w:t>
      </w:r>
      <w:r w:rsidRPr="00A87B76">
        <w:rPr>
          <w:lang w:val="ru-RU"/>
        </w:rPr>
        <w:t xml:space="preserve"> </w:t>
      </w:r>
      <w:r>
        <w:rPr>
          <w:lang w:val="ru-RU"/>
        </w:rPr>
        <w:t>по</w:t>
      </w:r>
      <w:r w:rsidRPr="00A87B76">
        <w:rPr>
          <w:lang w:val="ru-RU"/>
        </w:rPr>
        <w:t xml:space="preserve"> </w:t>
      </w:r>
      <w:r>
        <w:rPr>
          <w:lang w:val="ru-RU"/>
        </w:rPr>
        <w:t>декабрь</w:t>
      </w:r>
      <w:r w:rsidRPr="00A87B76">
        <w:rPr>
          <w:lang w:val="ru-RU"/>
        </w:rPr>
        <w:t xml:space="preserve"> 2019 </w:t>
      </w:r>
      <w:r>
        <w:rPr>
          <w:lang w:val="ru-RU"/>
        </w:rPr>
        <w:t>г</w:t>
      </w:r>
      <w:r w:rsidRPr="00A87B76">
        <w:rPr>
          <w:lang w:val="ru-RU"/>
        </w:rPr>
        <w:t xml:space="preserve">. </w:t>
      </w:r>
      <w:r>
        <w:rPr>
          <w:lang w:val="ru-RU"/>
        </w:rPr>
        <w:t>было</w:t>
      </w:r>
      <w:r w:rsidRPr="00A87B76">
        <w:rPr>
          <w:lang w:val="ru-RU"/>
        </w:rPr>
        <w:t xml:space="preserve"> </w:t>
      </w:r>
      <w:r>
        <w:rPr>
          <w:lang w:val="ru-RU"/>
        </w:rPr>
        <w:t>добавлено</w:t>
      </w:r>
      <w:r w:rsidRPr="00A87B76">
        <w:rPr>
          <w:lang w:val="ru-RU"/>
        </w:rPr>
        <w:t xml:space="preserve"> 24 </w:t>
      </w:r>
      <w:r>
        <w:rPr>
          <w:lang w:val="ru-RU"/>
        </w:rPr>
        <w:t>новых</w:t>
      </w:r>
      <w:r w:rsidRPr="00A87B76">
        <w:rPr>
          <w:lang w:val="ru-RU"/>
        </w:rPr>
        <w:t xml:space="preserve"> </w:t>
      </w:r>
      <w:r>
        <w:rPr>
          <w:lang w:val="ru-RU"/>
        </w:rPr>
        <w:t>рекомендации</w:t>
      </w:r>
      <w:r w:rsidRPr="00A87B76">
        <w:rPr>
          <w:lang w:val="ru-RU"/>
        </w:rPr>
        <w:t xml:space="preserve"> </w:t>
      </w:r>
      <w:r>
        <w:rPr>
          <w:lang w:val="ru-RU"/>
        </w:rPr>
        <w:t>на</w:t>
      </w:r>
      <w:r w:rsidRPr="00A87B76">
        <w:rPr>
          <w:lang w:val="ru-RU"/>
        </w:rPr>
        <w:t xml:space="preserve"> </w:t>
      </w:r>
      <w:r>
        <w:rPr>
          <w:lang w:val="ru-RU"/>
        </w:rPr>
        <w:t>основании</w:t>
      </w:r>
      <w:r w:rsidRPr="00A87B76">
        <w:rPr>
          <w:lang w:val="ru-RU"/>
        </w:rPr>
        <w:t xml:space="preserve"> </w:t>
      </w:r>
      <w:r>
        <w:rPr>
          <w:lang w:val="ru-RU"/>
        </w:rPr>
        <w:t>трех</w:t>
      </w:r>
      <w:r w:rsidRPr="00A87B76">
        <w:rPr>
          <w:lang w:val="ru-RU"/>
        </w:rPr>
        <w:t xml:space="preserve"> </w:t>
      </w:r>
      <w:r>
        <w:rPr>
          <w:lang w:val="ru-RU"/>
        </w:rPr>
        <w:t>отчетов</w:t>
      </w:r>
      <w:r w:rsidRPr="00A87B76">
        <w:rPr>
          <w:lang w:val="ru-RU"/>
        </w:rPr>
        <w:t xml:space="preserve"> </w:t>
      </w:r>
      <w:r>
        <w:rPr>
          <w:lang w:val="ru-RU"/>
        </w:rPr>
        <w:t>об</w:t>
      </w:r>
      <w:r w:rsidRPr="00A87B76">
        <w:rPr>
          <w:lang w:val="ru-RU"/>
        </w:rPr>
        <w:t xml:space="preserve"> </w:t>
      </w:r>
      <w:r>
        <w:rPr>
          <w:lang w:val="ru-RU"/>
        </w:rPr>
        <w:t xml:space="preserve">аудиторских проверках, двух отчетов по итогам оценки и трех ОРРР. </w:t>
      </w:r>
      <w:r w:rsidRPr="00A87B76">
        <w:rPr>
          <w:lang w:val="ru-RU"/>
        </w:rPr>
        <w:t xml:space="preserve"> </w:t>
      </w:r>
      <w:r>
        <w:rPr>
          <w:lang w:val="ru-RU"/>
        </w:rPr>
        <w:t>По</w:t>
      </w:r>
      <w:r w:rsidRPr="00A87B76">
        <w:rPr>
          <w:lang w:val="ru-RU"/>
        </w:rPr>
        <w:t xml:space="preserve"> </w:t>
      </w:r>
      <w:r>
        <w:rPr>
          <w:lang w:val="ru-RU"/>
        </w:rPr>
        <w:t>состоянию</w:t>
      </w:r>
      <w:r w:rsidRPr="00A87B76">
        <w:rPr>
          <w:lang w:val="ru-RU"/>
        </w:rPr>
        <w:t xml:space="preserve"> </w:t>
      </w:r>
      <w:r>
        <w:rPr>
          <w:lang w:val="ru-RU"/>
        </w:rPr>
        <w:t>на</w:t>
      </w:r>
      <w:r w:rsidRPr="00A87B76">
        <w:rPr>
          <w:lang w:val="ru-RU"/>
        </w:rPr>
        <w:t xml:space="preserve"> </w:t>
      </w:r>
      <w:r>
        <w:rPr>
          <w:lang w:val="ru-RU"/>
        </w:rPr>
        <w:t>конец</w:t>
      </w:r>
      <w:r w:rsidRPr="00A87B76">
        <w:rPr>
          <w:lang w:val="ru-RU"/>
        </w:rPr>
        <w:t xml:space="preserve"> </w:t>
      </w:r>
      <w:r>
        <w:rPr>
          <w:lang w:val="ru-RU"/>
        </w:rPr>
        <w:t>отчетного</w:t>
      </w:r>
      <w:r w:rsidRPr="00A87B76">
        <w:rPr>
          <w:lang w:val="ru-RU"/>
        </w:rPr>
        <w:t xml:space="preserve"> </w:t>
      </w:r>
      <w:r>
        <w:rPr>
          <w:lang w:val="ru-RU"/>
        </w:rPr>
        <w:t>периода</w:t>
      </w:r>
      <w:r w:rsidRPr="00A87B76">
        <w:rPr>
          <w:lang w:val="ru-RU"/>
        </w:rPr>
        <w:t xml:space="preserve"> </w:t>
      </w:r>
      <w:r>
        <w:rPr>
          <w:lang w:val="ru-RU"/>
        </w:rPr>
        <w:t>оставалась невыполненной одна</w:t>
      </w:r>
      <w:r w:rsidRPr="00A87B76">
        <w:rPr>
          <w:lang w:val="ru-RU"/>
        </w:rPr>
        <w:t xml:space="preserve"> </w:t>
      </w:r>
      <w:r>
        <w:rPr>
          <w:lang w:val="ru-RU"/>
        </w:rPr>
        <w:t>рекомендация</w:t>
      </w:r>
      <w:r w:rsidRPr="00A87B76">
        <w:rPr>
          <w:vertAlign w:val="superscript"/>
        </w:rPr>
        <w:footnoteReference w:id="15"/>
      </w:r>
      <w:r w:rsidRPr="00A87B76">
        <w:rPr>
          <w:lang w:val="ru-RU"/>
        </w:rPr>
        <w:t xml:space="preserve">, </w:t>
      </w:r>
      <w:r>
        <w:rPr>
          <w:lang w:val="ru-RU"/>
        </w:rPr>
        <w:t>направленная</w:t>
      </w:r>
      <w:r w:rsidRPr="00A87B76">
        <w:rPr>
          <w:lang w:val="ru-RU"/>
        </w:rPr>
        <w:t xml:space="preserve"> </w:t>
      </w:r>
      <w:r>
        <w:rPr>
          <w:lang w:val="ru-RU"/>
        </w:rPr>
        <w:t>НККН Бюро</w:t>
      </w:r>
      <w:r w:rsidRPr="00A87B76">
        <w:rPr>
          <w:lang w:val="ru-RU"/>
        </w:rPr>
        <w:t xml:space="preserve"> </w:t>
      </w:r>
      <w:r>
        <w:rPr>
          <w:lang w:val="ru-RU"/>
        </w:rPr>
        <w:t>по</w:t>
      </w:r>
      <w:r w:rsidRPr="00A87B76">
        <w:rPr>
          <w:lang w:val="ru-RU"/>
        </w:rPr>
        <w:t xml:space="preserve"> </w:t>
      </w:r>
      <w:r>
        <w:rPr>
          <w:lang w:val="ru-RU"/>
        </w:rPr>
        <w:t>вопросам</w:t>
      </w:r>
      <w:r w:rsidRPr="00A87B76">
        <w:rPr>
          <w:lang w:val="ru-RU"/>
        </w:rPr>
        <w:t xml:space="preserve"> </w:t>
      </w:r>
      <w:r>
        <w:rPr>
          <w:lang w:val="ru-RU"/>
        </w:rPr>
        <w:t>этики.</w:t>
      </w:r>
      <w:r w:rsidR="0039651E" w:rsidRPr="00A87B76">
        <w:rPr>
          <w:lang w:val="ru-RU"/>
        </w:rPr>
        <w:t xml:space="preserve"> </w:t>
      </w:r>
      <w:r>
        <w:rPr>
          <w:lang w:val="ru-RU"/>
        </w:rPr>
        <w:t xml:space="preserve"> Две</w:t>
      </w:r>
      <w:r w:rsidRPr="00A87B76">
        <w:rPr>
          <w:lang w:val="ru-RU"/>
        </w:rPr>
        <w:t xml:space="preserve"> </w:t>
      </w:r>
      <w:r>
        <w:rPr>
          <w:lang w:val="ru-RU"/>
        </w:rPr>
        <w:t>рекомендации</w:t>
      </w:r>
      <w:r w:rsidRPr="00A87B76">
        <w:rPr>
          <w:lang w:val="ru-RU"/>
        </w:rPr>
        <w:t xml:space="preserve">, </w:t>
      </w:r>
      <w:r>
        <w:rPr>
          <w:lang w:val="ru-RU"/>
        </w:rPr>
        <w:t>сделанные</w:t>
      </w:r>
      <w:r w:rsidRPr="00A87B76">
        <w:rPr>
          <w:lang w:val="ru-RU"/>
        </w:rPr>
        <w:t xml:space="preserve"> </w:t>
      </w:r>
      <w:r>
        <w:rPr>
          <w:lang w:val="ru-RU"/>
        </w:rPr>
        <w:t>по</w:t>
      </w:r>
      <w:r w:rsidRPr="00A87B76">
        <w:rPr>
          <w:lang w:val="ru-RU"/>
        </w:rPr>
        <w:t xml:space="preserve"> </w:t>
      </w:r>
      <w:r>
        <w:rPr>
          <w:lang w:val="ru-RU"/>
        </w:rPr>
        <w:t>итогам</w:t>
      </w:r>
      <w:r w:rsidRPr="00A87B76">
        <w:rPr>
          <w:lang w:val="ru-RU"/>
        </w:rPr>
        <w:t xml:space="preserve"> </w:t>
      </w:r>
      <w:r>
        <w:rPr>
          <w:lang w:val="ru-RU"/>
        </w:rPr>
        <w:t>аудиторской</w:t>
      </w:r>
      <w:r w:rsidRPr="00A87B76">
        <w:rPr>
          <w:lang w:val="ru-RU"/>
        </w:rPr>
        <w:t xml:space="preserve"> </w:t>
      </w:r>
      <w:r>
        <w:rPr>
          <w:lang w:val="ru-RU"/>
        </w:rPr>
        <w:t>проверки</w:t>
      </w:r>
      <w:r w:rsidRPr="00A87B76">
        <w:rPr>
          <w:lang w:val="ru-RU"/>
        </w:rPr>
        <w:t xml:space="preserve"> </w:t>
      </w:r>
      <w:r>
        <w:rPr>
          <w:lang w:val="ru-RU"/>
        </w:rPr>
        <w:t>льгот</w:t>
      </w:r>
      <w:r w:rsidRPr="00A87B76">
        <w:rPr>
          <w:lang w:val="ru-RU"/>
        </w:rPr>
        <w:t xml:space="preserve"> </w:t>
      </w:r>
      <w:r>
        <w:rPr>
          <w:lang w:val="ru-RU"/>
        </w:rPr>
        <w:t>и</w:t>
      </w:r>
      <w:r w:rsidRPr="00A87B76">
        <w:rPr>
          <w:lang w:val="ru-RU"/>
        </w:rPr>
        <w:t xml:space="preserve"> </w:t>
      </w:r>
      <w:r>
        <w:rPr>
          <w:lang w:val="ru-RU"/>
        </w:rPr>
        <w:t>пособий</w:t>
      </w:r>
      <w:r w:rsidRPr="00A87B76">
        <w:rPr>
          <w:lang w:val="ru-RU"/>
        </w:rPr>
        <w:t xml:space="preserve"> </w:t>
      </w:r>
      <w:r>
        <w:rPr>
          <w:lang w:val="ru-RU"/>
        </w:rPr>
        <w:t>в</w:t>
      </w:r>
      <w:r w:rsidRPr="00A87B76">
        <w:rPr>
          <w:lang w:val="ru-RU"/>
        </w:rPr>
        <w:t xml:space="preserve"> 2014 </w:t>
      </w:r>
      <w:r>
        <w:rPr>
          <w:lang w:val="ru-RU"/>
        </w:rPr>
        <w:t>г</w:t>
      </w:r>
      <w:r w:rsidRPr="00A87B76">
        <w:rPr>
          <w:lang w:val="ru-RU"/>
        </w:rPr>
        <w:t xml:space="preserve">., </w:t>
      </w:r>
      <w:r>
        <w:rPr>
          <w:lang w:val="ru-RU"/>
        </w:rPr>
        <w:t>были</w:t>
      </w:r>
      <w:r w:rsidRPr="00A87B76">
        <w:rPr>
          <w:lang w:val="ru-RU"/>
        </w:rPr>
        <w:t xml:space="preserve"> </w:t>
      </w:r>
      <w:r>
        <w:rPr>
          <w:lang w:val="ru-RU"/>
        </w:rPr>
        <w:t>закрыты</w:t>
      </w:r>
      <w:r w:rsidRPr="00A87B76">
        <w:rPr>
          <w:lang w:val="ru-RU"/>
        </w:rPr>
        <w:t xml:space="preserve"> </w:t>
      </w:r>
      <w:r>
        <w:rPr>
          <w:lang w:val="ru-RU"/>
        </w:rPr>
        <w:t>по</w:t>
      </w:r>
      <w:r w:rsidRPr="00A87B76">
        <w:rPr>
          <w:lang w:val="ru-RU"/>
        </w:rPr>
        <w:t xml:space="preserve"> </w:t>
      </w:r>
      <w:r>
        <w:rPr>
          <w:lang w:val="ru-RU"/>
        </w:rPr>
        <w:t>причине</w:t>
      </w:r>
      <w:r w:rsidRPr="00A87B76">
        <w:rPr>
          <w:lang w:val="ru-RU"/>
        </w:rPr>
        <w:t xml:space="preserve"> </w:t>
      </w:r>
      <w:r>
        <w:rPr>
          <w:lang w:val="ru-RU"/>
        </w:rPr>
        <w:t>того</w:t>
      </w:r>
      <w:r w:rsidRPr="00A87B76">
        <w:rPr>
          <w:lang w:val="ru-RU"/>
        </w:rPr>
        <w:t xml:space="preserve">, </w:t>
      </w:r>
      <w:r>
        <w:rPr>
          <w:lang w:val="ru-RU"/>
        </w:rPr>
        <w:t>что</w:t>
      </w:r>
      <w:r w:rsidRPr="00A87B76">
        <w:rPr>
          <w:lang w:val="ru-RU"/>
        </w:rPr>
        <w:t xml:space="preserve"> </w:t>
      </w:r>
      <w:r>
        <w:rPr>
          <w:lang w:val="ru-RU"/>
        </w:rPr>
        <w:t>утратили</w:t>
      </w:r>
      <w:r w:rsidRPr="00A87B76">
        <w:rPr>
          <w:lang w:val="ru-RU"/>
        </w:rPr>
        <w:t xml:space="preserve"> </w:t>
      </w:r>
      <w:r>
        <w:rPr>
          <w:lang w:val="ru-RU"/>
        </w:rPr>
        <w:t>актуальность</w:t>
      </w:r>
      <w:r w:rsidRPr="00A87B76">
        <w:rPr>
          <w:lang w:val="ru-RU"/>
        </w:rPr>
        <w:t xml:space="preserve"> </w:t>
      </w:r>
      <w:r>
        <w:rPr>
          <w:lang w:val="ru-RU"/>
        </w:rPr>
        <w:t>с</w:t>
      </w:r>
      <w:r w:rsidRPr="00A87B76">
        <w:rPr>
          <w:lang w:val="ru-RU"/>
        </w:rPr>
        <w:t xml:space="preserve"> </w:t>
      </w:r>
      <w:r>
        <w:rPr>
          <w:lang w:val="ru-RU"/>
        </w:rPr>
        <w:t xml:space="preserve">учетом новой аудиторской проверки, проведенной в 2019 г.  </w:t>
      </w:r>
    </w:p>
    <w:p w14:paraId="563103FC" w14:textId="50F3C8E8" w:rsidR="00C84D33" w:rsidRPr="00431669" w:rsidRDefault="00A87B76" w:rsidP="00C84D33">
      <w:pPr>
        <w:pStyle w:val="ONUME"/>
        <w:rPr>
          <w:lang w:val="ru-RU"/>
        </w:rPr>
      </w:pPr>
      <w:r>
        <w:rPr>
          <w:lang w:val="ru-RU"/>
        </w:rPr>
        <w:t>В</w:t>
      </w:r>
      <w:r w:rsidRPr="00A87B76">
        <w:rPr>
          <w:lang w:val="ru-RU"/>
        </w:rPr>
        <w:t xml:space="preserve"> </w:t>
      </w:r>
      <w:r>
        <w:rPr>
          <w:lang w:val="ru-RU"/>
        </w:rPr>
        <w:t>течение</w:t>
      </w:r>
      <w:r w:rsidRPr="00A87B76">
        <w:rPr>
          <w:lang w:val="ru-RU"/>
        </w:rPr>
        <w:t xml:space="preserve"> </w:t>
      </w:r>
      <w:r>
        <w:rPr>
          <w:lang w:val="ru-RU"/>
        </w:rPr>
        <w:t>отчетного</w:t>
      </w:r>
      <w:r w:rsidRPr="00A87B76">
        <w:rPr>
          <w:lang w:val="ru-RU"/>
        </w:rPr>
        <w:t xml:space="preserve"> </w:t>
      </w:r>
      <w:r>
        <w:rPr>
          <w:lang w:val="ru-RU"/>
        </w:rPr>
        <w:t>периода</w:t>
      </w:r>
      <w:r w:rsidRPr="00A87B76">
        <w:rPr>
          <w:lang w:val="ru-RU"/>
        </w:rPr>
        <w:t xml:space="preserve"> </w:t>
      </w:r>
      <w:r>
        <w:rPr>
          <w:lang w:val="ru-RU"/>
        </w:rPr>
        <w:t>были</w:t>
      </w:r>
      <w:r w:rsidRPr="00A87B76">
        <w:rPr>
          <w:lang w:val="ru-RU"/>
        </w:rPr>
        <w:t xml:space="preserve"> </w:t>
      </w:r>
      <w:r>
        <w:rPr>
          <w:lang w:val="ru-RU"/>
        </w:rPr>
        <w:t>закрыты</w:t>
      </w:r>
      <w:r w:rsidRPr="00A87B76">
        <w:rPr>
          <w:lang w:val="ru-RU"/>
        </w:rPr>
        <w:t xml:space="preserve"> </w:t>
      </w:r>
      <w:r>
        <w:rPr>
          <w:lang w:val="ru-RU"/>
        </w:rPr>
        <w:t>шесть</w:t>
      </w:r>
      <w:r w:rsidRPr="00A87B76">
        <w:rPr>
          <w:lang w:val="ru-RU"/>
        </w:rPr>
        <w:t xml:space="preserve"> </w:t>
      </w:r>
      <w:r>
        <w:rPr>
          <w:lang w:val="ru-RU"/>
        </w:rPr>
        <w:t>рекомендаций</w:t>
      </w:r>
      <w:r w:rsidRPr="00A87B76">
        <w:rPr>
          <w:lang w:val="ru-RU"/>
        </w:rPr>
        <w:t xml:space="preserve"> </w:t>
      </w:r>
      <w:r>
        <w:rPr>
          <w:lang w:val="ru-RU"/>
        </w:rPr>
        <w:t>по</w:t>
      </w:r>
      <w:r w:rsidRPr="00A87B76">
        <w:rPr>
          <w:lang w:val="ru-RU"/>
        </w:rPr>
        <w:t xml:space="preserve"> </w:t>
      </w:r>
      <w:r>
        <w:rPr>
          <w:lang w:val="ru-RU"/>
        </w:rPr>
        <w:t>итогам</w:t>
      </w:r>
      <w:r w:rsidRPr="00A87B76">
        <w:rPr>
          <w:lang w:val="ru-RU"/>
        </w:rPr>
        <w:t xml:space="preserve"> </w:t>
      </w:r>
      <w:r>
        <w:rPr>
          <w:lang w:val="ru-RU"/>
        </w:rPr>
        <w:t>внешнего</w:t>
      </w:r>
      <w:r w:rsidRPr="00A87B76">
        <w:rPr>
          <w:lang w:val="ru-RU"/>
        </w:rPr>
        <w:t xml:space="preserve"> </w:t>
      </w:r>
      <w:r>
        <w:rPr>
          <w:lang w:val="ru-RU"/>
        </w:rPr>
        <w:t>аудита</w:t>
      </w:r>
      <w:r w:rsidRPr="00A87B76">
        <w:rPr>
          <w:lang w:val="ru-RU"/>
        </w:rPr>
        <w:t xml:space="preserve">, </w:t>
      </w:r>
      <w:r>
        <w:rPr>
          <w:lang w:val="ru-RU"/>
        </w:rPr>
        <w:t>пять</w:t>
      </w:r>
      <w:r w:rsidRPr="00A87B76">
        <w:rPr>
          <w:lang w:val="ru-RU"/>
        </w:rPr>
        <w:t xml:space="preserve"> </w:t>
      </w:r>
      <w:r>
        <w:rPr>
          <w:lang w:val="ru-RU"/>
        </w:rPr>
        <w:t>из</w:t>
      </w:r>
      <w:r w:rsidRPr="00A87B76">
        <w:rPr>
          <w:lang w:val="ru-RU"/>
        </w:rPr>
        <w:t xml:space="preserve"> </w:t>
      </w:r>
      <w:r>
        <w:rPr>
          <w:lang w:val="ru-RU"/>
        </w:rPr>
        <w:t>которых</w:t>
      </w:r>
      <w:r w:rsidRPr="00A87B76">
        <w:rPr>
          <w:lang w:val="ru-RU"/>
        </w:rPr>
        <w:t xml:space="preserve"> </w:t>
      </w:r>
      <w:r>
        <w:rPr>
          <w:lang w:val="ru-RU"/>
        </w:rPr>
        <w:t>были</w:t>
      </w:r>
      <w:r w:rsidRPr="00A87B76">
        <w:rPr>
          <w:lang w:val="ru-RU"/>
        </w:rPr>
        <w:t xml:space="preserve"> </w:t>
      </w:r>
      <w:r>
        <w:rPr>
          <w:lang w:val="ru-RU"/>
        </w:rPr>
        <w:t>ранее</w:t>
      </w:r>
      <w:r w:rsidRPr="00A87B76">
        <w:rPr>
          <w:lang w:val="ru-RU"/>
        </w:rPr>
        <w:t xml:space="preserve"> </w:t>
      </w:r>
      <w:r>
        <w:rPr>
          <w:lang w:val="ru-RU"/>
        </w:rPr>
        <w:t>переданы</w:t>
      </w:r>
      <w:r w:rsidRPr="00A87B76">
        <w:rPr>
          <w:lang w:val="ru-RU"/>
        </w:rPr>
        <w:t xml:space="preserve"> </w:t>
      </w:r>
      <w:r>
        <w:rPr>
          <w:lang w:val="ru-RU"/>
        </w:rPr>
        <w:t>внешними</w:t>
      </w:r>
      <w:r w:rsidRPr="00A87B76">
        <w:rPr>
          <w:lang w:val="ru-RU"/>
        </w:rPr>
        <w:t xml:space="preserve"> </w:t>
      </w:r>
      <w:r>
        <w:rPr>
          <w:lang w:val="ru-RU"/>
        </w:rPr>
        <w:t>аудиторами</w:t>
      </w:r>
      <w:r w:rsidRPr="00A87B76">
        <w:rPr>
          <w:lang w:val="ru-RU"/>
        </w:rPr>
        <w:t xml:space="preserve"> </w:t>
      </w:r>
      <w:r>
        <w:rPr>
          <w:lang w:val="ru-RU"/>
        </w:rPr>
        <w:t>на</w:t>
      </w:r>
      <w:r w:rsidRPr="00A87B76">
        <w:rPr>
          <w:lang w:val="ru-RU"/>
        </w:rPr>
        <w:t xml:space="preserve"> </w:t>
      </w:r>
      <w:r>
        <w:rPr>
          <w:lang w:val="ru-RU"/>
        </w:rPr>
        <w:t>контроль</w:t>
      </w:r>
      <w:r w:rsidRPr="00A87B76">
        <w:rPr>
          <w:lang w:val="ru-RU"/>
        </w:rPr>
        <w:t xml:space="preserve"> </w:t>
      </w:r>
      <w:r>
        <w:rPr>
          <w:lang w:val="ru-RU"/>
        </w:rPr>
        <w:t>ОВН</w:t>
      </w:r>
      <w:r w:rsidRPr="00A87B76">
        <w:rPr>
          <w:lang w:val="ru-RU"/>
        </w:rPr>
        <w:t>.</w:t>
      </w:r>
      <w:r w:rsidR="00C84D33" w:rsidRPr="00A87B76">
        <w:rPr>
          <w:lang w:val="ru-RU"/>
        </w:rPr>
        <w:t xml:space="preserve"> </w:t>
      </w:r>
      <w:r w:rsidR="009D5455" w:rsidRPr="00A87B76">
        <w:rPr>
          <w:lang w:val="ru-RU"/>
        </w:rPr>
        <w:t xml:space="preserve"> </w:t>
      </w:r>
      <w:r w:rsidRPr="00A87B76">
        <w:rPr>
          <w:lang w:val="ru-RU"/>
        </w:rPr>
        <w:t xml:space="preserve">В таблице 2 </w:t>
      </w:r>
      <w:r w:rsidR="00431669">
        <w:rPr>
          <w:lang w:val="ru-RU"/>
        </w:rPr>
        <w:t xml:space="preserve">ниже </w:t>
      </w:r>
      <w:r w:rsidRPr="00A87B76">
        <w:rPr>
          <w:lang w:val="ru-RU"/>
        </w:rPr>
        <w:t xml:space="preserve">показана динамика рекомендаций в разбивке по источникам за период с июля </w:t>
      </w:r>
      <w:r>
        <w:rPr>
          <w:lang w:val="ru-RU"/>
        </w:rPr>
        <w:t>по декабрь</w:t>
      </w:r>
      <w:r w:rsidRPr="00A87B76">
        <w:rPr>
          <w:lang w:val="ru-RU"/>
        </w:rPr>
        <w:t xml:space="preserve"> 2019 г.</w:t>
      </w:r>
      <w:r>
        <w:rPr>
          <w:lang w:val="ru-RU"/>
        </w:rPr>
        <w:t xml:space="preserve">  </w:t>
      </w:r>
    </w:p>
    <w:p w14:paraId="3172AC5F" w14:textId="3A193BAB" w:rsidR="00C46B12" w:rsidRPr="00CE0303" w:rsidRDefault="00A87B76" w:rsidP="00C46B12">
      <w:pPr>
        <w:pStyle w:val="ONUME"/>
        <w:keepNext/>
        <w:numPr>
          <w:ilvl w:val="0"/>
          <w:numId w:val="0"/>
        </w:numPr>
        <w:jc w:val="center"/>
        <w:rPr>
          <w:b/>
          <w:sz w:val="18"/>
          <w:szCs w:val="18"/>
          <w:lang w:val="ru-RU"/>
        </w:rPr>
      </w:pPr>
      <w:r w:rsidRPr="00A87B76">
        <w:rPr>
          <w:b/>
          <w:sz w:val="18"/>
          <w:szCs w:val="18"/>
          <w:lang w:val="ru-RU"/>
        </w:rPr>
        <w:t>Таблица</w:t>
      </w:r>
      <w:r w:rsidRPr="00CE0303">
        <w:rPr>
          <w:b/>
          <w:sz w:val="18"/>
          <w:szCs w:val="18"/>
          <w:lang w:val="ru-RU"/>
        </w:rPr>
        <w:t xml:space="preserve"> 2. </w:t>
      </w:r>
      <w:r w:rsidRPr="00A87B76">
        <w:rPr>
          <w:b/>
          <w:sz w:val="18"/>
          <w:szCs w:val="18"/>
          <w:lang w:val="ru-RU"/>
        </w:rPr>
        <w:t>Динамика</w:t>
      </w:r>
      <w:r w:rsidRPr="00CE0303">
        <w:rPr>
          <w:b/>
          <w:sz w:val="18"/>
          <w:szCs w:val="18"/>
          <w:lang w:val="ru-RU"/>
        </w:rPr>
        <w:t xml:space="preserve"> </w:t>
      </w:r>
      <w:r w:rsidRPr="00A87B76">
        <w:rPr>
          <w:b/>
          <w:sz w:val="18"/>
          <w:szCs w:val="18"/>
          <w:lang w:val="ru-RU"/>
        </w:rPr>
        <w:t>рекомендаций</w:t>
      </w:r>
      <w:r w:rsidRPr="00CE0303">
        <w:rPr>
          <w:b/>
          <w:sz w:val="18"/>
          <w:szCs w:val="18"/>
          <w:lang w:val="ru-RU"/>
        </w:rPr>
        <w:t xml:space="preserve"> </w:t>
      </w:r>
      <w:r w:rsidRPr="00A87B76">
        <w:rPr>
          <w:b/>
          <w:sz w:val="18"/>
          <w:szCs w:val="18"/>
          <w:lang w:val="ru-RU"/>
        </w:rPr>
        <w:t>в</w:t>
      </w:r>
      <w:r w:rsidRPr="00CE0303">
        <w:rPr>
          <w:b/>
          <w:sz w:val="18"/>
          <w:szCs w:val="18"/>
          <w:lang w:val="ru-RU"/>
        </w:rPr>
        <w:t xml:space="preserve"> </w:t>
      </w:r>
      <w:r w:rsidRPr="00A87B76">
        <w:rPr>
          <w:b/>
          <w:sz w:val="18"/>
          <w:szCs w:val="18"/>
          <w:lang w:val="ru-RU"/>
        </w:rPr>
        <w:t>период</w:t>
      </w:r>
      <w:r w:rsidRPr="00CE0303">
        <w:rPr>
          <w:b/>
          <w:sz w:val="18"/>
          <w:szCs w:val="18"/>
          <w:lang w:val="ru-RU"/>
        </w:rPr>
        <w:t xml:space="preserve"> </w:t>
      </w:r>
      <w:r w:rsidRPr="00A87B76">
        <w:rPr>
          <w:b/>
          <w:sz w:val="18"/>
          <w:szCs w:val="18"/>
          <w:lang w:val="ru-RU"/>
        </w:rPr>
        <w:t>с</w:t>
      </w:r>
      <w:r w:rsidRPr="00CE0303">
        <w:rPr>
          <w:b/>
          <w:sz w:val="18"/>
          <w:szCs w:val="18"/>
          <w:lang w:val="ru-RU"/>
        </w:rPr>
        <w:t xml:space="preserve"> 1</w:t>
      </w:r>
      <w:r w:rsidRPr="00A87B76">
        <w:rPr>
          <w:b/>
          <w:sz w:val="18"/>
          <w:szCs w:val="18"/>
        </w:rPr>
        <w:t> </w:t>
      </w:r>
      <w:r w:rsidRPr="00A87B76">
        <w:rPr>
          <w:b/>
          <w:sz w:val="18"/>
          <w:szCs w:val="18"/>
          <w:lang w:val="ru-RU"/>
        </w:rPr>
        <w:t>июля</w:t>
      </w:r>
      <w:r w:rsidRPr="00CE0303">
        <w:rPr>
          <w:b/>
          <w:sz w:val="18"/>
          <w:szCs w:val="18"/>
          <w:lang w:val="ru-RU"/>
        </w:rPr>
        <w:t xml:space="preserve"> 2019</w:t>
      </w:r>
      <w:r w:rsidRPr="00A87B76">
        <w:rPr>
          <w:b/>
          <w:sz w:val="18"/>
          <w:szCs w:val="18"/>
        </w:rPr>
        <w:t> </w:t>
      </w:r>
      <w:r w:rsidRPr="00A87B76">
        <w:rPr>
          <w:b/>
          <w:sz w:val="18"/>
          <w:szCs w:val="18"/>
          <w:lang w:val="ru-RU"/>
        </w:rPr>
        <w:t>г</w:t>
      </w:r>
      <w:r w:rsidRPr="00CE0303">
        <w:rPr>
          <w:b/>
          <w:sz w:val="18"/>
          <w:szCs w:val="18"/>
          <w:lang w:val="ru-RU"/>
        </w:rPr>
        <w:t xml:space="preserve">. </w:t>
      </w:r>
      <w:r w:rsidRPr="00A87B76">
        <w:rPr>
          <w:b/>
          <w:sz w:val="18"/>
          <w:szCs w:val="18"/>
          <w:lang w:val="ru-RU"/>
        </w:rPr>
        <w:t>по</w:t>
      </w:r>
      <w:r w:rsidRPr="00CE0303">
        <w:rPr>
          <w:b/>
          <w:sz w:val="18"/>
          <w:szCs w:val="18"/>
          <w:lang w:val="ru-RU"/>
        </w:rPr>
        <w:t xml:space="preserve"> 31</w:t>
      </w:r>
      <w:r w:rsidRPr="00A87B76">
        <w:rPr>
          <w:b/>
          <w:sz w:val="18"/>
          <w:szCs w:val="18"/>
        </w:rPr>
        <w:t> </w:t>
      </w:r>
      <w:r>
        <w:rPr>
          <w:b/>
          <w:sz w:val="18"/>
          <w:szCs w:val="18"/>
          <w:lang w:val="ru-RU"/>
        </w:rPr>
        <w:t>декабря</w:t>
      </w:r>
      <w:r w:rsidRPr="00CE0303">
        <w:rPr>
          <w:b/>
          <w:sz w:val="18"/>
          <w:szCs w:val="18"/>
          <w:lang w:val="ru-RU"/>
        </w:rPr>
        <w:t xml:space="preserve"> 2019</w:t>
      </w:r>
      <w:r w:rsidRPr="00A87B76">
        <w:rPr>
          <w:b/>
          <w:sz w:val="18"/>
          <w:szCs w:val="18"/>
        </w:rPr>
        <w:t> </w:t>
      </w:r>
      <w:r w:rsidRPr="00A87B76">
        <w:rPr>
          <w:b/>
          <w:sz w:val="18"/>
          <w:szCs w:val="18"/>
          <w:lang w:val="ru-RU"/>
        </w:rPr>
        <w:t>г</w:t>
      </w:r>
      <w:r w:rsidRPr="00CE0303">
        <w:rPr>
          <w:b/>
          <w:sz w:val="18"/>
          <w:szCs w:val="18"/>
          <w:lang w:val="ru-RU"/>
        </w:rPr>
        <w:t xml:space="preserve">. </w:t>
      </w:r>
    </w:p>
    <w:tbl>
      <w:tblPr>
        <w:tblW w:w="9440" w:type="dxa"/>
        <w:tblInd w:w="-10" w:type="dxa"/>
        <w:tblLook w:val="04A0" w:firstRow="1" w:lastRow="0" w:firstColumn="1" w:lastColumn="0" w:noHBand="0" w:noVBand="1"/>
        <w:tblCaption w:val="Таблица 2. Динамика рекомендаций в период с 1 июля 2019 г. по 31 декабря 2019 г. "/>
        <w:tblDescription w:val="Динамика рекомендаций в период с 1 июля 2019 г. по 31 декабря 2019 г. "/>
      </w:tblPr>
      <w:tblGrid>
        <w:gridCol w:w="3522"/>
        <w:gridCol w:w="1592"/>
        <w:gridCol w:w="1517"/>
        <w:gridCol w:w="1461"/>
        <w:gridCol w:w="1348"/>
      </w:tblGrid>
      <w:tr w:rsidR="007E72F5" w:rsidRPr="009C27E1" w14:paraId="5C59C563" w14:textId="77777777" w:rsidTr="009D5455">
        <w:trPr>
          <w:trHeight w:val="711"/>
        </w:trPr>
        <w:tc>
          <w:tcPr>
            <w:tcW w:w="3522" w:type="dxa"/>
            <w:tcBorders>
              <w:top w:val="single" w:sz="8" w:space="0" w:color="95B3D7"/>
              <w:left w:val="single" w:sz="8" w:space="0" w:color="95B3D7"/>
              <w:bottom w:val="single" w:sz="8" w:space="0" w:color="95B3D7"/>
              <w:right w:val="single" w:sz="8" w:space="0" w:color="95B3D7"/>
            </w:tcBorders>
            <w:shd w:val="clear" w:color="000000" w:fill="95B3D7"/>
            <w:noWrap/>
            <w:vAlign w:val="center"/>
            <w:hideMark/>
          </w:tcPr>
          <w:p w14:paraId="174B797A" w14:textId="4FFB9758" w:rsidR="00F620D5" w:rsidRPr="00A87B76" w:rsidRDefault="00A87B76" w:rsidP="00F620D5">
            <w:pPr>
              <w:rPr>
                <w:rFonts w:eastAsia="Times New Roman"/>
                <w:b/>
                <w:bCs/>
                <w:color w:val="000000"/>
                <w:sz w:val="20"/>
                <w:lang w:val="ru-RU" w:eastAsia="en-US"/>
              </w:rPr>
            </w:pPr>
            <w:r>
              <w:rPr>
                <w:rFonts w:eastAsia="Times New Roman"/>
                <w:b/>
                <w:bCs/>
                <w:color w:val="000000"/>
                <w:sz w:val="20"/>
                <w:lang w:val="ru-RU" w:eastAsia="en-US"/>
              </w:rPr>
              <w:t>Источник</w:t>
            </w:r>
          </w:p>
        </w:tc>
        <w:tc>
          <w:tcPr>
            <w:tcW w:w="1592" w:type="dxa"/>
            <w:tcBorders>
              <w:top w:val="single" w:sz="8" w:space="0" w:color="95B3D7"/>
              <w:left w:val="nil"/>
              <w:bottom w:val="single" w:sz="8" w:space="0" w:color="95B3D7"/>
              <w:right w:val="single" w:sz="8" w:space="0" w:color="95B3D7"/>
            </w:tcBorders>
            <w:shd w:val="clear" w:color="000000" w:fill="95B3D7"/>
            <w:vAlign w:val="center"/>
            <w:hideMark/>
          </w:tcPr>
          <w:p w14:paraId="4580034E" w14:textId="0AA2D215" w:rsidR="00F620D5" w:rsidRPr="00A87B76" w:rsidRDefault="00A87B76" w:rsidP="00F620D5">
            <w:pPr>
              <w:jc w:val="center"/>
              <w:rPr>
                <w:rFonts w:eastAsia="Times New Roman"/>
                <w:b/>
                <w:bCs/>
                <w:color w:val="000000"/>
                <w:sz w:val="20"/>
                <w:lang w:val="ru-RU" w:eastAsia="en-US"/>
              </w:rPr>
            </w:pPr>
            <w:r w:rsidRPr="00A87B76">
              <w:rPr>
                <w:rFonts w:eastAsia="Times New Roman"/>
                <w:b/>
                <w:bCs/>
                <w:color w:val="000000"/>
                <w:sz w:val="20"/>
                <w:lang w:val="ru-RU" w:eastAsia="en-US"/>
              </w:rPr>
              <w:t>Открыты по состоянию на 1 июля 201</w:t>
            </w:r>
            <w:r>
              <w:rPr>
                <w:rFonts w:eastAsia="Times New Roman"/>
                <w:b/>
                <w:bCs/>
                <w:color w:val="000000"/>
                <w:sz w:val="20"/>
                <w:lang w:val="ru-RU" w:eastAsia="en-US"/>
              </w:rPr>
              <w:t>9</w:t>
            </w:r>
            <w:r w:rsidRPr="00A87B76">
              <w:rPr>
                <w:rFonts w:eastAsia="Times New Roman"/>
                <w:b/>
                <w:bCs/>
                <w:color w:val="000000"/>
                <w:sz w:val="20"/>
                <w:lang w:val="ru-RU" w:eastAsia="en-US"/>
              </w:rPr>
              <w:t> г.</w:t>
            </w:r>
            <w:r>
              <w:rPr>
                <w:rFonts w:eastAsia="Times New Roman"/>
                <w:b/>
                <w:bCs/>
                <w:color w:val="000000"/>
                <w:sz w:val="20"/>
                <w:lang w:val="ru-RU" w:eastAsia="en-US"/>
              </w:rPr>
              <w:t xml:space="preserve"> </w:t>
            </w:r>
          </w:p>
        </w:tc>
        <w:tc>
          <w:tcPr>
            <w:tcW w:w="1517" w:type="dxa"/>
            <w:tcBorders>
              <w:top w:val="single" w:sz="8" w:space="0" w:color="95B3D7"/>
              <w:left w:val="nil"/>
              <w:bottom w:val="single" w:sz="8" w:space="0" w:color="95B3D7"/>
              <w:right w:val="single" w:sz="8" w:space="0" w:color="95B3D7"/>
            </w:tcBorders>
            <w:shd w:val="clear" w:color="000000" w:fill="95B3D7"/>
            <w:vAlign w:val="center"/>
            <w:hideMark/>
          </w:tcPr>
          <w:p w14:paraId="5B0B93D6" w14:textId="163DC99D" w:rsidR="00F620D5" w:rsidRPr="00A87B76" w:rsidRDefault="00A87B76" w:rsidP="00F620D5">
            <w:pPr>
              <w:jc w:val="center"/>
              <w:rPr>
                <w:rFonts w:eastAsia="Times New Roman"/>
                <w:b/>
                <w:bCs/>
                <w:color w:val="000000"/>
                <w:sz w:val="20"/>
                <w:lang w:val="ru-RU" w:eastAsia="en-US"/>
              </w:rPr>
            </w:pPr>
            <w:r w:rsidRPr="00A87B76">
              <w:rPr>
                <w:rFonts w:eastAsia="Times New Roman"/>
                <w:b/>
                <w:bCs/>
                <w:color w:val="000000"/>
                <w:sz w:val="20"/>
                <w:lang w:val="ru-RU" w:eastAsia="en-US"/>
              </w:rPr>
              <w:t xml:space="preserve">Добавлены в течение </w:t>
            </w:r>
            <w:r>
              <w:rPr>
                <w:rFonts w:eastAsia="Times New Roman"/>
                <w:b/>
                <w:bCs/>
                <w:color w:val="000000"/>
                <w:sz w:val="20"/>
                <w:lang w:val="ru-RU" w:eastAsia="en-US"/>
              </w:rPr>
              <w:t>отчетного периода</w:t>
            </w:r>
            <w:r w:rsidRPr="00A87B76">
              <w:rPr>
                <w:rFonts w:eastAsia="Times New Roman"/>
                <w:b/>
                <w:bCs/>
                <w:color w:val="000000"/>
                <w:sz w:val="20"/>
                <w:lang w:val="ru-RU" w:eastAsia="en-US"/>
              </w:rPr>
              <w:t xml:space="preserve"> </w:t>
            </w:r>
          </w:p>
        </w:tc>
        <w:tc>
          <w:tcPr>
            <w:tcW w:w="1461" w:type="dxa"/>
            <w:tcBorders>
              <w:top w:val="single" w:sz="8" w:space="0" w:color="95B3D7"/>
              <w:left w:val="nil"/>
              <w:bottom w:val="single" w:sz="8" w:space="0" w:color="95B3D7"/>
              <w:right w:val="single" w:sz="8" w:space="0" w:color="95B3D7"/>
            </w:tcBorders>
            <w:shd w:val="clear" w:color="000000" w:fill="95B3D7"/>
            <w:vAlign w:val="center"/>
            <w:hideMark/>
          </w:tcPr>
          <w:p w14:paraId="6633640A" w14:textId="131FF52D" w:rsidR="00F620D5" w:rsidRPr="00A87B76" w:rsidRDefault="00A87B76" w:rsidP="00F620D5">
            <w:pPr>
              <w:jc w:val="center"/>
              <w:rPr>
                <w:rFonts w:eastAsia="Times New Roman"/>
                <w:b/>
                <w:bCs/>
                <w:color w:val="000000"/>
                <w:sz w:val="20"/>
                <w:lang w:val="ru-RU" w:eastAsia="en-US"/>
              </w:rPr>
            </w:pPr>
            <w:r>
              <w:rPr>
                <w:rFonts w:eastAsia="Times New Roman"/>
                <w:b/>
                <w:bCs/>
                <w:color w:val="000000"/>
                <w:sz w:val="20"/>
                <w:lang w:val="ru-RU" w:eastAsia="en-US"/>
              </w:rPr>
              <w:t xml:space="preserve">Закрыты в течение отчетного периода </w:t>
            </w:r>
          </w:p>
        </w:tc>
        <w:tc>
          <w:tcPr>
            <w:tcW w:w="1348" w:type="dxa"/>
            <w:tcBorders>
              <w:top w:val="single" w:sz="8" w:space="0" w:color="95B3D7"/>
              <w:left w:val="nil"/>
              <w:bottom w:val="single" w:sz="8" w:space="0" w:color="95B3D7"/>
              <w:right w:val="single" w:sz="8" w:space="0" w:color="95B3D7"/>
            </w:tcBorders>
            <w:shd w:val="clear" w:color="000000" w:fill="95B3D7"/>
            <w:vAlign w:val="center"/>
            <w:hideMark/>
          </w:tcPr>
          <w:p w14:paraId="5C91B1AB" w14:textId="0901B5A1" w:rsidR="00F620D5" w:rsidRPr="00A87B76" w:rsidRDefault="00A87B76" w:rsidP="00F620D5">
            <w:pPr>
              <w:jc w:val="center"/>
              <w:rPr>
                <w:rFonts w:eastAsia="Times New Roman"/>
                <w:b/>
                <w:bCs/>
                <w:color w:val="000000"/>
                <w:sz w:val="20"/>
                <w:lang w:val="ru-RU" w:eastAsia="en-US"/>
              </w:rPr>
            </w:pPr>
            <w:r>
              <w:rPr>
                <w:rFonts w:eastAsia="Times New Roman"/>
                <w:b/>
                <w:bCs/>
                <w:color w:val="000000"/>
                <w:sz w:val="20"/>
                <w:lang w:val="ru-RU" w:eastAsia="en-US"/>
              </w:rPr>
              <w:t xml:space="preserve">Открыты по состоянию на 31 декабря 2019 г. </w:t>
            </w:r>
          </w:p>
        </w:tc>
      </w:tr>
      <w:tr w:rsidR="00F620D5" w:rsidRPr="00F620D5" w14:paraId="6F599306" w14:textId="77777777" w:rsidTr="009D5455">
        <w:trPr>
          <w:trHeight w:val="287"/>
        </w:trPr>
        <w:tc>
          <w:tcPr>
            <w:tcW w:w="3522" w:type="dxa"/>
            <w:tcBorders>
              <w:top w:val="nil"/>
              <w:left w:val="single" w:sz="8" w:space="0" w:color="95B3D7"/>
              <w:bottom w:val="single" w:sz="8" w:space="0" w:color="95B3D7"/>
              <w:right w:val="single" w:sz="8" w:space="0" w:color="95B3D7"/>
            </w:tcBorders>
            <w:shd w:val="clear" w:color="000000" w:fill="DBE5F1"/>
            <w:noWrap/>
            <w:vAlign w:val="center"/>
            <w:hideMark/>
          </w:tcPr>
          <w:p w14:paraId="7AF63FC0" w14:textId="54FFD8CE" w:rsidR="00F620D5" w:rsidRPr="00A87B76" w:rsidRDefault="00A87B76" w:rsidP="00F620D5">
            <w:pPr>
              <w:rPr>
                <w:rFonts w:eastAsia="Times New Roman"/>
                <w:b/>
                <w:bCs/>
                <w:color w:val="000000"/>
                <w:sz w:val="20"/>
                <w:lang w:val="ru-RU" w:eastAsia="en-US"/>
              </w:rPr>
            </w:pPr>
            <w:r>
              <w:rPr>
                <w:rFonts w:eastAsia="Times New Roman"/>
                <w:b/>
                <w:bCs/>
                <w:color w:val="000000"/>
                <w:sz w:val="20"/>
                <w:lang w:val="ru-RU" w:eastAsia="en-US"/>
              </w:rPr>
              <w:t>ОВН</w:t>
            </w:r>
          </w:p>
        </w:tc>
        <w:tc>
          <w:tcPr>
            <w:tcW w:w="1592" w:type="dxa"/>
            <w:tcBorders>
              <w:top w:val="nil"/>
              <w:left w:val="nil"/>
              <w:bottom w:val="single" w:sz="8" w:space="0" w:color="95B3D7"/>
              <w:right w:val="single" w:sz="8" w:space="0" w:color="95B3D7"/>
            </w:tcBorders>
            <w:shd w:val="clear" w:color="000000" w:fill="DBE5F1"/>
            <w:noWrap/>
            <w:vAlign w:val="center"/>
            <w:hideMark/>
          </w:tcPr>
          <w:p w14:paraId="53F8B251" w14:textId="77777777" w:rsidR="00F620D5" w:rsidRPr="00F620D5" w:rsidRDefault="00F620D5" w:rsidP="00F620D5">
            <w:pPr>
              <w:jc w:val="center"/>
              <w:rPr>
                <w:rFonts w:eastAsia="Times New Roman"/>
                <w:color w:val="000000"/>
                <w:sz w:val="20"/>
                <w:lang w:eastAsia="en-US"/>
              </w:rPr>
            </w:pPr>
            <w:r w:rsidRPr="00F620D5">
              <w:rPr>
                <w:rFonts w:eastAsia="Times New Roman"/>
                <w:color w:val="000000"/>
                <w:sz w:val="20"/>
                <w:lang w:eastAsia="en-US"/>
              </w:rPr>
              <w:t>132</w:t>
            </w:r>
          </w:p>
        </w:tc>
        <w:tc>
          <w:tcPr>
            <w:tcW w:w="1517" w:type="dxa"/>
            <w:tcBorders>
              <w:top w:val="nil"/>
              <w:left w:val="nil"/>
              <w:bottom w:val="single" w:sz="8" w:space="0" w:color="95B3D7"/>
              <w:right w:val="single" w:sz="8" w:space="0" w:color="95B3D7"/>
            </w:tcBorders>
            <w:shd w:val="clear" w:color="000000" w:fill="DBE5F1"/>
            <w:noWrap/>
            <w:vAlign w:val="center"/>
            <w:hideMark/>
          </w:tcPr>
          <w:p w14:paraId="06DDBA27" w14:textId="77777777" w:rsidR="00F620D5" w:rsidRPr="00F620D5" w:rsidRDefault="00F620D5" w:rsidP="00F620D5">
            <w:pPr>
              <w:jc w:val="center"/>
              <w:rPr>
                <w:rFonts w:eastAsia="Times New Roman"/>
                <w:color w:val="000000"/>
                <w:sz w:val="20"/>
                <w:lang w:eastAsia="en-US"/>
              </w:rPr>
            </w:pPr>
            <w:r w:rsidRPr="00F620D5">
              <w:rPr>
                <w:rFonts w:eastAsia="Times New Roman"/>
                <w:color w:val="000000"/>
                <w:sz w:val="20"/>
                <w:lang w:eastAsia="en-US"/>
              </w:rPr>
              <w:t>2</w:t>
            </w:r>
            <w:r w:rsidR="009F4424">
              <w:rPr>
                <w:rFonts w:eastAsia="Times New Roman"/>
                <w:color w:val="000000"/>
                <w:sz w:val="20"/>
                <w:lang w:eastAsia="en-US"/>
              </w:rPr>
              <w:t>4</w:t>
            </w:r>
          </w:p>
        </w:tc>
        <w:tc>
          <w:tcPr>
            <w:tcW w:w="1461" w:type="dxa"/>
            <w:tcBorders>
              <w:top w:val="nil"/>
              <w:left w:val="nil"/>
              <w:bottom w:val="single" w:sz="8" w:space="0" w:color="95B3D7"/>
              <w:right w:val="single" w:sz="8" w:space="0" w:color="95B3D7"/>
            </w:tcBorders>
            <w:shd w:val="clear" w:color="000000" w:fill="DBE5F1"/>
            <w:noWrap/>
            <w:vAlign w:val="center"/>
            <w:hideMark/>
          </w:tcPr>
          <w:p w14:paraId="033B0CCA" w14:textId="77777777" w:rsidR="00F620D5" w:rsidRPr="00F620D5" w:rsidRDefault="00F620D5" w:rsidP="00F620D5">
            <w:pPr>
              <w:jc w:val="center"/>
              <w:rPr>
                <w:rFonts w:eastAsia="Times New Roman"/>
                <w:color w:val="000000"/>
                <w:sz w:val="20"/>
                <w:lang w:eastAsia="en-US"/>
              </w:rPr>
            </w:pPr>
            <w:r w:rsidRPr="00F620D5">
              <w:rPr>
                <w:rFonts w:eastAsia="Times New Roman"/>
                <w:color w:val="000000"/>
                <w:sz w:val="20"/>
                <w:lang w:eastAsia="en-US"/>
              </w:rPr>
              <w:t>55</w:t>
            </w:r>
          </w:p>
        </w:tc>
        <w:tc>
          <w:tcPr>
            <w:tcW w:w="1348" w:type="dxa"/>
            <w:tcBorders>
              <w:top w:val="nil"/>
              <w:left w:val="nil"/>
              <w:bottom w:val="single" w:sz="8" w:space="0" w:color="95B3D7"/>
              <w:right w:val="single" w:sz="8" w:space="0" w:color="95B3D7"/>
            </w:tcBorders>
            <w:shd w:val="clear" w:color="000000" w:fill="DBE5F1"/>
            <w:noWrap/>
            <w:vAlign w:val="center"/>
            <w:hideMark/>
          </w:tcPr>
          <w:p w14:paraId="0B6651B7" w14:textId="77777777" w:rsidR="00F620D5" w:rsidRPr="00F620D5" w:rsidRDefault="009F4424" w:rsidP="00F620D5">
            <w:pPr>
              <w:jc w:val="center"/>
              <w:rPr>
                <w:rFonts w:eastAsia="Times New Roman"/>
                <w:color w:val="000000"/>
                <w:sz w:val="20"/>
                <w:lang w:eastAsia="en-US"/>
              </w:rPr>
            </w:pPr>
            <w:r>
              <w:rPr>
                <w:rFonts w:eastAsia="Times New Roman"/>
                <w:color w:val="000000"/>
                <w:sz w:val="20"/>
                <w:lang w:eastAsia="en-US"/>
              </w:rPr>
              <w:t>101</w:t>
            </w:r>
          </w:p>
        </w:tc>
      </w:tr>
      <w:tr w:rsidR="00F620D5" w:rsidRPr="00F620D5" w14:paraId="4B4D7A92" w14:textId="77777777" w:rsidTr="009D5455">
        <w:trPr>
          <w:trHeight w:val="287"/>
        </w:trPr>
        <w:tc>
          <w:tcPr>
            <w:tcW w:w="3522" w:type="dxa"/>
            <w:tcBorders>
              <w:top w:val="nil"/>
              <w:left w:val="single" w:sz="8" w:space="0" w:color="95B3D7"/>
              <w:bottom w:val="single" w:sz="8" w:space="0" w:color="95B3D7"/>
              <w:right w:val="single" w:sz="8" w:space="0" w:color="95B3D7"/>
            </w:tcBorders>
            <w:shd w:val="clear" w:color="auto" w:fill="auto"/>
            <w:noWrap/>
            <w:vAlign w:val="center"/>
            <w:hideMark/>
          </w:tcPr>
          <w:p w14:paraId="5A6A5131" w14:textId="6C1EC364" w:rsidR="00F620D5" w:rsidRPr="00A87B76" w:rsidRDefault="00A87B76" w:rsidP="00F620D5">
            <w:pPr>
              <w:rPr>
                <w:rFonts w:eastAsia="Times New Roman"/>
                <w:b/>
                <w:bCs/>
                <w:color w:val="000000"/>
                <w:sz w:val="20"/>
                <w:lang w:eastAsia="en-US"/>
              </w:rPr>
            </w:pPr>
            <w:r>
              <w:rPr>
                <w:rFonts w:eastAsia="Times New Roman"/>
                <w:b/>
                <w:bCs/>
                <w:color w:val="000000"/>
                <w:sz w:val="20"/>
                <w:lang w:val="ru-RU" w:eastAsia="en-US"/>
              </w:rPr>
              <w:t>Внешний</w:t>
            </w:r>
            <w:r w:rsidRPr="00A87B76">
              <w:rPr>
                <w:rFonts w:eastAsia="Times New Roman"/>
                <w:b/>
                <w:bCs/>
                <w:color w:val="000000"/>
                <w:sz w:val="20"/>
                <w:lang w:eastAsia="en-US"/>
              </w:rPr>
              <w:t xml:space="preserve"> </w:t>
            </w:r>
            <w:r>
              <w:rPr>
                <w:rFonts w:eastAsia="Times New Roman"/>
                <w:b/>
                <w:bCs/>
                <w:color w:val="000000"/>
                <w:sz w:val="20"/>
                <w:lang w:val="ru-RU" w:eastAsia="en-US"/>
              </w:rPr>
              <w:t>аудитор</w:t>
            </w:r>
            <w:r w:rsidRPr="00A87B76">
              <w:rPr>
                <w:rFonts w:eastAsia="Times New Roman"/>
                <w:b/>
                <w:bCs/>
                <w:color w:val="000000"/>
                <w:sz w:val="20"/>
                <w:lang w:eastAsia="en-US"/>
              </w:rPr>
              <w:t xml:space="preserve"> (</w:t>
            </w:r>
            <w:r>
              <w:rPr>
                <w:rFonts w:eastAsia="Times New Roman"/>
                <w:b/>
                <w:bCs/>
                <w:color w:val="000000"/>
                <w:sz w:val="20"/>
                <w:lang w:val="ru-RU" w:eastAsia="en-US"/>
              </w:rPr>
              <w:t>ВА</w:t>
            </w:r>
            <w:r w:rsidRPr="00A87B76">
              <w:rPr>
                <w:rFonts w:eastAsia="Times New Roman"/>
                <w:b/>
                <w:bCs/>
                <w:color w:val="000000"/>
                <w:sz w:val="20"/>
                <w:lang w:eastAsia="en-US"/>
              </w:rPr>
              <w:t>)</w:t>
            </w:r>
          </w:p>
        </w:tc>
        <w:tc>
          <w:tcPr>
            <w:tcW w:w="1592" w:type="dxa"/>
            <w:tcBorders>
              <w:top w:val="nil"/>
              <w:left w:val="nil"/>
              <w:bottom w:val="single" w:sz="8" w:space="0" w:color="95B3D7"/>
              <w:right w:val="single" w:sz="8" w:space="0" w:color="95B3D7"/>
            </w:tcBorders>
            <w:shd w:val="clear" w:color="auto" w:fill="auto"/>
            <w:noWrap/>
            <w:vAlign w:val="center"/>
            <w:hideMark/>
          </w:tcPr>
          <w:p w14:paraId="3BB9B7D1" w14:textId="77777777" w:rsidR="00F620D5" w:rsidRPr="00F620D5" w:rsidRDefault="00F620D5" w:rsidP="00F620D5">
            <w:pPr>
              <w:jc w:val="center"/>
              <w:rPr>
                <w:rFonts w:eastAsia="Times New Roman"/>
                <w:color w:val="000000"/>
                <w:sz w:val="20"/>
                <w:lang w:eastAsia="en-US"/>
              </w:rPr>
            </w:pPr>
            <w:r w:rsidRPr="00F620D5">
              <w:rPr>
                <w:rFonts w:eastAsia="Times New Roman"/>
                <w:color w:val="000000"/>
                <w:sz w:val="20"/>
                <w:lang w:eastAsia="en-US"/>
              </w:rPr>
              <w:t>7</w:t>
            </w:r>
          </w:p>
        </w:tc>
        <w:tc>
          <w:tcPr>
            <w:tcW w:w="1517" w:type="dxa"/>
            <w:tcBorders>
              <w:top w:val="nil"/>
              <w:left w:val="nil"/>
              <w:bottom w:val="single" w:sz="8" w:space="0" w:color="95B3D7"/>
              <w:right w:val="single" w:sz="8" w:space="0" w:color="95B3D7"/>
            </w:tcBorders>
            <w:shd w:val="clear" w:color="auto" w:fill="auto"/>
            <w:noWrap/>
            <w:vAlign w:val="center"/>
            <w:hideMark/>
          </w:tcPr>
          <w:p w14:paraId="5ECD9FCB" w14:textId="77777777" w:rsidR="00F620D5" w:rsidRPr="00F620D5" w:rsidRDefault="00F620D5" w:rsidP="00F620D5">
            <w:pPr>
              <w:jc w:val="center"/>
              <w:rPr>
                <w:rFonts w:eastAsia="Times New Roman"/>
                <w:color w:val="000000"/>
                <w:sz w:val="20"/>
                <w:lang w:eastAsia="en-US"/>
              </w:rPr>
            </w:pPr>
            <w:r w:rsidRPr="00F620D5">
              <w:rPr>
                <w:rFonts w:eastAsia="Times New Roman"/>
                <w:color w:val="000000"/>
                <w:sz w:val="20"/>
                <w:lang w:eastAsia="en-US"/>
              </w:rPr>
              <w:t>0</w:t>
            </w:r>
          </w:p>
        </w:tc>
        <w:tc>
          <w:tcPr>
            <w:tcW w:w="1461" w:type="dxa"/>
            <w:tcBorders>
              <w:top w:val="nil"/>
              <w:left w:val="nil"/>
              <w:bottom w:val="single" w:sz="8" w:space="0" w:color="95B3D7"/>
              <w:right w:val="single" w:sz="8" w:space="0" w:color="95B3D7"/>
            </w:tcBorders>
            <w:shd w:val="clear" w:color="auto" w:fill="auto"/>
            <w:noWrap/>
            <w:vAlign w:val="center"/>
            <w:hideMark/>
          </w:tcPr>
          <w:p w14:paraId="11782AE8" w14:textId="77777777" w:rsidR="00F620D5" w:rsidRPr="00F620D5" w:rsidRDefault="00F620D5" w:rsidP="00F620D5">
            <w:pPr>
              <w:jc w:val="center"/>
              <w:rPr>
                <w:rFonts w:eastAsia="Times New Roman"/>
                <w:color w:val="000000"/>
                <w:sz w:val="20"/>
                <w:lang w:eastAsia="en-US"/>
              </w:rPr>
            </w:pPr>
            <w:r w:rsidRPr="00F620D5">
              <w:rPr>
                <w:rFonts w:eastAsia="Times New Roman"/>
                <w:color w:val="000000"/>
                <w:sz w:val="20"/>
                <w:lang w:eastAsia="en-US"/>
              </w:rPr>
              <w:t>1</w:t>
            </w:r>
          </w:p>
        </w:tc>
        <w:tc>
          <w:tcPr>
            <w:tcW w:w="1348" w:type="dxa"/>
            <w:tcBorders>
              <w:top w:val="nil"/>
              <w:left w:val="nil"/>
              <w:bottom w:val="single" w:sz="8" w:space="0" w:color="95B3D7"/>
              <w:right w:val="single" w:sz="8" w:space="0" w:color="95B3D7"/>
            </w:tcBorders>
            <w:shd w:val="clear" w:color="auto" w:fill="auto"/>
            <w:noWrap/>
            <w:vAlign w:val="center"/>
            <w:hideMark/>
          </w:tcPr>
          <w:p w14:paraId="4A12B8EF" w14:textId="77777777" w:rsidR="00F620D5" w:rsidRPr="00F620D5" w:rsidRDefault="00F620D5" w:rsidP="00F620D5">
            <w:pPr>
              <w:jc w:val="center"/>
              <w:rPr>
                <w:rFonts w:eastAsia="Times New Roman"/>
                <w:color w:val="000000"/>
                <w:sz w:val="20"/>
                <w:lang w:eastAsia="en-US"/>
              </w:rPr>
            </w:pPr>
            <w:r w:rsidRPr="00F620D5">
              <w:rPr>
                <w:rFonts w:eastAsia="Times New Roman"/>
                <w:color w:val="000000"/>
                <w:sz w:val="20"/>
                <w:lang w:eastAsia="en-US"/>
              </w:rPr>
              <w:t>6</w:t>
            </w:r>
          </w:p>
        </w:tc>
      </w:tr>
      <w:tr w:rsidR="00F620D5" w:rsidRPr="00F620D5" w14:paraId="5FB29442" w14:textId="77777777" w:rsidTr="009D5455">
        <w:trPr>
          <w:trHeight w:val="287"/>
        </w:trPr>
        <w:tc>
          <w:tcPr>
            <w:tcW w:w="3522" w:type="dxa"/>
            <w:tcBorders>
              <w:top w:val="nil"/>
              <w:left w:val="single" w:sz="8" w:space="0" w:color="95B3D7"/>
              <w:bottom w:val="single" w:sz="8" w:space="0" w:color="95B3D7"/>
              <w:right w:val="single" w:sz="8" w:space="0" w:color="95B3D7"/>
            </w:tcBorders>
            <w:shd w:val="clear" w:color="000000" w:fill="DBE5F1"/>
            <w:noWrap/>
            <w:vAlign w:val="center"/>
            <w:hideMark/>
          </w:tcPr>
          <w:p w14:paraId="76641365" w14:textId="0E020228" w:rsidR="00F620D5" w:rsidRPr="00A87B76" w:rsidRDefault="00A87B76" w:rsidP="00F620D5">
            <w:pPr>
              <w:rPr>
                <w:rFonts w:eastAsia="Times New Roman"/>
                <w:b/>
                <w:bCs/>
                <w:color w:val="000000"/>
                <w:sz w:val="20"/>
                <w:lang w:val="ru-RU" w:eastAsia="en-US"/>
              </w:rPr>
            </w:pPr>
            <w:r>
              <w:rPr>
                <w:rFonts w:eastAsia="Times New Roman"/>
                <w:b/>
                <w:bCs/>
                <w:color w:val="000000"/>
                <w:sz w:val="20"/>
                <w:lang w:val="ru-RU" w:eastAsia="en-US"/>
              </w:rPr>
              <w:t>НККН</w:t>
            </w:r>
          </w:p>
        </w:tc>
        <w:tc>
          <w:tcPr>
            <w:tcW w:w="1592" w:type="dxa"/>
            <w:tcBorders>
              <w:top w:val="nil"/>
              <w:left w:val="nil"/>
              <w:bottom w:val="single" w:sz="8" w:space="0" w:color="95B3D7"/>
              <w:right w:val="single" w:sz="8" w:space="0" w:color="95B3D7"/>
            </w:tcBorders>
            <w:shd w:val="clear" w:color="000000" w:fill="DBE5F1"/>
            <w:noWrap/>
            <w:vAlign w:val="center"/>
            <w:hideMark/>
          </w:tcPr>
          <w:p w14:paraId="7848FA28" w14:textId="77777777" w:rsidR="00F620D5" w:rsidRPr="00F620D5" w:rsidRDefault="00F620D5" w:rsidP="00F620D5">
            <w:pPr>
              <w:jc w:val="center"/>
              <w:rPr>
                <w:rFonts w:eastAsia="Times New Roman"/>
                <w:color w:val="000000"/>
                <w:sz w:val="20"/>
                <w:lang w:eastAsia="en-US"/>
              </w:rPr>
            </w:pPr>
            <w:r w:rsidRPr="00F620D5">
              <w:rPr>
                <w:rFonts w:eastAsia="Times New Roman"/>
                <w:color w:val="000000"/>
                <w:sz w:val="20"/>
                <w:lang w:eastAsia="en-US"/>
              </w:rPr>
              <w:t>2</w:t>
            </w:r>
          </w:p>
        </w:tc>
        <w:tc>
          <w:tcPr>
            <w:tcW w:w="1517" w:type="dxa"/>
            <w:tcBorders>
              <w:top w:val="nil"/>
              <w:left w:val="nil"/>
              <w:bottom w:val="single" w:sz="8" w:space="0" w:color="95B3D7"/>
              <w:right w:val="single" w:sz="8" w:space="0" w:color="95B3D7"/>
            </w:tcBorders>
            <w:shd w:val="clear" w:color="000000" w:fill="DBE5F1"/>
            <w:noWrap/>
            <w:vAlign w:val="center"/>
            <w:hideMark/>
          </w:tcPr>
          <w:p w14:paraId="22B1C319" w14:textId="77777777" w:rsidR="00F620D5" w:rsidRPr="00F620D5" w:rsidRDefault="00F620D5" w:rsidP="00F620D5">
            <w:pPr>
              <w:jc w:val="center"/>
              <w:rPr>
                <w:rFonts w:eastAsia="Times New Roman"/>
                <w:color w:val="000000"/>
                <w:sz w:val="20"/>
                <w:lang w:eastAsia="en-US"/>
              </w:rPr>
            </w:pPr>
            <w:r w:rsidRPr="00F620D5">
              <w:rPr>
                <w:rFonts w:eastAsia="Times New Roman"/>
                <w:color w:val="000000"/>
                <w:sz w:val="20"/>
                <w:lang w:eastAsia="en-US"/>
              </w:rPr>
              <w:t>0</w:t>
            </w:r>
          </w:p>
        </w:tc>
        <w:tc>
          <w:tcPr>
            <w:tcW w:w="1461" w:type="dxa"/>
            <w:tcBorders>
              <w:top w:val="nil"/>
              <w:left w:val="nil"/>
              <w:bottom w:val="single" w:sz="8" w:space="0" w:color="95B3D7"/>
              <w:right w:val="single" w:sz="8" w:space="0" w:color="95B3D7"/>
            </w:tcBorders>
            <w:shd w:val="clear" w:color="000000" w:fill="DBE5F1"/>
            <w:noWrap/>
            <w:vAlign w:val="center"/>
            <w:hideMark/>
          </w:tcPr>
          <w:p w14:paraId="18966595" w14:textId="77777777" w:rsidR="00F620D5" w:rsidRPr="00F620D5" w:rsidRDefault="00F620D5" w:rsidP="00F620D5">
            <w:pPr>
              <w:jc w:val="center"/>
              <w:rPr>
                <w:rFonts w:eastAsia="Times New Roman"/>
                <w:color w:val="000000"/>
                <w:sz w:val="20"/>
                <w:lang w:eastAsia="en-US"/>
              </w:rPr>
            </w:pPr>
            <w:r w:rsidRPr="00F620D5">
              <w:rPr>
                <w:rFonts w:eastAsia="Times New Roman"/>
                <w:color w:val="000000"/>
                <w:sz w:val="20"/>
                <w:lang w:eastAsia="en-US"/>
              </w:rPr>
              <w:t>1</w:t>
            </w:r>
          </w:p>
        </w:tc>
        <w:tc>
          <w:tcPr>
            <w:tcW w:w="1348" w:type="dxa"/>
            <w:tcBorders>
              <w:top w:val="nil"/>
              <w:left w:val="nil"/>
              <w:bottom w:val="single" w:sz="8" w:space="0" w:color="95B3D7"/>
              <w:right w:val="single" w:sz="8" w:space="0" w:color="95B3D7"/>
            </w:tcBorders>
            <w:shd w:val="clear" w:color="000000" w:fill="DBE5F1"/>
            <w:noWrap/>
            <w:vAlign w:val="center"/>
            <w:hideMark/>
          </w:tcPr>
          <w:p w14:paraId="5CC3D440" w14:textId="77777777" w:rsidR="00F620D5" w:rsidRPr="00F620D5" w:rsidRDefault="00F620D5" w:rsidP="00F620D5">
            <w:pPr>
              <w:jc w:val="center"/>
              <w:rPr>
                <w:rFonts w:eastAsia="Times New Roman"/>
                <w:color w:val="000000"/>
                <w:sz w:val="20"/>
                <w:lang w:eastAsia="en-US"/>
              </w:rPr>
            </w:pPr>
            <w:r w:rsidRPr="00F620D5">
              <w:rPr>
                <w:rFonts w:eastAsia="Times New Roman"/>
                <w:color w:val="000000"/>
                <w:sz w:val="20"/>
                <w:lang w:eastAsia="en-US"/>
              </w:rPr>
              <w:t>1</w:t>
            </w:r>
          </w:p>
        </w:tc>
      </w:tr>
      <w:tr w:rsidR="00F620D5" w:rsidRPr="00F620D5" w14:paraId="2E0E67BF" w14:textId="77777777" w:rsidTr="009D5455">
        <w:trPr>
          <w:trHeight w:val="478"/>
        </w:trPr>
        <w:tc>
          <w:tcPr>
            <w:tcW w:w="3522" w:type="dxa"/>
            <w:tcBorders>
              <w:top w:val="nil"/>
              <w:left w:val="single" w:sz="8" w:space="0" w:color="95B3D7"/>
              <w:bottom w:val="single" w:sz="8" w:space="0" w:color="95B3D7"/>
              <w:right w:val="single" w:sz="8" w:space="0" w:color="95B3D7"/>
            </w:tcBorders>
            <w:shd w:val="clear" w:color="auto" w:fill="auto"/>
            <w:vAlign w:val="center"/>
            <w:hideMark/>
          </w:tcPr>
          <w:p w14:paraId="60EE8F3A" w14:textId="492F2782" w:rsidR="00F620D5" w:rsidRPr="00A87B76" w:rsidRDefault="00A87B76" w:rsidP="00F620D5">
            <w:pPr>
              <w:rPr>
                <w:rFonts w:eastAsia="Times New Roman"/>
                <w:b/>
                <w:bCs/>
                <w:color w:val="000000"/>
                <w:sz w:val="20"/>
                <w:lang w:val="ru-RU" w:eastAsia="en-US"/>
              </w:rPr>
            </w:pPr>
            <w:r>
              <w:rPr>
                <w:rFonts w:eastAsia="Times New Roman"/>
                <w:b/>
                <w:bCs/>
                <w:color w:val="000000"/>
                <w:sz w:val="20"/>
                <w:lang w:val="ru-RU" w:eastAsia="en-US"/>
              </w:rPr>
              <w:t>Переданные</w:t>
            </w:r>
            <w:r w:rsidRPr="00A87B76">
              <w:rPr>
                <w:rFonts w:eastAsia="Times New Roman"/>
                <w:b/>
                <w:bCs/>
                <w:color w:val="000000"/>
                <w:sz w:val="20"/>
                <w:lang w:val="ru-RU" w:eastAsia="en-US"/>
              </w:rPr>
              <w:t xml:space="preserve"> </w:t>
            </w:r>
            <w:r>
              <w:rPr>
                <w:rFonts w:eastAsia="Times New Roman"/>
                <w:b/>
                <w:bCs/>
                <w:color w:val="000000"/>
                <w:sz w:val="20"/>
                <w:lang w:val="ru-RU" w:eastAsia="en-US"/>
              </w:rPr>
              <w:t>в</w:t>
            </w:r>
            <w:r w:rsidRPr="00A87B76">
              <w:rPr>
                <w:rFonts w:eastAsia="Times New Roman"/>
                <w:b/>
                <w:bCs/>
                <w:color w:val="000000"/>
                <w:sz w:val="20"/>
                <w:lang w:val="ru-RU" w:eastAsia="en-US"/>
              </w:rPr>
              <w:t xml:space="preserve"> </w:t>
            </w:r>
            <w:r>
              <w:rPr>
                <w:rFonts w:eastAsia="Times New Roman"/>
                <w:b/>
                <w:bCs/>
                <w:color w:val="000000"/>
                <w:sz w:val="20"/>
                <w:lang w:val="ru-RU" w:eastAsia="en-US"/>
              </w:rPr>
              <w:t>ОВН</w:t>
            </w:r>
            <w:r w:rsidRPr="00A87B76">
              <w:rPr>
                <w:rFonts w:eastAsia="Times New Roman"/>
                <w:b/>
                <w:bCs/>
                <w:color w:val="000000"/>
                <w:sz w:val="20"/>
                <w:lang w:val="ru-RU" w:eastAsia="en-US"/>
              </w:rPr>
              <w:t xml:space="preserve"> </w:t>
            </w:r>
            <w:r>
              <w:rPr>
                <w:rFonts w:eastAsia="Times New Roman"/>
                <w:b/>
                <w:bCs/>
                <w:color w:val="000000"/>
                <w:sz w:val="20"/>
                <w:lang w:val="ru-RU" w:eastAsia="en-US"/>
              </w:rPr>
              <w:t>рекомендации</w:t>
            </w:r>
            <w:r w:rsidRPr="00A87B76">
              <w:rPr>
                <w:rFonts w:eastAsia="Times New Roman"/>
                <w:b/>
                <w:bCs/>
                <w:color w:val="000000"/>
                <w:sz w:val="20"/>
                <w:lang w:val="ru-RU" w:eastAsia="en-US"/>
              </w:rPr>
              <w:t xml:space="preserve"> </w:t>
            </w:r>
            <w:r>
              <w:rPr>
                <w:rFonts w:eastAsia="Times New Roman"/>
                <w:b/>
                <w:bCs/>
                <w:color w:val="000000"/>
                <w:sz w:val="20"/>
                <w:lang w:val="ru-RU" w:eastAsia="en-US"/>
              </w:rPr>
              <w:t>ВА</w:t>
            </w:r>
            <w:r w:rsidRPr="00A87B76">
              <w:rPr>
                <w:rFonts w:eastAsia="Times New Roman"/>
                <w:b/>
                <w:bCs/>
                <w:color w:val="000000"/>
                <w:sz w:val="20"/>
                <w:lang w:val="ru-RU" w:eastAsia="en-US"/>
              </w:rPr>
              <w:t xml:space="preserve"> </w:t>
            </w:r>
          </w:p>
        </w:tc>
        <w:tc>
          <w:tcPr>
            <w:tcW w:w="1592" w:type="dxa"/>
            <w:tcBorders>
              <w:top w:val="nil"/>
              <w:left w:val="nil"/>
              <w:bottom w:val="single" w:sz="8" w:space="0" w:color="95B3D7"/>
              <w:right w:val="single" w:sz="8" w:space="0" w:color="95B3D7"/>
            </w:tcBorders>
            <w:shd w:val="clear" w:color="auto" w:fill="auto"/>
            <w:noWrap/>
            <w:vAlign w:val="center"/>
            <w:hideMark/>
          </w:tcPr>
          <w:p w14:paraId="3AF98973" w14:textId="77777777" w:rsidR="00F620D5" w:rsidRPr="00F620D5" w:rsidRDefault="00F620D5" w:rsidP="00F620D5">
            <w:pPr>
              <w:jc w:val="center"/>
              <w:rPr>
                <w:rFonts w:eastAsia="Times New Roman"/>
                <w:color w:val="000000"/>
                <w:sz w:val="20"/>
                <w:lang w:eastAsia="en-US"/>
              </w:rPr>
            </w:pPr>
            <w:r w:rsidRPr="00F620D5">
              <w:rPr>
                <w:rFonts w:eastAsia="Times New Roman"/>
                <w:color w:val="000000"/>
                <w:sz w:val="20"/>
                <w:lang w:eastAsia="en-US"/>
              </w:rPr>
              <w:t>14</w:t>
            </w:r>
          </w:p>
        </w:tc>
        <w:tc>
          <w:tcPr>
            <w:tcW w:w="1517" w:type="dxa"/>
            <w:tcBorders>
              <w:top w:val="nil"/>
              <w:left w:val="nil"/>
              <w:bottom w:val="single" w:sz="8" w:space="0" w:color="95B3D7"/>
              <w:right w:val="single" w:sz="8" w:space="0" w:color="95B3D7"/>
            </w:tcBorders>
            <w:shd w:val="clear" w:color="auto" w:fill="auto"/>
            <w:noWrap/>
            <w:vAlign w:val="center"/>
            <w:hideMark/>
          </w:tcPr>
          <w:p w14:paraId="121AD167" w14:textId="77777777" w:rsidR="00F620D5" w:rsidRPr="00F620D5" w:rsidRDefault="00F620D5" w:rsidP="00F620D5">
            <w:pPr>
              <w:jc w:val="center"/>
              <w:rPr>
                <w:rFonts w:eastAsia="Times New Roman"/>
                <w:color w:val="000000"/>
                <w:sz w:val="20"/>
                <w:lang w:eastAsia="en-US"/>
              </w:rPr>
            </w:pPr>
            <w:r w:rsidRPr="00F620D5">
              <w:rPr>
                <w:rFonts w:eastAsia="Times New Roman"/>
                <w:color w:val="000000"/>
                <w:sz w:val="20"/>
                <w:lang w:eastAsia="en-US"/>
              </w:rPr>
              <w:t>0</w:t>
            </w:r>
          </w:p>
        </w:tc>
        <w:tc>
          <w:tcPr>
            <w:tcW w:w="1461" w:type="dxa"/>
            <w:tcBorders>
              <w:top w:val="nil"/>
              <w:left w:val="nil"/>
              <w:bottom w:val="single" w:sz="8" w:space="0" w:color="95B3D7"/>
              <w:right w:val="single" w:sz="8" w:space="0" w:color="95B3D7"/>
            </w:tcBorders>
            <w:shd w:val="clear" w:color="auto" w:fill="auto"/>
            <w:noWrap/>
            <w:vAlign w:val="center"/>
            <w:hideMark/>
          </w:tcPr>
          <w:p w14:paraId="29E020FB" w14:textId="77777777" w:rsidR="00F620D5" w:rsidRPr="00F620D5" w:rsidRDefault="00F620D5" w:rsidP="00F620D5">
            <w:pPr>
              <w:jc w:val="center"/>
              <w:rPr>
                <w:rFonts w:eastAsia="Times New Roman"/>
                <w:color w:val="000000"/>
                <w:sz w:val="20"/>
                <w:lang w:eastAsia="en-US"/>
              </w:rPr>
            </w:pPr>
            <w:r w:rsidRPr="00F620D5">
              <w:rPr>
                <w:rFonts w:eastAsia="Times New Roman"/>
                <w:color w:val="000000"/>
                <w:sz w:val="20"/>
                <w:lang w:eastAsia="en-US"/>
              </w:rPr>
              <w:t>5</w:t>
            </w:r>
          </w:p>
        </w:tc>
        <w:tc>
          <w:tcPr>
            <w:tcW w:w="1348" w:type="dxa"/>
            <w:tcBorders>
              <w:top w:val="nil"/>
              <w:left w:val="nil"/>
              <w:bottom w:val="single" w:sz="8" w:space="0" w:color="95B3D7"/>
              <w:right w:val="single" w:sz="8" w:space="0" w:color="95B3D7"/>
            </w:tcBorders>
            <w:shd w:val="clear" w:color="auto" w:fill="auto"/>
            <w:noWrap/>
            <w:vAlign w:val="center"/>
            <w:hideMark/>
          </w:tcPr>
          <w:p w14:paraId="165DF861" w14:textId="77777777" w:rsidR="00F620D5" w:rsidRPr="00F620D5" w:rsidRDefault="00F620D5" w:rsidP="00F620D5">
            <w:pPr>
              <w:jc w:val="center"/>
              <w:rPr>
                <w:rFonts w:eastAsia="Times New Roman"/>
                <w:color w:val="000000"/>
                <w:sz w:val="20"/>
                <w:lang w:eastAsia="en-US"/>
              </w:rPr>
            </w:pPr>
            <w:r w:rsidRPr="00F620D5">
              <w:rPr>
                <w:rFonts w:eastAsia="Times New Roman"/>
                <w:color w:val="000000"/>
                <w:sz w:val="20"/>
                <w:lang w:eastAsia="en-US"/>
              </w:rPr>
              <w:t>9</w:t>
            </w:r>
          </w:p>
        </w:tc>
      </w:tr>
      <w:tr w:rsidR="00F620D5" w:rsidRPr="00F620D5" w14:paraId="4903F58D" w14:textId="77777777" w:rsidTr="009D5455">
        <w:trPr>
          <w:trHeight w:val="287"/>
        </w:trPr>
        <w:tc>
          <w:tcPr>
            <w:tcW w:w="3522" w:type="dxa"/>
            <w:tcBorders>
              <w:top w:val="nil"/>
              <w:left w:val="single" w:sz="8" w:space="0" w:color="95B3D7"/>
              <w:bottom w:val="single" w:sz="8" w:space="0" w:color="95B3D7"/>
              <w:right w:val="single" w:sz="8" w:space="0" w:color="95B3D7"/>
            </w:tcBorders>
            <w:shd w:val="clear" w:color="000000" w:fill="DBE5F1"/>
            <w:noWrap/>
            <w:vAlign w:val="center"/>
            <w:hideMark/>
          </w:tcPr>
          <w:p w14:paraId="79AEE14D" w14:textId="44DEA4A6" w:rsidR="00F620D5" w:rsidRPr="00A87B76" w:rsidRDefault="00A87B76" w:rsidP="00F620D5">
            <w:pPr>
              <w:rPr>
                <w:rFonts w:eastAsia="Times New Roman"/>
                <w:b/>
                <w:bCs/>
                <w:color w:val="000000"/>
                <w:sz w:val="20"/>
                <w:lang w:val="ru-RU" w:eastAsia="en-US"/>
              </w:rPr>
            </w:pPr>
            <w:r>
              <w:rPr>
                <w:rFonts w:eastAsia="Times New Roman"/>
                <w:b/>
                <w:bCs/>
                <w:color w:val="000000"/>
                <w:sz w:val="20"/>
                <w:lang w:val="ru-RU" w:eastAsia="en-US"/>
              </w:rPr>
              <w:t>Итого</w:t>
            </w:r>
          </w:p>
        </w:tc>
        <w:tc>
          <w:tcPr>
            <w:tcW w:w="1592" w:type="dxa"/>
            <w:tcBorders>
              <w:top w:val="nil"/>
              <w:left w:val="nil"/>
              <w:bottom w:val="single" w:sz="8" w:space="0" w:color="95B3D7"/>
              <w:right w:val="single" w:sz="8" w:space="0" w:color="95B3D7"/>
            </w:tcBorders>
            <w:shd w:val="clear" w:color="000000" w:fill="DBE5F1"/>
            <w:noWrap/>
            <w:vAlign w:val="center"/>
            <w:hideMark/>
          </w:tcPr>
          <w:p w14:paraId="45063BC9" w14:textId="77777777" w:rsidR="00F620D5" w:rsidRPr="00F620D5" w:rsidRDefault="00F620D5" w:rsidP="00F620D5">
            <w:pPr>
              <w:jc w:val="center"/>
              <w:rPr>
                <w:rFonts w:eastAsia="Times New Roman"/>
                <w:b/>
                <w:bCs/>
                <w:color w:val="000000"/>
                <w:sz w:val="20"/>
                <w:lang w:eastAsia="en-US"/>
              </w:rPr>
            </w:pPr>
            <w:r w:rsidRPr="00F620D5">
              <w:rPr>
                <w:rFonts w:eastAsia="Times New Roman"/>
                <w:b/>
                <w:bCs/>
                <w:color w:val="000000"/>
                <w:sz w:val="20"/>
                <w:lang w:eastAsia="en-US"/>
              </w:rPr>
              <w:t>155</w:t>
            </w:r>
          </w:p>
        </w:tc>
        <w:tc>
          <w:tcPr>
            <w:tcW w:w="1517" w:type="dxa"/>
            <w:tcBorders>
              <w:top w:val="nil"/>
              <w:left w:val="nil"/>
              <w:bottom w:val="single" w:sz="8" w:space="0" w:color="95B3D7"/>
              <w:right w:val="single" w:sz="8" w:space="0" w:color="95B3D7"/>
            </w:tcBorders>
            <w:shd w:val="clear" w:color="000000" w:fill="DBE5F1"/>
            <w:noWrap/>
            <w:vAlign w:val="center"/>
            <w:hideMark/>
          </w:tcPr>
          <w:p w14:paraId="1B306EC1" w14:textId="77777777" w:rsidR="00F620D5" w:rsidRPr="00F620D5" w:rsidRDefault="00F620D5" w:rsidP="00F620D5">
            <w:pPr>
              <w:jc w:val="center"/>
              <w:rPr>
                <w:rFonts w:eastAsia="Times New Roman"/>
                <w:b/>
                <w:bCs/>
                <w:color w:val="000000"/>
                <w:sz w:val="20"/>
                <w:lang w:eastAsia="en-US"/>
              </w:rPr>
            </w:pPr>
            <w:r w:rsidRPr="00F620D5">
              <w:rPr>
                <w:rFonts w:eastAsia="Times New Roman"/>
                <w:b/>
                <w:bCs/>
                <w:color w:val="000000"/>
                <w:sz w:val="20"/>
                <w:lang w:eastAsia="en-US"/>
              </w:rPr>
              <w:t>2</w:t>
            </w:r>
            <w:r w:rsidR="009F4424">
              <w:rPr>
                <w:rFonts w:eastAsia="Times New Roman"/>
                <w:b/>
                <w:bCs/>
                <w:color w:val="000000"/>
                <w:sz w:val="20"/>
                <w:lang w:eastAsia="en-US"/>
              </w:rPr>
              <w:t>4</w:t>
            </w:r>
          </w:p>
        </w:tc>
        <w:tc>
          <w:tcPr>
            <w:tcW w:w="1461" w:type="dxa"/>
            <w:tcBorders>
              <w:top w:val="nil"/>
              <w:left w:val="nil"/>
              <w:bottom w:val="single" w:sz="8" w:space="0" w:color="95B3D7"/>
              <w:right w:val="single" w:sz="8" w:space="0" w:color="95B3D7"/>
            </w:tcBorders>
            <w:shd w:val="clear" w:color="000000" w:fill="DBE5F1"/>
            <w:noWrap/>
            <w:vAlign w:val="center"/>
            <w:hideMark/>
          </w:tcPr>
          <w:p w14:paraId="2C15A8B3" w14:textId="77777777" w:rsidR="00F620D5" w:rsidRPr="00F620D5" w:rsidRDefault="00F620D5" w:rsidP="00F620D5">
            <w:pPr>
              <w:jc w:val="center"/>
              <w:rPr>
                <w:rFonts w:eastAsia="Times New Roman"/>
                <w:b/>
                <w:bCs/>
                <w:color w:val="000000"/>
                <w:sz w:val="20"/>
                <w:lang w:eastAsia="en-US"/>
              </w:rPr>
            </w:pPr>
            <w:r w:rsidRPr="00F620D5">
              <w:rPr>
                <w:rFonts w:eastAsia="Times New Roman"/>
                <w:b/>
                <w:bCs/>
                <w:color w:val="000000"/>
                <w:sz w:val="20"/>
                <w:lang w:eastAsia="en-US"/>
              </w:rPr>
              <w:t>62</w:t>
            </w:r>
          </w:p>
        </w:tc>
        <w:tc>
          <w:tcPr>
            <w:tcW w:w="1348" w:type="dxa"/>
            <w:tcBorders>
              <w:top w:val="nil"/>
              <w:left w:val="nil"/>
              <w:bottom w:val="single" w:sz="8" w:space="0" w:color="95B3D7"/>
              <w:right w:val="single" w:sz="8" w:space="0" w:color="95B3D7"/>
            </w:tcBorders>
            <w:shd w:val="clear" w:color="000000" w:fill="DBE5F1"/>
            <w:noWrap/>
            <w:vAlign w:val="center"/>
            <w:hideMark/>
          </w:tcPr>
          <w:p w14:paraId="55F5928C" w14:textId="77777777" w:rsidR="00F620D5" w:rsidRPr="00F620D5" w:rsidRDefault="00F620D5" w:rsidP="00F620D5">
            <w:pPr>
              <w:jc w:val="center"/>
              <w:rPr>
                <w:rFonts w:eastAsia="Times New Roman"/>
                <w:b/>
                <w:bCs/>
                <w:color w:val="000000"/>
                <w:sz w:val="20"/>
                <w:lang w:eastAsia="en-US"/>
              </w:rPr>
            </w:pPr>
            <w:r w:rsidRPr="00F620D5">
              <w:rPr>
                <w:rFonts w:eastAsia="Times New Roman"/>
                <w:b/>
                <w:bCs/>
                <w:color w:val="000000"/>
                <w:sz w:val="20"/>
                <w:lang w:eastAsia="en-US"/>
              </w:rPr>
              <w:t>11</w:t>
            </w:r>
            <w:r w:rsidR="009F4424">
              <w:rPr>
                <w:rFonts w:eastAsia="Times New Roman"/>
                <w:b/>
                <w:bCs/>
                <w:color w:val="000000"/>
                <w:sz w:val="20"/>
                <w:lang w:eastAsia="en-US"/>
              </w:rPr>
              <w:t>7</w:t>
            </w:r>
          </w:p>
        </w:tc>
      </w:tr>
    </w:tbl>
    <w:p w14:paraId="37F00341" w14:textId="789C53DC" w:rsidR="0039651E" w:rsidRPr="00B86A2F" w:rsidRDefault="00A87B76" w:rsidP="0039651E">
      <w:pPr>
        <w:pStyle w:val="Default"/>
        <w:rPr>
          <w:sz w:val="18"/>
          <w:szCs w:val="18"/>
          <w:lang w:val="ru-RU"/>
        </w:rPr>
      </w:pPr>
      <w:r>
        <w:rPr>
          <w:sz w:val="18"/>
          <w:szCs w:val="18"/>
          <w:lang w:val="ru-RU"/>
        </w:rPr>
        <w:t>Примечание</w:t>
      </w:r>
      <w:r w:rsidR="0039651E" w:rsidRPr="00B86A2F">
        <w:rPr>
          <w:sz w:val="18"/>
          <w:szCs w:val="18"/>
          <w:lang w:val="ru-RU"/>
        </w:rPr>
        <w:t xml:space="preserve">: </w:t>
      </w:r>
      <w:r>
        <w:rPr>
          <w:sz w:val="18"/>
          <w:szCs w:val="18"/>
          <w:lang w:val="ru-RU"/>
        </w:rPr>
        <w:t>планы</w:t>
      </w:r>
      <w:r w:rsidRPr="00B86A2F">
        <w:rPr>
          <w:sz w:val="18"/>
          <w:szCs w:val="18"/>
          <w:lang w:val="ru-RU"/>
        </w:rPr>
        <w:t xml:space="preserve"> </w:t>
      </w:r>
      <w:r>
        <w:rPr>
          <w:sz w:val="18"/>
          <w:szCs w:val="18"/>
          <w:lang w:val="ru-RU"/>
        </w:rPr>
        <w:t>действий</w:t>
      </w:r>
      <w:r w:rsidRPr="00B86A2F">
        <w:rPr>
          <w:sz w:val="18"/>
          <w:szCs w:val="18"/>
          <w:lang w:val="ru-RU"/>
        </w:rPr>
        <w:t xml:space="preserve"> </w:t>
      </w:r>
      <w:r>
        <w:rPr>
          <w:sz w:val="18"/>
          <w:szCs w:val="18"/>
          <w:lang w:val="ru-RU"/>
        </w:rPr>
        <w:t>руководства</w:t>
      </w:r>
      <w:r w:rsidRPr="00B86A2F">
        <w:rPr>
          <w:sz w:val="18"/>
          <w:szCs w:val="18"/>
          <w:lang w:val="ru-RU"/>
        </w:rPr>
        <w:t xml:space="preserve">, </w:t>
      </w:r>
      <w:r>
        <w:rPr>
          <w:sz w:val="18"/>
          <w:szCs w:val="18"/>
          <w:lang w:val="ru-RU"/>
        </w:rPr>
        <w:t>основанные</w:t>
      </w:r>
      <w:r w:rsidRPr="00B86A2F">
        <w:rPr>
          <w:sz w:val="18"/>
          <w:szCs w:val="18"/>
          <w:lang w:val="ru-RU"/>
        </w:rPr>
        <w:t xml:space="preserve"> </w:t>
      </w:r>
      <w:r>
        <w:rPr>
          <w:sz w:val="18"/>
          <w:szCs w:val="18"/>
          <w:lang w:val="ru-RU"/>
        </w:rPr>
        <w:t>на</w:t>
      </w:r>
      <w:r w:rsidRPr="00B86A2F">
        <w:rPr>
          <w:sz w:val="18"/>
          <w:szCs w:val="18"/>
          <w:lang w:val="ru-RU"/>
        </w:rPr>
        <w:t xml:space="preserve"> </w:t>
      </w:r>
      <w:r>
        <w:rPr>
          <w:sz w:val="18"/>
          <w:szCs w:val="18"/>
          <w:lang w:val="ru-RU"/>
        </w:rPr>
        <w:t>рекомендациях</w:t>
      </w:r>
      <w:r w:rsidRPr="00B86A2F">
        <w:rPr>
          <w:sz w:val="18"/>
          <w:szCs w:val="18"/>
          <w:lang w:val="ru-RU"/>
        </w:rPr>
        <w:t xml:space="preserve"> </w:t>
      </w:r>
      <w:r w:rsidR="00B86A2F">
        <w:rPr>
          <w:sz w:val="18"/>
          <w:szCs w:val="18"/>
          <w:lang w:val="ru-RU"/>
        </w:rPr>
        <w:t>в</w:t>
      </w:r>
      <w:r>
        <w:rPr>
          <w:sz w:val="18"/>
          <w:szCs w:val="18"/>
          <w:lang w:val="ru-RU"/>
        </w:rPr>
        <w:t>нешнего</w:t>
      </w:r>
      <w:r w:rsidRPr="00B86A2F">
        <w:rPr>
          <w:sz w:val="18"/>
          <w:szCs w:val="18"/>
          <w:lang w:val="ru-RU"/>
        </w:rPr>
        <w:t xml:space="preserve"> </w:t>
      </w:r>
      <w:r>
        <w:rPr>
          <w:sz w:val="18"/>
          <w:szCs w:val="18"/>
          <w:lang w:val="ru-RU"/>
        </w:rPr>
        <w:t>аудитора</w:t>
      </w:r>
      <w:r w:rsidRPr="00B86A2F">
        <w:rPr>
          <w:sz w:val="18"/>
          <w:szCs w:val="18"/>
          <w:lang w:val="ru-RU"/>
        </w:rPr>
        <w:t xml:space="preserve"> </w:t>
      </w:r>
      <w:r>
        <w:rPr>
          <w:sz w:val="18"/>
          <w:szCs w:val="18"/>
          <w:lang w:val="ru-RU"/>
        </w:rPr>
        <w:t>по</w:t>
      </w:r>
      <w:r w:rsidRPr="00B86A2F">
        <w:rPr>
          <w:sz w:val="18"/>
          <w:szCs w:val="18"/>
          <w:lang w:val="ru-RU"/>
        </w:rPr>
        <w:t xml:space="preserve"> </w:t>
      </w:r>
      <w:r>
        <w:rPr>
          <w:sz w:val="18"/>
          <w:szCs w:val="18"/>
          <w:lang w:val="ru-RU"/>
        </w:rPr>
        <w:t>итогам</w:t>
      </w:r>
      <w:r w:rsidRPr="00B86A2F">
        <w:rPr>
          <w:sz w:val="18"/>
          <w:szCs w:val="18"/>
          <w:lang w:val="ru-RU"/>
        </w:rPr>
        <w:t xml:space="preserve"> </w:t>
      </w:r>
      <w:r>
        <w:rPr>
          <w:sz w:val="18"/>
          <w:szCs w:val="18"/>
          <w:lang w:val="ru-RU"/>
        </w:rPr>
        <w:t>аудиторских</w:t>
      </w:r>
      <w:r w:rsidRPr="00B86A2F">
        <w:rPr>
          <w:sz w:val="18"/>
          <w:szCs w:val="18"/>
          <w:lang w:val="ru-RU"/>
        </w:rPr>
        <w:t xml:space="preserve"> </w:t>
      </w:r>
      <w:r>
        <w:rPr>
          <w:sz w:val="18"/>
          <w:szCs w:val="18"/>
          <w:lang w:val="ru-RU"/>
        </w:rPr>
        <w:t>проверок</w:t>
      </w:r>
      <w:r w:rsidRPr="00B86A2F">
        <w:rPr>
          <w:sz w:val="18"/>
          <w:szCs w:val="18"/>
          <w:lang w:val="ru-RU"/>
        </w:rPr>
        <w:t xml:space="preserve">, </w:t>
      </w:r>
      <w:r>
        <w:rPr>
          <w:sz w:val="18"/>
          <w:szCs w:val="18"/>
          <w:lang w:val="ru-RU"/>
        </w:rPr>
        <w:t>проведенных</w:t>
      </w:r>
      <w:r w:rsidRPr="00B86A2F">
        <w:rPr>
          <w:sz w:val="18"/>
          <w:szCs w:val="18"/>
          <w:lang w:val="ru-RU"/>
        </w:rPr>
        <w:t xml:space="preserve"> </w:t>
      </w:r>
      <w:r>
        <w:rPr>
          <w:sz w:val="18"/>
          <w:szCs w:val="18"/>
          <w:lang w:val="ru-RU"/>
        </w:rPr>
        <w:t>в</w:t>
      </w:r>
      <w:r w:rsidRPr="00B86A2F">
        <w:rPr>
          <w:sz w:val="18"/>
          <w:szCs w:val="18"/>
          <w:lang w:val="ru-RU"/>
        </w:rPr>
        <w:t xml:space="preserve"> 2018/19 </w:t>
      </w:r>
      <w:r>
        <w:rPr>
          <w:sz w:val="18"/>
          <w:szCs w:val="18"/>
          <w:lang w:val="ru-RU"/>
        </w:rPr>
        <w:t>гг</w:t>
      </w:r>
      <w:r w:rsidRPr="00B86A2F">
        <w:rPr>
          <w:sz w:val="18"/>
          <w:szCs w:val="18"/>
          <w:lang w:val="ru-RU"/>
        </w:rPr>
        <w:t xml:space="preserve">., </w:t>
      </w:r>
      <w:r>
        <w:rPr>
          <w:sz w:val="18"/>
          <w:szCs w:val="18"/>
          <w:lang w:val="ru-RU"/>
        </w:rPr>
        <w:t>были</w:t>
      </w:r>
      <w:r w:rsidRPr="00B86A2F">
        <w:rPr>
          <w:sz w:val="18"/>
          <w:szCs w:val="18"/>
          <w:lang w:val="ru-RU"/>
        </w:rPr>
        <w:t xml:space="preserve"> </w:t>
      </w:r>
      <w:r>
        <w:rPr>
          <w:sz w:val="18"/>
          <w:szCs w:val="18"/>
          <w:lang w:val="ru-RU"/>
        </w:rPr>
        <w:t>подготовлены</w:t>
      </w:r>
      <w:r w:rsidRPr="00B86A2F">
        <w:rPr>
          <w:sz w:val="18"/>
          <w:szCs w:val="18"/>
          <w:lang w:val="ru-RU"/>
        </w:rPr>
        <w:t xml:space="preserve"> </w:t>
      </w:r>
      <w:r>
        <w:rPr>
          <w:sz w:val="18"/>
          <w:szCs w:val="18"/>
          <w:lang w:val="ru-RU"/>
        </w:rPr>
        <w:t>и</w:t>
      </w:r>
      <w:r w:rsidRPr="00B86A2F">
        <w:rPr>
          <w:sz w:val="18"/>
          <w:szCs w:val="18"/>
          <w:lang w:val="ru-RU"/>
        </w:rPr>
        <w:t xml:space="preserve"> </w:t>
      </w:r>
      <w:r>
        <w:rPr>
          <w:sz w:val="18"/>
          <w:szCs w:val="18"/>
          <w:lang w:val="ru-RU"/>
        </w:rPr>
        <w:t>внесены</w:t>
      </w:r>
      <w:r w:rsidRPr="00B86A2F">
        <w:rPr>
          <w:sz w:val="18"/>
          <w:szCs w:val="18"/>
          <w:lang w:val="ru-RU"/>
        </w:rPr>
        <w:t xml:space="preserve"> </w:t>
      </w:r>
      <w:r>
        <w:rPr>
          <w:sz w:val="18"/>
          <w:szCs w:val="18"/>
          <w:lang w:val="ru-RU"/>
        </w:rPr>
        <w:t>в</w:t>
      </w:r>
      <w:r w:rsidRPr="00B86A2F">
        <w:rPr>
          <w:sz w:val="18"/>
          <w:szCs w:val="18"/>
          <w:lang w:val="ru-RU"/>
        </w:rPr>
        <w:t xml:space="preserve"> </w:t>
      </w:r>
      <w:r>
        <w:rPr>
          <w:sz w:val="18"/>
          <w:szCs w:val="18"/>
          <w:lang w:val="ru-RU"/>
        </w:rPr>
        <w:t>систему</w:t>
      </w:r>
      <w:r w:rsidRPr="00B86A2F">
        <w:rPr>
          <w:sz w:val="18"/>
          <w:szCs w:val="18"/>
          <w:lang w:val="ru-RU"/>
        </w:rPr>
        <w:t xml:space="preserve"> </w:t>
      </w:r>
      <w:r>
        <w:rPr>
          <w:sz w:val="18"/>
          <w:szCs w:val="18"/>
          <w:lang w:val="ru-RU"/>
        </w:rPr>
        <w:t>управления</w:t>
      </w:r>
      <w:r w:rsidRPr="00B86A2F">
        <w:rPr>
          <w:sz w:val="18"/>
          <w:szCs w:val="18"/>
          <w:lang w:val="ru-RU"/>
        </w:rPr>
        <w:t xml:space="preserve"> </w:t>
      </w:r>
      <w:r>
        <w:rPr>
          <w:sz w:val="18"/>
          <w:szCs w:val="18"/>
          <w:lang w:val="ru-RU"/>
        </w:rPr>
        <w:t>рекомендациями</w:t>
      </w:r>
      <w:r w:rsidRPr="00B86A2F">
        <w:rPr>
          <w:sz w:val="18"/>
          <w:szCs w:val="18"/>
          <w:lang w:val="ru-RU"/>
        </w:rPr>
        <w:t xml:space="preserve"> </w:t>
      </w:r>
      <w:r>
        <w:rPr>
          <w:sz w:val="18"/>
          <w:szCs w:val="18"/>
          <w:lang w:val="ru-RU"/>
        </w:rPr>
        <w:t>в</w:t>
      </w:r>
      <w:r w:rsidRPr="00B86A2F">
        <w:rPr>
          <w:sz w:val="18"/>
          <w:szCs w:val="18"/>
          <w:lang w:val="ru-RU"/>
        </w:rPr>
        <w:t xml:space="preserve"> </w:t>
      </w:r>
      <w:r>
        <w:rPr>
          <w:sz w:val="18"/>
          <w:szCs w:val="18"/>
          <w:lang w:val="ru-RU"/>
        </w:rPr>
        <w:t>январе</w:t>
      </w:r>
      <w:r w:rsidRPr="00B86A2F">
        <w:rPr>
          <w:sz w:val="18"/>
          <w:szCs w:val="18"/>
          <w:lang w:val="ru-RU"/>
        </w:rPr>
        <w:t xml:space="preserve"> 2020 </w:t>
      </w:r>
      <w:r>
        <w:rPr>
          <w:sz w:val="18"/>
          <w:szCs w:val="18"/>
          <w:lang w:val="ru-RU"/>
        </w:rPr>
        <w:t>г</w:t>
      </w:r>
      <w:r w:rsidRPr="00B86A2F">
        <w:rPr>
          <w:sz w:val="18"/>
          <w:szCs w:val="18"/>
          <w:lang w:val="ru-RU"/>
        </w:rPr>
        <w:t xml:space="preserve">. </w:t>
      </w:r>
    </w:p>
    <w:p w14:paraId="0DB9B713" w14:textId="77777777" w:rsidR="00C46B12" w:rsidRPr="00B86A2F" w:rsidRDefault="00C46B12" w:rsidP="00C46B12">
      <w:pPr>
        <w:pStyle w:val="ONUME"/>
        <w:numPr>
          <w:ilvl w:val="0"/>
          <w:numId w:val="0"/>
        </w:numPr>
        <w:rPr>
          <w:lang w:val="ru-RU"/>
        </w:rPr>
      </w:pPr>
    </w:p>
    <w:p w14:paraId="28B0FAF1" w14:textId="253F3D11" w:rsidR="00C46B12" w:rsidRPr="00CE0303" w:rsidRDefault="00431669" w:rsidP="002C23BF">
      <w:pPr>
        <w:pStyle w:val="ONUME"/>
        <w:rPr>
          <w:lang w:val="ru-RU"/>
        </w:rPr>
      </w:pPr>
      <w:r w:rsidRPr="00431669">
        <w:rPr>
          <w:lang w:val="ru-RU"/>
        </w:rPr>
        <w:t>График ниже показывает давность открытых рекомендаций по состоянию на 3</w:t>
      </w:r>
      <w:r>
        <w:rPr>
          <w:lang w:val="ru-RU"/>
        </w:rPr>
        <w:t>1</w:t>
      </w:r>
      <w:r w:rsidRPr="00431669">
        <w:rPr>
          <w:lang w:val="ru-RU"/>
        </w:rPr>
        <w:t> </w:t>
      </w:r>
      <w:r>
        <w:rPr>
          <w:lang w:val="ru-RU"/>
        </w:rPr>
        <w:t>декабря</w:t>
      </w:r>
      <w:r w:rsidRPr="00431669">
        <w:rPr>
          <w:lang w:val="ru-RU"/>
        </w:rPr>
        <w:t xml:space="preserve"> 2019 г.</w:t>
      </w:r>
      <w:r>
        <w:rPr>
          <w:lang w:val="ru-RU"/>
        </w:rPr>
        <w:t xml:space="preserve">  </w:t>
      </w:r>
    </w:p>
    <w:p w14:paraId="2897BB61" w14:textId="7897953E" w:rsidR="00C46B12" w:rsidRPr="00CE0303" w:rsidRDefault="007257B5" w:rsidP="00C46B12">
      <w:pPr>
        <w:pStyle w:val="ONUME"/>
        <w:keepNext/>
        <w:numPr>
          <w:ilvl w:val="0"/>
          <w:numId w:val="0"/>
        </w:numPr>
        <w:spacing w:after="0"/>
        <w:jc w:val="center"/>
        <w:rPr>
          <w:b/>
          <w:sz w:val="18"/>
          <w:szCs w:val="18"/>
          <w:lang w:val="ru-RU"/>
        </w:rPr>
      </w:pPr>
      <w:r w:rsidRPr="007257B5">
        <w:rPr>
          <w:b/>
          <w:sz w:val="18"/>
          <w:lang w:val="ru-RU"/>
        </w:rPr>
        <w:lastRenderedPageBreak/>
        <w:t>График</w:t>
      </w:r>
      <w:r w:rsidRPr="00CE0303">
        <w:rPr>
          <w:b/>
          <w:sz w:val="18"/>
          <w:lang w:val="ru-RU"/>
        </w:rPr>
        <w:t xml:space="preserve"> 4. </w:t>
      </w:r>
      <w:r w:rsidRPr="007257B5">
        <w:rPr>
          <w:b/>
          <w:sz w:val="18"/>
          <w:lang w:val="ru-RU"/>
        </w:rPr>
        <w:t>Давность</w:t>
      </w:r>
      <w:r w:rsidRPr="00CE0303">
        <w:rPr>
          <w:b/>
          <w:sz w:val="18"/>
          <w:lang w:val="ru-RU"/>
        </w:rPr>
        <w:t xml:space="preserve"> </w:t>
      </w:r>
      <w:r w:rsidRPr="007257B5">
        <w:rPr>
          <w:b/>
          <w:sz w:val="18"/>
          <w:lang w:val="ru-RU"/>
        </w:rPr>
        <w:t>открытых</w:t>
      </w:r>
      <w:r w:rsidRPr="00CE0303">
        <w:rPr>
          <w:b/>
          <w:sz w:val="18"/>
          <w:lang w:val="ru-RU"/>
        </w:rPr>
        <w:t xml:space="preserve"> </w:t>
      </w:r>
      <w:r w:rsidRPr="007257B5">
        <w:rPr>
          <w:b/>
          <w:sz w:val="18"/>
          <w:lang w:val="ru-RU"/>
        </w:rPr>
        <w:t>рекомендаций</w:t>
      </w:r>
      <w:r w:rsidRPr="00CE0303">
        <w:rPr>
          <w:b/>
          <w:sz w:val="18"/>
          <w:lang w:val="ru-RU"/>
        </w:rPr>
        <w:t xml:space="preserve"> </w:t>
      </w:r>
      <w:r w:rsidRPr="007257B5">
        <w:rPr>
          <w:b/>
          <w:sz w:val="18"/>
          <w:lang w:val="ru-RU"/>
        </w:rPr>
        <w:t>в</w:t>
      </w:r>
      <w:r w:rsidRPr="00CE0303">
        <w:rPr>
          <w:b/>
          <w:sz w:val="18"/>
          <w:lang w:val="ru-RU"/>
        </w:rPr>
        <w:t xml:space="preserve"> </w:t>
      </w:r>
      <w:r w:rsidRPr="007257B5">
        <w:rPr>
          <w:b/>
          <w:sz w:val="18"/>
          <w:lang w:val="ru-RU"/>
        </w:rPr>
        <w:t>области</w:t>
      </w:r>
      <w:r w:rsidRPr="00CE0303">
        <w:rPr>
          <w:b/>
          <w:sz w:val="18"/>
          <w:lang w:val="ru-RU"/>
        </w:rPr>
        <w:t xml:space="preserve"> </w:t>
      </w:r>
      <w:r w:rsidRPr="007257B5">
        <w:rPr>
          <w:b/>
          <w:sz w:val="18"/>
          <w:lang w:val="ru-RU"/>
        </w:rPr>
        <w:t>надзора</w:t>
      </w:r>
      <w:r w:rsidRPr="00CE0303">
        <w:rPr>
          <w:b/>
          <w:sz w:val="18"/>
          <w:lang w:val="ru-RU"/>
        </w:rPr>
        <w:t xml:space="preserve"> </w:t>
      </w:r>
      <w:r w:rsidRPr="007257B5">
        <w:rPr>
          <w:b/>
          <w:sz w:val="18"/>
          <w:lang w:val="ru-RU"/>
        </w:rPr>
        <w:t>в</w:t>
      </w:r>
      <w:r w:rsidRPr="00CE0303">
        <w:rPr>
          <w:b/>
          <w:sz w:val="18"/>
          <w:lang w:val="ru-RU"/>
        </w:rPr>
        <w:t xml:space="preserve"> </w:t>
      </w:r>
      <w:r w:rsidRPr="007257B5">
        <w:rPr>
          <w:b/>
          <w:sz w:val="18"/>
          <w:lang w:val="ru-RU"/>
        </w:rPr>
        <w:t>разбивке</w:t>
      </w:r>
      <w:r w:rsidRPr="00CE0303">
        <w:rPr>
          <w:b/>
          <w:sz w:val="18"/>
          <w:lang w:val="ru-RU"/>
        </w:rPr>
        <w:t xml:space="preserve"> </w:t>
      </w:r>
      <w:r w:rsidRPr="007257B5">
        <w:rPr>
          <w:b/>
          <w:sz w:val="18"/>
          <w:lang w:val="ru-RU"/>
        </w:rPr>
        <w:t>по</w:t>
      </w:r>
      <w:r w:rsidRPr="00CE0303">
        <w:rPr>
          <w:b/>
          <w:sz w:val="18"/>
          <w:lang w:val="ru-RU"/>
        </w:rPr>
        <w:t xml:space="preserve"> </w:t>
      </w:r>
      <w:r w:rsidRPr="007257B5">
        <w:rPr>
          <w:b/>
          <w:sz w:val="18"/>
          <w:lang w:val="ru-RU"/>
        </w:rPr>
        <w:t>приоритетности</w:t>
      </w:r>
      <w:r w:rsidRPr="00CE0303">
        <w:rPr>
          <w:b/>
          <w:sz w:val="18"/>
          <w:lang w:val="ru-RU"/>
        </w:rPr>
        <w:t xml:space="preserve"> (117) </w:t>
      </w:r>
    </w:p>
    <w:p w14:paraId="5FFC4B2F" w14:textId="65267BB1" w:rsidR="00C46B12" w:rsidRDefault="003821DD" w:rsidP="00C46B12">
      <w:pPr>
        <w:pStyle w:val="ONUME"/>
        <w:keepLines/>
        <w:numPr>
          <w:ilvl w:val="0"/>
          <w:numId w:val="0"/>
        </w:numPr>
        <w:spacing w:before="240"/>
        <w:jc w:val="center"/>
      </w:pPr>
      <w:r w:rsidRPr="003B25AF">
        <w:rPr>
          <w:noProof/>
          <w:lang w:eastAsia="en-US"/>
        </w:rPr>
        <w:drawing>
          <wp:inline distT="0" distB="0" distL="0" distR="0" wp14:anchorId="106434D5" wp14:editId="581486C1">
            <wp:extent cx="4572000" cy="2734945"/>
            <wp:effectExtent l="0" t="0" r="0" b="8255"/>
            <wp:docPr id="15" name="Picture 15" descr="Давность открытых рекомендаций в области надзора в разбивке по приоритетности (117) " title="График 4. Давность открытых рекомендаций в области надзора в разбивке по приоритет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2734945"/>
                    </a:xfrm>
                    <a:prstGeom prst="rect">
                      <a:avLst/>
                    </a:prstGeom>
                    <a:noFill/>
                    <a:ln>
                      <a:noFill/>
                    </a:ln>
                  </pic:spPr>
                </pic:pic>
              </a:graphicData>
            </a:graphic>
          </wp:inline>
        </w:drawing>
      </w:r>
    </w:p>
    <w:p w14:paraId="6CDD26D5" w14:textId="3F1E4FA9" w:rsidR="009D5455" w:rsidRPr="00CE0303" w:rsidRDefault="007257B5" w:rsidP="009D5455">
      <w:pPr>
        <w:pStyle w:val="ONUME"/>
        <w:rPr>
          <w:lang w:val="ru-RU"/>
        </w:rPr>
      </w:pPr>
      <w:r>
        <w:rPr>
          <w:lang w:val="ru-RU"/>
        </w:rPr>
        <w:t>За</w:t>
      </w:r>
      <w:r w:rsidRPr="007257B5">
        <w:rPr>
          <w:lang w:val="ru-RU"/>
        </w:rPr>
        <w:t xml:space="preserve"> </w:t>
      </w:r>
      <w:r>
        <w:rPr>
          <w:lang w:val="ru-RU"/>
        </w:rPr>
        <w:t>отчетный</w:t>
      </w:r>
      <w:r w:rsidRPr="007257B5">
        <w:rPr>
          <w:lang w:val="ru-RU"/>
        </w:rPr>
        <w:t xml:space="preserve"> </w:t>
      </w:r>
      <w:r>
        <w:rPr>
          <w:lang w:val="ru-RU"/>
        </w:rPr>
        <w:t>период</w:t>
      </w:r>
      <w:r w:rsidRPr="007257B5">
        <w:rPr>
          <w:lang w:val="ru-RU"/>
        </w:rPr>
        <w:t xml:space="preserve"> </w:t>
      </w:r>
      <w:r>
        <w:rPr>
          <w:lang w:val="ru-RU"/>
        </w:rPr>
        <w:t>количество</w:t>
      </w:r>
      <w:r w:rsidRPr="007257B5">
        <w:rPr>
          <w:lang w:val="ru-RU"/>
        </w:rPr>
        <w:t xml:space="preserve"> </w:t>
      </w:r>
      <w:r>
        <w:rPr>
          <w:lang w:val="ru-RU"/>
        </w:rPr>
        <w:t>незакрытых</w:t>
      </w:r>
      <w:r w:rsidRPr="007257B5">
        <w:rPr>
          <w:lang w:val="ru-RU"/>
        </w:rPr>
        <w:t xml:space="preserve"> </w:t>
      </w:r>
      <w:r>
        <w:rPr>
          <w:lang w:val="ru-RU"/>
        </w:rPr>
        <w:t>рекомендаций</w:t>
      </w:r>
      <w:r w:rsidRPr="007257B5">
        <w:rPr>
          <w:lang w:val="ru-RU"/>
        </w:rPr>
        <w:t xml:space="preserve">, </w:t>
      </w:r>
      <w:r>
        <w:rPr>
          <w:lang w:val="ru-RU"/>
        </w:rPr>
        <w:t>вынесенных</w:t>
      </w:r>
      <w:r w:rsidRPr="007257B5">
        <w:rPr>
          <w:lang w:val="ru-RU"/>
        </w:rPr>
        <w:t xml:space="preserve"> </w:t>
      </w:r>
      <w:r>
        <w:rPr>
          <w:lang w:val="ru-RU"/>
        </w:rPr>
        <w:t>до</w:t>
      </w:r>
      <w:r w:rsidRPr="007257B5">
        <w:rPr>
          <w:lang w:val="ru-RU"/>
        </w:rPr>
        <w:t xml:space="preserve"> 2016 </w:t>
      </w:r>
      <w:r>
        <w:rPr>
          <w:lang w:val="ru-RU"/>
        </w:rPr>
        <w:t>г</w:t>
      </w:r>
      <w:r w:rsidRPr="007257B5">
        <w:rPr>
          <w:lang w:val="ru-RU"/>
        </w:rPr>
        <w:t xml:space="preserve">., </w:t>
      </w:r>
      <w:r>
        <w:rPr>
          <w:lang w:val="ru-RU"/>
        </w:rPr>
        <w:t>уменьшилось</w:t>
      </w:r>
      <w:r w:rsidRPr="007257B5">
        <w:rPr>
          <w:lang w:val="ru-RU"/>
        </w:rPr>
        <w:t xml:space="preserve"> </w:t>
      </w:r>
      <w:r>
        <w:rPr>
          <w:lang w:val="ru-RU"/>
        </w:rPr>
        <w:t>с</w:t>
      </w:r>
      <w:r w:rsidRPr="007257B5">
        <w:rPr>
          <w:lang w:val="ru-RU"/>
        </w:rPr>
        <w:t xml:space="preserve"> 34 </w:t>
      </w:r>
      <w:r>
        <w:rPr>
          <w:lang w:val="ru-RU"/>
        </w:rPr>
        <w:t>до</w:t>
      </w:r>
      <w:r w:rsidRPr="007257B5">
        <w:rPr>
          <w:lang w:val="ru-RU"/>
        </w:rPr>
        <w:t xml:space="preserve"> 24</w:t>
      </w:r>
      <w:r>
        <w:rPr>
          <w:lang w:val="ru-RU"/>
        </w:rPr>
        <w:t>.</w:t>
      </w:r>
      <w:r w:rsidR="009D5455" w:rsidRPr="007257B5">
        <w:rPr>
          <w:lang w:val="ru-RU"/>
        </w:rPr>
        <w:t xml:space="preserve"> </w:t>
      </w:r>
      <w:r w:rsidR="00620FF9" w:rsidRPr="007257B5">
        <w:rPr>
          <w:lang w:val="ru-RU"/>
        </w:rPr>
        <w:t xml:space="preserve"> </w:t>
      </w:r>
      <w:r>
        <w:rPr>
          <w:lang w:val="ru-RU"/>
        </w:rPr>
        <w:t>ОВН</w:t>
      </w:r>
      <w:r w:rsidRPr="007257B5">
        <w:rPr>
          <w:lang w:val="ru-RU"/>
        </w:rPr>
        <w:t xml:space="preserve">, </w:t>
      </w:r>
      <w:r>
        <w:rPr>
          <w:lang w:val="ru-RU"/>
        </w:rPr>
        <w:t>как</w:t>
      </w:r>
      <w:r w:rsidRPr="007257B5">
        <w:rPr>
          <w:lang w:val="ru-RU"/>
        </w:rPr>
        <w:t xml:space="preserve"> </w:t>
      </w:r>
      <w:r>
        <w:rPr>
          <w:lang w:val="ru-RU"/>
        </w:rPr>
        <w:t>и</w:t>
      </w:r>
      <w:r w:rsidRPr="007257B5">
        <w:rPr>
          <w:lang w:val="ru-RU"/>
        </w:rPr>
        <w:t xml:space="preserve"> </w:t>
      </w:r>
      <w:r>
        <w:rPr>
          <w:lang w:val="ru-RU"/>
        </w:rPr>
        <w:t>прежде</w:t>
      </w:r>
      <w:r w:rsidRPr="007257B5">
        <w:rPr>
          <w:lang w:val="ru-RU"/>
        </w:rPr>
        <w:t xml:space="preserve">, </w:t>
      </w:r>
      <w:r>
        <w:rPr>
          <w:lang w:val="ru-RU"/>
        </w:rPr>
        <w:t>взаимодействует</w:t>
      </w:r>
      <w:r w:rsidRPr="007257B5">
        <w:rPr>
          <w:lang w:val="ru-RU"/>
        </w:rPr>
        <w:t xml:space="preserve"> </w:t>
      </w:r>
      <w:r>
        <w:rPr>
          <w:lang w:val="ru-RU"/>
        </w:rPr>
        <w:t>с</w:t>
      </w:r>
      <w:r w:rsidRPr="007257B5">
        <w:rPr>
          <w:lang w:val="ru-RU"/>
        </w:rPr>
        <w:t xml:space="preserve"> </w:t>
      </w:r>
      <w:r>
        <w:rPr>
          <w:lang w:val="ru-RU"/>
        </w:rPr>
        <w:t>руководством</w:t>
      </w:r>
      <w:r w:rsidRPr="007257B5">
        <w:rPr>
          <w:lang w:val="ru-RU"/>
        </w:rPr>
        <w:t xml:space="preserve"> </w:t>
      </w:r>
      <w:r>
        <w:rPr>
          <w:lang w:val="ru-RU"/>
        </w:rPr>
        <w:t>в</w:t>
      </w:r>
      <w:r w:rsidRPr="007257B5">
        <w:rPr>
          <w:lang w:val="ru-RU"/>
        </w:rPr>
        <w:t xml:space="preserve"> </w:t>
      </w:r>
      <w:r>
        <w:rPr>
          <w:lang w:val="ru-RU"/>
        </w:rPr>
        <w:t>целях</w:t>
      </w:r>
      <w:r w:rsidRPr="007257B5">
        <w:rPr>
          <w:lang w:val="ru-RU"/>
        </w:rPr>
        <w:t xml:space="preserve"> </w:t>
      </w:r>
      <w:r>
        <w:rPr>
          <w:lang w:val="ru-RU"/>
        </w:rPr>
        <w:t>дальнейшего</w:t>
      </w:r>
      <w:r w:rsidRPr="007257B5">
        <w:rPr>
          <w:lang w:val="ru-RU"/>
        </w:rPr>
        <w:t xml:space="preserve"> </w:t>
      </w:r>
      <w:r>
        <w:rPr>
          <w:lang w:val="ru-RU"/>
        </w:rPr>
        <w:t>сокращения</w:t>
      </w:r>
      <w:r w:rsidRPr="007257B5">
        <w:rPr>
          <w:lang w:val="ru-RU"/>
        </w:rPr>
        <w:t xml:space="preserve"> </w:t>
      </w:r>
      <w:r w:rsidR="00046C7F">
        <w:rPr>
          <w:lang w:val="ru-RU"/>
        </w:rPr>
        <w:t>числа давних рекомендаций.</w:t>
      </w:r>
    </w:p>
    <w:p w14:paraId="3D49A369" w14:textId="3297E150" w:rsidR="00C84D33" w:rsidRPr="00547A64" w:rsidRDefault="00547A64" w:rsidP="00C84D33">
      <w:pPr>
        <w:pStyle w:val="ONUME"/>
        <w:rPr>
          <w:lang w:val="ru-RU"/>
        </w:rPr>
      </w:pPr>
      <w:r w:rsidRPr="00547A64">
        <w:rPr>
          <w:lang w:val="ru-RU"/>
        </w:rPr>
        <w:t xml:space="preserve">Ниже показано число открытых рекомендаций в разбивке по программам </w:t>
      </w:r>
      <w:r>
        <w:rPr>
          <w:lang w:val="ru-RU"/>
        </w:rPr>
        <w:t>ВОИС</w:t>
      </w:r>
      <w:r w:rsidR="00C84D33" w:rsidRPr="0031505E">
        <w:rPr>
          <w:vertAlign w:val="superscript"/>
        </w:rPr>
        <w:footnoteReference w:id="16"/>
      </w:r>
      <w:r w:rsidR="00C84D33" w:rsidRPr="00547A64">
        <w:rPr>
          <w:lang w:val="ru-RU"/>
        </w:rPr>
        <w:t xml:space="preserve"> </w:t>
      </w:r>
      <w:r>
        <w:rPr>
          <w:lang w:val="ru-RU"/>
        </w:rPr>
        <w:t>и</w:t>
      </w:r>
      <w:r w:rsidRPr="00547A64">
        <w:rPr>
          <w:lang w:val="ru-RU"/>
        </w:rPr>
        <w:t xml:space="preserve"> </w:t>
      </w:r>
      <w:r>
        <w:rPr>
          <w:lang w:val="ru-RU"/>
        </w:rPr>
        <w:t>по</w:t>
      </w:r>
      <w:r w:rsidRPr="00547A64">
        <w:rPr>
          <w:lang w:val="ru-RU"/>
        </w:rPr>
        <w:t xml:space="preserve"> </w:t>
      </w:r>
      <w:r>
        <w:rPr>
          <w:lang w:val="ru-RU"/>
        </w:rPr>
        <w:t>приоритетности</w:t>
      </w:r>
      <w:r w:rsidRPr="00547A64">
        <w:rPr>
          <w:lang w:val="ru-RU"/>
        </w:rPr>
        <w:t xml:space="preserve"> </w:t>
      </w:r>
      <w:r>
        <w:rPr>
          <w:lang w:val="ru-RU"/>
        </w:rPr>
        <w:t>по</w:t>
      </w:r>
      <w:r w:rsidRPr="00547A64">
        <w:rPr>
          <w:lang w:val="ru-RU"/>
        </w:rPr>
        <w:t xml:space="preserve"> </w:t>
      </w:r>
      <w:r>
        <w:rPr>
          <w:lang w:val="ru-RU"/>
        </w:rPr>
        <w:t>состоянию</w:t>
      </w:r>
      <w:r w:rsidRPr="00547A64">
        <w:rPr>
          <w:lang w:val="ru-RU"/>
        </w:rPr>
        <w:t xml:space="preserve"> </w:t>
      </w:r>
      <w:r>
        <w:rPr>
          <w:lang w:val="ru-RU"/>
        </w:rPr>
        <w:t>на</w:t>
      </w:r>
      <w:r w:rsidRPr="00547A64">
        <w:rPr>
          <w:lang w:val="ru-RU"/>
        </w:rPr>
        <w:t xml:space="preserve"> 31 </w:t>
      </w:r>
      <w:r>
        <w:rPr>
          <w:lang w:val="ru-RU"/>
        </w:rPr>
        <w:t>декабря</w:t>
      </w:r>
      <w:r w:rsidRPr="00547A64">
        <w:rPr>
          <w:lang w:val="ru-RU"/>
        </w:rPr>
        <w:t xml:space="preserve"> 2019 </w:t>
      </w:r>
      <w:r>
        <w:rPr>
          <w:lang w:val="ru-RU"/>
        </w:rPr>
        <w:t>г</w:t>
      </w:r>
      <w:r w:rsidR="00046C7F">
        <w:rPr>
          <w:lang w:val="ru-RU"/>
        </w:rPr>
        <w:t>.:</w:t>
      </w:r>
    </w:p>
    <w:p w14:paraId="4D5BDFE3" w14:textId="70A22313" w:rsidR="00C46B12" w:rsidRPr="00547A64" w:rsidRDefault="00547A64" w:rsidP="00C46B12">
      <w:pPr>
        <w:pStyle w:val="ONUME"/>
        <w:keepNext/>
        <w:numPr>
          <w:ilvl w:val="0"/>
          <w:numId w:val="0"/>
        </w:numPr>
        <w:spacing w:after="0"/>
        <w:jc w:val="center"/>
        <w:rPr>
          <w:b/>
          <w:sz w:val="18"/>
          <w:szCs w:val="18"/>
          <w:lang w:val="ru-RU"/>
        </w:rPr>
      </w:pPr>
      <w:r>
        <w:rPr>
          <w:b/>
          <w:sz w:val="18"/>
          <w:lang w:val="ru-RU"/>
        </w:rPr>
        <w:lastRenderedPageBreak/>
        <w:t>График</w:t>
      </w:r>
      <w:r w:rsidRPr="00CE0303">
        <w:rPr>
          <w:b/>
          <w:sz w:val="18"/>
          <w:lang w:val="ru-RU"/>
        </w:rPr>
        <w:t xml:space="preserve"> 5.  </w:t>
      </w:r>
      <w:r w:rsidRPr="00547A64">
        <w:rPr>
          <w:b/>
          <w:sz w:val="18"/>
          <w:lang w:val="ru-RU"/>
        </w:rPr>
        <w:t>Рекомендации в разбивке по программам и степени приоритетности (117)</w:t>
      </w:r>
      <w:r>
        <w:rPr>
          <w:b/>
          <w:sz w:val="18"/>
          <w:lang w:val="ru-RU"/>
        </w:rPr>
        <w:t xml:space="preserve"> </w:t>
      </w:r>
    </w:p>
    <w:p w14:paraId="58A8F815" w14:textId="0049D14D" w:rsidR="00C46B12" w:rsidRDefault="003821DD" w:rsidP="00C46B12">
      <w:pPr>
        <w:pStyle w:val="ONUME"/>
        <w:keepLines/>
        <w:numPr>
          <w:ilvl w:val="0"/>
          <w:numId w:val="0"/>
        </w:numPr>
        <w:spacing w:after="360"/>
        <w:jc w:val="center"/>
      </w:pPr>
      <w:r w:rsidRPr="00EA55E9">
        <w:rPr>
          <w:noProof/>
          <w:lang w:eastAsia="en-US"/>
        </w:rPr>
        <w:drawing>
          <wp:inline distT="0" distB="0" distL="0" distR="0" wp14:anchorId="2AEF22F5" wp14:editId="78221677">
            <wp:extent cx="5940425" cy="3075305"/>
            <wp:effectExtent l="0" t="0" r="3175" b="0"/>
            <wp:docPr id="16" name="Picture 16" descr="Рекомендации в разбивке по программам и степени приоритетности (117) " title="График 5.  Рекомендации в разбивке по программам и степени приоритет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3075305"/>
                    </a:xfrm>
                    <a:prstGeom prst="rect">
                      <a:avLst/>
                    </a:prstGeom>
                    <a:noFill/>
                    <a:ln>
                      <a:noFill/>
                    </a:ln>
                  </pic:spPr>
                </pic:pic>
              </a:graphicData>
            </a:graphic>
          </wp:inline>
        </w:drawing>
      </w:r>
    </w:p>
    <w:p w14:paraId="654217B1" w14:textId="574D05A3" w:rsidR="00C46B12" w:rsidRPr="00547A64" w:rsidRDefault="00547A64" w:rsidP="003821DD">
      <w:pPr>
        <w:pStyle w:val="ONUME"/>
        <w:rPr>
          <w:lang w:val="ru-RU"/>
        </w:rPr>
      </w:pPr>
      <w:r>
        <w:rPr>
          <w:lang w:val="ru-RU"/>
        </w:rPr>
        <w:t>Сорок</w:t>
      </w:r>
      <w:r w:rsidRPr="00547A64">
        <w:rPr>
          <w:lang w:val="ru-RU"/>
        </w:rPr>
        <w:t xml:space="preserve"> </w:t>
      </w:r>
      <w:r>
        <w:rPr>
          <w:lang w:val="ru-RU"/>
        </w:rPr>
        <w:t>один</w:t>
      </w:r>
      <w:r w:rsidRPr="00547A64">
        <w:rPr>
          <w:lang w:val="ru-RU"/>
        </w:rPr>
        <w:t xml:space="preserve"> </w:t>
      </w:r>
      <w:r>
        <w:rPr>
          <w:lang w:val="ru-RU"/>
        </w:rPr>
        <w:t>процент</w:t>
      </w:r>
      <w:r w:rsidRPr="00547A64">
        <w:rPr>
          <w:lang w:val="ru-RU"/>
        </w:rPr>
        <w:t xml:space="preserve"> </w:t>
      </w:r>
      <w:r>
        <w:rPr>
          <w:lang w:val="ru-RU"/>
        </w:rPr>
        <w:t>от</w:t>
      </w:r>
      <w:r w:rsidRPr="00547A64">
        <w:rPr>
          <w:lang w:val="ru-RU"/>
        </w:rPr>
        <w:t xml:space="preserve"> 41 </w:t>
      </w:r>
      <w:r>
        <w:rPr>
          <w:lang w:val="ru-RU"/>
        </w:rPr>
        <w:t>рекомендации</w:t>
      </w:r>
      <w:r w:rsidRPr="00547A64">
        <w:rPr>
          <w:lang w:val="ru-RU"/>
        </w:rPr>
        <w:t xml:space="preserve"> </w:t>
      </w:r>
      <w:r>
        <w:rPr>
          <w:lang w:val="ru-RU"/>
        </w:rPr>
        <w:t>с</w:t>
      </w:r>
      <w:r w:rsidRPr="00547A64">
        <w:rPr>
          <w:lang w:val="ru-RU"/>
        </w:rPr>
        <w:t xml:space="preserve"> </w:t>
      </w:r>
      <w:r>
        <w:rPr>
          <w:lang w:val="ru-RU"/>
        </w:rPr>
        <w:t>высокой</w:t>
      </w:r>
      <w:r w:rsidRPr="00547A64">
        <w:rPr>
          <w:lang w:val="ru-RU"/>
        </w:rPr>
        <w:t xml:space="preserve"> </w:t>
      </w:r>
      <w:r>
        <w:rPr>
          <w:lang w:val="ru-RU"/>
        </w:rPr>
        <w:t>степенью</w:t>
      </w:r>
      <w:r w:rsidRPr="00547A64">
        <w:rPr>
          <w:lang w:val="ru-RU"/>
        </w:rPr>
        <w:t xml:space="preserve"> </w:t>
      </w:r>
      <w:r>
        <w:rPr>
          <w:lang w:val="ru-RU"/>
        </w:rPr>
        <w:t>приоритетности</w:t>
      </w:r>
      <w:r w:rsidRPr="00547A64">
        <w:rPr>
          <w:lang w:val="ru-RU"/>
        </w:rPr>
        <w:t xml:space="preserve"> </w:t>
      </w:r>
      <w:r>
        <w:rPr>
          <w:lang w:val="ru-RU"/>
        </w:rPr>
        <w:t>приходится</w:t>
      </w:r>
      <w:r w:rsidRPr="00547A64">
        <w:rPr>
          <w:lang w:val="ru-RU"/>
        </w:rPr>
        <w:t xml:space="preserve"> </w:t>
      </w:r>
      <w:r>
        <w:rPr>
          <w:lang w:val="ru-RU"/>
        </w:rPr>
        <w:t>на</w:t>
      </w:r>
      <w:r w:rsidRPr="00547A64">
        <w:rPr>
          <w:lang w:val="ru-RU"/>
        </w:rPr>
        <w:t xml:space="preserve"> </w:t>
      </w:r>
      <w:r>
        <w:rPr>
          <w:lang w:val="ru-RU"/>
        </w:rPr>
        <w:t>три</w:t>
      </w:r>
      <w:r w:rsidRPr="00547A64">
        <w:rPr>
          <w:lang w:val="ru-RU"/>
        </w:rPr>
        <w:t xml:space="preserve"> </w:t>
      </w:r>
      <w:r>
        <w:rPr>
          <w:lang w:val="ru-RU"/>
        </w:rPr>
        <w:t>программы</w:t>
      </w:r>
      <w:r w:rsidRPr="00547A64">
        <w:rPr>
          <w:lang w:val="ru-RU"/>
        </w:rPr>
        <w:t xml:space="preserve">:  </w:t>
      </w:r>
      <w:r>
        <w:rPr>
          <w:lang w:val="ru-RU"/>
        </w:rPr>
        <w:t xml:space="preserve">программу 19 (Коммуникация), программу 9 </w:t>
      </w:r>
      <w:r w:rsidRPr="00547A64">
        <w:rPr>
          <w:lang w:val="ru-RU"/>
        </w:rPr>
        <w:t>(Африка, арабские страны, Азия и Тихоокеанский регион, Латинская Америка и страны Карибского бассейна, наименее развитые страны)</w:t>
      </w:r>
      <w:r>
        <w:rPr>
          <w:lang w:val="ru-RU"/>
        </w:rPr>
        <w:t xml:space="preserve"> и</w:t>
      </w:r>
      <w:r w:rsidRPr="00547A64">
        <w:rPr>
          <w:lang w:val="ru-RU"/>
        </w:rPr>
        <w:t xml:space="preserve"> программ</w:t>
      </w:r>
      <w:r>
        <w:rPr>
          <w:lang w:val="ru-RU"/>
        </w:rPr>
        <w:t>у</w:t>
      </w:r>
      <w:r w:rsidRPr="00547A64">
        <w:rPr>
          <w:lang w:val="ru-RU"/>
        </w:rPr>
        <w:t> 23 (Управление людскими ресурсами и их развитие)</w:t>
      </w:r>
      <w:r w:rsidR="004B5CF4" w:rsidRPr="00547A64">
        <w:rPr>
          <w:lang w:val="ru-RU"/>
        </w:rPr>
        <w:t>.</w:t>
      </w:r>
      <w:r w:rsidR="00C46B12" w:rsidRPr="00547A64">
        <w:rPr>
          <w:lang w:val="ru-RU"/>
        </w:rPr>
        <w:t xml:space="preserve"> </w:t>
      </w:r>
    </w:p>
    <w:p w14:paraId="3393C7E1" w14:textId="0E806A07" w:rsidR="00C46B12" w:rsidRPr="00DF1EAA" w:rsidRDefault="00DF1EAA" w:rsidP="00C46B12">
      <w:pPr>
        <w:pStyle w:val="Heading1"/>
        <w:rPr>
          <w:lang w:val="ru-RU"/>
        </w:rPr>
      </w:pPr>
      <w:bookmarkStart w:id="45" w:name="_Toc11683744"/>
      <w:bookmarkStart w:id="46" w:name="_Toc40299734"/>
      <w:r w:rsidRPr="00DF1EAA">
        <w:rPr>
          <w:lang w:val="ru-RU"/>
        </w:rPr>
        <w:t>КОНСУЛЬТА</w:t>
      </w:r>
      <w:r>
        <w:rPr>
          <w:lang w:val="ru-RU"/>
        </w:rPr>
        <w:t>тивная</w:t>
      </w:r>
      <w:r w:rsidRPr="00DF1EAA">
        <w:rPr>
          <w:lang w:val="ru-RU"/>
        </w:rPr>
        <w:t xml:space="preserve"> </w:t>
      </w:r>
      <w:r>
        <w:rPr>
          <w:lang w:val="ru-RU"/>
        </w:rPr>
        <w:t xml:space="preserve">и справочная </w:t>
      </w:r>
      <w:r w:rsidRPr="00DF1EAA">
        <w:rPr>
          <w:lang w:val="ru-RU"/>
        </w:rPr>
        <w:t>РАБОТА ПО ВОПРОСАМ НАДЗОРА</w:t>
      </w:r>
      <w:bookmarkEnd w:id="45"/>
      <w:bookmarkEnd w:id="46"/>
    </w:p>
    <w:p w14:paraId="4767CFC4" w14:textId="098802EC" w:rsidR="00C84D33" w:rsidRPr="00CE0303" w:rsidRDefault="00DF1EAA" w:rsidP="00C84D33">
      <w:pPr>
        <w:pStyle w:val="ONUME"/>
        <w:rPr>
          <w:lang w:val="ru-RU"/>
        </w:rPr>
      </w:pPr>
      <w:r>
        <w:rPr>
          <w:lang w:val="ru-RU"/>
        </w:rPr>
        <w:t xml:space="preserve">В рамках своей работы по оказанию консультативных услуг </w:t>
      </w:r>
      <w:r w:rsidRPr="00DF1EAA">
        <w:rPr>
          <w:lang w:val="ru-RU"/>
        </w:rPr>
        <w:t xml:space="preserve">ОВН продолжал оказывать </w:t>
      </w:r>
      <w:r>
        <w:rPr>
          <w:lang w:val="ru-RU"/>
        </w:rPr>
        <w:t>требуемую</w:t>
      </w:r>
      <w:r w:rsidRPr="00DF1EAA">
        <w:rPr>
          <w:lang w:val="ru-RU"/>
        </w:rPr>
        <w:t xml:space="preserve"> </w:t>
      </w:r>
      <w:r>
        <w:rPr>
          <w:lang w:val="ru-RU"/>
        </w:rPr>
        <w:t xml:space="preserve">консультативную </w:t>
      </w:r>
      <w:r w:rsidRPr="00DF1EAA">
        <w:rPr>
          <w:lang w:val="ru-RU"/>
        </w:rPr>
        <w:t>помощь по вопросам</w:t>
      </w:r>
      <w:r>
        <w:rPr>
          <w:lang w:val="ru-RU"/>
        </w:rPr>
        <w:t>, связанным с программными документами, проведением оценки, организационными процесса</w:t>
      </w:r>
      <w:r w:rsidR="00046C7F">
        <w:rPr>
          <w:lang w:val="ru-RU"/>
        </w:rPr>
        <w:t>ми и нормативными механизмами.</w:t>
      </w:r>
    </w:p>
    <w:p w14:paraId="749A618D" w14:textId="1DC3B98E" w:rsidR="00C84D33" w:rsidRPr="00CE0303" w:rsidRDefault="00DF1EAA" w:rsidP="009D5455">
      <w:pPr>
        <w:pStyle w:val="ONUME"/>
        <w:rPr>
          <w:lang w:val="ru-RU"/>
        </w:rPr>
      </w:pPr>
      <w:r>
        <w:rPr>
          <w:lang w:val="ru-RU"/>
        </w:rPr>
        <w:t>В</w:t>
      </w:r>
      <w:r w:rsidRPr="00DF1EAA">
        <w:rPr>
          <w:lang w:val="ru-RU"/>
        </w:rPr>
        <w:t xml:space="preserve"> </w:t>
      </w:r>
      <w:r>
        <w:rPr>
          <w:lang w:val="ru-RU"/>
        </w:rPr>
        <w:t>течение</w:t>
      </w:r>
      <w:r w:rsidRPr="00DF1EAA">
        <w:rPr>
          <w:lang w:val="ru-RU"/>
        </w:rPr>
        <w:t xml:space="preserve"> </w:t>
      </w:r>
      <w:r>
        <w:rPr>
          <w:lang w:val="ru-RU"/>
        </w:rPr>
        <w:t>отчетного</w:t>
      </w:r>
      <w:r w:rsidRPr="00DF1EAA">
        <w:rPr>
          <w:lang w:val="ru-RU"/>
        </w:rPr>
        <w:t xml:space="preserve"> </w:t>
      </w:r>
      <w:r>
        <w:rPr>
          <w:lang w:val="ru-RU"/>
        </w:rPr>
        <w:t>периода</w:t>
      </w:r>
      <w:r w:rsidRPr="00DF1EAA">
        <w:rPr>
          <w:lang w:val="ru-RU"/>
        </w:rPr>
        <w:t xml:space="preserve"> </w:t>
      </w:r>
      <w:r>
        <w:rPr>
          <w:lang w:val="ru-RU"/>
        </w:rPr>
        <w:t>ОВН</w:t>
      </w:r>
      <w:r w:rsidRPr="00DF1EAA">
        <w:rPr>
          <w:lang w:val="ru-RU"/>
        </w:rPr>
        <w:t xml:space="preserve"> </w:t>
      </w:r>
      <w:r>
        <w:rPr>
          <w:lang w:val="ru-RU"/>
        </w:rPr>
        <w:t>предоставлял</w:t>
      </w:r>
      <w:r w:rsidRPr="00DF1EAA">
        <w:rPr>
          <w:lang w:val="ru-RU"/>
        </w:rPr>
        <w:t xml:space="preserve"> </w:t>
      </w:r>
      <w:r>
        <w:rPr>
          <w:lang w:val="ru-RU"/>
        </w:rPr>
        <w:t>консультации</w:t>
      </w:r>
      <w:r w:rsidRPr="00DF1EAA">
        <w:rPr>
          <w:lang w:val="ru-RU"/>
        </w:rPr>
        <w:t xml:space="preserve"> </w:t>
      </w:r>
      <w:r>
        <w:rPr>
          <w:lang w:val="ru-RU"/>
        </w:rPr>
        <w:t>Канцелярии</w:t>
      </w:r>
      <w:r w:rsidRPr="00DF1EAA">
        <w:rPr>
          <w:lang w:val="ru-RU"/>
        </w:rPr>
        <w:t xml:space="preserve"> </w:t>
      </w:r>
      <w:r>
        <w:rPr>
          <w:lang w:val="ru-RU"/>
        </w:rPr>
        <w:t>Генерального</w:t>
      </w:r>
      <w:r w:rsidRPr="00DF1EAA">
        <w:rPr>
          <w:lang w:val="ru-RU"/>
        </w:rPr>
        <w:t xml:space="preserve"> </w:t>
      </w:r>
      <w:r>
        <w:rPr>
          <w:lang w:val="ru-RU"/>
        </w:rPr>
        <w:t>директора</w:t>
      </w:r>
      <w:r w:rsidRPr="00DF1EAA">
        <w:rPr>
          <w:lang w:val="ru-RU"/>
        </w:rPr>
        <w:t xml:space="preserve"> </w:t>
      </w:r>
      <w:r>
        <w:rPr>
          <w:lang w:val="ru-RU"/>
        </w:rPr>
        <w:t>относительно</w:t>
      </w:r>
      <w:r w:rsidRPr="00DF1EAA">
        <w:rPr>
          <w:lang w:val="ru-RU"/>
        </w:rPr>
        <w:t xml:space="preserve"> </w:t>
      </w:r>
      <w:r>
        <w:rPr>
          <w:lang w:val="ru-RU"/>
        </w:rPr>
        <w:t>оценки</w:t>
      </w:r>
      <w:r w:rsidRPr="00DF1EAA">
        <w:rPr>
          <w:lang w:val="ru-RU"/>
        </w:rPr>
        <w:t xml:space="preserve"> </w:t>
      </w:r>
      <w:r>
        <w:rPr>
          <w:lang w:val="ru-RU"/>
        </w:rPr>
        <w:t>деятельности</w:t>
      </w:r>
      <w:r w:rsidRPr="00DF1EAA">
        <w:rPr>
          <w:lang w:val="ru-RU"/>
        </w:rPr>
        <w:t xml:space="preserve"> </w:t>
      </w:r>
      <w:r>
        <w:rPr>
          <w:lang w:val="ru-RU"/>
        </w:rPr>
        <w:t>внешних</w:t>
      </w:r>
      <w:r w:rsidRPr="00DF1EAA">
        <w:rPr>
          <w:lang w:val="ru-RU"/>
        </w:rPr>
        <w:t xml:space="preserve"> </w:t>
      </w:r>
      <w:r>
        <w:rPr>
          <w:lang w:val="ru-RU"/>
        </w:rPr>
        <w:t>бюро</w:t>
      </w:r>
      <w:r w:rsidRPr="00DF1EAA">
        <w:rPr>
          <w:lang w:val="ru-RU"/>
        </w:rPr>
        <w:t>, запланированной на 2020/21 гг. в соответствии с решением Генеральной Ассамблеи</w:t>
      </w:r>
      <w:r>
        <w:rPr>
          <w:lang w:val="ru-RU"/>
        </w:rPr>
        <w:t xml:space="preserve">.  </w:t>
      </w:r>
      <w:r w:rsidRPr="00DF1EAA">
        <w:rPr>
          <w:lang w:val="ru-RU"/>
        </w:rPr>
        <w:t xml:space="preserve"> </w:t>
      </w:r>
      <w:r>
        <w:rPr>
          <w:lang w:val="ru-RU"/>
        </w:rPr>
        <w:t>Эти</w:t>
      </w:r>
      <w:r w:rsidRPr="00DF1EAA">
        <w:rPr>
          <w:lang w:val="ru-RU"/>
        </w:rPr>
        <w:t xml:space="preserve"> </w:t>
      </w:r>
      <w:r>
        <w:rPr>
          <w:lang w:val="ru-RU"/>
        </w:rPr>
        <w:t>консультации</w:t>
      </w:r>
      <w:r w:rsidRPr="00DF1EAA">
        <w:rPr>
          <w:lang w:val="ru-RU"/>
        </w:rPr>
        <w:t xml:space="preserve"> </w:t>
      </w:r>
      <w:r>
        <w:rPr>
          <w:lang w:val="ru-RU"/>
        </w:rPr>
        <w:t>включали</w:t>
      </w:r>
      <w:r w:rsidRPr="00DF1EAA">
        <w:rPr>
          <w:lang w:val="ru-RU"/>
        </w:rPr>
        <w:t xml:space="preserve"> </w:t>
      </w:r>
      <w:r>
        <w:rPr>
          <w:lang w:val="ru-RU"/>
        </w:rPr>
        <w:t>в</w:t>
      </w:r>
      <w:r w:rsidRPr="00DF1EAA">
        <w:rPr>
          <w:lang w:val="ru-RU"/>
        </w:rPr>
        <w:t xml:space="preserve"> </w:t>
      </w:r>
      <w:r>
        <w:rPr>
          <w:lang w:val="ru-RU"/>
        </w:rPr>
        <w:t>себя</w:t>
      </w:r>
      <w:r w:rsidRPr="00DF1EAA">
        <w:rPr>
          <w:lang w:val="ru-RU"/>
        </w:rPr>
        <w:t xml:space="preserve"> </w:t>
      </w:r>
      <w:r>
        <w:rPr>
          <w:lang w:val="ru-RU"/>
        </w:rPr>
        <w:t>разработку</w:t>
      </w:r>
      <w:r w:rsidRPr="00DF1EAA">
        <w:rPr>
          <w:lang w:val="ru-RU"/>
        </w:rPr>
        <w:t xml:space="preserve"> </w:t>
      </w:r>
      <w:r>
        <w:rPr>
          <w:lang w:val="ru-RU"/>
        </w:rPr>
        <w:t>аналитической</w:t>
      </w:r>
      <w:r w:rsidRPr="00DF1EAA">
        <w:rPr>
          <w:lang w:val="ru-RU"/>
        </w:rPr>
        <w:t xml:space="preserve"> </w:t>
      </w:r>
      <w:r>
        <w:rPr>
          <w:lang w:val="ru-RU"/>
        </w:rPr>
        <w:t>матрицы</w:t>
      </w:r>
      <w:r w:rsidRPr="00DF1EAA">
        <w:rPr>
          <w:lang w:val="ru-RU"/>
        </w:rPr>
        <w:t xml:space="preserve">, </w:t>
      </w:r>
      <w:r>
        <w:rPr>
          <w:lang w:val="ru-RU"/>
        </w:rPr>
        <w:t>содержащей</w:t>
      </w:r>
      <w:r w:rsidRPr="00DF1EAA">
        <w:rPr>
          <w:lang w:val="ru-RU"/>
        </w:rPr>
        <w:t xml:space="preserve"> </w:t>
      </w:r>
      <w:r>
        <w:rPr>
          <w:lang w:val="ru-RU"/>
        </w:rPr>
        <w:t>базовый</w:t>
      </w:r>
      <w:r w:rsidRPr="00DF1EAA">
        <w:rPr>
          <w:lang w:val="ru-RU"/>
        </w:rPr>
        <w:t xml:space="preserve"> </w:t>
      </w:r>
      <w:r>
        <w:rPr>
          <w:lang w:val="ru-RU"/>
        </w:rPr>
        <w:t>и</w:t>
      </w:r>
      <w:r w:rsidRPr="00DF1EAA">
        <w:rPr>
          <w:lang w:val="ru-RU"/>
        </w:rPr>
        <w:t xml:space="preserve"> </w:t>
      </w:r>
      <w:r>
        <w:rPr>
          <w:lang w:val="ru-RU"/>
        </w:rPr>
        <w:t>дополняющийся</w:t>
      </w:r>
      <w:r w:rsidRPr="00DF1EAA">
        <w:rPr>
          <w:lang w:val="ru-RU"/>
        </w:rPr>
        <w:t xml:space="preserve"> </w:t>
      </w:r>
      <w:r>
        <w:rPr>
          <w:lang w:val="ru-RU"/>
        </w:rPr>
        <w:t xml:space="preserve">список вопросов для проведения оценки, источников данных и их местоположений. </w:t>
      </w:r>
      <w:r w:rsidRPr="00DF1EAA">
        <w:rPr>
          <w:lang w:val="ru-RU"/>
        </w:rPr>
        <w:t xml:space="preserve"> </w:t>
      </w:r>
    </w:p>
    <w:p w14:paraId="619D45C6" w14:textId="3B9D444E" w:rsidR="00131D66" w:rsidRPr="00DF1EAA" w:rsidRDefault="00DF1EAA" w:rsidP="009D5455">
      <w:pPr>
        <w:pStyle w:val="ONUME"/>
        <w:rPr>
          <w:lang w:val="ru-RU"/>
        </w:rPr>
      </w:pPr>
      <w:r>
        <w:rPr>
          <w:lang w:val="ru-RU"/>
        </w:rPr>
        <w:t>В</w:t>
      </w:r>
      <w:r w:rsidRPr="00DF1EAA">
        <w:rPr>
          <w:lang w:val="ru-RU"/>
        </w:rPr>
        <w:t xml:space="preserve"> </w:t>
      </w:r>
      <w:r>
        <w:rPr>
          <w:lang w:val="ru-RU"/>
        </w:rPr>
        <w:t>секцию</w:t>
      </w:r>
      <w:r w:rsidRPr="00DF1EAA">
        <w:rPr>
          <w:lang w:val="ru-RU"/>
        </w:rPr>
        <w:t xml:space="preserve"> </w:t>
      </w:r>
      <w:r>
        <w:rPr>
          <w:lang w:val="ru-RU"/>
        </w:rPr>
        <w:t>по</w:t>
      </w:r>
      <w:r w:rsidRPr="00DF1EAA">
        <w:rPr>
          <w:lang w:val="ru-RU"/>
        </w:rPr>
        <w:t xml:space="preserve"> </w:t>
      </w:r>
      <w:r>
        <w:rPr>
          <w:lang w:val="ru-RU"/>
        </w:rPr>
        <w:t>вопросам</w:t>
      </w:r>
      <w:r w:rsidRPr="00DF1EAA">
        <w:rPr>
          <w:lang w:val="ru-RU"/>
        </w:rPr>
        <w:t xml:space="preserve"> </w:t>
      </w:r>
      <w:r>
        <w:rPr>
          <w:lang w:val="ru-RU"/>
        </w:rPr>
        <w:t>оценки</w:t>
      </w:r>
      <w:r w:rsidRPr="00DF1EAA">
        <w:rPr>
          <w:lang w:val="ru-RU"/>
        </w:rPr>
        <w:t xml:space="preserve"> </w:t>
      </w:r>
      <w:r>
        <w:rPr>
          <w:lang w:val="ru-RU"/>
        </w:rPr>
        <w:t>поступила</w:t>
      </w:r>
      <w:r w:rsidRPr="00DF1EAA">
        <w:rPr>
          <w:lang w:val="ru-RU"/>
        </w:rPr>
        <w:t xml:space="preserve"> </w:t>
      </w:r>
      <w:r>
        <w:rPr>
          <w:lang w:val="ru-RU"/>
        </w:rPr>
        <w:t>просьба</w:t>
      </w:r>
      <w:r w:rsidRPr="00DF1EAA">
        <w:rPr>
          <w:lang w:val="ru-RU"/>
        </w:rPr>
        <w:t xml:space="preserve"> </w:t>
      </w:r>
      <w:r>
        <w:rPr>
          <w:lang w:val="ru-RU"/>
        </w:rPr>
        <w:t>Регионального</w:t>
      </w:r>
      <w:r w:rsidRPr="00DF1EAA">
        <w:rPr>
          <w:lang w:val="ru-RU"/>
        </w:rPr>
        <w:t xml:space="preserve"> </w:t>
      </w:r>
      <w:r>
        <w:rPr>
          <w:lang w:val="ru-RU"/>
        </w:rPr>
        <w:t>бюро</w:t>
      </w:r>
      <w:r w:rsidRPr="00DF1EAA">
        <w:rPr>
          <w:lang w:val="ru-RU"/>
        </w:rPr>
        <w:t xml:space="preserve"> </w:t>
      </w:r>
      <w:r>
        <w:rPr>
          <w:lang w:val="ru-RU"/>
        </w:rPr>
        <w:t>для</w:t>
      </w:r>
      <w:r w:rsidRPr="00DF1EAA">
        <w:rPr>
          <w:lang w:val="ru-RU"/>
        </w:rPr>
        <w:t xml:space="preserve"> </w:t>
      </w:r>
      <w:r>
        <w:rPr>
          <w:lang w:val="ru-RU"/>
        </w:rPr>
        <w:t>Азиатско</w:t>
      </w:r>
      <w:r w:rsidRPr="00DF1EAA">
        <w:rPr>
          <w:lang w:val="ru-RU"/>
        </w:rPr>
        <w:t>-</w:t>
      </w:r>
      <w:r>
        <w:rPr>
          <w:lang w:val="ru-RU"/>
        </w:rPr>
        <w:t>Тихоокеанского</w:t>
      </w:r>
      <w:r w:rsidRPr="00DF1EAA">
        <w:rPr>
          <w:lang w:val="ru-RU"/>
        </w:rPr>
        <w:t xml:space="preserve"> </w:t>
      </w:r>
      <w:r>
        <w:rPr>
          <w:lang w:val="ru-RU"/>
        </w:rPr>
        <w:t>региона</w:t>
      </w:r>
      <w:r w:rsidRPr="00DF1EAA">
        <w:rPr>
          <w:lang w:val="ru-RU"/>
        </w:rPr>
        <w:t xml:space="preserve"> </w:t>
      </w:r>
      <w:r w:rsidR="00C95197" w:rsidRPr="00DF1EAA">
        <w:rPr>
          <w:lang w:val="ru-RU"/>
        </w:rPr>
        <w:t>(</w:t>
      </w:r>
      <w:r>
        <w:rPr>
          <w:lang w:val="ru-RU"/>
        </w:rPr>
        <w:t>Бюро АТР</w:t>
      </w:r>
      <w:r w:rsidR="00C95197" w:rsidRPr="00DF1EAA">
        <w:rPr>
          <w:lang w:val="ru-RU"/>
        </w:rPr>
        <w:t>)</w:t>
      </w:r>
      <w:r w:rsidR="008A0104" w:rsidRPr="00DF1EAA">
        <w:rPr>
          <w:lang w:val="ru-RU"/>
        </w:rPr>
        <w:t xml:space="preserve"> </w:t>
      </w:r>
      <w:r>
        <w:rPr>
          <w:lang w:val="ru-RU"/>
        </w:rPr>
        <w:t>о проведении предварительной оценки.  Эта</w:t>
      </w:r>
      <w:r w:rsidRPr="00DF1EAA">
        <w:rPr>
          <w:lang w:val="ru-RU"/>
        </w:rPr>
        <w:t xml:space="preserve"> </w:t>
      </w:r>
      <w:r>
        <w:rPr>
          <w:lang w:val="ru-RU"/>
        </w:rPr>
        <w:t>консультативная</w:t>
      </w:r>
      <w:r w:rsidRPr="00DF1EAA">
        <w:rPr>
          <w:lang w:val="ru-RU"/>
        </w:rPr>
        <w:t xml:space="preserve"> </w:t>
      </w:r>
      <w:r>
        <w:rPr>
          <w:lang w:val="ru-RU"/>
        </w:rPr>
        <w:t>работа</w:t>
      </w:r>
      <w:r w:rsidRPr="00DF1EAA">
        <w:rPr>
          <w:lang w:val="ru-RU"/>
        </w:rPr>
        <w:t xml:space="preserve"> </w:t>
      </w:r>
      <w:r>
        <w:rPr>
          <w:lang w:val="ru-RU"/>
        </w:rPr>
        <w:t>сосредоточивалась</w:t>
      </w:r>
      <w:r w:rsidRPr="00DF1EAA">
        <w:rPr>
          <w:lang w:val="ru-RU"/>
        </w:rPr>
        <w:t xml:space="preserve"> </w:t>
      </w:r>
      <w:r>
        <w:rPr>
          <w:lang w:val="ru-RU"/>
        </w:rPr>
        <w:t>на</w:t>
      </w:r>
      <w:r w:rsidRPr="00DF1EAA">
        <w:rPr>
          <w:lang w:val="ru-RU"/>
        </w:rPr>
        <w:t xml:space="preserve"> </w:t>
      </w:r>
      <w:r>
        <w:rPr>
          <w:lang w:val="ru-RU"/>
        </w:rPr>
        <w:t>механизмах</w:t>
      </w:r>
      <w:r w:rsidRPr="00DF1EAA">
        <w:rPr>
          <w:lang w:val="ru-RU"/>
        </w:rPr>
        <w:t xml:space="preserve"> </w:t>
      </w:r>
      <w:r>
        <w:rPr>
          <w:lang w:val="ru-RU"/>
        </w:rPr>
        <w:t>Регионального</w:t>
      </w:r>
      <w:r w:rsidRPr="00DF1EAA">
        <w:rPr>
          <w:lang w:val="ru-RU"/>
        </w:rPr>
        <w:t xml:space="preserve"> </w:t>
      </w:r>
      <w:r>
        <w:rPr>
          <w:lang w:val="ru-RU"/>
        </w:rPr>
        <w:t>бюро</w:t>
      </w:r>
      <w:r w:rsidRPr="00DF1EAA">
        <w:rPr>
          <w:lang w:val="ru-RU"/>
        </w:rPr>
        <w:t xml:space="preserve"> </w:t>
      </w:r>
      <w:r>
        <w:rPr>
          <w:lang w:val="ru-RU"/>
        </w:rPr>
        <w:t>в</w:t>
      </w:r>
      <w:r w:rsidRPr="00DF1EAA">
        <w:rPr>
          <w:lang w:val="ru-RU"/>
        </w:rPr>
        <w:t xml:space="preserve"> </w:t>
      </w:r>
      <w:r>
        <w:rPr>
          <w:lang w:val="ru-RU"/>
        </w:rPr>
        <w:t>сфере</w:t>
      </w:r>
      <w:r w:rsidRPr="00DF1EAA">
        <w:rPr>
          <w:lang w:val="ru-RU"/>
        </w:rPr>
        <w:t xml:space="preserve"> </w:t>
      </w:r>
      <w:r>
        <w:rPr>
          <w:lang w:val="ru-RU"/>
        </w:rPr>
        <w:t xml:space="preserve">технического сотрудничества и самооценки. </w:t>
      </w:r>
      <w:r w:rsidRPr="00DF1EAA">
        <w:rPr>
          <w:lang w:val="ru-RU"/>
        </w:rPr>
        <w:t xml:space="preserve"> </w:t>
      </w:r>
      <w:r>
        <w:rPr>
          <w:lang w:val="ru-RU"/>
        </w:rPr>
        <w:t>Цель</w:t>
      </w:r>
      <w:r w:rsidRPr="00DF1EAA">
        <w:rPr>
          <w:lang w:val="ru-RU"/>
        </w:rPr>
        <w:t xml:space="preserve"> </w:t>
      </w:r>
      <w:r>
        <w:rPr>
          <w:lang w:val="ru-RU"/>
        </w:rPr>
        <w:t>предварительной</w:t>
      </w:r>
      <w:r w:rsidRPr="00DF1EAA">
        <w:rPr>
          <w:lang w:val="ru-RU"/>
        </w:rPr>
        <w:t xml:space="preserve"> </w:t>
      </w:r>
      <w:r>
        <w:rPr>
          <w:lang w:val="ru-RU"/>
        </w:rPr>
        <w:t>оценки</w:t>
      </w:r>
      <w:r w:rsidRPr="00DF1EAA">
        <w:rPr>
          <w:lang w:val="ru-RU"/>
        </w:rPr>
        <w:t xml:space="preserve"> – </w:t>
      </w:r>
      <w:r>
        <w:rPr>
          <w:lang w:val="ru-RU"/>
        </w:rPr>
        <w:t>проверка</w:t>
      </w:r>
      <w:r w:rsidRPr="00DF1EAA">
        <w:rPr>
          <w:lang w:val="ru-RU"/>
        </w:rPr>
        <w:t xml:space="preserve"> </w:t>
      </w:r>
      <w:r>
        <w:rPr>
          <w:lang w:val="ru-RU"/>
        </w:rPr>
        <w:t>технического</w:t>
      </w:r>
      <w:r w:rsidRPr="00DF1EAA">
        <w:rPr>
          <w:lang w:val="ru-RU"/>
        </w:rPr>
        <w:t xml:space="preserve"> </w:t>
      </w:r>
      <w:r>
        <w:rPr>
          <w:lang w:val="ru-RU"/>
        </w:rPr>
        <w:t>механизма</w:t>
      </w:r>
      <w:r w:rsidRPr="00DF1EAA">
        <w:rPr>
          <w:lang w:val="ru-RU"/>
        </w:rPr>
        <w:t xml:space="preserve"> </w:t>
      </w:r>
      <w:r>
        <w:rPr>
          <w:lang w:val="ru-RU"/>
        </w:rPr>
        <w:t>на</w:t>
      </w:r>
      <w:r w:rsidRPr="00DF1EAA">
        <w:rPr>
          <w:lang w:val="ru-RU"/>
        </w:rPr>
        <w:t xml:space="preserve"> </w:t>
      </w:r>
      <w:r>
        <w:rPr>
          <w:lang w:val="ru-RU"/>
        </w:rPr>
        <w:t>предмет</w:t>
      </w:r>
      <w:r w:rsidRPr="00DF1EAA">
        <w:rPr>
          <w:lang w:val="ru-RU"/>
        </w:rPr>
        <w:t xml:space="preserve"> </w:t>
      </w:r>
      <w:r>
        <w:rPr>
          <w:lang w:val="ru-RU"/>
        </w:rPr>
        <w:t>его</w:t>
      </w:r>
      <w:r w:rsidRPr="00DF1EAA">
        <w:rPr>
          <w:lang w:val="ru-RU"/>
        </w:rPr>
        <w:t xml:space="preserve"> </w:t>
      </w:r>
      <w:r>
        <w:rPr>
          <w:lang w:val="ru-RU"/>
        </w:rPr>
        <w:t>эффективности</w:t>
      </w:r>
      <w:r w:rsidRPr="00DF1EAA">
        <w:rPr>
          <w:lang w:val="ru-RU"/>
        </w:rPr>
        <w:t xml:space="preserve"> </w:t>
      </w:r>
      <w:r>
        <w:rPr>
          <w:lang w:val="ru-RU"/>
        </w:rPr>
        <w:t>и</w:t>
      </w:r>
      <w:r w:rsidRPr="00DF1EAA">
        <w:rPr>
          <w:lang w:val="ru-RU"/>
        </w:rPr>
        <w:t xml:space="preserve"> </w:t>
      </w:r>
      <w:r>
        <w:rPr>
          <w:lang w:val="ru-RU"/>
        </w:rPr>
        <w:t>пригодности для анализа</w:t>
      </w:r>
      <w:r w:rsidRPr="00DF1EAA">
        <w:rPr>
          <w:lang w:val="ru-RU"/>
        </w:rPr>
        <w:t>.</w:t>
      </w:r>
      <w:r w:rsidR="00131D66" w:rsidRPr="00DF1EAA">
        <w:rPr>
          <w:lang w:val="ru-RU"/>
        </w:rPr>
        <w:t xml:space="preserve"> </w:t>
      </w:r>
      <w:r w:rsidR="00247252" w:rsidRPr="00DF1EAA">
        <w:rPr>
          <w:lang w:val="ru-RU"/>
        </w:rPr>
        <w:t xml:space="preserve"> </w:t>
      </w:r>
    </w:p>
    <w:p w14:paraId="698A97F7" w14:textId="076D22CF" w:rsidR="00247252" w:rsidRPr="00431669" w:rsidRDefault="00DF1EAA" w:rsidP="008A0104">
      <w:pPr>
        <w:pStyle w:val="ONUME"/>
        <w:rPr>
          <w:lang w:val="ru-RU"/>
        </w:rPr>
      </w:pPr>
      <w:r>
        <w:rPr>
          <w:lang w:val="ru-RU"/>
        </w:rPr>
        <w:t>Если</w:t>
      </w:r>
      <w:r w:rsidRPr="00DF1EAA">
        <w:rPr>
          <w:lang w:val="ru-RU"/>
        </w:rPr>
        <w:t xml:space="preserve"> </w:t>
      </w:r>
      <w:r>
        <w:rPr>
          <w:lang w:val="ru-RU"/>
        </w:rPr>
        <w:t>говорить</w:t>
      </w:r>
      <w:r w:rsidRPr="00DF1EAA">
        <w:rPr>
          <w:lang w:val="ru-RU"/>
        </w:rPr>
        <w:t xml:space="preserve"> </w:t>
      </w:r>
      <w:r>
        <w:rPr>
          <w:lang w:val="ru-RU"/>
        </w:rPr>
        <w:t>более</w:t>
      </w:r>
      <w:r w:rsidRPr="00DF1EAA">
        <w:rPr>
          <w:lang w:val="ru-RU"/>
        </w:rPr>
        <w:t xml:space="preserve"> </w:t>
      </w:r>
      <w:r>
        <w:rPr>
          <w:lang w:val="ru-RU"/>
        </w:rPr>
        <w:t>конкретно</w:t>
      </w:r>
      <w:r w:rsidRPr="00DF1EAA">
        <w:rPr>
          <w:lang w:val="ru-RU"/>
        </w:rPr>
        <w:t xml:space="preserve">, </w:t>
      </w:r>
      <w:r>
        <w:rPr>
          <w:lang w:val="ru-RU"/>
        </w:rPr>
        <w:t>то</w:t>
      </w:r>
      <w:r w:rsidRPr="00DF1EAA">
        <w:rPr>
          <w:lang w:val="ru-RU"/>
        </w:rPr>
        <w:t xml:space="preserve"> </w:t>
      </w:r>
      <w:r>
        <w:rPr>
          <w:lang w:val="ru-RU"/>
        </w:rPr>
        <w:t>в</w:t>
      </w:r>
      <w:r w:rsidRPr="00DF1EAA">
        <w:rPr>
          <w:lang w:val="ru-RU"/>
        </w:rPr>
        <w:t xml:space="preserve"> </w:t>
      </w:r>
      <w:r>
        <w:rPr>
          <w:lang w:val="ru-RU"/>
        </w:rPr>
        <w:t>рамках</w:t>
      </w:r>
      <w:r w:rsidRPr="00DF1EAA">
        <w:rPr>
          <w:lang w:val="ru-RU"/>
        </w:rPr>
        <w:t xml:space="preserve"> </w:t>
      </w:r>
      <w:r>
        <w:rPr>
          <w:lang w:val="ru-RU"/>
        </w:rPr>
        <w:t>оказания</w:t>
      </w:r>
      <w:r w:rsidRPr="00DF1EAA">
        <w:rPr>
          <w:lang w:val="ru-RU"/>
        </w:rPr>
        <w:t xml:space="preserve"> </w:t>
      </w:r>
      <w:r>
        <w:rPr>
          <w:lang w:val="ru-RU"/>
        </w:rPr>
        <w:t>консультативных</w:t>
      </w:r>
      <w:r w:rsidRPr="00DF1EAA">
        <w:rPr>
          <w:lang w:val="ru-RU"/>
        </w:rPr>
        <w:t xml:space="preserve"> </w:t>
      </w:r>
      <w:r>
        <w:rPr>
          <w:lang w:val="ru-RU"/>
        </w:rPr>
        <w:t>услуг</w:t>
      </w:r>
      <w:r w:rsidRPr="00DF1EAA">
        <w:rPr>
          <w:lang w:val="ru-RU"/>
        </w:rPr>
        <w:t xml:space="preserve"> </w:t>
      </w:r>
      <w:r>
        <w:rPr>
          <w:lang w:val="ru-RU"/>
        </w:rPr>
        <w:t>будет</w:t>
      </w:r>
      <w:r w:rsidRPr="00DF1EAA">
        <w:rPr>
          <w:lang w:val="ru-RU"/>
        </w:rPr>
        <w:t xml:space="preserve"> </w:t>
      </w:r>
      <w:r>
        <w:rPr>
          <w:lang w:val="ru-RU"/>
        </w:rPr>
        <w:t>изучен</w:t>
      </w:r>
      <w:r w:rsidRPr="00DF1EAA">
        <w:rPr>
          <w:lang w:val="ru-RU"/>
        </w:rPr>
        <w:t xml:space="preserve"> </w:t>
      </w:r>
      <w:r>
        <w:rPr>
          <w:lang w:val="ru-RU"/>
        </w:rPr>
        <w:t>существующий</w:t>
      </w:r>
      <w:r w:rsidRPr="00DF1EAA">
        <w:rPr>
          <w:lang w:val="ru-RU"/>
        </w:rPr>
        <w:t xml:space="preserve"> </w:t>
      </w:r>
      <w:r>
        <w:rPr>
          <w:lang w:val="ru-RU"/>
        </w:rPr>
        <w:t>механизм</w:t>
      </w:r>
      <w:r w:rsidRPr="00DF1EAA">
        <w:rPr>
          <w:lang w:val="ru-RU"/>
        </w:rPr>
        <w:t xml:space="preserve"> </w:t>
      </w:r>
      <w:r>
        <w:rPr>
          <w:lang w:val="ru-RU"/>
        </w:rPr>
        <w:t>реализации</w:t>
      </w:r>
      <w:r w:rsidRPr="00DF1EAA">
        <w:rPr>
          <w:lang w:val="ru-RU"/>
        </w:rPr>
        <w:t xml:space="preserve"> </w:t>
      </w:r>
      <w:r>
        <w:rPr>
          <w:lang w:val="ru-RU"/>
        </w:rPr>
        <w:t>проектов</w:t>
      </w:r>
      <w:r w:rsidRPr="00DF1EAA">
        <w:rPr>
          <w:lang w:val="ru-RU"/>
        </w:rPr>
        <w:t xml:space="preserve"> </w:t>
      </w:r>
      <w:r>
        <w:rPr>
          <w:lang w:val="ru-RU"/>
        </w:rPr>
        <w:t>в</w:t>
      </w:r>
      <w:r w:rsidRPr="00DF1EAA">
        <w:rPr>
          <w:lang w:val="ru-RU"/>
        </w:rPr>
        <w:t xml:space="preserve"> </w:t>
      </w:r>
      <w:r>
        <w:rPr>
          <w:lang w:val="ru-RU"/>
        </w:rPr>
        <w:t>целях</w:t>
      </w:r>
      <w:r w:rsidRPr="00DF1EAA">
        <w:rPr>
          <w:lang w:val="ru-RU"/>
        </w:rPr>
        <w:t xml:space="preserve"> </w:t>
      </w:r>
      <w:r>
        <w:rPr>
          <w:lang w:val="ru-RU"/>
        </w:rPr>
        <w:t>повышения его эффективности, а также расширения его использования для принятия решений и представления результатов.  Кроме</w:t>
      </w:r>
      <w:r w:rsidRPr="00DF1EAA">
        <w:rPr>
          <w:lang w:val="ru-RU"/>
        </w:rPr>
        <w:t xml:space="preserve"> </w:t>
      </w:r>
      <w:r>
        <w:rPr>
          <w:lang w:val="ru-RU"/>
        </w:rPr>
        <w:t>того</w:t>
      </w:r>
      <w:r w:rsidRPr="00DF1EAA">
        <w:rPr>
          <w:lang w:val="ru-RU"/>
        </w:rPr>
        <w:t xml:space="preserve">, </w:t>
      </w:r>
      <w:r>
        <w:rPr>
          <w:lang w:val="ru-RU"/>
        </w:rPr>
        <w:t>будет</w:t>
      </w:r>
      <w:r w:rsidRPr="00DF1EAA">
        <w:rPr>
          <w:lang w:val="ru-RU"/>
        </w:rPr>
        <w:t xml:space="preserve"> </w:t>
      </w:r>
      <w:r>
        <w:rPr>
          <w:lang w:val="ru-RU"/>
        </w:rPr>
        <w:t>проанализирована</w:t>
      </w:r>
      <w:r w:rsidRPr="00DF1EAA">
        <w:rPr>
          <w:lang w:val="ru-RU"/>
        </w:rPr>
        <w:t xml:space="preserve"> </w:t>
      </w:r>
      <w:r>
        <w:rPr>
          <w:lang w:val="ru-RU"/>
        </w:rPr>
        <w:t>эффективность</w:t>
      </w:r>
      <w:r w:rsidRPr="00DF1EAA">
        <w:rPr>
          <w:lang w:val="ru-RU"/>
        </w:rPr>
        <w:t xml:space="preserve"> </w:t>
      </w:r>
      <w:r>
        <w:rPr>
          <w:lang w:val="ru-RU"/>
        </w:rPr>
        <w:t>данного</w:t>
      </w:r>
      <w:r w:rsidRPr="00DF1EAA">
        <w:rPr>
          <w:lang w:val="ru-RU"/>
        </w:rPr>
        <w:t xml:space="preserve"> </w:t>
      </w:r>
      <w:r>
        <w:rPr>
          <w:lang w:val="ru-RU"/>
        </w:rPr>
        <w:t>механизма</w:t>
      </w:r>
      <w:r w:rsidRPr="00DF1EAA">
        <w:rPr>
          <w:lang w:val="ru-RU"/>
        </w:rPr>
        <w:t xml:space="preserve"> </w:t>
      </w:r>
      <w:r>
        <w:rPr>
          <w:lang w:val="ru-RU"/>
        </w:rPr>
        <w:t>с</w:t>
      </w:r>
      <w:r w:rsidRPr="00DF1EAA">
        <w:rPr>
          <w:lang w:val="ru-RU"/>
        </w:rPr>
        <w:t xml:space="preserve"> </w:t>
      </w:r>
      <w:r>
        <w:rPr>
          <w:lang w:val="ru-RU"/>
        </w:rPr>
        <w:t>точки</w:t>
      </w:r>
      <w:r w:rsidRPr="00DF1EAA">
        <w:rPr>
          <w:lang w:val="ru-RU"/>
        </w:rPr>
        <w:t xml:space="preserve"> </w:t>
      </w:r>
      <w:r>
        <w:rPr>
          <w:lang w:val="ru-RU"/>
        </w:rPr>
        <w:t>зрения</w:t>
      </w:r>
      <w:r w:rsidRPr="00DF1EAA">
        <w:rPr>
          <w:lang w:val="ru-RU"/>
        </w:rPr>
        <w:t xml:space="preserve"> </w:t>
      </w:r>
      <w:r>
        <w:rPr>
          <w:lang w:val="ru-RU"/>
        </w:rPr>
        <w:t>количества</w:t>
      </w:r>
      <w:r w:rsidRPr="00DF1EAA">
        <w:rPr>
          <w:lang w:val="ru-RU"/>
        </w:rPr>
        <w:t xml:space="preserve"> </w:t>
      </w:r>
      <w:r>
        <w:rPr>
          <w:lang w:val="ru-RU"/>
        </w:rPr>
        <w:t>собираемой</w:t>
      </w:r>
      <w:r w:rsidRPr="00DF1EAA">
        <w:rPr>
          <w:lang w:val="ru-RU"/>
        </w:rPr>
        <w:t xml:space="preserve"> </w:t>
      </w:r>
      <w:r>
        <w:rPr>
          <w:lang w:val="ru-RU"/>
        </w:rPr>
        <w:t>и</w:t>
      </w:r>
      <w:r w:rsidRPr="00DF1EAA">
        <w:rPr>
          <w:lang w:val="ru-RU"/>
        </w:rPr>
        <w:t xml:space="preserve"> </w:t>
      </w:r>
      <w:r>
        <w:rPr>
          <w:lang w:val="ru-RU"/>
        </w:rPr>
        <w:t>используемой</w:t>
      </w:r>
      <w:r w:rsidRPr="00DF1EAA">
        <w:rPr>
          <w:lang w:val="ru-RU"/>
        </w:rPr>
        <w:t xml:space="preserve"> </w:t>
      </w:r>
      <w:r>
        <w:rPr>
          <w:lang w:val="ru-RU"/>
        </w:rPr>
        <w:t>информации</w:t>
      </w:r>
      <w:r w:rsidRPr="00DF1EAA">
        <w:rPr>
          <w:lang w:val="ru-RU"/>
        </w:rPr>
        <w:t xml:space="preserve">, </w:t>
      </w:r>
      <w:r>
        <w:rPr>
          <w:lang w:val="ru-RU"/>
        </w:rPr>
        <w:t>а</w:t>
      </w:r>
      <w:r w:rsidRPr="00DF1EAA">
        <w:rPr>
          <w:lang w:val="ru-RU"/>
        </w:rPr>
        <w:t xml:space="preserve"> </w:t>
      </w:r>
      <w:r>
        <w:rPr>
          <w:lang w:val="ru-RU"/>
        </w:rPr>
        <w:t>также</w:t>
      </w:r>
      <w:r w:rsidRPr="00DF1EAA">
        <w:rPr>
          <w:lang w:val="ru-RU"/>
        </w:rPr>
        <w:t xml:space="preserve"> </w:t>
      </w:r>
      <w:r>
        <w:rPr>
          <w:lang w:val="ru-RU"/>
        </w:rPr>
        <w:t>применения</w:t>
      </w:r>
      <w:r w:rsidRPr="00DF1EAA">
        <w:rPr>
          <w:lang w:val="ru-RU"/>
        </w:rPr>
        <w:t xml:space="preserve"> </w:t>
      </w:r>
      <w:r>
        <w:rPr>
          <w:lang w:val="ru-RU"/>
        </w:rPr>
        <w:t>инструментов</w:t>
      </w:r>
      <w:r w:rsidRPr="00DF1EAA">
        <w:rPr>
          <w:lang w:val="ru-RU"/>
        </w:rPr>
        <w:t xml:space="preserve"> </w:t>
      </w:r>
      <w:r>
        <w:rPr>
          <w:lang w:val="ru-RU"/>
        </w:rPr>
        <w:t>и</w:t>
      </w:r>
      <w:r w:rsidRPr="00DF1EAA">
        <w:rPr>
          <w:lang w:val="ru-RU"/>
        </w:rPr>
        <w:t xml:space="preserve"> </w:t>
      </w:r>
      <w:r>
        <w:rPr>
          <w:lang w:val="ru-RU"/>
        </w:rPr>
        <w:t>технологий</w:t>
      </w:r>
      <w:r w:rsidRPr="00DF1EAA">
        <w:rPr>
          <w:lang w:val="ru-RU"/>
        </w:rPr>
        <w:t xml:space="preserve">, </w:t>
      </w:r>
      <w:r>
        <w:rPr>
          <w:lang w:val="ru-RU"/>
        </w:rPr>
        <w:t>обеспечивающих</w:t>
      </w:r>
      <w:r w:rsidRPr="00DF1EAA">
        <w:rPr>
          <w:lang w:val="ru-RU"/>
        </w:rPr>
        <w:t xml:space="preserve"> </w:t>
      </w:r>
      <w:r>
        <w:rPr>
          <w:lang w:val="ru-RU"/>
        </w:rPr>
        <w:t>управление</w:t>
      </w:r>
      <w:r w:rsidRPr="00DF1EAA">
        <w:rPr>
          <w:lang w:val="ru-RU"/>
        </w:rPr>
        <w:t xml:space="preserve"> </w:t>
      </w:r>
      <w:r>
        <w:rPr>
          <w:lang w:val="ru-RU"/>
        </w:rPr>
        <w:t>данными</w:t>
      </w:r>
      <w:r w:rsidRPr="00DF1EAA">
        <w:rPr>
          <w:lang w:val="ru-RU"/>
        </w:rPr>
        <w:t xml:space="preserve"> </w:t>
      </w:r>
      <w:r>
        <w:rPr>
          <w:lang w:val="ru-RU"/>
        </w:rPr>
        <w:t>в</w:t>
      </w:r>
      <w:r w:rsidRPr="00DF1EAA">
        <w:rPr>
          <w:lang w:val="ru-RU"/>
        </w:rPr>
        <w:t xml:space="preserve"> </w:t>
      </w:r>
      <w:r>
        <w:rPr>
          <w:lang w:val="ru-RU"/>
        </w:rPr>
        <w:t>привязке</w:t>
      </w:r>
      <w:r w:rsidRPr="00DF1EAA">
        <w:rPr>
          <w:lang w:val="ru-RU"/>
        </w:rPr>
        <w:t xml:space="preserve"> </w:t>
      </w:r>
      <w:r>
        <w:rPr>
          <w:lang w:val="ru-RU"/>
        </w:rPr>
        <w:t>к</w:t>
      </w:r>
      <w:r w:rsidRPr="00DF1EAA">
        <w:rPr>
          <w:lang w:val="ru-RU"/>
        </w:rPr>
        <w:t xml:space="preserve"> </w:t>
      </w:r>
      <w:r>
        <w:rPr>
          <w:lang w:val="ru-RU"/>
        </w:rPr>
        <w:t>имеющимся</w:t>
      </w:r>
      <w:r w:rsidRPr="00DF1EAA">
        <w:rPr>
          <w:lang w:val="ru-RU"/>
        </w:rPr>
        <w:t xml:space="preserve"> </w:t>
      </w:r>
      <w:r>
        <w:rPr>
          <w:lang w:val="ru-RU"/>
        </w:rPr>
        <w:t>ресурсам.</w:t>
      </w:r>
      <w:r w:rsidR="00131D66" w:rsidRPr="00DF1EAA">
        <w:rPr>
          <w:lang w:val="ru-RU" w:eastAsia="en-US"/>
        </w:rPr>
        <w:t xml:space="preserve"> </w:t>
      </w:r>
      <w:r w:rsidR="00C95197" w:rsidRPr="00DF1EAA">
        <w:rPr>
          <w:lang w:val="ru-RU" w:eastAsia="en-US"/>
        </w:rPr>
        <w:t xml:space="preserve"> </w:t>
      </w:r>
      <w:r>
        <w:rPr>
          <w:lang w:val="ru-RU" w:eastAsia="en-US"/>
        </w:rPr>
        <w:t>По</w:t>
      </w:r>
      <w:r w:rsidRPr="00DF1EAA">
        <w:rPr>
          <w:lang w:val="ru-RU" w:eastAsia="en-US"/>
        </w:rPr>
        <w:t xml:space="preserve"> </w:t>
      </w:r>
      <w:r>
        <w:rPr>
          <w:lang w:val="ru-RU" w:eastAsia="en-US"/>
        </w:rPr>
        <w:t>итогам</w:t>
      </w:r>
      <w:r w:rsidRPr="00DF1EAA">
        <w:rPr>
          <w:lang w:val="ru-RU" w:eastAsia="en-US"/>
        </w:rPr>
        <w:t xml:space="preserve"> </w:t>
      </w:r>
      <w:r>
        <w:rPr>
          <w:lang w:val="ru-RU" w:eastAsia="en-US"/>
        </w:rPr>
        <w:t>этого</w:t>
      </w:r>
      <w:r w:rsidRPr="00DF1EAA">
        <w:rPr>
          <w:lang w:val="ru-RU" w:eastAsia="en-US"/>
        </w:rPr>
        <w:t xml:space="preserve"> </w:t>
      </w:r>
      <w:r>
        <w:rPr>
          <w:lang w:val="ru-RU" w:eastAsia="en-US"/>
        </w:rPr>
        <w:t>анализа</w:t>
      </w:r>
      <w:r w:rsidRPr="00DF1EAA">
        <w:rPr>
          <w:lang w:val="ru-RU" w:eastAsia="en-US"/>
        </w:rPr>
        <w:t xml:space="preserve"> </w:t>
      </w:r>
      <w:r>
        <w:rPr>
          <w:lang w:val="ru-RU" w:eastAsia="en-US"/>
        </w:rPr>
        <w:t>ОВН</w:t>
      </w:r>
      <w:r w:rsidRPr="00DF1EAA">
        <w:rPr>
          <w:lang w:val="ru-RU" w:eastAsia="en-US"/>
        </w:rPr>
        <w:t xml:space="preserve"> </w:t>
      </w:r>
      <w:r>
        <w:rPr>
          <w:lang w:val="ru-RU" w:eastAsia="en-US"/>
        </w:rPr>
        <w:t>вынесет</w:t>
      </w:r>
      <w:r w:rsidRPr="00DF1EAA">
        <w:rPr>
          <w:lang w:val="ru-RU" w:eastAsia="en-US"/>
        </w:rPr>
        <w:t xml:space="preserve"> </w:t>
      </w:r>
      <w:r>
        <w:rPr>
          <w:lang w:val="ru-RU" w:eastAsia="en-US"/>
        </w:rPr>
        <w:t>рекомендации</w:t>
      </w:r>
      <w:r w:rsidRPr="00DF1EAA">
        <w:rPr>
          <w:lang w:val="ru-RU" w:eastAsia="en-US"/>
        </w:rPr>
        <w:t xml:space="preserve"> </w:t>
      </w:r>
      <w:r>
        <w:rPr>
          <w:lang w:val="ru-RU" w:eastAsia="en-US"/>
        </w:rPr>
        <w:t>в</w:t>
      </w:r>
      <w:r w:rsidRPr="00DF1EAA">
        <w:rPr>
          <w:lang w:val="ru-RU" w:eastAsia="en-US"/>
        </w:rPr>
        <w:t xml:space="preserve"> </w:t>
      </w:r>
      <w:r>
        <w:rPr>
          <w:lang w:val="ru-RU" w:eastAsia="en-US"/>
        </w:rPr>
        <w:t>отношении</w:t>
      </w:r>
      <w:r w:rsidRPr="00DF1EAA">
        <w:rPr>
          <w:lang w:val="ru-RU" w:eastAsia="en-US"/>
        </w:rPr>
        <w:t xml:space="preserve"> </w:t>
      </w:r>
      <w:r>
        <w:rPr>
          <w:lang w:val="ru-RU" w:eastAsia="en-US"/>
        </w:rPr>
        <w:t>альтернативных</w:t>
      </w:r>
      <w:r w:rsidRPr="00DF1EAA">
        <w:rPr>
          <w:lang w:val="ru-RU" w:eastAsia="en-US"/>
        </w:rPr>
        <w:t xml:space="preserve"> </w:t>
      </w:r>
      <w:r>
        <w:rPr>
          <w:lang w:val="ru-RU" w:eastAsia="en-US"/>
        </w:rPr>
        <w:t>вариантов</w:t>
      </w:r>
      <w:r w:rsidRPr="00DF1EAA">
        <w:rPr>
          <w:lang w:val="ru-RU" w:eastAsia="en-US"/>
        </w:rPr>
        <w:t xml:space="preserve"> </w:t>
      </w:r>
      <w:r w:rsidR="00431669">
        <w:rPr>
          <w:lang w:val="ru-RU" w:eastAsia="en-US"/>
        </w:rPr>
        <w:t xml:space="preserve">устройства данного </w:t>
      </w:r>
      <w:r>
        <w:rPr>
          <w:lang w:val="ru-RU" w:eastAsia="en-US"/>
        </w:rPr>
        <w:t>механизма</w:t>
      </w:r>
      <w:r w:rsidRPr="00DF1EAA">
        <w:rPr>
          <w:lang w:val="ru-RU" w:eastAsia="en-US"/>
        </w:rPr>
        <w:t xml:space="preserve">, </w:t>
      </w:r>
      <w:r>
        <w:rPr>
          <w:lang w:val="ru-RU" w:eastAsia="en-US"/>
        </w:rPr>
        <w:t>что</w:t>
      </w:r>
      <w:r w:rsidRPr="00DF1EAA">
        <w:rPr>
          <w:lang w:val="ru-RU" w:eastAsia="en-US"/>
        </w:rPr>
        <w:t xml:space="preserve">, </w:t>
      </w:r>
      <w:r>
        <w:rPr>
          <w:lang w:val="ru-RU" w:eastAsia="en-US"/>
        </w:rPr>
        <w:t>в</w:t>
      </w:r>
      <w:r w:rsidRPr="00DF1EAA">
        <w:rPr>
          <w:lang w:val="ru-RU" w:eastAsia="en-US"/>
        </w:rPr>
        <w:t xml:space="preserve"> </w:t>
      </w:r>
      <w:r>
        <w:rPr>
          <w:lang w:val="ru-RU" w:eastAsia="en-US"/>
        </w:rPr>
        <w:t>свою</w:t>
      </w:r>
      <w:r w:rsidRPr="00DF1EAA">
        <w:rPr>
          <w:lang w:val="ru-RU" w:eastAsia="en-US"/>
        </w:rPr>
        <w:t xml:space="preserve"> </w:t>
      </w:r>
      <w:r>
        <w:rPr>
          <w:lang w:val="ru-RU" w:eastAsia="en-US"/>
        </w:rPr>
        <w:lastRenderedPageBreak/>
        <w:t>очередь</w:t>
      </w:r>
      <w:r w:rsidRPr="00DF1EAA">
        <w:rPr>
          <w:lang w:val="ru-RU" w:eastAsia="en-US"/>
        </w:rPr>
        <w:t xml:space="preserve">, </w:t>
      </w:r>
      <w:r>
        <w:rPr>
          <w:lang w:val="ru-RU" w:eastAsia="en-US"/>
        </w:rPr>
        <w:t>позволит</w:t>
      </w:r>
      <w:r w:rsidRPr="00DF1EAA">
        <w:rPr>
          <w:lang w:val="ru-RU" w:eastAsia="en-US"/>
        </w:rPr>
        <w:t xml:space="preserve"> </w:t>
      </w:r>
      <w:r>
        <w:rPr>
          <w:lang w:val="ru-RU" w:eastAsia="en-US"/>
        </w:rPr>
        <w:t>Бюро</w:t>
      </w:r>
      <w:r w:rsidRPr="00DF1EAA">
        <w:rPr>
          <w:lang w:val="ru-RU" w:eastAsia="en-US"/>
        </w:rPr>
        <w:t xml:space="preserve"> </w:t>
      </w:r>
      <w:r>
        <w:rPr>
          <w:lang w:val="ru-RU" w:eastAsia="en-US"/>
        </w:rPr>
        <w:t>АТР разработать эффективный и ад</w:t>
      </w:r>
      <w:r w:rsidR="00046C7F">
        <w:rPr>
          <w:lang w:val="ru-RU" w:eastAsia="en-US"/>
        </w:rPr>
        <w:t>екватный технический механизм.</w:t>
      </w:r>
    </w:p>
    <w:p w14:paraId="04F4D32C" w14:textId="5722B078" w:rsidR="00C46B12" w:rsidRPr="00B86A2F" w:rsidRDefault="00B86A2F" w:rsidP="00AC38B6">
      <w:pPr>
        <w:pStyle w:val="Heading1"/>
        <w:rPr>
          <w:lang w:val="ru-RU"/>
        </w:rPr>
      </w:pPr>
      <w:bookmarkStart w:id="47" w:name="_Toc11683745"/>
      <w:bookmarkStart w:id="48" w:name="_Toc40299735"/>
      <w:r w:rsidRPr="00B86A2F">
        <w:rPr>
          <w:lang w:val="ru-RU"/>
        </w:rPr>
        <w:t>СОТРУДНИЧЕСТВО С ВНЕШНИМИ НАДЗОРНЫМИ ОРГАНАМИ</w:t>
      </w:r>
      <w:bookmarkEnd w:id="47"/>
      <w:bookmarkEnd w:id="48"/>
    </w:p>
    <w:p w14:paraId="3F55FCCD" w14:textId="7D70E6B9" w:rsidR="00C46B12" w:rsidRPr="00B86A2F" w:rsidRDefault="00B86A2F" w:rsidP="00C46B12">
      <w:pPr>
        <w:pStyle w:val="Heading2"/>
        <w:rPr>
          <w:lang w:val="ru-RU"/>
        </w:rPr>
      </w:pPr>
      <w:bookmarkStart w:id="49" w:name="_Toc40299736"/>
      <w:r w:rsidRPr="00B86A2F">
        <w:rPr>
          <w:lang w:val="ru-RU"/>
        </w:rPr>
        <w:t>Независимый консультативный комитет по надзору (НККН)</w:t>
      </w:r>
      <w:bookmarkEnd w:id="49"/>
    </w:p>
    <w:p w14:paraId="60D018B1" w14:textId="16BA8AAF" w:rsidR="00C46B12" w:rsidRPr="00B86A2F" w:rsidRDefault="00B86A2F" w:rsidP="002C23BF">
      <w:pPr>
        <w:pStyle w:val="ONUME"/>
        <w:rPr>
          <w:lang w:val="ru-RU"/>
        </w:rPr>
      </w:pPr>
      <w:r w:rsidRPr="00B86A2F">
        <w:rPr>
          <w:lang w:val="ru-RU"/>
        </w:rPr>
        <w:t xml:space="preserve">ОВН регулярно участвовал в сессиях НККН, отчитываясь по вопросам осуществления плана внутреннего надзора, обсуждая результаты деятельности по надзору и другие аспекты, касающиеся работы и функционирования Отдела, и запрашивая советы НККН. </w:t>
      </w:r>
      <w:r>
        <w:rPr>
          <w:lang w:val="ru-RU"/>
        </w:rPr>
        <w:t xml:space="preserve"> </w:t>
      </w:r>
      <w:r w:rsidRPr="00B86A2F">
        <w:rPr>
          <w:lang w:val="ru-RU"/>
        </w:rPr>
        <w:t>В период, охватываемый настоящим отчетом, НККН провел 5</w:t>
      </w:r>
      <w:r>
        <w:rPr>
          <w:lang w:val="ru-RU"/>
        </w:rPr>
        <w:t>3</w:t>
      </w:r>
      <w:r w:rsidRPr="00B86A2F">
        <w:rPr>
          <w:lang w:val="ru-RU"/>
        </w:rPr>
        <w:t xml:space="preserve">-ю </w:t>
      </w:r>
      <w:r>
        <w:rPr>
          <w:lang w:val="ru-RU"/>
        </w:rPr>
        <w:t>и</w:t>
      </w:r>
      <w:r w:rsidRPr="00B86A2F">
        <w:rPr>
          <w:lang w:val="ru-RU"/>
        </w:rPr>
        <w:t xml:space="preserve"> 5</w:t>
      </w:r>
      <w:r>
        <w:rPr>
          <w:lang w:val="ru-RU"/>
        </w:rPr>
        <w:t>4</w:t>
      </w:r>
      <w:r w:rsidRPr="00B86A2F">
        <w:rPr>
          <w:lang w:val="ru-RU"/>
        </w:rPr>
        <w:t xml:space="preserve">-ю сессии.  </w:t>
      </w:r>
    </w:p>
    <w:p w14:paraId="2A501E6F" w14:textId="343962FB" w:rsidR="00C46B12" w:rsidRPr="00B86A2F" w:rsidRDefault="00B86A2F" w:rsidP="00C46B12">
      <w:pPr>
        <w:pStyle w:val="Heading2"/>
      </w:pPr>
      <w:bookmarkStart w:id="50" w:name="_Toc40299737"/>
      <w:r w:rsidRPr="00B86A2F">
        <w:rPr>
          <w:lang w:val="ru-RU"/>
        </w:rPr>
        <w:t>Внешний</w:t>
      </w:r>
      <w:r w:rsidRPr="00B86A2F">
        <w:t xml:space="preserve"> </w:t>
      </w:r>
      <w:r w:rsidRPr="00B86A2F">
        <w:rPr>
          <w:lang w:val="ru-RU"/>
        </w:rPr>
        <w:t>аудитор</w:t>
      </w:r>
      <w:bookmarkEnd w:id="50"/>
    </w:p>
    <w:p w14:paraId="5EAC63E3" w14:textId="3F22022F" w:rsidR="00C46B12" w:rsidRPr="00B86A2F" w:rsidRDefault="00B86A2F" w:rsidP="002C23BF">
      <w:pPr>
        <w:pStyle w:val="ONUME"/>
        <w:rPr>
          <w:lang w:val="ru-RU"/>
        </w:rPr>
      </w:pPr>
      <w:r w:rsidRPr="00B86A2F">
        <w:rPr>
          <w:lang w:val="ru-RU"/>
        </w:rPr>
        <w:t xml:space="preserve">ОВН поддерживал хорошие рабочие контакты с внешним аудитором и проводил регулярные встречи по вопросам аудита, внутреннего контроля и управления рисками. </w:t>
      </w:r>
      <w:r>
        <w:rPr>
          <w:lang w:val="ru-RU"/>
        </w:rPr>
        <w:t xml:space="preserve"> </w:t>
      </w:r>
      <w:r w:rsidRPr="00B86A2F">
        <w:rPr>
          <w:lang w:val="ru-RU"/>
        </w:rPr>
        <w:t>В интересах обеспечения эффективного охвата надзорной деятельности и во избежание потенциального дублирования функций и чрезмерного контроля внешний аудитор и ОВН обменивались информацией о своих стратегиях, годовых планах и содержании конкретных отчетов.</w:t>
      </w:r>
      <w:r>
        <w:rPr>
          <w:lang w:val="ru-RU"/>
        </w:rPr>
        <w:t xml:space="preserve">  </w:t>
      </w:r>
    </w:p>
    <w:p w14:paraId="1680D3F5" w14:textId="039C4B88" w:rsidR="00C46B12" w:rsidRPr="00431669" w:rsidRDefault="00B86A2F" w:rsidP="002C23BF">
      <w:pPr>
        <w:pStyle w:val="ONUME"/>
        <w:rPr>
          <w:lang w:val="ru-RU"/>
        </w:rPr>
      </w:pPr>
      <w:r w:rsidRPr="00B86A2F">
        <w:rPr>
          <w:lang w:val="ru-RU"/>
        </w:rPr>
        <w:t xml:space="preserve">В течение отчетного периода ОВН провел несколько встреч с внешним аудитором из Национального ревизионного управления Соединенного Королевства и поделился с ним годовым планом работы. </w:t>
      </w:r>
      <w:r>
        <w:rPr>
          <w:lang w:val="ru-RU"/>
        </w:rPr>
        <w:t xml:space="preserve"> </w:t>
      </w:r>
      <w:r w:rsidRPr="00B86A2F">
        <w:rPr>
          <w:lang w:val="ru-RU"/>
        </w:rPr>
        <w:t>ОВН вел активную работу с внешними аудиторами в ходе проведения ими аудиторских проверок в 201</w:t>
      </w:r>
      <w:r>
        <w:rPr>
          <w:lang w:val="ru-RU"/>
        </w:rPr>
        <w:t>9</w:t>
      </w:r>
      <w:r w:rsidRPr="00B86A2F">
        <w:rPr>
          <w:lang w:val="ru-RU"/>
        </w:rPr>
        <w:t xml:space="preserve"> г. и предоставлял необходимую информацию по </w:t>
      </w:r>
      <w:r w:rsidR="00431669">
        <w:rPr>
          <w:lang w:val="ru-RU"/>
        </w:rPr>
        <w:t xml:space="preserve">их </w:t>
      </w:r>
      <w:r w:rsidRPr="00B86A2F">
        <w:rPr>
          <w:lang w:val="ru-RU"/>
        </w:rPr>
        <w:t>запрос</w:t>
      </w:r>
      <w:r w:rsidR="00431669">
        <w:rPr>
          <w:lang w:val="ru-RU"/>
        </w:rPr>
        <w:t>ам</w:t>
      </w:r>
      <w:r w:rsidRPr="00B86A2F">
        <w:rPr>
          <w:lang w:val="ru-RU"/>
        </w:rPr>
        <w:t xml:space="preserve">. </w:t>
      </w:r>
      <w:r>
        <w:rPr>
          <w:lang w:val="ru-RU"/>
        </w:rPr>
        <w:t xml:space="preserve"> </w:t>
      </w:r>
    </w:p>
    <w:p w14:paraId="67502555" w14:textId="0309D1D8" w:rsidR="00C46B12" w:rsidRPr="00B86A2F" w:rsidRDefault="00B86A2F" w:rsidP="00C46B12">
      <w:pPr>
        <w:pStyle w:val="Heading2"/>
        <w:rPr>
          <w:lang w:val="ru-RU"/>
        </w:rPr>
      </w:pPr>
      <w:bookmarkStart w:id="51" w:name="_Toc11683746"/>
      <w:bookmarkStart w:id="52" w:name="_Toc40299738"/>
      <w:r w:rsidRPr="00B86A2F">
        <w:rPr>
          <w:lang w:val="ru-RU"/>
        </w:rPr>
        <w:t>СОТРУДНИЧЕСТВО С ОМБУДСМЕНОМ И БЮРО ПО ВОПРОСАМ ЭТИКИ</w:t>
      </w:r>
      <w:bookmarkEnd w:id="51"/>
      <w:bookmarkEnd w:id="52"/>
    </w:p>
    <w:p w14:paraId="08B52B16" w14:textId="09FD4E76" w:rsidR="00C46B12" w:rsidRPr="00CE0303" w:rsidRDefault="00B86A2F" w:rsidP="002C23BF">
      <w:pPr>
        <w:pStyle w:val="ONUME"/>
        <w:rPr>
          <w:lang w:val="ru-RU"/>
        </w:rPr>
      </w:pPr>
      <w:r w:rsidRPr="00B86A2F">
        <w:rPr>
          <w:lang w:val="ru-RU"/>
        </w:rPr>
        <w:t xml:space="preserve">В течение отчетного периода директор ОВН регулярно встречался с Омбудсменом и Старшим сотрудником по вопросам этики для обеспечения надлежащей координации и взаимодополняемости усилий. </w:t>
      </w:r>
    </w:p>
    <w:p w14:paraId="2942B27A" w14:textId="3361E198" w:rsidR="00C46B12" w:rsidRPr="00B86A2F" w:rsidRDefault="00B86A2F" w:rsidP="00C46B12">
      <w:pPr>
        <w:pStyle w:val="Heading1"/>
        <w:rPr>
          <w:lang w:val="ru-RU"/>
        </w:rPr>
      </w:pPr>
      <w:bookmarkStart w:id="53" w:name="_Toc11683747"/>
      <w:bookmarkStart w:id="54" w:name="_Toc40299739"/>
      <w:r w:rsidRPr="00B86A2F">
        <w:rPr>
          <w:lang w:val="ru-RU"/>
        </w:rPr>
        <w:t>ПРОЧИЕ НАПРАВЛЕНИЯ РАБОТЫ ПО ОБЕСПЕЧЕНИЮ НАДЗОРА</w:t>
      </w:r>
      <w:bookmarkEnd w:id="53"/>
      <w:bookmarkEnd w:id="54"/>
    </w:p>
    <w:p w14:paraId="7EC5B0BB" w14:textId="379E894F" w:rsidR="00C46B12" w:rsidRPr="00B86A2F" w:rsidRDefault="00B86A2F" w:rsidP="00C46B12">
      <w:pPr>
        <w:pStyle w:val="Heading2"/>
        <w:rPr>
          <w:lang w:val="ru-RU"/>
        </w:rPr>
      </w:pPr>
      <w:bookmarkStart w:id="55" w:name="_Toc40299740"/>
      <w:r w:rsidRPr="00B86A2F">
        <w:rPr>
          <w:lang w:val="ru-RU"/>
        </w:rPr>
        <w:t>Информационно-разъяснительная работа в рамках Организации</w:t>
      </w:r>
      <w:bookmarkEnd w:id="55"/>
    </w:p>
    <w:p w14:paraId="011A01E7" w14:textId="298DD89E" w:rsidR="00C46B12" w:rsidRPr="00CE0303" w:rsidRDefault="00B86A2F" w:rsidP="002C23BF">
      <w:pPr>
        <w:pStyle w:val="ONUME"/>
        <w:rPr>
          <w:bCs/>
          <w:iCs/>
          <w:caps/>
          <w:szCs w:val="28"/>
          <w:lang w:val="ru-RU"/>
        </w:rPr>
      </w:pPr>
      <w:r w:rsidRPr="00B86A2F">
        <w:rPr>
          <w:lang w:val="ru-RU"/>
        </w:rPr>
        <w:t xml:space="preserve">В рамках своих постоянных усилий, направленных на формирование более полного представления о функциях внутреннего надзора и разъяснение его задач, ОВН продолжал проводить информационно-разъяснительную работу среди коллег по ВОИС посредством презентаций, проводимых для новых сотрудников в рамках вводного инструктажа, бюллетеня ОВН, информационной панели ОВН и презентаций для директоров и высшего руководства, по мере необходимости.  </w:t>
      </w:r>
    </w:p>
    <w:p w14:paraId="248F9451" w14:textId="5331A46D" w:rsidR="00B86A2F" w:rsidRPr="00B86A2F" w:rsidRDefault="00B86A2F" w:rsidP="00B86A2F">
      <w:pPr>
        <w:pStyle w:val="Heading2"/>
        <w:rPr>
          <w:lang w:val="ru-RU"/>
        </w:rPr>
      </w:pPr>
      <w:bookmarkStart w:id="56" w:name="_Toc40299741"/>
      <w:r w:rsidRPr="00B86A2F">
        <w:rPr>
          <w:lang w:val="ru-RU"/>
        </w:rPr>
        <w:t>Опрос</w:t>
      </w:r>
      <w:r>
        <w:rPr>
          <w:lang w:val="ru-RU"/>
        </w:rPr>
        <w:t>ы</w:t>
      </w:r>
      <w:r w:rsidRPr="00B86A2F">
        <w:rPr>
          <w:lang w:val="ru-RU"/>
        </w:rPr>
        <w:t xml:space="preserve"> о качестве обслуживания</w:t>
      </w:r>
      <w:bookmarkEnd w:id="56"/>
    </w:p>
    <w:p w14:paraId="523A9630" w14:textId="64681352" w:rsidR="00C46B12" w:rsidRPr="00B86A2F" w:rsidRDefault="00B86A2F" w:rsidP="002C23BF">
      <w:pPr>
        <w:pStyle w:val="ONUME"/>
        <w:rPr>
          <w:lang w:val="ru-RU"/>
        </w:rPr>
      </w:pPr>
      <w:r w:rsidRPr="00B86A2F">
        <w:rPr>
          <w:lang w:val="ru-RU"/>
        </w:rPr>
        <w:t xml:space="preserve">ОВН продолжал запрашивать комментарии коллег из прошедших аудиторскую проверку/оценку подразделений ВОИС посредством проведения опросов о степени удовлетворенности после каждого проведенного мероприятия. </w:t>
      </w:r>
      <w:r>
        <w:rPr>
          <w:lang w:val="ru-RU"/>
        </w:rPr>
        <w:t xml:space="preserve"> </w:t>
      </w:r>
      <w:r w:rsidRPr="00B86A2F">
        <w:rPr>
          <w:lang w:val="ru-RU"/>
        </w:rPr>
        <w:t xml:space="preserve">Цель этой работы заключается в эффективном сборе и анализе отзывов коллег о надзорной работе. </w:t>
      </w:r>
      <w:r>
        <w:rPr>
          <w:lang w:val="ru-RU"/>
        </w:rPr>
        <w:t xml:space="preserve"> По состоянию на конец 2019 г. к</w:t>
      </w:r>
      <w:r w:rsidRPr="00B86A2F">
        <w:rPr>
          <w:lang w:val="ru-RU"/>
        </w:rPr>
        <w:t xml:space="preserve">омплексный анализ результатов опросов указывает на индекс удовлетворенности в 85 процентов.  </w:t>
      </w:r>
    </w:p>
    <w:p w14:paraId="2CA09D95" w14:textId="1111AEB0" w:rsidR="00C46B12" w:rsidRPr="00B86A2F" w:rsidRDefault="00B86A2F" w:rsidP="00CE0303">
      <w:pPr>
        <w:pStyle w:val="ONUME"/>
        <w:rPr>
          <w:lang w:val="ru-RU"/>
        </w:rPr>
      </w:pPr>
      <w:r w:rsidRPr="00B86A2F">
        <w:rPr>
          <w:lang w:val="ru-RU"/>
        </w:rPr>
        <w:t>Результаты опросов, проведенных через год после мероприяти</w:t>
      </w:r>
      <w:r>
        <w:rPr>
          <w:lang w:val="ru-RU"/>
        </w:rPr>
        <w:t>й</w:t>
      </w:r>
      <w:r w:rsidRPr="00B86A2F">
        <w:rPr>
          <w:lang w:val="ru-RU"/>
        </w:rPr>
        <w:t>, которые используются для оценки воздействия надзорной работы, указали на средний индекс удовлетворенности в 7</w:t>
      </w:r>
      <w:r>
        <w:rPr>
          <w:lang w:val="ru-RU"/>
        </w:rPr>
        <w:t>6</w:t>
      </w:r>
      <w:r w:rsidRPr="00B86A2F">
        <w:rPr>
          <w:lang w:val="ru-RU"/>
        </w:rPr>
        <w:t> процентов. Основываясь на полученных от коллег отзывах, ОВН будет стремиться к дальнейшему увеличению степени воздействия своей надзорной деятельности.</w:t>
      </w:r>
    </w:p>
    <w:p w14:paraId="28CA376B" w14:textId="085C16FD" w:rsidR="00C46B12" w:rsidRPr="00CE0303" w:rsidRDefault="00B86A2F" w:rsidP="002C23BF">
      <w:pPr>
        <w:pStyle w:val="ONUME"/>
        <w:rPr>
          <w:lang w:val="ru-RU"/>
        </w:rPr>
      </w:pPr>
      <w:r w:rsidRPr="00B86A2F">
        <w:rPr>
          <w:lang w:val="ru-RU"/>
        </w:rPr>
        <w:lastRenderedPageBreak/>
        <w:t xml:space="preserve">Дополнительные комментарии, полученные в ходе опросов от подразделений, в которых была проведена аудиторская проверка/оценка, помогли ОВН выявить недостатки и принять меры по их устранению. </w:t>
      </w:r>
      <w:r>
        <w:rPr>
          <w:lang w:val="ru-RU"/>
        </w:rPr>
        <w:t xml:space="preserve"> </w:t>
      </w:r>
    </w:p>
    <w:p w14:paraId="70BCD8FD" w14:textId="663F4428" w:rsidR="00C46B12" w:rsidRPr="00B86A2F" w:rsidRDefault="00B86A2F" w:rsidP="00C46B12">
      <w:pPr>
        <w:pStyle w:val="Heading2"/>
        <w:rPr>
          <w:lang w:val="ru-RU"/>
        </w:rPr>
      </w:pPr>
      <w:bookmarkStart w:id="57" w:name="_Toc40299742"/>
      <w:r w:rsidRPr="00B86A2F">
        <w:rPr>
          <w:lang w:val="ru-RU"/>
        </w:rPr>
        <w:t>Поддержание контактов с другими надзорными органами</w:t>
      </w:r>
      <w:bookmarkEnd w:id="57"/>
    </w:p>
    <w:p w14:paraId="17DD48F0" w14:textId="6BE891DE" w:rsidR="00C46B12" w:rsidRPr="00431669" w:rsidRDefault="00B86A2F" w:rsidP="002C23BF">
      <w:pPr>
        <w:pStyle w:val="ONUME"/>
        <w:rPr>
          <w:lang w:val="ru-RU"/>
        </w:rPr>
      </w:pPr>
      <w:r w:rsidRPr="00B86A2F">
        <w:rPr>
          <w:lang w:val="ru-RU"/>
        </w:rPr>
        <w:t>УВН содержит конкретные положения</w:t>
      </w:r>
      <w:r w:rsidR="00C46B12">
        <w:rPr>
          <w:rStyle w:val="FootnoteReference"/>
        </w:rPr>
        <w:footnoteReference w:id="17"/>
      </w:r>
      <w:r w:rsidR="00C46B12" w:rsidRPr="00B86A2F">
        <w:rPr>
          <w:lang w:val="ru-RU"/>
        </w:rPr>
        <w:t xml:space="preserve"> </w:t>
      </w:r>
      <w:r>
        <w:rPr>
          <w:lang w:val="ru-RU"/>
        </w:rPr>
        <w:t xml:space="preserve">о </w:t>
      </w:r>
      <w:r w:rsidRPr="00B86A2F">
        <w:rPr>
          <w:lang w:val="ru-RU"/>
        </w:rPr>
        <w:t xml:space="preserve">поддержании связи и сотрудничестве со службами внутреннего надзора других организаций системы ООН и многосторонних финансовых учреждений. </w:t>
      </w:r>
      <w:r>
        <w:rPr>
          <w:lang w:val="ru-RU"/>
        </w:rPr>
        <w:t xml:space="preserve"> </w:t>
      </w:r>
      <w:r w:rsidRPr="00B86A2F">
        <w:rPr>
          <w:lang w:val="ru-RU"/>
        </w:rPr>
        <w:t xml:space="preserve">ОВН осознает ценность и значимость развития отношений с другими надзорными органами. </w:t>
      </w:r>
      <w:r>
        <w:rPr>
          <w:lang w:val="ru-RU"/>
        </w:rPr>
        <w:t xml:space="preserve"> </w:t>
      </w:r>
      <w:r w:rsidRPr="00B86A2F">
        <w:rPr>
          <w:lang w:val="ru-RU"/>
        </w:rPr>
        <w:t xml:space="preserve">В отчетный период ОВН продолжал активно и конструктивно сотрудничать и развивать связи с другими организациями и подразделениями системы </w:t>
      </w:r>
      <w:r w:rsidR="00431669">
        <w:rPr>
          <w:lang w:val="ru-RU"/>
        </w:rPr>
        <w:t>ООН</w:t>
      </w:r>
      <w:r w:rsidRPr="00B86A2F">
        <w:rPr>
          <w:lang w:val="ru-RU"/>
        </w:rPr>
        <w:t xml:space="preserve">. </w:t>
      </w:r>
      <w:r>
        <w:rPr>
          <w:lang w:val="ru-RU"/>
        </w:rPr>
        <w:t xml:space="preserve"> </w:t>
      </w:r>
      <w:r w:rsidRPr="00B86A2F">
        <w:rPr>
          <w:lang w:val="ru-RU"/>
        </w:rPr>
        <w:t>В</w:t>
      </w:r>
      <w:r w:rsidRPr="00431669">
        <w:rPr>
          <w:lang w:val="ru-RU"/>
        </w:rPr>
        <w:t xml:space="preserve"> </w:t>
      </w:r>
      <w:r w:rsidRPr="00B86A2F">
        <w:rPr>
          <w:lang w:val="ru-RU"/>
        </w:rPr>
        <w:t>частности</w:t>
      </w:r>
      <w:r w:rsidRPr="00431669">
        <w:rPr>
          <w:lang w:val="ru-RU"/>
        </w:rPr>
        <w:t xml:space="preserve">, </w:t>
      </w:r>
      <w:r w:rsidRPr="00B86A2F">
        <w:rPr>
          <w:lang w:val="ru-RU"/>
        </w:rPr>
        <w:t>ОВН</w:t>
      </w:r>
      <w:r w:rsidRPr="00431669">
        <w:rPr>
          <w:lang w:val="ru-RU"/>
        </w:rPr>
        <w:t xml:space="preserve"> </w:t>
      </w:r>
      <w:r w:rsidRPr="00B86A2F">
        <w:rPr>
          <w:lang w:val="ru-RU"/>
        </w:rPr>
        <w:t>принял</w:t>
      </w:r>
      <w:r w:rsidRPr="00431669">
        <w:rPr>
          <w:lang w:val="ru-RU"/>
        </w:rPr>
        <w:t xml:space="preserve"> </w:t>
      </w:r>
      <w:r w:rsidRPr="00B86A2F">
        <w:rPr>
          <w:lang w:val="ru-RU"/>
        </w:rPr>
        <w:t>активное</w:t>
      </w:r>
      <w:r w:rsidRPr="00431669">
        <w:rPr>
          <w:lang w:val="ru-RU"/>
        </w:rPr>
        <w:t xml:space="preserve"> </w:t>
      </w:r>
      <w:r w:rsidRPr="00B86A2F">
        <w:rPr>
          <w:lang w:val="ru-RU"/>
        </w:rPr>
        <w:t>участие</w:t>
      </w:r>
      <w:r w:rsidRPr="00431669">
        <w:rPr>
          <w:lang w:val="ru-RU"/>
        </w:rPr>
        <w:t xml:space="preserve"> </w:t>
      </w:r>
      <w:r w:rsidRPr="00B86A2F">
        <w:rPr>
          <w:lang w:val="ru-RU"/>
        </w:rPr>
        <w:t>в</w:t>
      </w:r>
      <w:r w:rsidRPr="00431669">
        <w:rPr>
          <w:lang w:val="ru-RU"/>
        </w:rPr>
        <w:t xml:space="preserve"> </w:t>
      </w:r>
      <w:r w:rsidRPr="00B86A2F">
        <w:rPr>
          <w:lang w:val="ru-RU"/>
        </w:rPr>
        <w:t>следующих</w:t>
      </w:r>
      <w:r w:rsidRPr="00431669">
        <w:rPr>
          <w:lang w:val="ru-RU"/>
        </w:rPr>
        <w:t xml:space="preserve"> </w:t>
      </w:r>
      <w:r w:rsidRPr="00B86A2F">
        <w:rPr>
          <w:lang w:val="ru-RU"/>
        </w:rPr>
        <w:t>мероприятиях</w:t>
      </w:r>
      <w:r w:rsidRPr="00431669">
        <w:rPr>
          <w:lang w:val="ru-RU"/>
        </w:rPr>
        <w:t xml:space="preserve">: </w:t>
      </w:r>
    </w:p>
    <w:p w14:paraId="0C50E341" w14:textId="3C7F6B00" w:rsidR="00C46B12" w:rsidRPr="00B86A2F" w:rsidRDefault="00B86A2F" w:rsidP="002C23BF">
      <w:pPr>
        <w:pStyle w:val="ONUME"/>
        <w:numPr>
          <w:ilvl w:val="1"/>
          <w:numId w:val="6"/>
        </w:numPr>
        <w:rPr>
          <w:lang w:val="ru-RU" w:eastAsia="en-GB"/>
        </w:rPr>
      </w:pPr>
      <w:r w:rsidRPr="00B86A2F">
        <w:rPr>
          <w:lang w:val="ru-RU"/>
        </w:rPr>
        <w:t xml:space="preserve">Ежегодное совещание представителей служб внутреннего аудита организаций системы ООН (ПСВА ООН), состоявшееся 25-31 </w:t>
      </w:r>
      <w:r>
        <w:rPr>
          <w:lang w:val="ru-RU"/>
        </w:rPr>
        <w:t>августа</w:t>
      </w:r>
      <w:r w:rsidRPr="00B86A2F">
        <w:rPr>
          <w:lang w:val="ru-RU"/>
        </w:rPr>
        <w:t xml:space="preserve"> 2019 </w:t>
      </w:r>
      <w:r>
        <w:rPr>
          <w:lang w:val="ru-RU"/>
        </w:rPr>
        <w:t>г</w:t>
      </w:r>
      <w:r w:rsidRPr="00B86A2F">
        <w:rPr>
          <w:lang w:val="ru-RU"/>
        </w:rPr>
        <w:t xml:space="preserve">. </w:t>
      </w:r>
      <w:r>
        <w:rPr>
          <w:lang w:val="ru-RU"/>
        </w:rPr>
        <w:t>в</w:t>
      </w:r>
      <w:r w:rsidRPr="00B86A2F">
        <w:rPr>
          <w:lang w:val="ru-RU"/>
        </w:rPr>
        <w:t xml:space="preserve"> </w:t>
      </w:r>
      <w:r>
        <w:rPr>
          <w:lang w:val="ru-RU"/>
        </w:rPr>
        <w:t>Монреале</w:t>
      </w:r>
      <w:r w:rsidRPr="00B86A2F">
        <w:rPr>
          <w:lang w:val="ru-RU"/>
        </w:rPr>
        <w:t xml:space="preserve">, </w:t>
      </w:r>
      <w:r>
        <w:rPr>
          <w:lang w:val="ru-RU"/>
        </w:rPr>
        <w:t>Канада</w:t>
      </w:r>
      <w:r w:rsidR="00C46B12" w:rsidRPr="00B86A2F">
        <w:rPr>
          <w:lang w:val="ru-RU" w:eastAsia="en-GB"/>
        </w:rPr>
        <w:t xml:space="preserve">;  </w:t>
      </w:r>
    </w:p>
    <w:p w14:paraId="162AF3EE" w14:textId="6D93843B" w:rsidR="00C84D33" w:rsidRPr="00B86A2F" w:rsidRDefault="00B86A2F" w:rsidP="00C84D33">
      <w:pPr>
        <w:pStyle w:val="ONUME"/>
        <w:numPr>
          <w:ilvl w:val="1"/>
          <w:numId w:val="6"/>
        </w:numPr>
        <w:rPr>
          <w:lang w:val="ru-RU" w:eastAsia="en-GB"/>
        </w:rPr>
      </w:pPr>
      <w:r w:rsidRPr="00B86A2F">
        <w:rPr>
          <w:lang w:val="ru-RU" w:eastAsia="en-GB"/>
        </w:rPr>
        <w:t xml:space="preserve">Ежегодное совещание представителей служб расследований организаций системы ООН (ПСР ООН), состоявшееся 6-8 </w:t>
      </w:r>
      <w:r>
        <w:rPr>
          <w:lang w:val="ru-RU" w:eastAsia="en-GB"/>
        </w:rPr>
        <w:t>ноября</w:t>
      </w:r>
      <w:r w:rsidRPr="00B86A2F">
        <w:rPr>
          <w:lang w:val="ru-RU" w:eastAsia="en-GB"/>
        </w:rPr>
        <w:t xml:space="preserve"> 2019 </w:t>
      </w:r>
      <w:r>
        <w:rPr>
          <w:lang w:val="ru-RU" w:eastAsia="en-GB"/>
        </w:rPr>
        <w:t>г</w:t>
      </w:r>
      <w:r w:rsidRPr="00B86A2F">
        <w:rPr>
          <w:lang w:val="ru-RU" w:eastAsia="en-GB"/>
        </w:rPr>
        <w:t xml:space="preserve">. </w:t>
      </w:r>
      <w:r>
        <w:rPr>
          <w:lang w:val="ru-RU" w:eastAsia="en-GB"/>
        </w:rPr>
        <w:t>в</w:t>
      </w:r>
      <w:r w:rsidRPr="00B86A2F">
        <w:rPr>
          <w:lang w:val="ru-RU" w:eastAsia="en-GB"/>
        </w:rPr>
        <w:t xml:space="preserve"> </w:t>
      </w:r>
      <w:r>
        <w:rPr>
          <w:lang w:val="ru-RU" w:eastAsia="en-GB"/>
        </w:rPr>
        <w:t xml:space="preserve">Женеве, Швейцария;  и </w:t>
      </w:r>
    </w:p>
    <w:p w14:paraId="08DCB799" w14:textId="582B2B0F" w:rsidR="00C46B12" w:rsidRPr="00CE0303" w:rsidRDefault="00B86A2F" w:rsidP="002C23BF">
      <w:pPr>
        <w:pStyle w:val="ONUME"/>
        <w:numPr>
          <w:ilvl w:val="1"/>
          <w:numId w:val="6"/>
        </w:numPr>
        <w:rPr>
          <w:lang w:val="ru-RU" w:eastAsia="en-GB"/>
        </w:rPr>
      </w:pPr>
      <w:r w:rsidRPr="00B86A2F">
        <w:rPr>
          <w:lang w:val="ru-RU" w:eastAsia="en-GB"/>
        </w:rPr>
        <w:t>Ежегодн</w:t>
      </w:r>
      <w:r>
        <w:rPr>
          <w:lang w:val="ru-RU" w:eastAsia="en-GB"/>
        </w:rPr>
        <w:t>ое</w:t>
      </w:r>
      <w:r w:rsidRPr="00B86A2F">
        <w:rPr>
          <w:lang w:val="ru-RU" w:eastAsia="en-GB"/>
        </w:rPr>
        <w:t xml:space="preserve"> </w:t>
      </w:r>
      <w:r>
        <w:rPr>
          <w:lang w:val="ru-RU" w:eastAsia="en-GB"/>
        </w:rPr>
        <w:t>заседание</w:t>
      </w:r>
      <w:r w:rsidRPr="00B86A2F">
        <w:rPr>
          <w:lang w:val="ru-RU" w:eastAsia="en-GB"/>
        </w:rPr>
        <w:t xml:space="preserve"> </w:t>
      </w:r>
      <w:r>
        <w:rPr>
          <w:lang w:val="ru-RU" w:eastAsia="en-GB"/>
        </w:rPr>
        <w:t>Группы</w:t>
      </w:r>
      <w:r w:rsidRPr="00B86A2F">
        <w:rPr>
          <w:lang w:val="ru-RU" w:eastAsia="en-GB"/>
        </w:rPr>
        <w:t xml:space="preserve"> </w:t>
      </w:r>
      <w:r>
        <w:rPr>
          <w:lang w:val="ru-RU" w:eastAsia="en-GB"/>
        </w:rPr>
        <w:t>внешних</w:t>
      </w:r>
      <w:r w:rsidRPr="00B86A2F">
        <w:rPr>
          <w:lang w:val="ru-RU" w:eastAsia="en-GB"/>
        </w:rPr>
        <w:t xml:space="preserve"> </w:t>
      </w:r>
      <w:r>
        <w:rPr>
          <w:lang w:val="ru-RU" w:eastAsia="en-GB"/>
        </w:rPr>
        <w:t>ревизоров</w:t>
      </w:r>
      <w:r w:rsidRPr="00B86A2F">
        <w:rPr>
          <w:lang w:val="ru-RU" w:eastAsia="en-GB"/>
        </w:rPr>
        <w:t xml:space="preserve"> </w:t>
      </w:r>
      <w:r>
        <w:rPr>
          <w:lang w:val="ru-RU" w:eastAsia="en-GB"/>
        </w:rPr>
        <w:t>ООН</w:t>
      </w:r>
      <w:r w:rsidRPr="00B86A2F">
        <w:rPr>
          <w:lang w:val="ru-RU" w:eastAsia="en-GB"/>
        </w:rPr>
        <w:t>, состоявш</w:t>
      </w:r>
      <w:r>
        <w:rPr>
          <w:lang w:val="ru-RU" w:eastAsia="en-GB"/>
        </w:rPr>
        <w:t>ее</w:t>
      </w:r>
      <w:r w:rsidRPr="00B86A2F">
        <w:rPr>
          <w:lang w:val="ru-RU" w:eastAsia="en-GB"/>
        </w:rPr>
        <w:t xml:space="preserve">ся 28 </w:t>
      </w:r>
      <w:r>
        <w:rPr>
          <w:lang w:val="ru-RU" w:eastAsia="en-GB"/>
        </w:rPr>
        <w:t>ноября</w:t>
      </w:r>
      <w:r w:rsidRPr="00B86A2F">
        <w:rPr>
          <w:lang w:val="ru-RU" w:eastAsia="en-GB"/>
        </w:rPr>
        <w:t xml:space="preserve"> 2019 </w:t>
      </w:r>
      <w:r>
        <w:rPr>
          <w:lang w:val="ru-RU" w:eastAsia="en-GB"/>
        </w:rPr>
        <w:t>г</w:t>
      </w:r>
      <w:r w:rsidRPr="00B86A2F">
        <w:rPr>
          <w:lang w:val="ru-RU" w:eastAsia="en-GB"/>
        </w:rPr>
        <w:t xml:space="preserve">. </w:t>
      </w:r>
      <w:r>
        <w:rPr>
          <w:lang w:val="ru-RU" w:eastAsia="en-GB"/>
        </w:rPr>
        <w:t>в</w:t>
      </w:r>
      <w:r w:rsidRPr="00B86A2F">
        <w:rPr>
          <w:lang w:val="ru-RU" w:eastAsia="en-GB"/>
        </w:rPr>
        <w:t xml:space="preserve"> </w:t>
      </w:r>
      <w:r>
        <w:rPr>
          <w:lang w:val="ru-RU" w:eastAsia="en-GB"/>
        </w:rPr>
        <w:t xml:space="preserve">Бонне, Германия.  </w:t>
      </w:r>
    </w:p>
    <w:p w14:paraId="167C1CA9" w14:textId="051512F1" w:rsidR="00C46B12" w:rsidRPr="00B86A2F" w:rsidRDefault="00B86A2F" w:rsidP="00C46B12">
      <w:pPr>
        <w:pStyle w:val="Heading1"/>
      </w:pPr>
      <w:bookmarkStart w:id="58" w:name="_Toc11683748"/>
      <w:bookmarkStart w:id="59" w:name="_Toc40299743"/>
      <w:r w:rsidRPr="00B86A2F">
        <w:rPr>
          <w:lang w:val="ru-RU"/>
        </w:rPr>
        <w:t>ОПЕРАТИВНАЯ</w:t>
      </w:r>
      <w:r w:rsidRPr="00B86A2F">
        <w:t xml:space="preserve"> </w:t>
      </w:r>
      <w:r w:rsidRPr="00B86A2F">
        <w:rPr>
          <w:lang w:val="ru-RU"/>
        </w:rPr>
        <w:t>НЕЗАВИСИМОСТЬ</w:t>
      </w:r>
      <w:r w:rsidRPr="00B86A2F">
        <w:t xml:space="preserve"> </w:t>
      </w:r>
      <w:r w:rsidRPr="00B86A2F">
        <w:rPr>
          <w:lang w:val="ru-RU"/>
        </w:rPr>
        <w:t>ОВН</w:t>
      </w:r>
      <w:bookmarkEnd w:id="58"/>
      <w:bookmarkEnd w:id="59"/>
    </w:p>
    <w:p w14:paraId="32643C16" w14:textId="1961C6E1" w:rsidR="00C46B12" w:rsidRPr="00CE0303" w:rsidRDefault="00B86A2F" w:rsidP="002C23BF">
      <w:pPr>
        <w:pStyle w:val="ONUME"/>
        <w:rPr>
          <w:lang w:val="ru-RU"/>
        </w:rPr>
      </w:pPr>
      <w:r w:rsidRPr="00B86A2F">
        <w:rPr>
          <w:lang w:val="ru-RU"/>
        </w:rPr>
        <w:t>В соответствии с УВН</w:t>
      </w:r>
      <w:r w:rsidR="00C46B12">
        <w:rPr>
          <w:rStyle w:val="FootnoteReference"/>
        </w:rPr>
        <w:footnoteReference w:id="18"/>
      </w:r>
      <w:r w:rsidR="00C46B12" w:rsidRPr="00B86A2F">
        <w:rPr>
          <w:lang w:val="ru-RU"/>
        </w:rPr>
        <w:t xml:space="preserve"> </w:t>
      </w:r>
      <w:r w:rsidRPr="00B86A2F">
        <w:rPr>
          <w:lang w:val="ru-RU"/>
        </w:rPr>
        <w:t xml:space="preserve">директор ОВН обязан </w:t>
      </w:r>
      <w:r w:rsidR="00D67501">
        <w:rPr>
          <w:lang w:val="ru-RU"/>
        </w:rPr>
        <w:t>«</w:t>
      </w:r>
      <w:r w:rsidRPr="00B86A2F">
        <w:rPr>
          <w:lang w:val="ru-RU"/>
        </w:rPr>
        <w:t xml:space="preserve">подтверждать </w:t>
      </w:r>
      <w:r w:rsidR="00D67501">
        <w:rPr>
          <w:lang w:val="ru-RU"/>
        </w:rPr>
        <w:t>организационную независимость функции внутреннего надзора</w:t>
      </w:r>
      <w:r w:rsidRPr="00B86A2F">
        <w:rPr>
          <w:lang w:val="ru-RU"/>
        </w:rPr>
        <w:t xml:space="preserve"> и представлять </w:t>
      </w:r>
      <w:r w:rsidR="00D67501">
        <w:rPr>
          <w:lang w:val="ru-RU"/>
        </w:rPr>
        <w:t>информацию</w:t>
      </w:r>
      <w:r w:rsidRPr="00B86A2F">
        <w:rPr>
          <w:lang w:val="ru-RU"/>
        </w:rPr>
        <w:t xml:space="preserve"> относительно сферы деятельности </w:t>
      </w:r>
      <w:r w:rsidR="00D67501">
        <w:rPr>
          <w:lang w:val="ru-RU"/>
        </w:rPr>
        <w:t xml:space="preserve">по внутреннему надзору </w:t>
      </w:r>
      <w:r w:rsidRPr="00B86A2F">
        <w:rPr>
          <w:lang w:val="ru-RU"/>
        </w:rPr>
        <w:t xml:space="preserve">и достаточности ресурсов, выделяемых для </w:t>
      </w:r>
      <w:r w:rsidR="00D67501">
        <w:rPr>
          <w:lang w:val="ru-RU"/>
        </w:rPr>
        <w:t>соответствующих целей»</w:t>
      </w:r>
      <w:r w:rsidR="00046C7F">
        <w:rPr>
          <w:lang w:val="ru-RU"/>
        </w:rPr>
        <w:t>.</w:t>
      </w:r>
    </w:p>
    <w:p w14:paraId="2B450184" w14:textId="4FBF2ADA" w:rsidR="00C46B12" w:rsidRPr="00CE0303" w:rsidRDefault="00B86A2F" w:rsidP="002C23BF">
      <w:pPr>
        <w:pStyle w:val="ONUME"/>
        <w:rPr>
          <w:lang w:val="ru-RU"/>
        </w:rPr>
      </w:pPr>
      <w:r w:rsidRPr="00B86A2F">
        <w:rPr>
          <w:lang w:val="ru-RU"/>
        </w:rPr>
        <w:t xml:space="preserve">В течение отчетного периода не произошло никаких случаев/действий, которые можно было бы рассматривать как ставящие под угрозу оперативную независимость ОВН. </w:t>
      </w:r>
      <w:r>
        <w:rPr>
          <w:lang w:val="ru-RU"/>
        </w:rPr>
        <w:t xml:space="preserve"> </w:t>
      </w:r>
      <w:r w:rsidRPr="00B86A2F">
        <w:rPr>
          <w:lang w:val="ru-RU"/>
        </w:rPr>
        <w:t xml:space="preserve">Решение об охвате надзорной деятельности было принято ОВН с учетом </w:t>
      </w:r>
      <w:r>
        <w:rPr>
          <w:lang w:val="ru-RU"/>
        </w:rPr>
        <w:t xml:space="preserve">оценки рисков, а также </w:t>
      </w:r>
      <w:r w:rsidRPr="00B86A2F">
        <w:rPr>
          <w:lang w:val="ru-RU"/>
        </w:rPr>
        <w:t>комментариев и отзывов, полученных от руководства ВОИС, НККН и государств-членов, в зависимости от обстоятельств.</w:t>
      </w:r>
      <w:r>
        <w:rPr>
          <w:lang w:val="ru-RU"/>
        </w:rPr>
        <w:t xml:space="preserve">  </w:t>
      </w:r>
      <w:bookmarkStart w:id="60" w:name="_Toc420663573"/>
    </w:p>
    <w:p w14:paraId="4B4BE58A" w14:textId="3E070D4D" w:rsidR="00B86A2F" w:rsidRPr="00B86A2F" w:rsidRDefault="00B86A2F" w:rsidP="00B86A2F">
      <w:pPr>
        <w:pStyle w:val="Heading1"/>
        <w:rPr>
          <w:lang w:val="ru-RU"/>
        </w:rPr>
      </w:pPr>
      <w:bookmarkStart w:id="61" w:name="_Toc11683749"/>
      <w:bookmarkStart w:id="62" w:name="_Toc40299744"/>
      <w:bookmarkEnd w:id="60"/>
      <w:r w:rsidRPr="00B86A2F">
        <w:rPr>
          <w:lang w:val="ru-RU"/>
        </w:rPr>
        <w:t>РЕСУРСЫ ДЛЯ НАДЗОРНОЙ ДЕЯТЕЛЬНОСТИ</w:t>
      </w:r>
      <w:bookmarkEnd w:id="61"/>
      <w:bookmarkEnd w:id="62"/>
      <w:r w:rsidRPr="00B86A2F">
        <w:rPr>
          <w:lang w:val="ru-RU"/>
        </w:rPr>
        <w:t xml:space="preserve"> </w:t>
      </w:r>
    </w:p>
    <w:p w14:paraId="6B826F59" w14:textId="0EC69614" w:rsidR="00B86A2F" w:rsidRPr="00CE0303" w:rsidRDefault="00B86A2F" w:rsidP="00B86A2F">
      <w:pPr>
        <w:pStyle w:val="Heading2"/>
        <w:rPr>
          <w:lang w:val="ru-RU"/>
        </w:rPr>
      </w:pPr>
      <w:bookmarkStart w:id="63" w:name="_Toc40299745"/>
      <w:r w:rsidRPr="00B86A2F">
        <w:rPr>
          <w:lang w:val="ru-RU"/>
        </w:rPr>
        <w:t>Бюджет</w:t>
      </w:r>
      <w:r w:rsidRPr="00CE0303">
        <w:rPr>
          <w:lang w:val="ru-RU"/>
        </w:rPr>
        <w:t xml:space="preserve"> </w:t>
      </w:r>
      <w:r w:rsidRPr="00B86A2F">
        <w:rPr>
          <w:lang w:val="ru-RU"/>
        </w:rPr>
        <w:t>и</w:t>
      </w:r>
      <w:r w:rsidRPr="00CE0303">
        <w:rPr>
          <w:lang w:val="ru-RU"/>
        </w:rPr>
        <w:t xml:space="preserve"> </w:t>
      </w:r>
      <w:r w:rsidRPr="00B86A2F">
        <w:rPr>
          <w:lang w:val="ru-RU"/>
        </w:rPr>
        <w:t>штат</w:t>
      </w:r>
      <w:bookmarkEnd w:id="63"/>
    </w:p>
    <w:p w14:paraId="152EF6F3" w14:textId="2EE6296B" w:rsidR="00C46B12" w:rsidRPr="00CE0303" w:rsidRDefault="00A61AD6" w:rsidP="002C23BF">
      <w:pPr>
        <w:pStyle w:val="ONUME"/>
        <w:rPr>
          <w:lang w:val="ru-RU"/>
        </w:rPr>
      </w:pPr>
      <w:r w:rsidRPr="00A61AD6">
        <w:rPr>
          <w:lang w:val="ru-RU"/>
        </w:rPr>
        <w:t>Для выполнения мандата ОВН были выделены средства в рамках бюджета на двухгодичный период в размере 5,072</w:t>
      </w:r>
      <w:r w:rsidRPr="00A61AD6">
        <w:t> </w:t>
      </w:r>
      <w:r w:rsidRPr="00A61AD6">
        <w:rPr>
          <w:lang w:val="ru-RU"/>
        </w:rPr>
        <w:t>млн шв. франков, что составляет 0,73</w:t>
      </w:r>
      <w:r w:rsidRPr="00A61AD6">
        <w:t> </w:t>
      </w:r>
      <w:r w:rsidRPr="00A61AD6">
        <w:rPr>
          <w:lang w:val="ru-RU"/>
        </w:rPr>
        <w:t>процента</w:t>
      </w:r>
      <w:r w:rsidR="00C46B12">
        <w:rPr>
          <w:rStyle w:val="FootnoteReference"/>
        </w:rPr>
        <w:footnoteReference w:id="19"/>
      </w:r>
      <w:r w:rsidR="00C46B12" w:rsidRPr="00A61AD6">
        <w:rPr>
          <w:lang w:val="ru-RU"/>
        </w:rPr>
        <w:t xml:space="preserve"> </w:t>
      </w:r>
      <w:r w:rsidRPr="00A61AD6">
        <w:rPr>
          <w:lang w:val="ru-RU"/>
        </w:rPr>
        <w:t>от общего бюджета ВОИС на двух</w:t>
      </w:r>
      <w:r>
        <w:rPr>
          <w:lang w:val="ru-RU"/>
        </w:rPr>
        <w:t>летний</w:t>
      </w:r>
      <w:r w:rsidRPr="00A61AD6">
        <w:rPr>
          <w:lang w:val="ru-RU"/>
        </w:rPr>
        <w:t xml:space="preserve"> период 2018</w:t>
      </w:r>
      <w:r>
        <w:rPr>
          <w:lang w:val="ru-RU"/>
        </w:rPr>
        <w:t>/</w:t>
      </w:r>
      <w:r w:rsidRPr="00A61AD6">
        <w:rPr>
          <w:lang w:val="ru-RU"/>
        </w:rPr>
        <w:t>19 гг.</w:t>
      </w:r>
      <w:r>
        <w:rPr>
          <w:lang w:val="ru-RU"/>
        </w:rPr>
        <w:t xml:space="preserve">  </w:t>
      </w:r>
      <w:r w:rsidRPr="00A61AD6">
        <w:rPr>
          <w:lang w:val="ru-RU"/>
        </w:rPr>
        <w:t>В целом текущий объем людских и финансовых ресурсов является достаточным для эффективного выполнения ОВН своих функций в наиболее приоритетных областях в соответствии с планами работы.  Обмен планами работы по надзору и постоянная координация надзорной деятельности с внешним аудитором, а также эффективное использование ИТ-инструментов помогли добиться большей результативности и более эффективного охвата областей риска.</w:t>
      </w:r>
    </w:p>
    <w:p w14:paraId="1EE6201D" w14:textId="77777777" w:rsidR="00C46B12" w:rsidRPr="00CE0303" w:rsidRDefault="00C46B12" w:rsidP="00C46B12">
      <w:pPr>
        <w:rPr>
          <w:rFonts w:eastAsia="Times New Roman"/>
          <w:b/>
          <w:bCs/>
          <w:sz w:val="18"/>
          <w:szCs w:val="18"/>
          <w:lang w:val="ru-RU" w:eastAsia="en-US"/>
        </w:rPr>
      </w:pPr>
    </w:p>
    <w:p w14:paraId="7D6ABDB1" w14:textId="5A45FEEC" w:rsidR="00C46B12" w:rsidRPr="00A61AD6" w:rsidRDefault="00A61AD6" w:rsidP="00C46B12">
      <w:pPr>
        <w:pStyle w:val="NormalWeb"/>
        <w:keepNext/>
        <w:keepLines/>
        <w:spacing w:before="0" w:beforeAutospacing="0" w:after="0" w:afterAutospacing="0"/>
        <w:jc w:val="center"/>
        <w:rPr>
          <w:b/>
          <w:bCs/>
          <w:lang w:val="ru-RU"/>
        </w:rPr>
      </w:pPr>
      <w:r w:rsidRPr="00A61AD6">
        <w:rPr>
          <w:b/>
          <w:bCs/>
          <w:lang w:val="ru-RU"/>
        </w:rPr>
        <w:lastRenderedPageBreak/>
        <w:t>Таблица</w:t>
      </w:r>
      <w:r w:rsidRPr="00CE0303">
        <w:rPr>
          <w:b/>
          <w:bCs/>
          <w:lang w:val="ru-RU"/>
        </w:rPr>
        <w:t xml:space="preserve"> 3. </w:t>
      </w:r>
      <w:r w:rsidRPr="00A61AD6">
        <w:rPr>
          <w:b/>
          <w:bCs/>
          <w:lang w:val="ru-RU"/>
        </w:rPr>
        <w:t xml:space="preserve">Бюджет </w:t>
      </w:r>
      <w:r w:rsidR="00431669">
        <w:rPr>
          <w:b/>
          <w:bCs/>
          <w:lang w:val="ru-RU"/>
        </w:rPr>
        <w:t xml:space="preserve">и расходы </w:t>
      </w:r>
      <w:r w:rsidRPr="00A61AD6">
        <w:rPr>
          <w:b/>
          <w:bCs/>
          <w:lang w:val="ru-RU"/>
        </w:rPr>
        <w:t xml:space="preserve">ОВН </w:t>
      </w:r>
      <w:r w:rsidR="00431669">
        <w:rPr>
          <w:b/>
          <w:bCs/>
          <w:lang w:val="ru-RU"/>
        </w:rPr>
        <w:t>в</w:t>
      </w:r>
      <w:r w:rsidRPr="00A61AD6">
        <w:rPr>
          <w:b/>
          <w:bCs/>
          <w:lang w:val="ru-RU"/>
        </w:rPr>
        <w:t xml:space="preserve"> 2018–2019</w:t>
      </w:r>
      <w:r w:rsidRPr="00A61AD6">
        <w:rPr>
          <w:b/>
          <w:bCs/>
        </w:rPr>
        <w:t> </w:t>
      </w:r>
      <w:r w:rsidRPr="00A61AD6">
        <w:rPr>
          <w:b/>
          <w:bCs/>
          <w:lang w:val="ru-RU"/>
        </w:rPr>
        <w:t>гг.</w:t>
      </w:r>
      <w:r w:rsidR="00C46B12" w:rsidRPr="00EF631C">
        <w:rPr>
          <w:bCs/>
          <w:vertAlign w:val="superscript"/>
        </w:rPr>
        <w:footnoteReference w:id="20"/>
      </w:r>
      <w:r w:rsidR="00C46B12" w:rsidRPr="00A61AD6">
        <w:rPr>
          <w:b/>
          <w:bCs/>
          <w:lang w:val="ru-RU"/>
        </w:rPr>
        <w:t xml:space="preserve"> </w:t>
      </w:r>
    </w:p>
    <w:p w14:paraId="1DBA7094" w14:textId="77777777" w:rsidR="00C46B12" w:rsidRPr="00A61AD6" w:rsidRDefault="00C46B12" w:rsidP="00C46B12">
      <w:pPr>
        <w:pStyle w:val="NormalWeb"/>
        <w:keepNext/>
        <w:keepLines/>
        <w:spacing w:before="0" w:beforeAutospacing="0" w:after="0" w:afterAutospacing="0"/>
        <w:jc w:val="center"/>
        <w:rPr>
          <w:i/>
          <w:iCs/>
          <w:color w:val="000000"/>
          <w:sz w:val="20"/>
          <w:szCs w:val="20"/>
          <w:lang w:val="ru-RU"/>
        </w:rPr>
      </w:pPr>
    </w:p>
    <w:tbl>
      <w:tblPr>
        <w:tblW w:w="6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Таблица 3. Бюджет и расходы ОВН в 2018–2019 гг."/>
        <w:tblDescription w:val=" Бюджет и расходы ОВН в 2018–2019 гг."/>
      </w:tblPr>
      <w:tblGrid>
        <w:gridCol w:w="2470"/>
        <w:gridCol w:w="1412"/>
        <w:gridCol w:w="1817"/>
        <w:gridCol w:w="1195"/>
      </w:tblGrid>
      <w:tr w:rsidR="00286DAC" w:rsidRPr="007B1ED7" w14:paraId="4A193076" w14:textId="77777777" w:rsidTr="003F6C0B">
        <w:trPr>
          <w:trHeight w:val="720"/>
          <w:jc w:val="center"/>
        </w:trPr>
        <w:tc>
          <w:tcPr>
            <w:tcW w:w="2470" w:type="dxa"/>
            <w:shd w:val="clear" w:color="000000" w:fill="CCFFFF"/>
            <w:noWrap/>
            <w:vAlign w:val="center"/>
            <w:hideMark/>
          </w:tcPr>
          <w:p w14:paraId="147D9F42" w14:textId="77777777" w:rsidR="00286DAC" w:rsidRPr="00A61AD6" w:rsidRDefault="00286DAC" w:rsidP="002670C4">
            <w:pPr>
              <w:rPr>
                <w:color w:val="000000"/>
                <w:sz w:val="16"/>
                <w:szCs w:val="16"/>
                <w:lang w:val="ru-RU"/>
              </w:rPr>
            </w:pPr>
            <w:r w:rsidRPr="007B1ED7">
              <w:rPr>
                <w:color w:val="000000"/>
                <w:sz w:val="16"/>
                <w:szCs w:val="16"/>
              </w:rPr>
              <w:t> </w:t>
            </w:r>
          </w:p>
        </w:tc>
        <w:tc>
          <w:tcPr>
            <w:tcW w:w="1323" w:type="dxa"/>
            <w:shd w:val="clear" w:color="000000" w:fill="CCFFFF"/>
            <w:vAlign w:val="center"/>
            <w:hideMark/>
          </w:tcPr>
          <w:p w14:paraId="32536804" w14:textId="01B7F360" w:rsidR="00286DAC" w:rsidRPr="00A61AD6" w:rsidRDefault="00A61AD6" w:rsidP="002670C4">
            <w:pPr>
              <w:jc w:val="center"/>
              <w:rPr>
                <w:b/>
                <w:bCs/>
                <w:color w:val="000000"/>
                <w:sz w:val="16"/>
                <w:szCs w:val="16"/>
                <w:lang w:val="ru-RU"/>
              </w:rPr>
            </w:pPr>
            <w:r w:rsidRPr="00A61AD6">
              <w:rPr>
                <w:b/>
                <w:bCs/>
                <w:color w:val="000000"/>
                <w:sz w:val="16"/>
                <w:szCs w:val="16"/>
                <w:lang w:val="ru-RU"/>
              </w:rPr>
              <w:t>Утвержденный бюджет на 2018–2019 гг</w:t>
            </w:r>
            <w:r>
              <w:rPr>
                <w:b/>
                <w:bCs/>
                <w:color w:val="000000"/>
                <w:sz w:val="16"/>
                <w:szCs w:val="16"/>
                <w:lang w:val="ru-RU"/>
              </w:rPr>
              <w:t>.</w:t>
            </w:r>
          </w:p>
        </w:tc>
        <w:tc>
          <w:tcPr>
            <w:tcW w:w="1319" w:type="dxa"/>
            <w:shd w:val="clear" w:color="000000" w:fill="CCFFFF"/>
            <w:vAlign w:val="center"/>
            <w:hideMark/>
          </w:tcPr>
          <w:p w14:paraId="4A2BDAE8" w14:textId="77777777" w:rsidR="00A61AD6" w:rsidRPr="00A61AD6" w:rsidRDefault="00A61AD6" w:rsidP="00A61AD6">
            <w:pPr>
              <w:jc w:val="center"/>
              <w:rPr>
                <w:b/>
                <w:bCs/>
                <w:color w:val="000000"/>
                <w:sz w:val="16"/>
                <w:szCs w:val="16"/>
                <w:lang w:val="ru-RU"/>
              </w:rPr>
            </w:pPr>
            <w:r w:rsidRPr="00A61AD6">
              <w:rPr>
                <w:b/>
                <w:bCs/>
                <w:color w:val="000000"/>
                <w:sz w:val="16"/>
                <w:szCs w:val="16"/>
                <w:lang w:val="ru-RU"/>
              </w:rPr>
              <w:t>Бюджет после перераспределения средств на 2018–2019 гг.</w:t>
            </w:r>
          </w:p>
          <w:p w14:paraId="1B63142A" w14:textId="52275670" w:rsidR="00286DAC" w:rsidRPr="00A61AD6" w:rsidRDefault="00286DAC" w:rsidP="002670C4">
            <w:pPr>
              <w:jc w:val="center"/>
              <w:rPr>
                <w:b/>
                <w:bCs/>
                <w:color w:val="000000"/>
                <w:sz w:val="16"/>
                <w:szCs w:val="16"/>
                <w:lang w:val="ru-RU"/>
              </w:rPr>
            </w:pPr>
          </w:p>
        </w:tc>
        <w:tc>
          <w:tcPr>
            <w:tcW w:w="1782" w:type="dxa"/>
            <w:shd w:val="clear" w:color="000000" w:fill="CCFFFF"/>
            <w:vAlign w:val="center"/>
            <w:hideMark/>
          </w:tcPr>
          <w:p w14:paraId="57FE1930" w14:textId="558B60E3" w:rsidR="00286DAC" w:rsidRPr="007B1ED7" w:rsidRDefault="00A61AD6" w:rsidP="002670C4">
            <w:pPr>
              <w:jc w:val="center"/>
              <w:rPr>
                <w:b/>
                <w:bCs/>
                <w:color w:val="000000"/>
                <w:sz w:val="16"/>
                <w:szCs w:val="16"/>
              </w:rPr>
            </w:pPr>
            <w:r w:rsidRPr="00A61AD6">
              <w:rPr>
                <w:b/>
                <w:bCs/>
                <w:color w:val="000000"/>
                <w:sz w:val="16"/>
                <w:szCs w:val="16"/>
                <w:lang w:val="ru-RU"/>
              </w:rPr>
              <w:t>Расходы в 201</w:t>
            </w:r>
            <w:r>
              <w:rPr>
                <w:b/>
                <w:bCs/>
                <w:color w:val="000000"/>
                <w:sz w:val="16"/>
                <w:szCs w:val="16"/>
                <w:lang w:val="ru-RU"/>
              </w:rPr>
              <w:t>9</w:t>
            </w:r>
            <w:r w:rsidRPr="00A61AD6">
              <w:rPr>
                <w:b/>
                <w:bCs/>
                <w:color w:val="000000"/>
                <w:sz w:val="16"/>
                <w:szCs w:val="16"/>
                <w:lang w:val="ru-RU"/>
              </w:rPr>
              <w:t> г.</w:t>
            </w:r>
            <w:r w:rsidR="00286DAC" w:rsidRPr="007B1ED7">
              <w:rPr>
                <w:b/>
                <w:bCs/>
                <w:color w:val="000000"/>
                <w:sz w:val="16"/>
                <w:szCs w:val="16"/>
              </w:rPr>
              <w:t>*</w:t>
            </w:r>
          </w:p>
        </w:tc>
      </w:tr>
      <w:tr w:rsidR="00286DAC" w:rsidRPr="007B1ED7" w14:paraId="77DD6E86" w14:textId="77777777" w:rsidTr="003F6C0B">
        <w:trPr>
          <w:trHeight w:val="315"/>
          <w:jc w:val="center"/>
        </w:trPr>
        <w:tc>
          <w:tcPr>
            <w:tcW w:w="2470" w:type="dxa"/>
            <w:shd w:val="clear" w:color="auto" w:fill="auto"/>
            <w:noWrap/>
            <w:vAlign w:val="center"/>
            <w:hideMark/>
          </w:tcPr>
          <w:p w14:paraId="4364F988" w14:textId="43D000D6" w:rsidR="00286DAC" w:rsidRPr="00A61AD6" w:rsidRDefault="00A61AD6" w:rsidP="002670C4">
            <w:pPr>
              <w:rPr>
                <w:color w:val="000000"/>
                <w:sz w:val="16"/>
                <w:szCs w:val="16"/>
                <w:lang w:val="ru-RU"/>
              </w:rPr>
            </w:pPr>
            <w:r w:rsidRPr="00A61AD6">
              <w:rPr>
                <w:color w:val="000000"/>
                <w:sz w:val="16"/>
                <w:szCs w:val="16"/>
              </w:rPr>
              <w:t xml:space="preserve">Расходы, </w:t>
            </w:r>
            <w:r>
              <w:rPr>
                <w:color w:val="000000"/>
                <w:sz w:val="16"/>
                <w:szCs w:val="16"/>
                <w:lang w:val="ru-RU"/>
              </w:rPr>
              <w:t>связанные с персоналом</w:t>
            </w:r>
          </w:p>
        </w:tc>
        <w:tc>
          <w:tcPr>
            <w:tcW w:w="1323" w:type="dxa"/>
            <w:shd w:val="clear" w:color="auto" w:fill="auto"/>
            <w:hideMark/>
          </w:tcPr>
          <w:p w14:paraId="13C5A802" w14:textId="6B60D604" w:rsidR="00286DAC" w:rsidRPr="007B1ED7" w:rsidRDefault="00286DAC" w:rsidP="002670C4">
            <w:pPr>
              <w:jc w:val="center"/>
              <w:rPr>
                <w:color w:val="000000"/>
                <w:sz w:val="16"/>
                <w:szCs w:val="16"/>
              </w:rPr>
            </w:pPr>
            <w:r w:rsidRPr="007B1ED7">
              <w:rPr>
                <w:sz w:val="16"/>
                <w:szCs w:val="16"/>
              </w:rPr>
              <w:t>4</w:t>
            </w:r>
            <w:r w:rsidR="00A61AD6">
              <w:rPr>
                <w:sz w:val="16"/>
                <w:szCs w:val="16"/>
                <w:lang w:val="ru-RU"/>
              </w:rPr>
              <w:t xml:space="preserve"> </w:t>
            </w:r>
            <w:r w:rsidRPr="007B1ED7">
              <w:rPr>
                <w:sz w:val="16"/>
                <w:szCs w:val="16"/>
              </w:rPr>
              <w:t xml:space="preserve">849 </w:t>
            </w:r>
          </w:p>
        </w:tc>
        <w:tc>
          <w:tcPr>
            <w:tcW w:w="1319" w:type="dxa"/>
            <w:shd w:val="clear" w:color="auto" w:fill="auto"/>
            <w:hideMark/>
          </w:tcPr>
          <w:p w14:paraId="20CB00C9" w14:textId="6B173AA9" w:rsidR="00286DAC" w:rsidRPr="007B1ED7" w:rsidRDefault="00286DAC" w:rsidP="002670C4">
            <w:pPr>
              <w:jc w:val="center"/>
              <w:rPr>
                <w:color w:val="000000"/>
                <w:sz w:val="16"/>
                <w:szCs w:val="16"/>
              </w:rPr>
            </w:pPr>
            <w:r w:rsidRPr="007B1ED7">
              <w:rPr>
                <w:sz w:val="16"/>
                <w:szCs w:val="16"/>
              </w:rPr>
              <w:t>4</w:t>
            </w:r>
            <w:r w:rsidR="00A61AD6">
              <w:rPr>
                <w:sz w:val="16"/>
                <w:szCs w:val="16"/>
                <w:lang w:val="ru-RU"/>
              </w:rPr>
              <w:t xml:space="preserve"> </w:t>
            </w:r>
            <w:r w:rsidRPr="007B1ED7">
              <w:rPr>
                <w:sz w:val="16"/>
                <w:szCs w:val="16"/>
              </w:rPr>
              <w:t xml:space="preserve">085 </w:t>
            </w:r>
          </w:p>
        </w:tc>
        <w:tc>
          <w:tcPr>
            <w:tcW w:w="1782" w:type="dxa"/>
            <w:shd w:val="clear" w:color="auto" w:fill="auto"/>
            <w:hideMark/>
          </w:tcPr>
          <w:p w14:paraId="26E9F15E" w14:textId="753253E9" w:rsidR="00286DAC" w:rsidRPr="007B1ED7" w:rsidRDefault="00286DAC" w:rsidP="002670C4">
            <w:pPr>
              <w:jc w:val="center"/>
              <w:rPr>
                <w:color w:val="000000"/>
                <w:sz w:val="16"/>
                <w:szCs w:val="16"/>
                <w:highlight w:val="yellow"/>
              </w:rPr>
            </w:pPr>
            <w:r>
              <w:rPr>
                <w:sz w:val="16"/>
                <w:szCs w:val="16"/>
              </w:rPr>
              <w:t>2</w:t>
            </w:r>
            <w:r w:rsidR="00A61AD6">
              <w:rPr>
                <w:sz w:val="16"/>
                <w:szCs w:val="16"/>
                <w:lang w:val="ru-RU"/>
              </w:rPr>
              <w:t xml:space="preserve"> </w:t>
            </w:r>
            <w:r>
              <w:rPr>
                <w:sz w:val="16"/>
                <w:szCs w:val="16"/>
              </w:rPr>
              <w:t>215</w:t>
            </w:r>
          </w:p>
        </w:tc>
      </w:tr>
      <w:tr w:rsidR="00286DAC" w:rsidRPr="007B1ED7" w14:paraId="1C5C567D" w14:textId="77777777" w:rsidTr="003F6C0B">
        <w:trPr>
          <w:trHeight w:val="315"/>
          <w:jc w:val="center"/>
        </w:trPr>
        <w:tc>
          <w:tcPr>
            <w:tcW w:w="2470" w:type="dxa"/>
            <w:tcBorders>
              <w:bottom w:val="single" w:sz="4" w:space="0" w:color="auto"/>
            </w:tcBorders>
            <w:shd w:val="clear" w:color="auto" w:fill="auto"/>
            <w:noWrap/>
            <w:vAlign w:val="center"/>
            <w:hideMark/>
          </w:tcPr>
          <w:p w14:paraId="04E6008C" w14:textId="15B61AD6" w:rsidR="00286DAC" w:rsidRPr="00A61AD6" w:rsidRDefault="00A61AD6" w:rsidP="002670C4">
            <w:pPr>
              <w:rPr>
                <w:color w:val="000000"/>
                <w:sz w:val="16"/>
                <w:szCs w:val="16"/>
                <w:lang w:val="ru-RU"/>
              </w:rPr>
            </w:pPr>
            <w:r>
              <w:rPr>
                <w:color w:val="000000"/>
                <w:sz w:val="16"/>
                <w:szCs w:val="16"/>
                <w:lang w:val="ru-RU"/>
              </w:rPr>
              <w:t>Расходы, не связанные с персоналом</w:t>
            </w:r>
            <w:r w:rsidR="00286DAC" w:rsidRPr="00A61AD6">
              <w:rPr>
                <w:color w:val="000000"/>
                <w:sz w:val="16"/>
                <w:szCs w:val="16"/>
                <w:lang w:val="ru-RU"/>
              </w:rPr>
              <w:t xml:space="preserve"> </w:t>
            </w:r>
          </w:p>
        </w:tc>
        <w:tc>
          <w:tcPr>
            <w:tcW w:w="1323" w:type="dxa"/>
            <w:tcBorders>
              <w:bottom w:val="single" w:sz="4" w:space="0" w:color="auto"/>
            </w:tcBorders>
            <w:shd w:val="clear" w:color="auto" w:fill="auto"/>
            <w:hideMark/>
          </w:tcPr>
          <w:p w14:paraId="06AFA3B3" w14:textId="77777777" w:rsidR="00286DAC" w:rsidRPr="007B1ED7" w:rsidRDefault="00286DAC" w:rsidP="002670C4">
            <w:pPr>
              <w:jc w:val="center"/>
              <w:rPr>
                <w:color w:val="000000"/>
                <w:sz w:val="16"/>
                <w:szCs w:val="16"/>
              </w:rPr>
            </w:pPr>
            <w:r w:rsidRPr="007B1ED7">
              <w:rPr>
                <w:sz w:val="16"/>
                <w:szCs w:val="16"/>
              </w:rPr>
              <w:t xml:space="preserve">700 </w:t>
            </w:r>
          </w:p>
        </w:tc>
        <w:tc>
          <w:tcPr>
            <w:tcW w:w="1319" w:type="dxa"/>
            <w:tcBorders>
              <w:bottom w:val="single" w:sz="4" w:space="0" w:color="auto"/>
            </w:tcBorders>
            <w:shd w:val="clear" w:color="auto" w:fill="auto"/>
            <w:hideMark/>
          </w:tcPr>
          <w:p w14:paraId="1B27BD48" w14:textId="77777777" w:rsidR="00286DAC" w:rsidRPr="007B1ED7" w:rsidRDefault="00286DAC" w:rsidP="002670C4">
            <w:pPr>
              <w:jc w:val="center"/>
              <w:rPr>
                <w:color w:val="000000"/>
                <w:sz w:val="16"/>
                <w:szCs w:val="16"/>
              </w:rPr>
            </w:pPr>
            <w:r w:rsidRPr="007B1ED7">
              <w:rPr>
                <w:sz w:val="16"/>
                <w:szCs w:val="16"/>
              </w:rPr>
              <w:t xml:space="preserve">987 </w:t>
            </w:r>
          </w:p>
        </w:tc>
        <w:tc>
          <w:tcPr>
            <w:tcW w:w="1782" w:type="dxa"/>
            <w:tcBorders>
              <w:bottom w:val="single" w:sz="4" w:space="0" w:color="auto"/>
            </w:tcBorders>
            <w:shd w:val="clear" w:color="auto" w:fill="auto"/>
            <w:hideMark/>
          </w:tcPr>
          <w:p w14:paraId="5E952FEC" w14:textId="77777777" w:rsidR="00286DAC" w:rsidRPr="007B1ED7" w:rsidRDefault="00286DAC" w:rsidP="007B5CF7">
            <w:pPr>
              <w:jc w:val="center"/>
              <w:rPr>
                <w:color w:val="000000"/>
                <w:sz w:val="16"/>
                <w:szCs w:val="16"/>
                <w:highlight w:val="yellow"/>
              </w:rPr>
            </w:pPr>
            <w:r>
              <w:rPr>
                <w:sz w:val="16"/>
                <w:szCs w:val="16"/>
              </w:rPr>
              <w:t>511</w:t>
            </w:r>
            <w:r w:rsidRPr="007B1ED7">
              <w:rPr>
                <w:sz w:val="16"/>
                <w:szCs w:val="16"/>
              </w:rPr>
              <w:t xml:space="preserve"> </w:t>
            </w:r>
          </w:p>
        </w:tc>
      </w:tr>
      <w:tr w:rsidR="00286DAC" w:rsidRPr="007B1ED7" w14:paraId="5FFE8138" w14:textId="77777777" w:rsidTr="003F6C0B">
        <w:trPr>
          <w:trHeight w:val="225"/>
          <w:jc w:val="center"/>
        </w:trPr>
        <w:tc>
          <w:tcPr>
            <w:tcW w:w="2470" w:type="dxa"/>
            <w:tcBorders>
              <w:bottom w:val="single" w:sz="4" w:space="0" w:color="auto"/>
            </w:tcBorders>
            <w:shd w:val="clear" w:color="000000" w:fill="CCFFFF"/>
            <w:noWrap/>
            <w:vAlign w:val="center"/>
            <w:hideMark/>
          </w:tcPr>
          <w:p w14:paraId="1D6EC684" w14:textId="426B7F40" w:rsidR="00286DAC" w:rsidRPr="007B1ED7" w:rsidRDefault="00286DAC" w:rsidP="002670C4">
            <w:pPr>
              <w:jc w:val="right"/>
              <w:rPr>
                <w:b/>
                <w:bCs/>
                <w:color w:val="000000"/>
                <w:sz w:val="16"/>
                <w:szCs w:val="16"/>
              </w:rPr>
            </w:pPr>
            <w:r w:rsidRPr="007B1ED7">
              <w:rPr>
                <w:b/>
                <w:bCs/>
                <w:color w:val="000000"/>
                <w:sz w:val="16"/>
                <w:szCs w:val="16"/>
              </w:rPr>
              <w:t xml:space="preserve"> </w:t>
            </w:r>
            <w:r w:rsidR="00A61AD6">
              <w:rPr>
                <w:b/>
                <w:bCs/>
                <w:color w:val="000000"/>
                <w:sz w:val="16"/>
                <w:szCs w:val="16"/>
                <w:lang w:val="ru-RU"/>
              </w:rPr>
              <w:t>Итого</w:t>
            </w:r>
            <w:r w:rsidRPr="007B1ED7">
              <w:rPr>
                <w:b/>
                <w:bCs/>
                <w:color w:val="000000"/>
                <w:sz w:val="16"/>
                <w:szCs w:val="16"/>
              </w:rPr>
              <w:t xml:space="preserve"> </w:t>
            </w:r>
          </w:p>
        </w:tc>
        <w:tc>
          <w:tcPr>
            <w:tcW w:w="1323" w:type="dxa"/>
            <w:tcBorders>
              <w:bottom w:val="single" w:sz="4" w:space="0" w:color="auto"/>
            </w:tcBorders>
            <w:shd w:val="clear" w:color="000000" w:fill="CCFFFF"/>
            <w:hideMark/>
          </w:tcPr>
          <w:p w14:paraId="3DC265E8" w14:textId="30A888C1" w:rsidR="00286DAC" w:rsidRPr="007B1ED7" w:rsidRDefault="00286DAC" w:rsidP="002670C4">
            <w:pPr>
              <w:jc w:val="center"/>
              <w:rPr>
                <w:b/>
                <w:bCs/>
                <w:color w:val="000000"/>
                <w:sz w:val="16"/>
                <w:szCs w:val="16"/>
              </w:rPr>
            </w:pPr>
            <w:r w:rsidRPr="007B1ED7">
              <w:rPr>
                <w:sz w:val="16"/>
                <w:szCs w:val="16"/>
              </w:rPr>
              <w:t>5</w:t>
            </w:r>
            <w:r w:rsidR="00A61AD6">
              <w:rPr>
                <w:sz w:val="16"/>
                <w:szCs w:val="16"/>
                <w:lang w:val="ru-RU"/>
              </w:rPr>
              <w:t xml:space="preserve"> </w:t>
            </w:r>
            <w:r w:rsidRPr="007B1ED7">
              <w:rPr>
                <w:sz w:val="16"/>
                <w:szCs w:val="16"/>
              </w:rPr>
              <w:t xml:space="preserve">550 </w:t>
            </w:r>
          </w:p>
        </w:tc>
        <w:tc>
          <w:tcPr>
            <w:tcW w:w="1319" w:type="dxa"/>
            <w:tcBorders>
              <w:bottom w:val="single" w:sz="4" w:space="0" w:color="auto"/>
            </w:tcBorders>
            <w:shd w:val="clear" w:color="000000" w:fill="CCFFFF"/>
            <w:hideMark/>
          </w:tcPr>
          <w:p w14:paraId="65CC58B6" w14:textId="4245FE9E" w:rsidR="00286DAC" w:rsidRPr="007B1ED7" w:rsidRDefault="00286DAC" w:rsidP="002670C4">
            <w:pPr>
              <w:jc w:val="center"/>
              <w:rPr>
                <w:b/>
                <w:bCs/>
                <w:color w:val="000000"/>
                <w:sz w:val="16"/>
                <w:szCs w:val="16"/>
              </w:rPr>
            </w:pPr>
            <w:r w:rsidRPr="007B1ED7">
              <w:rPr>
                <w:sz w:val="16"/>
                <w:szCs w:val="16"/>
              </w:rPr>
              <w:t>5</w:t>
            </w:r>
            <w:r w:rsidR="00A61AD6">
              <w:rPr>
                <w:sz w:val="16"/>
                <w:szCs w:val="16"/>
                <w:lang w:val="ru-RU"/>
              </w:rPr>
              <w:t xml:space="preserve"> </w:t>
            </w:r>
            <w:r w:rsidRPr="007B1ED7">
              <w:rPr>
                <w:sz w:val="16"/>
                <w:szCs w:val="16"/>
              </w:rPr>
              <w:t xml:space="preserve">072 </w:t>
            </w:r>
          </w:p>
        </w:tc>
        <w:tc>
          <w:tcPr>
            <w:tcW w:w="1782" w:type="dxa"/>
            <w:tcBorders>
              <w:bottom w:val="single" w:sz="4" w:space="0" w:color="auto"/>
            </w:tcBorders>
            <w:shd w:val="clear" w:color="000000" w:fill="CCFFFF"/>
            <w:hideMark/>
          </w:tcPr>
          <w:p w14:paraId="6B741961" w14:textId="1245D94E" w:rsidR="00286DAC" w:rsidRPr="007B1ED7" w:rsidRDefault="00286DAC" w:rsidP="002670C4">
            <w:pPr>
              <w:jc w:val="center"/>
              <w:rPr>
                <w:b/>
                <w:bCs/>
                <w:color w:val="000000"/>
                <w:sz w:val="16"/>
                <w:szCs w:val="16"/>
                <w:highlight w:val="yellow"/>
              </w:rPr>
            </w:pPr>
            <w:r>
              <w:rPr>
                <w:sz w:val="16"/>
                <w:szCs w:val="16"/>
              </w:rPr>
              <w:t>2</w:t>
            </w:r>
            <w:r w:rsidR="00A61AD6">
              <w:rPr>
                <w:sz w:val="16"/>
                <w:szCs w:val="16"/>
                <w:lang w:val="ru-RU"/>
              </w:rPr>
              <w:t xml:space="preserve"> </w:t>
            </w:r>
            <w:r>
              <w:rPr>
                <w:sz w:val="16"/>
                <w:szCs w:val="16"/>
              </w:rPr>
              <w:t>726</w:t>
            </w:r>
            <w:r w:rsidRPr="007B1ED7">
              <w:rPr>
                <w:sz w:val="16"/>
                <w:szCs w:val="16"/>
              </w:rPr>
              <w:t xml:space="preserve"> </w:t>
            </w:r>
          </w:p>
        </w:tc>
      </w:tr>
    </w:tbl>
    <w:p w14:paraId="41B0193C" w14:textId="7E302593" w:rsidR="00C46B12" w:rsidRDefault="00C46B12" w:rsidP="00C46B12">
      <w:pPr>
        <w:rPr>
          <w:sz w:val="20"/>
        </w:rPr>
      </w:pPr>
    </w:p>
    <w:p w14:paraId="659C9527" w14:textId="610BA4F4" w:rsidR="00835857" w:rsidRPr="00527841" w:rsidRDefault="00835857" w:rsidP="00835857">
      <w:pPr>
        <w:jc w:val="center"/>
        <w:rPr>
          <w:b/>
          <w:bCs/>
          <w:sz w:val="18"/>
          <w:szCs w:val="18"/>
          <w:lang w:val="ru-RU"/>
        </w:rPr>
      </w:pPr>
      <w:r>
        <w:rPr>
          <w:b/>
          <w:bCs/>
          <w:sz w:val="18"/>
          <w:szCs w:val="18"/>
          <w:lang w:val="ru-RU"/>
        </w:rPr>
        <w:t>Таблица</w:t>
      </w:r>
      <w:r w:rsidRPr="00527841">
        <w:rPr>
          <w:b/>
          <w:bCs/>
          <w:sz w:val="18"/>
          <w:szCs w:val="18"/>
          <w:lang w:val="ru-RU"/>
        </w:rPr>
        <w:t xml:space="preserve"> 4. </w:t>
      </w:r>
      <w:r>
        <w:rPr>
          <w:b/>
          <w:bCs/>
          <w:sz w:val="18"/>
          <w:szCs w:val="18"/>
          <w:lang w:val="ru-RU"/>
        </w:rPr>
        <w:t>Бюджет</w:t>
      </w:r>
      <w:r w:rsidRPr="00835857">
        <w:rPr>
          <w:b/>
          <w:bCs/>
          <w:sz w:val="18"/>
          <w:szCs w:val="18"/>
          <w:lang w:val="ru-RU"/>
        </w:rPr>
        <w:t xml:space="preserve"> </w:t>
      </w:r>
      <w:r>
        <w:rPr>
          <w:b/>
          <w:bCs/>
          <w:sz w:val="18"/>
          <w:szCs w:val="18"/>
          <w:lang w:val="ru-RU"/>
        </w:rPr>
        <w:t>и</w:t>
      </w:r>
      <w:r w:rsidRPr="00835857">
        <w:rPr>
          <w:b/>
          <w:bCs/>
          <w:sz w:val="18"/>
          <w:szCs w:val="18"/>
          <w:lang w:val="ru-RU"/>
        </w:rPr>
        <w:t xml:space="preserve"> </w:t>
      </w:r>
      <w:r>
        <w:rPr>
          <w:b/>
          <w:bCs/>
          <w:sz w:val="18"/>
          <w:szCs w:val="18"/>
          <w:lang w:val="ru-RU"/>
        </w:rPr>
        <w:t>расходы</w:t>
      </w:r>
      <w:r w:rsidRPr="00835857">
        <w:rPr>
          <w:b/>
          <w:bCs/>
          <w:sz w:val="18"/>
          <w:szCs w:val="18"/>
          <w:lang w:val="ru-RU"/>
        </w:rPr>
        <w:t xml:space="preserve"> </w:t>
      </w:r>
      <w:r>
        <w:rPr>
          <w:b/>
          <w:bCs/>
          <w:sz w:val="18"/>
          <w:szCs w:val="18"/>
          <w:lang w:val="ru-RU"/>
        </w:rPr>
        <w:t>ОВН</w:t>
      </w:r>
      <w:r w:rsidRPr="00835857">
        <w:rPr>
          <w:b/>
          <w:bCs/>
          <w:sz w:val="18"/>
          <w:szCs w:val="18"/>
          <w:lang w:val="ru-RU"/>
        </w:rPr>
        <w:t xml:space="preserve"> (</w:t>
      </w:r>
      <w:r>
        <w:rPr>
          <w:b/>
          <w:bCs/>
          <w:sz w:val="18"/>
          <w:szCs w:val="18"/>
          <w:lang w:val="ru-RU"/>
        </w:rPr>
        <w:t>связанные</w:t>
      </w:r>
      <w:r w:rsidRPr="00835857">
        <w:rPr>
          <w:b/>
          <w:bCs/>
          <w:sz w:val="18"/>
          <w:szCs w:val="18"/>
          <w:lang w:val="ru-RU"/>
        </w:rPr>
        <w:t xml:space="preserve"> </w:t>
      </w:r>
      <w:r>
        <w:rPr>
          <w:b/>
          <w:bCs/>
          <w:sz w:val="18"/>
          <w:szCs w:val="18"/>
          <w:lang w:val="ru-RU"/>
        </w:rPr>
        <w:t>и</w:t>
      </w:r>
      <w:r w:rsidRPr="00835857">
        <w:rPr>
          <w:b/>
          <w:bCs/>
          <w:sz w:val="18"/>
          <w:szCs w:val="18"/>
          <w:lang w:val="ru-RU"/>
        </w:rPr>
        <w:t xml:space="preserve"> </w:t>
      </w:r>
      <w:r>
        <w:rPr>
          <w:b/>
          <w:bCs/>
          <w:sz w:val="18"/>
          <w:szCs w:val="18"/>
          <w:lang w:val="ru-RU"/>
        </w:rPr>
        <w:t>не</w:t>
      </w:r>
      <w:r w:rsidRPr="00835857">
        <w:rPr>
          <w:b/>
          <w:bCs/>
          <w:sz w:val="18"/>
          <w:szCs w:val="18"/>
          <w:lang w:val="ru-RU"/>
        </w:rPr>
        <w:t xml:space="preserve"> </w:t>
      </w:r>
      <w:r>
        <w:rPr>
          <w:b/>
          <w:bCs/>
          <w:sz w:val="18"/>
          <w:szCs w:val="18"/>
          <w:lang w:val="ru-RU"/>
        </w:rPr>
        <w:t>связанные</w:t>
      </w:r>
      <w:r w:rsidRPr="00835857">
        <w:rPr>
          <w:b/>
          <w:bCs/>
          <w:sz w:val="18"/>
          <w:szCs w:val="18"/>
          <w:lang w:val="ru-RU"/>
        </w:rPr>
        <w:t xml:space="preserve"> </w:t>
      </w:r>
      <w:r>
        <w:rPr>
          <w:b/>
          <w:bCs/>
          <w:sz w:val="18"/>
          <w:szCs w:val="18"/>
          <w:lang w:val="ru-RU"/>
        </w:rPr>
        <w:t>с</w:t>
      </w:r>
      <w:r w:rsidRPr="00835857">
        <w:rPr>
          <w:b/>
          <w:bCs/>
          <w:sz w:val="18"/>
          <w:szCs w:val="18"/>
          <w:lang w:val="ru-RU"/>
        </w:rPr>
        <w:t xml:space="preserve"> </w:t>
      </w:r>
      <w:r>
        <w:rPr>
          <w:b/>
          <w:bCs/>
          <w:sz w:val="18"/>
          <w:szCs w:val="18"/>
          <w:lang w:val="ru-RU"/>
        </w:rPr>
        <w:t>персоналом</w:t>
      </w:r>
      <w:r w:rsidRPr="00835857">
        <w:rPr>
          <w:b/>
          <w:bCs/>
          <w:sz w:val="18"/>
          <w:szCs w:val="18"/>
          <w:lang w:val="ru-RU"/>
        </w:rPr>
        <w:t xml:space="preserve">) </w:t>
      </w:r>
      <w:r>
        <w:rPr>
          <w:b/>
          <w:bCs/>
          <w:sz w:val="18"/>
          <w:szCs w:val="18"/>
          <w:lang w:val="ru-RU"/>
        </w:rPr>
        <w:t>в</w:t>
      </w:r>
      <w:r w:rsidRPr="00835857">
        <w:rPr>
          <w:b/>
          <w:bCs/>
          <w:sz w:val="18"/>
          <w:szCs w:val="18"/>
          <w:lang w:val="ru-RU"/>
        </w:rPr>
        <w:t xml:space="preserve"> 2018-2019 </w:t>
      </w:r>
      <w:r>
        <w:rPr>
          <w:b/>
          <w:bCs/>
          <w:sz w:val="18"/>
          <w:szCs w:val="18"/>
          <w:lang w:val="ru-RU"/>
        </w:rPr>
        <w:t>гг</w:t>
      </w:r>
      <w:r w:rsidRPr="00835857">
        <w:rPr>
          <w:b/>
          <w:bCs/>
          <w:sz w:val="18"/>
          <w:szCs w:val="18"/>
          <w:lang w:val="ru-RU"/>
        </w:rPr>
        <w:t>.</w:t>
      </w:r>
      <w:r>
        <w:rPr>
          <w:b/>
          <w:bCs/>
          <w:sz w:val="18"/>
          <w:szCs w:val="18"/>
          <w:lang w:val="ru-RU"/>
        </w:rPr>
        <w:t xml:space="preserve"> </w:t>
      </w:r>
    </w:p>
    <w:p w14:paraId="4312E391" w14:textId="341A546F" w:rsidR="00835857" w:rsidRPr="00057B1E" w:rsidRDefault="00835857" w:rsidP="00835857">
      <w:pPr>
        <w:jc w:val="center"/>
        <w:rPr>
          <w:i/>
          <w:iCs/>
          <w:sz w:val="18"/>
          <w:szCs w:val="18"/>
        </w:rPr>
      </w:pPr>
      <w:r w:rsidRPr="00057B1E">
        <w:rPr>
          <w:i/>
          <w:iCs/>
          <w:sz w:val="18"/>
          <w:szCs w:val="18"/>
        </w:rPr>
        <w:t>(</w:t>
      </w:r>
      <w:proofErr w:type="gramStart"/>
      <w:r>
        <w:rPr>
          <w:i/>
          <w:iCs/>
          <w:sz w:val="18"/>
          <w:szCs w:val="18"/>
          <w:lang w:val="ru-RU"/>
        </w:rPr>
        <w:t>в</w:t>
      </w:r>
      <w:proofErr w:type="gramEnd"/>
      <w:r w:rsidRPr="00835857">
        <w:rPr>
          <w:i/>
          <w:iCs/>
          <w:sz w:val="18"/>
          <w:szCs w:val="18"/>
        </w:rPr>
        <w:t xml:space="preserve"> </w:t>
      </w:r>
      <w:r>
        <w:rPr>
          <w:i/>
          <w:iCs/>
          <w:sz w:val="18"/>
          <w:szCs w:val="18"/>
          <w:lang w:val="ru-RU"/>
        </w:rPr>
        <w:t>тыс</w:t>
      </w:r>
      <w:r w:rsidRPr="00835857">
        <w:rPr>
          <w:i/>
          <w:iCs/>
          <w:sz w:val="18"/>
          <w:szCs w:val="18"/>
        </w:rPr>
        <w:t xml:space="preserve">. </w:t>
      </w:r>
      <w:r>
        <w:rPr>
          <w:i/>
          <w:iCs/>
          <w:sz w:val="18"/>
          <w:szCs w:val="18"/>
          <w:lang w:val="ru-RU"/>
        </w:rPr>
        <w:t>шв</w:t>
      </w:r>
      <w:r w:rsidRPr="00835857">
        <w:rPr>
          <w:i/>
          <w:iCs/>
          <w:sz w:val="18"/>
          <w:szCs w:val="18"/>
        </w:rPr>
        <w:t xml:space="preserve">. </w:t>
      </w:r>
      <w:r>
        <w:rPr>
          <w:i/>
          <w:iCs/>
          <w:sz w:val="18"/>
          <w:szCs w:val="18"/>
          <w:lang w:val="ru-RU"/>
        </w:rPr>
        <w:t>франков</w:t>
      </w:r>
      <w:r w:rsidRPr="00057B1E">
        <w:rPr>
          <w:i/>
          <w:iCs/>
          <w:sz w:val="18"/>
          <w:szCs w:val="18"/>
        </w:rPr>
        <w:t>)</w:t>
      </w:r>
    </w:p>
    <w:p w14:paraId="46B108D1" w14:textId="77777777" w:rsidR="00835857" w:rsidRDefault="00835857" w:rsidP="00835857">
      <w:pPr>
        <w:rPr>
          <w:sz w:val="20"/>
        </w:rPr>
      </w:pP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Таблица 4. Бюджет и расходы ОВН (связанные и не связанные с персоналом) в 2018-2019 гг. "/>
        <w:tblDescription w:val="Таблица 4. Бюджет и расходы ОВН (связанные и не связанные с персоналом) в 2018-2019 гг. "/>
      </w:tblPr>
      <w:tblGrid>
        <w:gridCol w:w="2470"/>
        <w:gridCol w:w="1412"/>
        <w:gridCol w:w="1817"/>
        <w:gridCol w:w="1479"/>
        <w:gridCol w:w="1498"/>
      </w:tblGrid>
      <w:tr w:rsidR="00835857" w:rsidRPr="007B1ED7" w14:paraId="3A70FCE8" w14:textId="77777777" w:rsidTr="00D536FD">
        <w:trPr>
          <w:trHeight w:val="720"/>
          <w:jc w:val="center"/>
        </w:trPr>
        <w:tc>
          <w:tcPr>
            <w:tcW w:w="2470" w:type="dxa"/>
            <w:shd w:val="clear" w:color="000000" w:fill="CCFFFF"/>
            <w:noWrap/>
            <w:vAlign w:val="center"/>
            <w:hideMark/>
          </w:tcPr>
          <w:p w14:paraId="10AC1D49" w14:textId="77777777" w:rsidR="00835857" w:rsidRPr="007B1ED7" w:rsidRDefault="00835857" w:rsidP="00835857">
            <w:pPr>
              <w:rPr>
                <w:color w:val="000000"/>
                <w:sz w:val="16"/>
                <w:szCs w:val="16"/>
              </w:rPr>
            </w:pPr>
          </w:p>
        </w:tc>
        <w:tc>
          <w:tcPr>
            <w:tcW w:w="1323" w:type="dxa"/>
            <w:shd w:val="clear" w:color="000000" w:fill="CCFFFF"/>
            <w:vAlign w:val="center"/>
            <w:hideMark/>
          </w:tcPr>
          <w:p w14:paraId="35EC2774" w14:textId="302DA634" w:rsidR="00835857" w:rsidRPr="007B1ED7" w:rsidRDefault="00835857" w:rsidP="00835857">
            <w:pPr>
              <w:jc w:val="center"/>
              <w:rPr>
                <w:b/>
                <w:bCs/>
                <w:color w:val="000000"/>
                <w:sz w:val="16"/>
                <w:szCs w:val="16"/>
              </w:rPr>
            </w:pPr>
            <w:r w:rsidRPr="00A61AD6">
              <w:rPr>
                <w:b/>
                <w:bCs/>
                <w:color w:val="000000"/>
                <w:sz w:val="16"/>
                <w:szCs w:val="16"/>
                <w:lang w:val="ru-RU"/>
              </w:rPr>
              <w:t>Утвержденный бюджет на 2018–2019 гг</w:t>
            </w:r>
            <w:r>
              <w:rPr>
                <w:b/>
                <w:bCs/>
                <w:color w:val="000000"/>
                <w:sz w:val="16"/>
                <w:szCs w:val="16"/>
                <w:lang w:val="ru-RU"/>
              </w:rPr>
              <w:t>.</w:t>
            </w:r>
          </w:p>
        </w:tc>
        <w:tc>
          <w:tcPr>
            <w:tcW w:w="1319" w:type="dxa"/>
            <w:shd w:val="clear" w:color="000000" w:fill="CCFFFF"/>
            <w:vAlign w:val="center"/>
            <w:hideMark/>
          </w:tcPr>
          <w:p w14:paraId="62D04854" w14:textId="77777777" w:rsidR="00835857" w:rsidRPr="00A61AD6" w:rsidRDefault="00835857" w:rsidP="00835857">
            <w:pPr>
              <w:jc w:val="center"/>
              <w:rPr>
                <w:b/>
                <w:bCs/>
                <w:color w:val="000000"/>
                <w:sz w:val="16"/>
                <w:szCs w:val="16"/>
                <w:lang w:val="ru-RU"/>
              </w:rPr>
            </w:pPr>
            <w:r w:rsidRPr="00A61AD6">
              <w:rPr>
                <w:b/>
                <w:bCs/>
                <w:color w:val="000000"/>
                <w:sz w:val="16"/>
                <w:szCs w:val="16"/>
                <w:lang w:val="ru-RU"/>
              </w:rPr>
              <w:t>Бюджет после перераспределения средств на 2018–2019 гг.</w:t>
            </w:r>
          </w:p>
          <w:p w14:paraId="3662882E" w14:textId="624DEED5" w:rsidR="00835857" w:rsidRPr="00835857" w:rsidRDefault="00835857" w:rsidP="00835857">
            <w:pPr>
              <w:jc w:val="center"/>
              <w:rPr>
                <w:b/>
                <w:bCs/>
                <w:color w:val="000000"/>
                <w:sz w:val="16"/>
                <w:szCs w:val="16"/>
                <w:lang w:val="ru-RU"/>
              </w:rPr>
            </w:pPr>
          </w:p>
        </w:tc>
        <w:tc>
          <w:tcPr>
            <w:tcW w:w="1782" w:type="dxa"/>
            <w:shd w:val="clear" w:color="000000" w:fill="CCFFFF"/>
            <w:vAlign w:val="center"/>
            <w:hideMark/>
          </w:tcPr>
          <w:p w14:paraId="49216293" w14:textId="30AB60F8" w:rsidR="00835857" w:rsidRPr="007B1ED7" w:rsidRDefault="00835857" w:rsidP="00835857">
            <w:pPr>
              <w:jc w:val="center"/>
              <w:rPr>
                <w:b/>
                <w:bCs/>
                <w:color w:val="000000"/>
                <w:sz w:val="16"/>
                <w:szCs w:val="16"/>
              </w:rPr>
            </w:pPr>
            <w:r w:rsidRPr="00A61AD6">
              <w:rPr>
                <w:b/>
                <w:bCs/>
                <w:color w:val="000000"/>
                <w:sz w:val="16"/>
                <w:szCs w:val="16"/>
                <w:lang w:val="ru-RU"/>
              </w:rPr>
              <w:t xml:space="preserve">Расходы в </w:t>
            </w:r>
            <w:r>
              <w:rPr>
                <w:b/>
                <w:bCs/>
                <w:color w:val="000000"/>
                <w:sz w:val="16"/>
                <w:szCs w:val="16"/>
                <w:lang w:val="ru-RU"/>
              </w:rPr>
              <w:t>2018-</w:t>
            </w:r>
            <w:r w:rsidRPr="00A61AD6">
              <w:rPr>
                <w:b/>
                <w:bCs/>
                <w:color w:val="000000"/>
                <w:sz w:val="16"/>
                <w:szCs w:val="16"/>
                <w:lang w:val="ru-RU"/>
              </w:rPr>
              <w:t>201</w:t>
            </w:r>
            <w:r>
              <w:rPr>
                <w:b/>
                <w:bCs/>
                <w:color w:val="000000"/>
                <w:sz w:val="16"/>
                <w:szCs w:val="16"/>
                <w:lang w:val="ru-RU"/>
              </w:rPr>
              <w:t>9</w:t>
            </w:r>
            <w:r w:rsidRPr="00A61AD6">
              <w:rPr>
                <w:b/>
                <w:bCs/>
                <w:color w:val="000000"/>
                <w:sz w:val="16"/>
                <w:szCs w:val="16"/>
                <w:lang w:val="ru-RU"/>
              </w:rPr>
              <w:t> г</w:t>
            </w:r>
            <w:r>
              <w:rPr>
                <w:b/>
                <w:bCs/>
                <w:color w:val="000000"/>
                <w:sz w:val="16"/>
                <w:szCs w:val="16"/>
                <w:lang w:val="ru-RU"/>
              </w:rPr>
              <w:t>г.</w:t>
            </w:r>
          </w:p>
        </w:tc>
        <w:tc>
          <w:tcPr>
            <w:tcW w:w="1782" w:type="dxa"/>
            <w:shd w:val="clear" w:color="000000" w:fill="CCFFFF"/>
          </w:tcPr>
          <w:p w14:paraId="20CF8A14" w14:textId="77777777" w:rsidR="00835857" w:rsidRDefault="00835857" w:rsidP="00835857">
            <w:pPr>
              <w:jc w:val="center"/>
              <w:rPr>
                <w:b/>
                <w:bCs/>
                <w:color w:val="000000"/>
                <w:sz w:val="16"/>
                <w:szCs w:val="16"/>
              </w:rPr>
            </w:pPr>
          </w:p>
          <w:p w14:paraId="54F0F196" w14:textId="4AA6B1DE" w:rsidR="00835857" w:rsidRPr="00A776A5" w:rsidRDefault="00835857" w:rsidP="00835857">
            <w:pPr>
              <w:jc w:val="center"/>
              <w:rPr>
                <w:b/>
                <w:bCs/>
                <w:sz w:val="16"/>
                <w:szCs w:val="16"/>
              </w:rPr>
            </w:pPr>
            <w:r>
              <w:rPr>
                <w:b/>
                <w:bCs/>
                <w:sz w:val="16"/>
                <w:szCs w:val="16"/>
                <w:lang w:val="ru-RU"/>
              </w:rPr>
              <w:t>Уровень освоения</w:t>
            </w:r>
            <w:r>
              <w:rPr>
                <w:b/>
                <w:bCs/>
                <w:sz w:val="16"/>
                <w:szCs w:val="16"/>
              </w:rPr>
              <w:t xml:space="preserve"> (%)</w:t>
            </w:r>
          </w:p>
        </w:tc>
      </w:tr>
      <w:tr w:rsidR="00835857" w:rsidRPr="007B1ED7" w14:paraId="52EB5263" w14:textId="77777777" w:rsidTr="00D536FD">
        <w:trPr>
          <w:trHeight w:val="315"/>
          <w:jc w:val="center"/>
        </w:trPr>
        <w:tc>
          <w:tcPr>
            <w:tcW w:w="2470" w:type="dxa"/>
            <w:shd w:val="clear" w:color="auto" w:fill="auto"/>
            <w:noWrap/>
            <w:vAlign w:val="center"/>
            <w:hideMark/>
          </w:tcPr>
          <w:p w14:paraId="1BA31BF6" w14:textId="729E3531" w:rsidR="00835857" w:rsidRPr="007B1ED7" w:rsidRDefault="00835857" w:rsidP="00835857">
            <w:pPr>
              <w:rPr>
                <w:color w:val="000000"/>
                <w:sz w:val="16"/>
                <w:szCs w:val="16"/>
              </w:rPr>
            </w:pPr>
            <w:r w:rsidRPr="00A61AD6">
              <w:rPr>
                <w:color w:val="000000"/>
                <w:sz w:val="16"/>
                <w:szCs w:val="16"/>
              </w:rPr>
              <w:t xml:space="preserve">Расходы, </w:t>
            </w:r>
            <w:r>
              <w:rPr>
                <w:color w:val="000000"/>
                <w:sz w:val="16"/>
                <w:szCs w:val="16"/>
                <w:lang w:val="ru-RU"/>
              </w:rPr>
              <w:t>связанные с персоналом</w:t>
            </w:r>
          </w:p>
        </w:tc>
        <w:tc>
          <w:tcPr>
            <w:tcW w:w="1323" w:type="dxa"/>
            <w:shd w:val="clear" w:color="auto" w:fill="auto"/>
            <w:hideMark/>
          </w:tcPr>
          <w:p w14:paraId="5B747160" w14:textId="08D37DB6" w:rsidR="00835857" w:rsidRPr="007B1ED7" w:rsidRDefault="00835857" w:rsidP="00835857">
            <w:pPr>
              <w:jc w:val="center"/>
              <w:rPr>
                <w:color w:val="000000"/>
                <w:sz w:val="16"/>
                <w:szCs w:val="16"/>
              </w:rPr>
            </w:pPr>
            <w:r w:rsidRPr="007B1ED7">
              <w:rPr>
                <w:sz w:val="16"/>
                <w:szCs w:val="16"/>
              </w:rPr>
              <w:t>4</w:t>
            </w:r>
            <w:r>
              <w:rPr>
                <w:sz w:val="16"/>
                <w:szCs w:val="16"/>
                <w:lang w:val="ru-RU"/>
              </w:rPr>
              <w:t xml:space="preserve"> </w:t>
            </w:r>
            <w:r w:rsidRPr="007B1ED7">
              <w:rPr>
                <w:sz w:val="16"/>
                <w:szCs w:val="16"/>
              </w:rPr>
              <w:t xml:space="preserve">849 </w:t>
            </w:r>
          </w:p>
        </w:tc>
        <w:tc>
          <w:tcPr>
            <w:tcW w:w="1319" w:type="dxa"/>
            <w:shd w:val="clear" w:color="auto" w:fill="auto"/>
            <w:hideMark/>
          </w:tcPr>
          <w:p w14:paraId="1D2E54E1" w14:textId="3BF25305" w:rsidR="00835857" w:rsidRPr="007B1ED7" w:rsidRDefault="00835857" w:rsidP="00835857">
            <w:pPr>
              <w:jc w:val="center"/>
              <w:rPr>
                <w:color w:val="000000"/>
                <w:sz w:val="16"/>
                <w:szCs w:val="16"/>
              </w:rPr>
            </w:pPr>
            <w:r>
              <w:rPr>
                <w:sz w:val="16"/>
                <w:szCs w:val="16"/>
              </w:rPr>
              <w:t>3</w:t>
            </w:r>
            <w:r>
              <w:rPr>
                <w:sz w:val="16"/>
                <w:szCs w:val="16"/>
                <w:lang w:val="ru-RU"/>
              </w:rPr>
              <w:t xml:space="preserve"> </w:t>
            </w:r>
            <w:r>
              <w:rPr>
                <w:sz w:val="16"/>
                <w:szCs w:val="16"/>
              </w:rPr>
              <w:t>938</w:t>
            </w:r>
            <w:r w:rsidRPr="007B1ED7">
              <w:rPr>
                <w:sz w:val="16"/>
                <w:szCs w:val="16"/>
              </w:rPr>
              <w:t xml:space="preserve"> </w:t>
            </w:r>
          </w:p>
        </w:tc>
        <w:tc>
          <w:tcPr>
            <w:tcW w:w="1782" w:type="dxa"/>
            <w:shd w:val="clear" w:color="auto" w:fill="auto"/>
            <w:hideMark/>
          </w:tcPr>
          <w:p w14:paraId="157B0FE3" w14:textId="59E3985D" w:rsidR="00835857" w:rsidRPr="007B1ED7" w:rsidRDefault="00835857" w:rsidP="00835857">
            <w:pPr>
              <w:jc w:val="center"/>
              <w:rPr>
                <w:color w:val="000000"/>
                <w:sz w:val="16"/>
                <w:szCs w:val="16"/>
                <w:highlight w:val="yellow"/>
              </w:rPr>
            </w:pPr>
            <w:r>
              <w:rPr>
                <w:sz w:val="16"/>
                <w:szCs w:val="16"/>
              </w:rPr>
              <w:t>4</w:t>
            </w:r>
            <w:r>
              <w:rPr>
                <w:sz w:val="16"/>
                <w:szCs w:val="16"/>
                <w:lang w:val="ru-RU"/>
              </w:rPr>
              <w:t xml:space="preserve"> </w:t>
            </w:r>
            <w:r>
              <w:rPr>
                <w:sz w:val="16"/>
                <w:szCs w:val="16"/>
              </w:rPr>
              <w:t>012</w:t>
            </w:r>
          </w:p>
        </w:tc>
        <w:tc>
          <w:tcPr>
            <w:tcW w:w="1782" w:type="dxa"/>
          </w:tcPr>
          <w:p w14:paraId="2D1D2A45" w14:textId="77777777" w:rsidR="00835857" w:rsidRDefault="00835857" w:rsidP="00835857">
            <w:pPr>
              <w:jc w:val="center"/>
              <w:rPr>
                <w:sz w:val="16"/>
                <w:szCs w:val="16"/>
              </w:rPr>
            </w:pPr>
            <w:r>
              <w:rPr>
                <w:sz w:val="16"/>
                <w:szCs w:val="16"/>
              </w:rPr>
              <w:t>102%</w:t>
            </w:r>
          </w:p>
        </w:tc>
      </w:tr>
      <w:tr w:rsidR="00835857" w:rsidRPr="007B1ED7" w14:paraId="7B87FDDD" w14:textId="77777777" w:rsidTr="00D536FD">
        <w:trPr>
          <w:trHeight w:val="315"/>
          <w:jc w:val="center"/>
        </w:trPr>
        <w:tc>
          <w:tcPr>
            <w:tcW w:w="2470" w:type="dxa"/>
            <w:tcBorders>
              <w:bottom w:val="single" w:sz="4" w:space="0" w:color="auto"/>
            </w:tcBorders>
            <w:shd w:val="clear" w:color="auto" w:fill="auto"/>
            <w:noWrap/>
            <w:vAlign w:val="center"/>
            <w:hideMark/>
          </w:tcPr>
          <w:p w14:paraId="28C47815" w14:textId="499AD28F" w:rsidR="00835857" w:rsidRPr="00835857" w:rsidRDefault="00835857" w:rsidP="00835857">
            <w:pPr>
              <w:rPr>
                <w:color w:val="000000"/>
                <w:sz w:val="16"/>
                <w:szCs w:val="16"/>
                <w:lang w:val="ru-RU"/>
              </w:rPr>
            </w:pPr>
            <w:r>
              <w:rPr>
                <w:color w:val="000000"/>
                <w:sz w:val="16"/>
                <w:szCs w:val="16"/>
                <w:lang w:val="ru-RU"/>
              </w:rPr>
              <w:t>Расходы, не связанные с персоналом</w:t>
            </w:r>
            <w:r w:rsidRPr="00A61AD6">
              <w:rPr>
                <w:color w:val="000000"/>
                <w:sz w:val="16"/>
                <w:szCs w:val="16"/>
                <w:lang w:val="ru-RU"/>
              </w:rPr>
              <w:t xml:space="preserve"> </w:t>
            </w:r>
          </w:p>
        </w:tc>
        <w:tc>
          <w:tcPr>
            <w:tcW w:w="1323" w:type="dxa"/>
            <w:tcBorders>
              <w:bottom w:val="single" w:sz="4" w:space="0" w:color="auto"/>
            </w:tcBorders>
            <w:shd w:val="clear" w:color="auto" w:fill="auto"/>
            <w:hideMark/>
          </w:tcPr>
          <w:p w14:paraId="143F887C" w14:textId="77777777" w:rsidR="00835857" w:rsidRPr="007B1ED7" w:rsidRDefault="00835857" w:rsidP="00835857">
            <w:pPr>
              <w:jc w:val="center"/>
              <w:rPr>
                <w:color w:val="000000"/>
                <w:sz w:val="16"/>
                <w:szCs w:val="16"/>
              </w:rPr>
            </w:pPr>
            <w:r w:rsidRPr="007B1ED7">
              <w:rPr>
                <w:sz w:val="16"/>
                <w:szCs w:val="16"/>
              </w:rPr>
              <w:t xml:space="preserve">700 </w:t>
            </w:r>
          </w:p>
        </w:tc>
        <w:tc>
          <w:tcPr>
            <w:tcW w:w="1319" w:type="dxa"/>
            <w:tcBorders>
              <w:bottom w:val="single" w:sz="4" w:space="0" w:color="auto"/>
            </w:tcBorders>
            <w:shd w:val="clear" w:color="auto" w:fill="auto"/>
            <w:hideMark/>
          </w:tcPr>
          <w:p w14:paraId="6463C221" w14:textId="74CA98D0" w:rsidR="00835857" w:rsidRPr="007B1ED7" w:rsidRDefault="00835857" w:rsidP="00835857">
            <w:pPr>
              <w:jc w:val="center"/>
              <w:rPr>
                <w:color w:val="000000"/>
                <w:sz w:val="16"/>
                <w:szCs w:val="16"/>
              </w:rPr>
            </w:pPr>
            <w:r>
              <w:rPr>
                <w:sz w:val="16"/>
                <w:szCs w:val="16"/>
              </w:rPr>
              <w:t>1</w:t>
            </w:r>
            <w:r>
              <w:rPr>
                <w:sz w:val="16"/>
                <w:szCs w:val="16"/>
                <w:lang w:val="ru-RU"/>
              </w:rPr>
              <w:t xml:space="preserve"> </w:t>
            </w:r>
            <w:r>
              <w:rPr>
                <w:sz w:val="16"/>
                <w:szCs w:val="16"/>
              </w:rPr>
              <w:t>118</w:t>
            </w:r>
          </w:p>
        </w:tc>
        <w:tc>
          <w:tcPr>
            <w:tcW w:w="1782" w:type="dxa"/>
            <w:tcBorders>
              <w:bottom w:val="single" w:sz="4" w:space="0" w:color="auto"/>
            </w:tcBorders>
            <w:shd w:val="clear" w:color="auto" w:fill="auto"/>
            <w:hideMark/>
          </w:tcPr>
          <w:p w14:paraId="621B57F5" w14:textId="36A77EF4" w:rsidR="00835857" w:rsidRPr="007B1ED7" w:rsidRDefault="00835857" w:rsidP="00835857">
            <w:pPr>
              <w:jc w:val="center"/>
              <w:rPr>
                <w:color w:val="000000"/>
                <w:sz w:val="16"/>
                <w:szCs w:val="16"/>
                <w:highlight w:val="yellow"/>
              </w:rPr>
            </w:pPr>
            <w:r>
              <w:rPr>
                <w:sz w:val="16"/>
                <w:szCs w:val="16"/>
              </w:rPr>
              <w:t>1</w:t>
            </w:r>
            <w:r>
              <w:rPr>
                <w:sz w:val="16"/>
                <w:szCs w:val="16"/>
                <w:lang w:val="ru-RU"/>
              </w:rPr>
              <w:t xml:space="preserve"> </w:t>
            </w:r>
            <w:r>
              <w:rPr>
                <w:sz w:val="16"/>
                <w:szCs w:val="16"/>
              </w:rPr>
              <w:t>055</w:t>
            </w:r>
          </w:p>
        </w:tc>
        <w:tc>
          <w:tcPr>
            <w:tcW w:w="1782" w:type="dxa"/>
            <w:tcBorders>
              <w:bottom w:val="single" w:sz="4" w:space="0" w:color="auto"/>
            </w:tcBorders>
          </w:tcPr>
          <w:p w14:paraId="4E0A4864" w14:textId="77777777" w:rsidR="00835857" w:rsidRDefault="00835857" w:rsidP="00835857">
            <w:pPr>
              <w:jc w:val="center"/>
              <w:rPr>
                <w:sz w:val="16"/>
                <w:szCs w:val="16"/>
              </w:rPr>
            </w:pPr>
            <w:r>
              <w:rPr>
                <w:sz w:val="16"/>
                <w:szCs w:val="16"/>
              </w:rPr>
              <w:t>94%</w:t>
            </w:r>
          </w:p>
        </w:tc>
      </w:tr>
      <w:tr w:rsidR="00835857" w:rsidRPr="007B1ED7" w14:paraId="08732C38" w14:textId="77777777" w:rsidTr="00D536FD">
        <w:trPr>
          <w:trHeight w:val="225"/>
          <w:jc w:val="center"/>
        </w:trPr>
        <w:tc>
          <w:tcPr>
            <w:tcW w:w="2470" w:type="dxa"/>
            <w:tcBorders>
              <w:bottom w:val="single" w:sz="4" w:space="0" w:color="auto"/>
            </w:tcBorders>
            <w:shd w:val="clear" w:color="000000" w:fill="CCFFFF"/>
            <w:noWrap/>
            <w:vAlign w:val="center"/>
            <w:hideMark/>
          </w:tcPr>
          <w:p w14:paraId="2B2309D0" w14:textId="550949CD" w:rsidR="00835857" w:rsidRPr="007B1ED7" w:rsidRDefault="00835857" w:rsidP="00835857">
            <w:pPr>
              <w:jc w:val="right"/>
              <w:rPr>
                <w:b/>
                <w:bCs/>
                <w:color w:val="000000"/>
                <w:sz w:val="16"/>
                <w:szCs w:val="16"/>
              </w:rPr>
            </w:pPr>
            <w:r w:rsidRPr="007B1ED7">
              <w:rPr>
                <w:b/>
                <w:bCs/>
                <w:color w:val="000000"/>
                <w:sz w:val="16"/>
                <w:szCs w:val="16"/>
              </w:rPr>
              <w:t xml:space="preserve"> </w:t>
            </w:r>
            <w:r>
              <w:rPr>
                <w:b/>
                <w:bCs/>
                <w:color w:val="000000"/>
                <w:sz w:val="16"/>
                <w:szCs w:val="16"/>
                <w:lang w:val="ru-RU"/>
              </w:rPr>
              <w:t>Итого</w:t>
            </w:r>
            <w:r w:rsidRPr="007B1ED7">
              <w:rPr>
                <w:b/>
                <w:bCs/>
                <w:color w:val="000000"/>
                <w:sz w:val="16"/>
                <w:szCs w:val="16"/>
              </w:rPr>
              <w:t xml:space="preserve"> </w:t>
            </w:r>
          </w:p>
        </w:tc>
        <w:tc>
          <w:tcPr>
            <w:tcW w:w="1323" w:type="dxa"/>
            <w:tcBorders>
              <w:bottom w:val="single" w:sz="4" w:space="0" w:color="auto"/>
            </w:tcBorders>
            <w:shd w:val="clear" w:color="000000" w:fill="CCFFFF"/>
            <w:hideMark/>
          </w:tcPr>
          <w:p w14:paraId="7A3C3438" w14:textId="62E6EC6B" w:rsidR="00835857" w:rsidRPr="007B1ED7" w:rsidRDefault="00835857" w:rsidP="00835857">
            <w:pPr>
              <w:jc w:val="center"/>
              <w:rPr>
                <w:b/>
                <w:bCs/>
                <w:color w:val="000000"/>
                <w:sz w:val="16"/>
                <w:szCs w:val="16"/>
              </w:rPr>
            </w:pPr>
            <w:r w:rsidRPr="007B1ED7">
              <w:rPr>
                <w:sz w:val="16"/>
                <w:szCs w:val="16"/>
              </w:rPr>
              <w:t>5</w:t>
            </w:r>
            <w:r>
              <w:rPr>
                <w:sz w:val="16"/>
                <w:szCs w:val="16"/>
                <w:lang w:val="ru-RU"/>
              </w:rPr>
              <w:t xml:space="preserve"> </w:t>
            </w:r>
            <w:r w:rsidRPr="007B1ED7">
              <w:rPr>
                <w:sz w:val="16"/>
                <w:szCs w:val="16"/>
              </w:rPr>
              <w:t xml:space="preserve">550 </w:t>
            </w:r>
          </w:p>
        </w:tc>
        <w:tc>
          <w:tcPr>
            <w:tcW w:w="1319" w:type="dxa"/>
            <w:tcBorders>
              <w:bottom w:val="single" w:sz="4" w:space="0" w:color="auto"/>
            </w:tcBorders>
            <w:shd w:val="clear" w:color="000000" w:fill="CCFFFF"/>
            <w:hideMark/>
          </w:tcPr>
          <w:p w14:paraId="72AC495E" w14:textId="77754A00" w:rsidR="00835857" w:rsidRPr="007B1ED7" w:rsidRDefault="00835857" w:rsidP="00835857">
            <w:pPr>
              <w:jc w:val="center"/>
              <w:rPr>
                <w:b/>
                <w:bCs/>
                <w:color w:val="000000"/>
                <w:sz w:val="16"/>
                <w:szCs w:val="16"/>
              </w:rPr>
            </w:pPr>
            <w:r w:rsidRPr="007B1ED7">
              <w:rPr>
                <w:sz w:val="16"/>
                <w:szCs w:val="16"/>
              </w:rPr>
              <w:t>5</w:t>
            </w:r>
            <w:r>
              <w:rPr>
                <w:sz w:val="16"/>
                <w:szCs w:val="16"/>
                <w:lang w:val="ru-RU"/>
              </w:rPr>
              <w:t xml:space="preserve"> </w:t>
            </w:r>
            <w:r w:rsidRPr="007B1ED7">
              <w:rPr>
                <w:sz w:val="16"/>
                <w:szCs w:val="16"/>
              </w:rPr>
              <w:t>0</w:t>
            </w:r>
            <w:r>
              <w:rPr>
                <w:sz w:val="16"/>
                <w:szCs w:val="16"/>
              </w:rPr>
              <w:t>56</w:t>
            </w:r>
            <w:r w:rsidRPr="007B1ED7">
              <w:rPr>
                <w:sz w:val="16"/>
                <w:szCs w:val="16"/>
              </w:rPr>
              <w:t xml:space="preserve"> </w:t>
            </w:r>
          </w:p>
        </w:tc>
        <w:tc>
          <w:tcPr>
            <w:tcW w:w="1782" w:type="dxa"/>
            <w:tcBorders>
              <w:bottom w:val="single" w:sz="4" w:space="0" w:color="auto"/>
            </w:tcBorders>
            <w:shd w:val="clear" w:color="000000" w:fill="CCFFFF"/>
            <w:hideMark/>
          </w:tcPr>
          <w:p w14:paraId="56879342" w14:textId="72F47453" w:rsidR="00835857" w:rsidRPr="007B1ED7" w:rsidRDefault="00835857" w:rsidP="00835857">
            <w:pPr>
              <w:jc w:val="center"/>
              <w:rPr>
                <w:b/>
                <w:bCs/>
                <w:color w:val="000000"/>
                <w:sz w:val="16"/>
                <w:szCs w:val="16"/>
                <w:highlight w:val="yellow"/>
              </w:rPr>
            </w:pPr>
            <w:r>
              <w:rPr>
                <w:sz w:val="16"/>
                <w:szCs w:val="16"/>
              </w:rPr>
              <w:t>5</w:t>
            </w:r>
            <w:r>
              <w:rPr>
                <w:sz w:val="16"/>
                <w:szCs w:val="16"/>
                <w:lang w:val="ru-RU"/>
              </w:rPr>
              <w:t xml:space="preserve"> </w:t>
            </w:r>
            <w:r>
              <w:rPr>
                <w:sz w:val="16"/>
                <w:szCs w:val="16"/>
              </w:rPr>
              <w:t>067</w:t>
            </w:r>
          </w:p>
        </w:tc>
        <w:tc>
          <w:tcPr>
            <w:tcW w:w="1782" w:type="dxa"/>
            <w:tcBorders>
              <w:bottom w:val="single" w:sz="4" w:space="0" w:color="auto"/>
            </w:tcBorders>
            <w:shd w:val="clear" w:color="000000" w:fill="CCFFFF"/>
          </w:tcPr>
          <w:p w14:paraId="2A292B69" w14:textId="77777777" w:rsidR="00835857" w:rsidRDefault="00835857" w:rsidP="00835857">
            <w:pPr>
              <w:jc w:val="center"/>
              <w:rPr>
                <w:sz w:val="16"/>
                <w:szCs w:val="16"/>
              </w:rPr>
            </w:pPr>
            <w:r>
              <w:rPr>
                <w:sz w:val="16"/>
                <w:szCs w:val="16"/>
              </w:rPr>
              <w:t>100%</w:t>
            </w:r>
          </w:p>
        </w:tc>
      </w:tr>
    </w:tbl>
    <w:p w14:paraId="181E7CBA" w14:textId="77777777" w:rsidR="00835857" w:rsidRPr="00BD2E61" w:rsidRDefault="00835857" w:rsidP="00C46B12">
      <w:pPr>
        <w:rPr>
          <w:sz w:val="20"/>
        </w:rPr>
      </w:pPr>
    </w:p>
    <w:p w14:paraId="1BC4EF1C" w14:textId="1FD267A6" w:rsidR="002C23BF" w:rsidRPr="00CE0303" w:rsidRDefault="00A61AD6" w:rsidP="002C23BF">
      <w:pPr>
        <w:pStyle w:val="ONUME"/>
        <w:rPr>
          <w:lang w:val="ru-RU"/>
        </w:rPr>
      </w:pPr>
      <w:r w:rsidRPr="00A61AD6">
        <w:rPr>
          <w:lang w:val="ru-RU"/>
        </w:rPr>
        <w:t>Завершилось</w:t>
      </w:r>
      <w:r w:rsidRPr="00CE0303">
        <w:rPr>
          <w:lang w:val="ru-RU"/>
        </w:rPr>
        <w:t xml:space="preserve"> </w:t>
      </w:r>
      <w:r w:rsidRPr="00A61AD6">
        <w:rPr>
          <w:lang w:val="ru-RU"/>
        </w:rPr>
        <w:t>оформление</w:t>
      </w:r>
      <w:r w:rsidRPr="00CE0303">
        <w:rPr>
          <w:lang w:val="ru-RU"/>
        </w:rPr>
        <w:t xml:space="preserve"> </w:t>
      </w:r>
      <w:r w:rsidRPr="00A61AD6">
        <w:rPr>
          <w:lang w:val="ru-RU"/>
        </w:rPr>
        <w:t>на</w:t>
      </w:r>
      <w:r w:rsidRPr="00CE0303">
        <w:rPr>
          <w:lang w:val="ru-RU"/>
        </w:rPr>
        <w:t xml:space="preserve"> </w:t>
      </w:r>
      <w:r w:rsidRPr="00A61AD6">
        <w:rPr>
          <w:lang w:val="ru-RU"/>
        </w:rPr>
        <w:t>работу</w:t>
      </w:r>
      <w:r w:rsidRPr="00CE0303">
        <w:rPr>
          <w:lang w:val="ru-RU"/>
        </w:rPr>
        <w:t xml:space="preserve"> </w:t>
      </w:r>
      <w:r>
        <w:rPr>
          <w:lang w:val="ru-RU"/>
        </w:rPr>
        <w:t>младшего</w:t>
      </w:r>
      <w:r w:rsidRPr="00CE0303">
        <w:rPr>
          <w:lang w:val="ru-RU"/>
        </w:rPr>
        <w:t xml:space="preserve"> </w:t>
      </w:r>
      <w:r>
        <w:rPr>
          <w:lang w:val="ru-RU"/>
        </w:rPr>
        <w:t>сотрудника</w:t>
      </w:r>
      <w:r w:rsidRPr="00CE0303">
        <w:rPr>
          <w:lang w:val="ru-RU"/>
        </w:rPr>
        <w:t xml:space="preserve"> (</w:t>
      </w:r>
      <w:r>
        <w:rPr>
          <w:lang w:val="ru-RU"/>
        </w:rPr>
        <w:t>класс</w:t>
      </w:r>
      <w:r w:rsidRPr="00CE0303">
        <w:rPr>
          <w:lang w:val="ru-RU"/>
        </w:rPr>
        <w:t xml:space="preserve"> </w:t>
      </w:r>
      <w:r>
        <w:rPr>
          <w:lang w:val="en-GB"/>
        </w:rPr>
        <w:t>G</w:t>
      </w:r>
      <w:r w:rsidRPr="00CE0303">
        <w:rPr>
          <w:lang w:val="ru-RU"/>
        </w:rPr>
        <w:t xml:space="preserve">4), </w:t>
      </w:r>
      <w:r w:rsidRPr="00A61AD6">
        <w:rPr>
          <w:lang w:val="ru-RU"/>
        </w:rPr>
        <w:t>и</w:t>
      </w:r>
      <w:r w:rsidRPr="00CE0303">
        <w:rPr>
          <w:lang w:val="ru-RU"/>
        </w:rPr>
        <w:t xml:space="preserve"> </w:t>
      </w:r>
      <w:r w:rsidRPr="00A61AD6">
        <w:rPr>
          <w:lang w:val="ru-RU"/>
        </w:rPr>
        <w:t>отобранный</w:t>
      </w:r>
      <w:r w:rsidRPr="00CE0303">
        <w:rPr>
          <w:lang w:val="ru-RU"/>
        </w:rPr>
        <w:t xml:space="preserve"> </w:t>
      </w:r>
      <w:r w:rsidRPr="00A61AD6">
        <w:rPr>
          <w:lang w:val="ru-RU"/>
        </w:rPr>
        <w:t>кандидат</w:t>
      </w:r>
      <w:r w:rsidRPr="00CE0303">
        <w:rPr>
          <w:lang w:val="ru-RU"/>
        </w:rPr>
        <w:t xml:space="preserve">, </w:t>
      </w:r>
      <w:r w:rsidRPr="00A61AD6">
        <w:rPr>
          <w:lang w:val="ru-RU"/>
        </w:rPr>
        <w:t>утвержденный</w:t>
      </w:r>
      <w:r w:rsidRPr="00CE0303">
        <w:rPr>
          <w:lang w:val="ru-RU"/>
        </w:rPr>
        <w:t xml:space="preserve"> </w:t>
      </w:r>
      <w:r w:rsidRPr="00A61AD6">
        <w:rPr>
          <w:lang w:val="ru-RU"/>
        </w:rPr>
        <w:t>на</w:t>
      </w:r>
      <w:r w:rsidRPr="00CE0303">
        <w:rPr>
          <w:lang w:val="ru-RU"/>
        </w:rPr>
        <w:t xml:space="preserve"> </w:t>
      </w:r>
      <w:r w:rsidRPr="00A61AD6">
        <w:rPr>
          <w:lang w:val="ru-RU"/>
        </w:rPr>
        <w:t>эту</w:t>
      </w:r>
      <w:r w:rsidRPr="00CE0303">
        <w:rPr>
          <w:lang w:val="ru-RU"/>
        </w:rPr>
        <w:t xml:space="preserve"> </w:t>
      </w:r>
      <w:r w:rsidRPr="00A61AD6">
        <w:rPr>
          <w:lang w:val="ru-RU"/>
        </w:rPr>
        <w:t>должность</w:t>
      </w:r>
      <w:r w:rsidRPr="00CE0303">
        <w:rPr>
          <w:lang w:val="ru-RU"/>
        </w:rPr>
        <w:t xml:space="preserve">, </w:t>
      </w:r>
      <w:r w:rsidRPr="00A61AD6">
        <w:rPr>
          <w:lang w:val="ru-RU"/>
        </w:rPr>
        <w:t>приступил</w:t>
      </w:r>
      <w:r w:rsidRPr="00CE0303">
        <w:rPr>
          <w:lang w:val="ru-RU"/>
        </w:rPr>
        <w:t xml:space="preserve"> </w:t>
      </w:r>
      <w:r w:rsidRPr="00A61AD6">
        <w:rPr>
          <w:lang w:val="ru-RU"/>
        </w:rPr>
        <w:t>к</w:t>
      </w:r>
      <w:r w:rsidRPr="00CE0303">
        <w:rPr>
          <w:lang w:val="ru-RU"/>
        </w:rPr>
        <w:t xml:space="preserve"> </w:t>
      </w:r>
      <w:r w:rsidRPr="00A61AD6">
        <w:rPr>
          <w:lang w:val="ru-RU"/>
        </w:rPr>
        <w:t>исполнению</w:t>
      </w:r>
      <w:r w:rsidRPr="00CE0303">
        <w:rPr>
          <w:lang w:val="ru-RU"/>
        </w:rPr>
        <w:t xml:space="preserve"> </w:t>
      </w:r>
      <w:r w:rsidRPr="00A61AD6">
        <w:rPr>
          <w:lang w:val="ru-RU"/>
        </w:rPr>
        <w:t>своих</w:t>
      </w:r>
      <w:r w:rsidRPr="00CE0303">
        <w:rPr>
          <w:lang w:val="ru-RU"/>
        </w:rPr>
        <w:t xml:space="preserve"> </w:t>
      </w:r>
      <w:r w:rsidRPr="00A61AD6">
        <w:rPr>
          <w:lang w:val="ru-RU"/>
        </w:rPr>
        <w:t>обязанностей</w:t>
      </w:r>
      <w:r w:rsidRPr="00CE0303">
        <w:rPr>
          <w:lang w:val="ru-RU"/>
        </w:rPr>
        <w:t xml:space="preserve"> </w:t>
      </w:r>
      <w:r w:rsidRPr="00A61AD6">
        <w:rPr>
          <w:lang w:val="ru-RU"/>
        </w:rPr>
        <w:t>в</w:t>
      </w:r>
      <w:r w:rsidRPr="00CE0303">
        <w:rPr>
          <w:lang w:val="ru-RU"/>
        </w:rPr>
        <w:t xml:space="preserve"> </w:t>
      </w:r>
      <w:r>
        <w:rPr>
          <w:lang w:val="ru-RU"/>
        </w:rPr>
        <w:t>октябре</w:t>
      </w:r>
      <w:r w:rsidRPr="00CE0303">
        <w:rPr>
          <w:lang w:val="ru-RU"/>
        </w:rPr>
        <w:t xml:space="preserve"> 2019</w:t>
      </w:r>
      <w:r w:rsidRPr="00A61AD6">
        <w:t> </w:t>
      </w:r>
      <w:r w:rsidRPr="00A61AD6">
        <w:rPr>
          <w:lang w:val="ru-RU"/>
        </w:rPr>
        <w:t>г</w:t>
      </w:r>
      <w:r w:rsidRPr="00CE0303">
        <w:rPr>
          <w:lang w:val="ru-RU"/>
        </w:rPr>
        <w:t xml:space="preserve">. </w:t>
      </w:r>
    </w:p>
    <w:p w14:paraId="6D15D69E" w14:textId="659B1E77" w:rsidR="00C46B12" w:rsidRPr="00A61AD6" w:rsidRDefault="00A61AD6" w:rsidP="00C46B12">
      <w:pPr>
        <w:pStyle w:val="Heading2"/>
        <w:rPr>
          <w:lang w:val="ru-RU"/>
        </w:rPr>
      </w:pPr>
      <w:bookmarkStart w:id="64" w:name="_Toc40299746"/>
      <w:r>
        <w:rPr>
          <w:lang w:val="ru-RU"/>
        </w:rPr>
        <w:t>профессиональная подготовка</w:t>
      </w:r>
      <w:bookmarkEnd w:id="64"/>
    </w:p>
    <w:p w14:paraId="79D7563E" w14:textId="5365A76E" w:rsidR="00C46B12" w:rsidRPr="00A61AD6" w:rsidRDefault="00A61AD6" w:rsidP="002C23BF">
      <w:pPr>
        <w:pStyle w:val="ONUME"/>
        <w:rPr>
          <w:lang w:val="ru-RU"/>
        </w:rPr>
      </w:pPr>
      <w:r w:rsidRPr="00A61AD6">
        <w:rPr>
          <w:lang w:val="ru-RU"/>
        </w:rPr>
        <w:t xml:space="preserve">С учетом того, что постоянное повышение квалификации является обязательным условием дальнейшего профессионального роста сотрудников, а также в соответствии с требованиями политики ВОИС в области </w:t>
      </w:r>
      <w:r w:rsidR="00431669">
        <w:rPr>
          <w:lang w:val="ru-RU"/>
        </w:rPr>
        <w:t>профессиональной подготовки</w:t>
      </w:r>
      <w:r w:rsidRPr="00A61AD6">
        <w:rPr>
          <w:lang w:val="ru-RU"/>
        </w:rPr>
        <w:t xml:space="preserve"> сотрудники ОВН прин</w:t>
      </w:r>
      <w:r>
        <w:rPr>
          <w:lang w:val="ru-RU"/>
        </w:rPr>
        <w:t>има</w:t>
      </w:r>
      <w:r w:rsidRPr="00A61AD6">
        <w:rPr>
          <w:lang w:val="ru-RU"/>
        </w:rPr>
        <w:t xml:space="preserve">ли участие в различных обучающих мероприятиях для приобретения новых знаний, </w:t>
      </w:r>
      <w:r>
        <w:rPr>
          <w:lang w:val="ru-RU"/>
        </w:rPr>
        <w:t>технических</w:t>
      </w:r>
      <w:r w:rsidRPr="00A61AD6">
        <w:rPr>
          <w:lang w:val="ru-RU"/>
        </w:rPr>
        <w:t xml:space="preserve"> навыков и друг</w:t>
      </w:r>
      <w:r>
        <w:rPr>
          <w:lang w:val="ru-RU"/>
        </w:rPr>
        <w:t>их</w:t>
      </w:r>
      <w:r w:rsidRPr="00A61AD6">
        <w:rPr>
          <w:lang w:val="ru-RU"/>
        </w:rPr>
        <w:t xml:space="preserve"> </w:t>
      </w:r>
      <w:r>
        <w:rPr>
          <w:lang w:val="ru-RU"/>
        </w:rPr>
        <w:t>умений</w:t>
      </w:r>
      <w:r w:rsidRPr="00A61AD6">
        <w:rPr>
          <w:lang w:val="ru-RU"/>
        </w:rPr>
        <w:t xml:space="preserve"> в интересах повышения эффективности и результативности оперативной деятельности ОВН в области надзора.</w:t>
      </w:r>
      <w:r w:rsidR="00C46B12" w:rsidRPr="00A61AD6">
        <w:rPr>
          <w:lang w:val="ru-RU"/>
        </w:rPr>
        <w:t xml:space="preserve"> </w:t>
      </w:r>
    </w:p>
    <w:p w14:paraId="551489A0" w14:textId="4A77FD58" w:rsidR="00A8602C" w:rsidRPr="00A61AD6" w:rsidRDefault="00A61AD6" w:rsidP="00CE0303">
      <w:pPr>
        <w:pStyle w:val="ONUME"/>
        <w:rPr>
          <w:lang w:val="ru-RU"/>
        </w:rPr>
      </w:pPr>
      <w:r w:rsidRPr="00A61AD6">
        <w:rPr>
          <w:lang w:val="ru-RU"/>
        </w:rPr>
        <w:t xml:space="preserve">В среднем каждый сотрудник ОВН потратил 10 дней на прохождение профессиональной подготовки, в том числе по таким темам, как предотвращение и выявление мошенничества, методы </w:t>
      </w:r>
      <w:r w:rsidR="00431669">
        <w:rPr>
          <w:lang w:val="ru-RU"/>
        </w:rPr>
        <w:t>проведения расследований</w:t>
      </w:r>
      <w:r w:rsidRPr="00A61AD6">
        <w:rPr>
          <w:lang w:val="ru-RU"/>
        </w:rPr>
        <w:t>, анализ данных, сбор цифровых данных, кибербезопасность, урегулирование конфликтов, оценка научной и инновационной политики, политика в области поведенческой науки, а также система TeamMate.</w:t>
      </w:r>
    </w:p>
    <w:p w14:paraId="0FF097C5" w14:textId="069CADD5" w:rsidR="00C46B12" w:rsidRPr="00CE0303" w:rsidRDefault="00A61AD6" w:rsidP="0025359D">
      <w:pPr>
        <w:pStyle w:val="ONUME"/>
        <w:rPr>
          <w:lang w:val="ru-RU"/>
        </w:rPr>
      </w:pPr>
      <w:r>
        <w:rPr>
          <w:lang w:val="ru-RU"/>
        </w:rPr>
        <w:t>Кроме</w:t>
      </w:r>
      <w:r w:rsidRPr="00A61AD6">
        <w:rPr>
          <w:lang w:val="ru-RU"/>
        </w:rPr>
        <w:t xml:space="preserve"> </w:t>
      </w:r>
      <w:r>
        <w:rPr>
          <w:lang w:val="ru-RU"/>
        </w:rPr>
        <w:t>того</w:t>
      </w:r>
      <w:r w:rsidRPr="00A61AD6">
        <w:rPr>
          <w:lang w:val="ru-RU"/>
        </w:rPr>
        <w:t xml:space="preserve">, </w:t>
      </w:r>
      <w:r>
        <w:rPr>
          <w:lang w:val="ru-RU"/>
        </w:rPr>
        <w:t>группа</w:t>
      </w:r>
      <w:r w:rsidRPr="00A61AD6">
        <w:rPr>
          <w:lang w:val="ru-RU"/>
        </w:rPr>
        <w:t xml:space="preserve"> </w:t>
      </w:r>
      <w:r>
        <w:rPr>
          <w:lang w:val="ru-RU"/>
        </w:rPr>
        <w:t>сотрудников</w:t>
      </w:r>
      <w:r w:rsidRPr="00A61AD6">
        <w:rPr>
          <w:lang w:val="ru-RU"/>
        </w:rPr>
        <w:t xml:space="preserve"> </w:t>
      </w:r>
      <w:r>
        <w:rPr>
          <w:lang w:val="ru-RU"/>
        </w:rPr>
        <w:t>ОВН</w:t>
      </w:r>
      <w:r w:rsidRPr="00A61AD6">
        <w:rPr>
          <w:lang w:val="ru-RU"/>
        </w:rPr>
        <w:t xml:space="preserve"> </w:t>
      </w:r>
      <w:r>
        <w:rPr>
          <w:lang w:val="ru-RU"/>
        </w:rPr>
        <w:t>приняла</w:t>
      </w:r>
      <w:r w:rsidRPr="00A61AD6">
        <w:rPr>
          <w:lang w:val="ru-RU"/>
        </w:rPr>
        <w:t xml:space="preserve"> </w:t>
      </w:r>
      <w:r>
        <w:rPr>
          <w:lang w:val="ru-RU"/>
        </w:rPr>
        <w:t>участие</w:t>
      </w:r>
      <w:r w:rsidRPr="00A61AD6">
        <w:rPr>
          <w:lang w:val="ru-RU"/>
        </w:rPr>
        <w:t xml:space="preserve"> </w:t>
      </w:r>
      <w:r>
        <w:rPr>
          <w:lang w:val="ru-RU"/>
        </w:rPr>
        <w:t>в</w:t>
      </w:r>
      <w:r w:rsidRPr="00A61AD6">
        <w:rPr>
          <w:lang w:val="ru-RU"/>
        </w:rPr>
        <w:t xml:space="preserve"> </w:t>
      </w:r>
      <w:r>
        <w:rPr>
          <w:lang w:val="ru-RU"/>
        </w:rPr>
        <w:t>тренинге</w:t>
      </w:r>
      <w:r w:rsidRPr="00A61AD6">
        <w:rPr>
          <w:lang w:val="ru-RU"/>
        </w:rPr>
        <w:t xml:space="preserve"> </w:t>
      </w:r>
      <w:r>
        <w:rPr>
          <w:lang w:val="ru-RU"/>
        </w:rPr>
        <w:t>по</w:t>
      </w:r>
      <w:r w:rsidRPr="00A61AD6">
        <w:rPr>
          <w:lang w:val="ru-RU"/>
        </w:rPr>
        <w:t xml:space="preserve"> </w:t>
      </w:r>
      <w:r>
        <w:rPr>
          <w:lang w:val="ru-RU"/>
        </w:rPr>
        <w:t>системе</w:t>
      </w:r>
      <w:r w:rsidRPr="00A61AD6">
        <w:rPr>
          <w:lang w:val="ru-RU"/>
        </w:rPr>
        <w:t xml:space="preserve"> </w:t>
      </w:r>
      <w:r w:rsidR="0025359D" w:rsidRPr="0025359D">
        <w:t>Synergology</w:t>
      </w:r>
      <w:r w:rsidR="0025359D" w:rsidRPr="00A61AD6">
        <w:rPr>
          <w:lang w:val="ru-RU"/>
        </w:rPr>
        <w:t xml:space="preserve">, </w:t>
      </w:r>
      <w:r>
        <w:rPr>
          <w:lang w:val="ru-RU"/>
        </w:rPr>
        <w:t>целью</w:t>
      </w:r>
      <w:r w:rsidRPr="00A61AD6">
        <w:rPr>
          <w:lang w:val="ru-RU"/>
        </w:rPr>
        <w:t xml:space="preserve"> </w:t>
      </w:r>
      <w:r>
        <w:rPr>
          <w:lang w:val="ru-RU"/>
        </w:rPr>
        <w:t>которого</w:t>
      </w:r>
      <w:r w:rsidRPr="00A61AD6">
        <w:rPr>
          <w:lang w:val="ru-RU"/>
        </w:rPr>
        <w:t xml:space="preserve"> </w:t>
      </w:r>
      <w:r>
        <w:rPr>
          <w:lang w:val="ru-RU"/>
        </w:rPr>
        <w:t>было расширение возможностей персонала, занимающегося вопросами надзора, в плане выявления и понимания элементов невербальной коммуникации.</w:t>
      </w:r>
    </w:p>
    <w:p w14:paraId="79FE0245" w14:textId="21AC9ECF" w:rsidR="007D131F" w:rsidRPr="00CE0303" w:rsidRDefault="007D131F" w:rsidP="007D131F">
      <w:pPr>
        <w:keepLines/>
        <w:tabs>
          <w:tab w:val="left" w:pos="5529"/>
        </w:tabs>
        <w:ind w:firstLine="5529"/>
        <w:rPr>
          <w:lang w:val="ru-RU"/>
        </w:rPr>
      </w:pPr>
      <w:r w:rsidRPr="00CE0303">
        <w:rPr>
          <w:lang w:val="ru-RU"/>
        </w:rPr>
        <w:t>[</w:t>
      </w:r>
      <w:r w:rsidR="00A61AD6">
        <w:rPr>
          <w:lang w:val="ru-RU"/>
        </w:rPr>
        <w:t>Приложение следует</w:t>
      </w:r>
      <w:r w:rsidRPr="00CE0303">
        <w:rPr>
          <w:lang w:val="ru-RU"/>
        </w:rPr>
        <w:t>]</w:t>
      </w:r>
    </w:p>
    <w:p w14:paraId="098D638F" w14:textId="20AA01E9" w:rsidR="00C46B12" w:rsidRPr="00CE0303" w:rsidRDefault="007D131F" w:rsidP="007D131F">
      <w:pPr>
        <w:keepLines/>
        <w:tabs>
          <w:tab w:val="left" w:pos="5529"/>
          <w:tab w:val="left" w:pos="6930"/>
          <w:tab w:val="right" w:pos="9355"/>
        </w:tabs>
        <w:rPr>
          <w:lang w:val="ru-RU"/>
        </w:rPr>
      </w:pPr>
      <w:r w:rsidRPr="00CE0303">
        <w:rPr>
          <w:lang w:val="ru-RU"/>
        </w:rPr>
        <w:tab/>
      </w:r>
    </w:p>
    <w:p w14:paraId="25B5F6DD" w14:textId="77777777" w:rsidR="00C46B12" w:rsidRPr="00CE0303" w:rsidRDefault="00C46B12" w:rsidP="00C46B12">
      <w:pPr>
        <w:pStyle w:val="ONUME"/>
        <w:keepLines/>
        <w:numPr>
          <w:ilvl w:val="0"/>
          <w:numId w:val="0"/>
        </w:numPr>
        <w:jc w:val="right"/>
        <w:rPr>
          <w:lang w:val="ru-RU"/>
        </w:rPr>
        <w:sectPr w:rsidR="00C46B12" w:rsidRPr="00CE0303" w:rsidSect="00D536FD">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305" w:right="1134" w:bottom="1418" w:left="1418" w:header="510" w:footer="1021" w:gutter="0"/>
          <w:pgNumType w:start="2"/>
          <w:cols w:space="720"/>
          <w:titlePg/>
          <w:docGrid w:linePitch="299"/>
        </w:sectPr>
      </w:pPr>
    </w:p>
    <w:p w14:paraId="237E4D33" w14:textId="7D10F99A" w:rsidR="00C46B12" w:rsidRPr="009C27E1" w:rsidRDefault="009C27E1" w:rsidP="009C27E1">
      <w:pPr>
        <w:keepLines/>
        <w:jc w:val="center"/>
        <w:rPr>
          <w:b/>
          <w:bCs/>
          <w:lang w:val="ru-RU"/>
        </w:rPr>
      </w:pPr>
      <w:r>
        <w:rPr>
          <w:b/>
          <w:bCs/>
          <w:lang w:val="ru-RU"/>
        </w:rPr>
        <w:lastRenderedPageBreak/>
        <w:t xml:space="preserve">Приложение: </w:t>
      </w:r>
      <w:r w:rsidR="00A61AD6" w:rsidRPr="00A61AD6">
        <w:rPr>
          <w:b/>
          <w:bCs/>
          <w:lang w:val="ru-RU"/>
        </w:rPr>
        <w:t xml:space="preserve">Перечень отчетов ОВН </w:t>
      </w:r>
      <w:r w:rsidR="00A61AD6" w:rsidRPr="00A61AD6">
        <w:rPr>
          <w:b/>
          <w:bCs/>
          <w:lang w:val="ru-RU"/>
        </w:rPr>
        <w:br/>
        <w:t>1</w:t>
      </w:r>
      <w:r w:rsidR="00A61AD6" w:rsidRPr="00A61AD6">
        <w:rPr>
          <w:b/>
          <w:bCs/>
        </w:rPr>
        <w:t> </w:t>
      </w:r>
      <w:r w:rsidR="00A61AD6" w:rsidRPr="00A61AD6">
        <w:rPr>
          <w:b/>
          <w:bCs/>
          <w:lang w:val="ru-RU"/>
        </w:rPr>
        <w:t>июля 201</w:t>
      </w:r>
      <w:r w:rsidR="00A61AD6">
        <w:rPr>
          <w:b/>
          <w:bCs/>
          <w:lang w:val="ru-RU"/>
        </w:rPr>
        <w:t>9</w:t>
      </w:r>
      <w:r w:rsidR="00A61AD6" w:rsidRPr="00A61AD6">
        <w:rPr>
          <w:b/>
          <w:bCs/>
        </w:rPr>
        <w:t> </w:t>
      </w:r>
      <w:r w:rsidR="00A61AD6" w:rsidRPr="00A61AD6">
        <w:rPr>
          <w:b/>
          <w:bCs/>
          <w:lang w:val="ru-RU"/>
        </w:rPr>
        <w:t>г.</w:t>
      </w:r>
      <w:r w:rsidR="00A61AD6" w:rsidRPr="00A61AD6">
        <w:rPr>
          <w:b/>
          <w:bCs/>
        </w:rPr>
        <w:t> </w:t>
      </w:r>
      <w:r w:rsidR="00A61AD6" w:rsidRPr="00A61AD6">
        <w:rPr>
          <w:b/>
          <w:bCs/>
          <w:lang w:val="ru-RU"/>
        </w:rPr>
        <w:t>— 3</w:t>
      </w:r>
      <w:r w:rsidR="00A61AD6">
        <w:rPr>
          <w:b/>
          <w:bCs/>
          <w:lang w:val="ru-RU"/>
        </w:rPr>
        <w:t>1</w:t>
      </w:r>
      <w:r w:rsidR="00A61AD6" w:rsidRPr="00A61AD6">
        <w:rPr>
          <w:b/>
          <w:bCs/>
        </w:rPr>
        <w:t> </w:t>
      </w:r>
      <w:r w:rsidR="00A61AD6">
        <w:rPr>
          <w:b/>
          <w:bCs/>
          <w:lang w:val="ru-RU"/>
        </w:rPr>
        <w:t>декабря</w:t>
      </w:r>
      <w:r w:rsidR="00A61AD6" w:rsidRPr="00A61AD6">
        <w:rPr>
          <w:b/>
          <w:bCs/>
          <w:lang w:val="ru-RU"/>
        </w:rPr>
        <w:t xml:space="preserve"> 2019</w:t>
      </w:r>
      <w:r w:rsidR="00A61AD6" w:rsidRPr="00A61AD6">
        <w:rPr>
          <w:b/>
          <w:bCs/>
        </w:rPr>
        <w:t> </w:t>
      </w:r>
      <w:r w:rsidR="00A61AD6" w:rsidRPr="00A61AD6">
        <w:rPr>
          <w:b/>
          <w:bCs/>
          <w:lang w:val="ru-RU"/>
        </w:rPr>
        <w:t>г.</w:t>
      </w:r>
      <w:r w:rsidR="00C46B12" w:rsidRPr="00A61AD6">
        <w:rPr>
          <w:b/>
          <w:bCs/>
          <w:lang w:val="ru-RU"/>
        </w:rPr>
        <w:br/>
      </w:r>
    </w:p>
    <w:tbl>
      <w:tblPr>
        <w:tblStyle w:val="TableGridLight"/>
        <w:tblW w:w="0" w:type="auto"/>
        <w:tblLook w:val="04A0" w:firstRow="1" w:lastRow="0" w:firstColumn="1" w:lastColumn="0" w:noHBand="0" w:noVBand="1"/>
        <w:tblDescription w:val="Перечень отчетов ОВН за период 1 июля - 31 декабря 2019 г."/>
      </w:tblPr>
      <w:tblGrid>
        <w:gridCol w:w="7508"/>
        <w:gridCol w:w="1837"/>
      </w:tblGrid>
      <w:tr w:rsidR="00FF003D" w:rsidRPr="00427FB1" w14:paraId="1400DCA3" w14:textId="77777777" w:rsidTr="00AB58BA">
        <w:trPr>
          <w:trHeight w:val="851"/>
          <w:tblHeader/>
        </w:trPr>
        <w:tc>
          <w:tcPr>
            <w:tcW w:w="7508" w:type="dxa"/>
            <w:vAlign w:val="center"/>
          </w:tcPr>
          <w:p w14:paraId="3F645E0A" w14:textId="40C8FAA1" w:rsidR="00FF003D" w:rsidRPr="00A61AD6" w:rsidRDefault="00A61AD6" w:rsidP="00FF003D">
            <w:pPr>
              <w:pStyle w:val="ONUME"/>
              <w:numPr>
                <w:ilvl w:val="0"/>
                <w:numId w:val="0"/>
              </w:numPr>
              <w:jc w:val="center"/>
              <w:rPr>
                <w:lang w:val="ru-RU"/>
              </w:rPr>
            </w:pPr>
            <w:r>
              <w:rPr>
                <w:szCs w:val="22"/>
                <w:lang w:val="ru-RU"/>
              </w:rPr>
              <w:t>А</w:t>
            </w:r>
            <w:r w:rsidRPr="00A61AD6">
              <w:rPr>
                <w:rFonts w:eastAsia="Times New Roman"/>
                <w:color w:val="000000"/>
                <w:sz w:val="24"/>
                <w:szCs w:val="24"/>
                <w:lang w:val="ru-RU" w:eastAsia="en-US"/>
              </w:rPr>
              <w:t xml:space="preserve">удиторская проверка организации управления </w:t>
            </w:r>
            <w:r w:rsidR="00431669">
              <w:rPr>
                <w:rFonts w:eastAsia="Times New Roman"/>
                <w:color w:val="000000"/>
                <w:sz w:val="24"/>
                <w:szCs w:val="24"/>
                <w:lang w:val="ru-RU" w:eastAsia="en-US"/>
              </w:rPr>
              <w:t xml:space="preserve">внутриорганизационными </w:t>
            </w:r>
            <w:r w:rsidRPr="00A61AD6">
              <w:rPr>
                <w:rFonts w:eastAsia="Times New Roman"/>
                <w:color w:val="000000"/>
                <w:sz w:val="24"/>
                <w:szCs w:val="24"/>
                <w:lang w:val="ru-RU" w:eastAsia="en-US"/>
              </w:rPr>
              <w:t>услугами в Секторе администрации и управления</w:t>
            </w:r>
          </w:p>
        </w:tc>
        <w:tc>
          <w:tcPr>
            <w:tcW w:w="1837" w:type="dxa"/>
            <w:vAlign w:val="center"/>
          </w:tcPr>
          <w:p w14:paraId="08788E89" w14:textId="77777777" w:rsidR="00FF003D" w:rsidRPr="00427FB1" w:rsidRDefault="00FF003D" w:rsidP="00FF003D">
            <w:pPr>
              <w:pStyle w:val="ONUME"/>
              <w:numPr>
                <w:ilvl w:val="0"/>
                <w:numId w:val="0"/>
              </w:numPr>
              <w:ind w:left="34"/>
              <w:jc w:val="center"/>
            </w:pPr>
            <w:r w:rsidRPr="00F736B0">
              <w:rPr>
                <w:rFonts w:eastAsia="Times New Roman"/>
                <w:color w:val="000000"/>
                <w:sz w:val="24"/>
                <w:szCs w:val="24"/>
                <w:lang w:eastAsia="en-US"/>
              </w:rPr>
              <w:t>IA 2019-01</w:t>
            </w:r>
          </w:p>
        </w:tc>
      </w:tr>
      <w:tr w:rsidR="00FF003D" w:rsidRPr="00427FB1" w14:paraId="3DE728A7" w14:textId="77777777" w:rsidTr="002670C4">
        <w:trPr>
          <w:trHeight w:val="851"/>
        </w:trPr>
        <w:tc>
          <w:tcPr>
            <w:tcW w:w="7508" w:type="dxa"/>
            <w:vAlign w:val="center"/>
          </w:tcPr>
          <w:p w14:paraId="001D1BE8" w14:textId="05938B17" w:rsidR="00FF003D" w:rsidRPr="00A61AD6" w:rsidRDefault="00A61AD6" w:rsidP="00FF003D">
            <w:pPr>
              <w:pStyle w:val="ONUME"/>
              <w:numPr>
                <w:ilvl w:val="0"/>
                <w:numId w:val="0"/>
              </w:numPr>
              <w:jc w:val="center"/>
              <w:rPr>
                <w:rFonts w:eastAsia="Times New Roman"/>
                <w:color w:val="3B3B3B"/>
                <w:sz w:val="24"/>
                <w:szCs w:val="24"/>
                <w:lang w:val="ru-RU" w:eastAsia="en-US"/>
              </w:rPr>
            </w:pPr>
            <w:r>
              <w:rPr>
                <w:rFonts w:eastAsia="Times New Roman"/>
                <w:sz w:val="24"/>
                <w:szCs w:val="24"/>
                <w:lang w:val="ru-RU" w:eastAsia="en-US"/>
              </w:rPr>
              <w:t>А</w:t>
            </w:r>
            <w:r w:rsidRPr="00A61AD6">
              <w:rPr>
                <w:rFonts w:eastAsia="Times New Roman"/>
                <w:sz w:val="24"/>
                <w:szCs w:val="24"/>
                <w:lang w:val="ru-RU" w:eastAsia="en-US"/>
              </w:rPr>
              <w:t>удиторская проверка системы управления организационными ресурсами (УОР) ВОИС</w:t>
            </w:r>
          </w:p>
        </w:tc>
        <w:tc>
          <w:tcPr>
            <w:tcW w:w="1837" w:type="dxa"/>
            <w:vAlign w:val="center"/>
          </w:tcPr>
          <w:p w14:paraId="77C439B7" w14:textId="77777777" w:rsidR="00FF003D" w:rsidRPr="00F736B0" w:rsidRDefault="00FF003D" w:rsidP="00FF003D">
            <w:pPr>
              <w:pStyle w:val="ONUME"/>
              <w:numPr>
                <w:ilvl w:val="0"/>
                <w:numId w:val="0"/>
              </w:numPr>
              <w:ind w:left="34"/>
              <w:jc w:val="center"/>
              <w:rPr>
                <w:rFonts w:eastAsia="Times New Roman"/>
                <w:color w:val="000000"/>
                <w:sz w:val="24"/>
                <w:szCs w:val="24"/>
                <w:lang w:eastAsia="en-US"/>
              </w:rPr>
            </w:pPr>
            <w:r w:rsidRPr="00F736B0">
              <w:rPr>
                <w:rFonts w:eastAsia="Times New Roman"/>
                <w:color w:val="000000"/>
                <w:sz w:val="24"/>
                <w:szCs w:val="24"/>
                <w:lang w:eastAsia="en-US"/>
              </w:rPr>
              <w:t>IA 2019-02</w:t>
            </w:r>
          </w:p>
        </w:tc>
      </w:tr>
      <w:tr w:rsidR="00FF003D" w:rsidRPr="00427FB1" w14:paraId="7CC729E1" w14:textId="77777777" w:rsidTr="002670C4">
        <w:trPr>
          <w:trHeight w:val="851"/>
        </w:trPr>
        <w:tc>
          <w:tcPr>
            <w:tcW w:w="7508" w:type="dxa"/>
            <w:vAlign w:val="center"/>
          </w:tcPr>
          <w:p w14:paraId="680F6A9A" w14:textId="00F4DA96" w:rsidR="00FF003D" w:rsidRPr="00A61AD6" w:rsidRDefault="00A61AD6" w:rsidP="00FF003D">
            <w:pPr>
              <w:pStyle w:val="ONUME"/>
              <w:numPr>
                <w:ilvl w:val="0"/>
                <w:numId w:val="0"/>
              </w:numPr>
              <w:jc w:val="center"/>
              <w:rPr>
                <w:lang w:val="ru-RU"/>
              </w:rPr>
            </w:pPr>
            <w:r>
              <w:rPr>
                <w:szCs w:val="22"/>
                <w:lang w:val="ru-RU"/>
              </w:rPr>
              <w:t>А</w:t>
            </w:r>
            <w:r w:rsidRPr="00A61AD6">
              <w:rPr>
                <w:rFonts w:eastAsia="Times New Roman"/>
                <w:color w:val="000000"/>
                <w:sz w:val="24"/>
                <w:szCs w:val="24"/>
                <w:lang w:val="ru-RU" w:eastAsia="en-US"/>
              </w:rPr>
              <w:t>удиторская проверка закрытия финансовой отчетности</w:t>
            </w:r>
          </w:p>
        </w:tc>
        <w:tc>
          <w:tcPr>
            <w:tcW w:w="1837" w:type="dxa"/>
            <w:vAlign w:val="center"/>
          </w:tcPr>
          <w:p w14:paraId="32799147" w14:textId="77777777" w:rsidR="00FF003D" w:rsidRPr="00427FB1" w:rsidRDefault="00FF003D" w:rsidP="00FF003D">
            <w:pPr>
              <w:pStyle w:val="ONUME"/>
              <w:numPr>
                <w:ilvl w:val="0"/>
                <w:numId w:val="0"/>
              </w:numPr>
              <w:ind w:left="34"/>
              <w:jc w:val="center"/>
            </w:pPr>
            <w:r w:rsidRPr="00F736B0">
              <w:rPr>
                <w:rFonts w:eastAsia="Times New Roman"/>
                <w:color w:val="000000"/>
                <w:sz w:val="24"/>
                <w:szCs w:val="24"/>
                <w:lang w:eastAsia="en-US"/>
              </w:rPr>
              <w:t>IA 2019-03</w:t>
            </w:r>
          </w:p>
        </w:tc>
      </w:tr>
      <w:tr w:rsidR="00FF003D" w:rsidRPr="00427FB1" w14:paraId="79EA7ECF" w14:textId="77777777" w:rsidTr="002670C4">
        <w:trPr>
          <w:trHeight w:val="851"/>
        </w:trPr>
        <w:tc>
          <w:tcPr>
            <w:tcW w:w="7508" w:type="dxa"/>
            <w:vAlign w:val="center"/>
          </w:tcPr>
          <w:p w14:paraId="7F9E9BD0" w14:textId="62126EB6" w:rsidR="00FF003D" w:rsidRPr="00A61AD6" w:rsidRDefault="00A61AD6" w:rsidP="00FF003D">
            <w:pPr>
              <w:pStyle w:val="ONUME"/>
              <w:numPr>
                <w:ilvl w:val="0"/>
                <w:numId w:val="0"/>
              </w:numPr>
              <w:jc w:val="center"/>
              <w:rPr>
                <w:lang w:val="ru-RU"/>
              </w:rPr>
            </w:pPr>
            <w:r>
              <w:rPr>
                <w:rFonts w:eastAsia="Times New Roman"/>
                <w:color w:val="000000"/>
                <w:sz w:val="24"/>
                <w:szCs w:val="24"/>
                <w:lang w:val="ru-RU" w:eastAsia="en-US"/>
              </w:rPr>
              <w:t>С</w:t>
            </w:r>
            <w:r w:rsidRPr="00A61AD6">
              <w:rPr>
                <w:rFonts w:eastAsia="Times New Roman"/>
                <w:color w:val="000000"/>
                <w:sz w:val="24"/>
                <w:szCs w:val="24"/>
                <w:lang w:val="ru-RU" w:eastAsia="en-US"/>
              </w:rPr>
              <w:t xml:space="preserve">овместная оценка и аудиторская проверка </w:t>
            </w:r>
            <w:r w:rsidR="00431669">
              <w:rPr>
                <w:rFonts w:eastAsia="Times New Roman"/>
                <w:color w:val="000000"/>
                <w:sz w:val="24"/>
                <w:szCs w:val="24"/>
                <w:lang w:val="ru-RU" w:eastAsia="en-US"/>
              </w:rPr>
              <w:t>П</w:t>
            </w:r>
            <w:r w:rsidRPr="00A61AD6">
              <w:rPr>
                <w:rFonts w:eastAsia="Times New Roman"/>
                <w:color w:val="000000"/>
                <w:sz w:val="24"/>
                <w:szCs w:val="24"/>
                <w:lang w:val="ru-RU" w:eastAsia="en-US"/>
              </w:rPr>
              <w:t>олитики ВОИС в области гендерного равенства</w:t>
            </w:r>
          </w:p>
        </w:tc>
        <w:tc>
          <w:tcPr>
            <w:tcW w:w="1837" w:type="dxa"/>
            <w:vAlign w:val="center"/>
          </w:tcPr>
          <w:p w14:paraId="02CC7D2B" w14:textId="77777777" w:rsidR="00FF003D" w:rsidRPr="00427FB1" w:rsidRDefault="00FF003D" w:rsidP="00FF003D">
            <w:pPr>
              <w:pStyle w:val="ONUME"/>
              <w:numPr>
                <w:ilvl w:val="0"/>
                <w:numId w:val="0"/>
              </w:numPr>
              <w:ind w:left="34"/>
              <w:jc w:val="center"/>
            </w:pPr>
            <w:r w:rsidRPr="00F736B0">
              <w:rPr>
                <w:rFonts w:eastAsia="Times New Roman"/>
                <w:color w:val="000000"/>
                <w:sz w:val="24"/>
                <w:szCs w:val="24"/>
                <w:lang w:eastAsia="en-US"/>
              </w:rPr>
              <w:t>EVAL 2019-02</w:t>
            </w:r>
          </w:p>
        </w:tc>
      </w:tr>
      <w:tr w:rsidR="00FF003D" w:rsidRPr="00427FB1" w14:paraId="2405F8E5" w14:textId="77777777" w:rsidTr="002670C4">
        <w:trPr>
          <w:trHeight w:val="851"/>
        </w:trPr>
        <w:tc>
          <w:tcPr>
            <w:tcW w:w="7508" w:type="dxa"/>
            <w:vAlign w:val="center"/>
          </w:tcPr>
          <w:p w14:paraId="340FC124" w14:textId="07DAE002" w:rsidR="00FF003D" w:rsidRPr="00A61AD6" w:rsidRDefault="00A61AD6" w:rsidP="00FF003D">
            <w:pPr>
              <w:pStyle w:val="ONUME"/>
              <w:numPr>
                <w:ilvl w:val="0"/>
                <w:numId w:val="0"/>
              </w:numPr>
              <w:jc w:val="center"/>
              <w:rPr>
                <w:lang w:val="ru-RU"/>
              </w:rPr>
            </w:pPr>
            <w:r>
              <w:rPr>
                <w:rFonts w:eastAsia="Times New Roman"/>
                <w:color w:val="000000"/>
                <w:sz w:val="24"/>
                <w:szCs w:val="24"/>
                <w:lang w:val="ru-RU" w:eastAsia="en-US"/>
              </w:rPr>
              <w:t>О</w:t>
            </w:r>
            <w:r w:rsidRPr="00A61AD6">
              <w:rPr>
                <w:rFonts w:eastAsia="Times New Roman"/>
                <w:color w:val="000000"/>
                <w:sz w:val="24"/>
                <w:szCs w:val="24"/>
                <w:lang w:val="ru-RU" w:eastAsia="en-US"/>
              </w:rPr>
              <w:t>ценка партнерских проектов ВОИС</w:t>
            </w:r>
          </w:p>
        </w:tc>
        <w:tc>
          <w:tcPr>
            <w:tcW w:w="1837" w:type="dxa"/>
            <w:vAlign w:val="center"/>
          </w:tcPr>
          <w:p w14:paraId="5B7148E2" w14:textId="77777777" w:rsidR="00FF003D" w:rsidRPr="00427FB1" w:rsidRDefault="00FF003D" w:rsidP="00FF003D">
            <w:pPr>
              <w:pStyle w:val="ONUME"/>
              <w:numPr>
                <w:ilvl w:val="0"/>
                <w:numId w:val="0"/>
              </w:numPr>
              <w:ind w:left="34"/>
              <w:jc w:val="center"/>
            </w:pPr>
            <w:r w:rsidRPr="00F736B0">
              <w:rPr>
                <w:rFonts w:eastAsia="Times New Roman"/>
                <w:color w:val="000000"/>
                <w:sz w:val="24"/>
                <w:szCs w:val="24"/>
                <w:lang w:eastAsia="en-US"/>
              </w:rPr>
              <w:t>EVAL 2018-04</w:t>
            </w:r>
          </w:p>
        </w:tc>
      </w:tr>
      <w:tr w:rsidR="00FF003D" w:rsidRPr="00427FB1" w14:paraId="4B2636D4" w14:textId="77777777" w:rsidTr="002670C4">
        <w:trPr>
          <w:trHeight w:val="851"/>
        </w:trPr>
        <w:tc>
          <w:tcPr>
            <w:tcW w:w="7508" w:type="dxa"/>
            <w:vAlign w:val="center"/>
          </w:tcPr>
          <w:p w14:paraId="142A2729" w14:textId="70E5F982" w:rsidR="00FF003D" w:rsidRPr="00A61AD6" w:rsidRDefault="00A61AD6" w:rsidP="00FF003D">
            <w:pPr>
              <w:pStyle w:val="ONUME"/>
              <w:numPr>
                <w:ilvl w:val="0"/>
                <w:numId w:val="0"/>
              </w:numPr>
              <w:jc w:val="center"/>
              <w:rPr>
                <w:lang w:val="ru-RU"/>
              </w:rPr>
            </w:pPr>
            <w:r w:rsidRPr="00A61AD6">
              <w:rPr>
                <w:rFonts w:eastAsia="Times New Roman"/>
                <w:color w:val="000000"/>
                <w:sz w:val="24"/>
                <w:szCs w:val="24"/>
                <w:lang w:val="ru-RU" w:eastAsia="en-US"/>
              </w:rPr>
              <w:t>ОРРР по нарушениям правил осуществления закупок</w:t>
            </w:r>
          </w:p>
        </w:tc>
        <w:tc>
          <w:tcPr>
            <w:tcW w:w="1837" w:type="dxa"/>
            <w:vAlign w:val="center"/>
          </w:tcPr>
          <w:p w14:paraId="302D0BB0" w14:textId="77777777" w:rsidR="00FF003D" w:rsidRPr="00427FB1" w:rsidRDefault="00FF003D" w:rsidP="00FF003D">
            <w:pPr>
              <w:pStyle w:val="ONUME"/>
              <w:numPr>
                <w:ilvl w:val="0"/>
                <w:numId w:val="0"/>
              </w:numPr>
              <w:ind w:left="34"/>
              <w:jc w:val="center"/>
            </w:pPr>
            <w:r w:rsidRPr="00F736B0">
              <w:rPr>
                <w:rFonts w:eastAsia="Times New Roman"/>
                <w:color w:val="000000"/>
                <w:sz w:val="24"/>
                <w:szCs w:val="24"/>
                <w:lang w:eastAsia="en-US"/>
              </w:rPr>
              <w:t>MIR 18-28</w:t>
            </w:r>
          </w:p>
        </w:tc>
      </w:tr>
      <w:tr w:rsidR="00F45565" w:rsidRPr="00427FB1" w14:paraId="748CAA36" w14:textId="77777777" w:rsidTr="002670C4">
        <w:trPr>
          <w:trHeight w:val="851"/>
        </w:trPr>
        <w:tc>
          <w:tcPr>
            <w:tcW w:w="7508" w:type="dxa"/>
            <w:vAlign w:val="center"/>
          </w:tcPr>
          <w:p w14:paraId="14123F55" w14:textId="0F7E0B8B" w:rsidR="00F45565" w:rsidRPr="00A61AD6" w:rsidRDefault="00A61AD6" w:rsidP="00FF003D">
            <w:pPr>
              <w:pStyle w:val="ONUME"/>
              <w:numPr>
                <w:ilvl w:val="0"/>
                <w:numId w:val="0"/>
              </w:numPr>
              <w:jc w:val="center"/>
              <w:rPr>
                <w:rFonts w:eastAsia="Times New Roman"/>
                <w:color w:val="000000"/>
                <w:sz w:val="24"/>
                <w:szCs w:val="24"/>
                <w:lang w:val="ru-RU" w:eastAsia="en-US"/>
              </w:rPr>
            </w:pPr>
            <w:r w:rsidRPr="00A61AD6">
              <w:rPr>
                <w:sz w:val="24"/>
                <w:szCs w:val="24"/>
                <w:lang w:val="ru-RU"/>
              </w:rPr>
              <w:t>ОРРР по системам работы с запросами клиентов</w:t>
            </w:r>
          </w:p>
        </w:tc>
        <w:tc>
          <w:tcPr>
            <w:tcW w:w="1837" w:type="dxa"/>
            <w:vAlign w:val="center"/>
          </w:tcPr>
          <w:p w14:paraId="1B144AF7" w14:textId="77777777" w:rsidR="00F45565" w:rsidRPr="00F736B0" w:rsidRDefault="00F45565" w:rsidP="00FF003D">
            <w:pPr>
              <w:jc w:val="center"/>
              <w:rPr>
                <w:rFonts w:eastAsia="Times New Roman"/>
                <w:color w:val="000000"/>
                <w:sz w:val="24"/>
                <w:szCs w:val="24"/>
                <w:lang w:eastAsia="en-US"/>
              </w:rPr>
            </w:pPr>
            <w:r>
              <w:rPr>
                <w:rFonts w:eastAsia="Times New Roman"/>
                <w:color w:val="000000"/>
                <w:sz w:val="24"/>
                <w:szCs w:val="24"/>
                <w:lang w:eastAsia="en-US"/>
              </w:rPr>
              <w:t>MIR 19-03</w:t>
            </w:r>
          </w:p>
        </w:tc>
      </w:tr>
      <w:tr w:rsidR="00FF003D" w:rsidRPr="00427FB1" w14:paraId="23FA9F89" w14:textId="77777777" w:rsidTr="002670C4">
        <w:trPr>
          <w:trHeight w:val="851"/>
        </w:trPr>
        <w:tc>
          <w:tcPr>
            <w:tcW w:w="7508" w:type="dxa"/>
            <w:vAlign w:val="center"/>
          </w:tcPr>
          <w:p w14:paraId="536ADA91" w14:textId="4161E474" w:rsidR="00FF003D" w:rsidRPr="00A61AD6" w:rsidRDefault="00A61AD6" w:rsidP="00FF003D">
            <w:pPr>
              <w:pStyle w:val="ONUME"/>
              <w:numPr>
                <w:ilvl w:val="0"/>
                <w:numId w:val="0"/>
              </w:numPr>
              <w:jc w:val="center"/>
              <w:rPr>
                <w:lang w:val="ru-RU"/>
              </w:rPr>
            </w:pPr>
            <w:r w:rsidRPr="00A61AD6">
              <w:rPr>
                <w:rFonts w:eastAsia="Times New Roman"/>
                <w:color w:val="000000"/>
                <w:sz w:val="24"/>
                <w:szCs w:val="24"/>
                <w:lang w:val="ru-RU" w:eastAsia="en-US"/>
              </w:rPr>
              <w:t>ОРРР по вопросу о въезде автотранспортных средств на территорию комплекса ВОИС</w:t>
            </w:r>
          </w:p>
        </w:tc>
        <w:tc>
          <w:tcPr>
            <w:tcW w:w="1837" w:type="dxa"/>
            <w:vAlign w:val="center"/>
          </w:tcPr>
          <w:p w14:paraId="454FDDBE" w14:textId="77777777" w:rsidR="00FF003D" w:rsidRPr="00F736B0" w:rsidRDefault="00FF003D" w:rsidP="00FF003D">
            <w:pPr>
              <w:jc w:val="center"/>
              <w:rPr>
                <w:rFonts w:eastAsia="Times New Roman"/>
                <w:color w:val="000000"/>
                <w:sz w:val="24"/>
                <w:szCs w:val="24"/>
                <w:lang w:eastAsia="en-US"/>
              </w:rPr>
            </w:pPr>
            <w:r w:rsidRPr="00F736B0">
              <w:rPr>
                <w:rFonts w:eastAsia="Times New Roman"/>
                <w:color w:val="000000"/>
                <w:sz w:val="24"/>
                <w:szCs w:val="24"/>
                <w:lang w:eastAsia="en-US"/>
              </w:rPr>
              <w:t>MIR 18-23</w:t>
            </w:r>
          </w:p>
        </w:tc>
      </w:tr>
    </w:tbl>
    <w:p w14:paraId="60C7189E" w14:textId="77777777" w:rsidR="00C46B12" w:rsidRDefault="00C46B12" w:rsidP="00C46B12">
      <w:pPr>
        <w:keepLines/>
      </w:pPr>
    </w:p>
    <w:p w14:paraId="51085B09" w14:textId="77777777" w:rsidR="00C46B12" w:rsidRDefault="00C46B12" w:rsidP="00C46B12">
      <w:pPr>
        <w:keepLines/>
        <w:ind w:left="5533"/>
      </w:pPr>
    </w:p>
    <w:p w14:paraId="489948DA" w14:textId="49EC0149" w:rsidR="00C46B12" w:rsidRPr="00A61AD6" w:rsidRDefault="00C46B12" w:rsidP="00C46B12">
      <w:pPr>
        <w:keepLines/>
        <w:ind w:left="5533"/>
        <w:rPr>
          <w:lang w:val="en-GB"/>
        </w:rPr>
      </w:pPr>
      <w:r>
        <w:t>[</w:t>
      </w:r>
      <w:r w:rsidR="00A61AD6">
        <w:rPr>
          <w:lang w:val="ru-RU"/>
        </w:rPr>
        <w:t>Конец приложения и документа</w:t>
      </w:r>
      <w:r w:rsidRPr="00DA5DBB">
        <w:t>]</w:t>
      </w:r>
    </w:p>
    <w:sectPr w:rsidR="00C46B12" w:rsidRPr="00A61AD6" w:rsidSect="00E60513">
      <w:headerReference w:type="default" r:id="rId23"/>
      <w:headerReference w:type="firs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722CE" w14:textId="77777777" w:rsidR="00046C7F" w:rsidRDefault="00046C7F">
      <w:r>
        <w:separator/>
      </w:r>
    </w:p>
  </w:endnote>
  <w:endnote w:type="continuationSeparator" w:id="0">
    <w:p w14:paraId="44739A41" w14:textId="77777777" w:rsidR="00046C7F" w:rsidRDefault="00046C7F" w:rsidP="003B38C1">
      <w:r>
        <w:separator/>
      </w:r>
    </w:p>
    <w:p w14:paraId="21F184CF" w14:textId="77777777" w:rsidR="00046C7F" w:rsidRPr="003B38C1" w:rsidRDefault="00046C7F" w:rsidP="003B38C1">
      <w:pPr>
        <w:spacing w:after="60"/>
        <w:rPr>
          <w:sz w:val="17"/>
        </w:rPr>
      </w:pPr>
      <w:r>
        <w:rPr>
          <w:sz w:val="17"/>
        </w:rPr>
        <w:t>[Endnote continued from previous page]</w:t>
      </w:r>
    </w:p>
  </w:endnote>
  <w:endnote w:type="continuationNotice" w:id="1">
    <w:p w14:paraId="6B7277BA" w14:textId="77777777" w:rsidR="00046C7F" w:rsidRPr="003B38C1" w:rsidRDefault="00046C7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33D40" w14:textId="77777777" w:rsidR="00046C7F" w:rsidRPr="00CD472C" w:rsidRDefault="00046C7F" w:rsidP="00267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17C7E" w14:textId="77777777" w:rsidR="00046C7F" w:rsidRPr="00CD472C" w:rsidRDefault="00046C7F" w:rsidP="00267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2B8BE" w14:textId="77777777" w:rsidR="00046C7F" w:rsidRPr="00CD472C" w:rsidRDefault="00046C7F" w:rsidP="0026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0ABA2" w14:textId="77777777" w:rsidR="00046C7F" w:rsidRDefault="00046C7F">
      <w:r>
        <w:separator/>
      </w:r>
    </w:p>
  </w:footnote>
  <w:footnote w:type="continuationSeparator" w:id="0">
    <w:p w14:paraId="0DC81B1C" w14:textId="77777777" w:rsidR="00046C7F" w:rsidRDefault="00046C7F" w:rsidP="008B60B2">
      <w:r>
        <w:separator/>
      </w:r>
    </w:p>
    <w:p w14:paraId="50C4BB77" w14:textId="77777777" w:rsidR="00046C7F" w:rsidRPr="00ED77FB" w:rsidRDefault="00046C7F" w:rsidP="008B60B2">
      <w:pPr>
        <w:spacing w:after="60"/>
        <w:rPr>
          <w:sz w:val="17"/>
          <w:szCs w:val="17"/>
        </w:rPr>
      </w:pPr>
      <w:r w:rsidRPr="00ED77FB">
        <w:rPr>
          <w:sz w:val="17"/>
          <w:szCs w:val="17"/>
        </w:rPr>
        <w:t>[Footnote continued from previous page]</w:t>
      </w:r>
    </w:p>
  </w:footnote>
  <w:footnote w:type="continuationNotice" w:id="1">
    <w:p w14:paraId="32869543" w14:textId="77777777" w:rsidR="00046C7F" w:rsidRPr="00ED77FB" w:rsidRDefault="00046C7F" w:rsidP="008B60B2">
      <w:pPr>
        <w:spacing w:before="60"/>
        <w:jc w:val="right"/>
        <w:rPr>
          <w:sz w:val="17"/>
          <w:szCs w:val="17"/>
        </w:rPr>
      </w:pPr>
      <w:r w:rsidRPr="00ED77FB">
        <w:rPr>
          <w:sz w:val="17"/>
          <w:szCs w:val="17"/>
        </w:rPr>
        <w:t>[Footnote continued on next page]</w:t>
      </w:r>
    </w:p>
  </w:footnote>
  <w:footnote w:id="2">
    <w:p w14:paraId="58431245" w14:textId="4B188413" w:rsidR="00046C7F" w:rsidRPr="00CE0303" w:rsidRDefault="00046C7F" w:rsidP="00C46B12">
      <w:pPr>
        <w:pStyle w:val="FootnoteText"/>
        <w:rPr>
          <w:lang w:val="ru-RU"/>
        </w:rPr>
      </w:pPr>
      <w:r>
        <w:rPr>
          <w:rStyle w:val="FootnoteReference"/>
        </w:rPr>
        <w:footnoteRef/>
      </w:r>
      <w:r w:rsidRPr="00CE0303">
        <w:rPr>
          <w:lang w:val="ru-RU"/>
        </w:rPr>
        <w:t xml:space="preserve">  </w:t>
      </w:r>
      <w:r w:rsidRPr="00F504CE">
        <w:rPr>
          <w:lang w:val="ru-RU"/>
        </w:rPr>
        <w:t>См</w:t>
      </w:r>
      <w:r w:rsidRPr="00CE0303">
        <w:rPr>
          <w:lang w:val="ru-RU"/>
        </w:rPr>
        <w:t xml:space="preserve">. </w:t>
      </w:r>
      <w:r w:rsidRPr="00F504CE">
        <w:rPr>
          <w:lang w:val="ru-RU"/>
        </w:rPr>
        <w:t>УВН</w:t>
      </w:r>
      <w:r w:rsidRPr="00CE0303">
        <w:rPr>
          <w:lang w:val="ru-RU"/>
        </w:rPr>
        <w:t xml:space="preserve">, </w:t>
      </w:r>
      <w:r w:rsidRPr="00F504CE">
        <w:rPr>
          <w:lang w:val="ru-RU"/>
        </w:rPr>
        <w:t>пункты</w:t>
      </w:r>
      <w:r w:rsidRPr="00CE0303">
        <w:rPr>
          <w:lang w:val="ru-RU"/>
        </w:rPr>
        <w:t xml:space="preserve"> 47 </w:t>
      </w:r>
      <w:r w:rsidRPr="00F504CE">
        <w:rPr>
          <w:lang w:val="ru-RU"/>
        </w:rPr>
        <w:t>и</w:t>
      </w:r>
      <w:r w:rsidRPr="00CE0303">
        <w:rPr>
          <w:lang w:val="ru-RU"/>
        </w:rPr>
        <w:t xml:space="preserve"> 48.</w:t>
      </w:r>
    </w:p>
  </w:footnote>
  <w:footnote w:id="3">
    <w:p w14:paraId="2020BD3B" w14:textId="34E5966B" w:rsidR="00046C7F" w:rsidRPr="00CE0303" w:rsidRDefault="00046C7F">
      <w:pPr>
        <w:pStyle w:val="FootnoteText"/>
        <w:rPr>
          <w:lang w:val="ru-RU"/>
        </w:rPr>
      </w:pPr>
      <w:r>
        <w:rPr>
          <w:rStyle w:val="FootnoteReference"/>
        </w:rPr>
        <w:footnoteRef/>
      </w:r>
      <w:r w:rsidRPr="003A0FE0">
        <w:rPr>
          <w:lang w:val="ru-RU"/>
        </w:rPr>
        <w:t xml:space="preserve">  </w:t>
      </w:r>
      <w:r>
        <w:rPr>
          <w:lang w:val="ru-RU"/>
        </w:rPr>
        <w:t>Данная</w:t>
      </w:r>
      <w:r w:rsidRPr="003A0FE0">
        <w:rPr>
          <w:lang w:val="ru-RU"/>
        </w:rPr>
        <w:t xml:space="preserve"> </w:t>
      </w:r>
      <w:r>
        <w:rPr>
          <w:lang w:val="ru-RU"/>
        </w:rPr>
        <w:t>премия</w:t>
      </w:r>
      <w:r w:rsidRPr="003A0FE0">
        <w:rPr>
          <w:lang w:val="ru-RU"/>
        </w:rPr>
        <w:t xml:space="preserve"> </w:t>
      </w:r>
      <w:r>
        <w:rPr>
          <w:lang w:val="ru-RU"/>
        </w:rPr>
        <w:t>была</w:t>
      </w:r>
      <w:r w:rsidRPr="003A0FE0">
        <w:rPr>
          <w:lang w:val="ru-RU"/>
        </w:rPr>
        <w:t xml:space="preserve"> </w:t>
      </w:r>
      <w:r>
        <w:rPr>
          <w:lang w:val="ru-RU"/>
        </w:rPr>
        <w:t>учреждена</w:t>
      </w:r>
      <w:r w:rsidRPr="003A0FE0">
        <w:rPr>
          <w:lang w:val="ru-RU"/>
        </w:rPr>
        <w:t xml:space="preserve"> </w:t>
      </w:r>
      <w:r>
        <w:rPr>
          <w:lang w:val="ru-RU"/>
        </w:rPr>
        <w:t>организацией</w:t>
      </w:r>
      <w:r w:rsidRPr="003A0FE0">
        <w:rPr>
          <w:lang w:val="ru-RU"/>
        </w:rPr>
        <w:t xml:space="preserve"> «</w:t>
      </w:r>
      <w:r>
        <w:rPr>
          <w:lang w:val="ru-RU"/>
        </w:rPr>
        <w:t>Аудит</w:t>
      </w:r>
      <w:r w:rsidRPr="003A0FE0">
        <w:rPr>
          <w:lang w:val="ru-RU"/>
        </w:rPr>
        <w:t xml:space="preserve"> </w:t>
      </w:r>
      <w:r>
        <w:rPr>
          <w:lang w:val="ru-RU"/>
        </w:rPr>
        <w:t>без</w:t>
      </w:r>
      <w:r w:rsidRPr="003A0FE0">
        <w:rPr>
          <w:lang w:val="ru-RU"/>
        </w:rPr>
        <w:t xml:space="preserve"> </w:t>
      </w:r>
      <w:r>
        <w:rPr>
          <w:lang w:val="ru-RU"/>
        </w:rPr>
        <w:t>преград</w:t>
      </w:r>
      <w:r w:rsidRPr="003A0FE0">
        <w:rPr>
          <w:lang w:val="ru-RU"/>
        </w:rPr>
        <w:t xml:space="preserve">» — </w:t>
      </w:r>
      <w:r>
        <w:rPr>
          <w:lang w:val="ru-RU"/>
        </w:rPr>
        <w:t>обучающим</w:t>
      </w:r>
      <w:r w:rsidRPr="003A0FE0">
        <w:rPr>
          <w:lang w:val="ru-RU"/>
        </w:rPr>
        <w:t xml:space="preserve"> </w:t>
      </w:r>
      <w:r>
        <w:rPr>
          <w:lang w:val="ru-RU"/>
        </w:rPr>
        <w:t>сообществом</w:t>
      </w:r>
      <w:r w:rsidRPr="003A0FE0">
        <w:rPr>
          <w:lang w:val="ru-RU"/>
        </w:rPr>
        <w:t xml:space="preserve"> </w:t>
      </w:r>
      <w:r>
        <w:rPr>
          <w:lang w:val="ru-RU"/>
        </w:rPr>
        <w:t>для</w:t>
      </w:r>
      <w:r w:rsidRPr="003A0FE0">
        <w:rPr>
          <w:lang w:val="ru-RU"/>
        </w:rPr>
        <w:t xml:space="preserve"> </w:t>
      </w:r>
      <w:r>
        <w:rPr>
          <w:lang w:val="ru-RU"/>
        </w:rPr>
        <w:t>аудиторов</w:t>
      </w:r>
      <w:r w:rsidRPr="003A0FE0">
        <w:rPr>
          <w:lang w:val="ru-RU"/>
        </w:rPr>
        <w:t xml:space="preserve">, </w:t>
      </w:r>
      <w:r>
        <w:rPr>
          <w:lang w:val="ru-RU"/>
        </w:rPr>
        <w:t>работающих</w:t>
      </w:r>
      <w:r w:rsidRPr="003A0FE0">
        <w:rPr>
          <w:lang w:val="ru-RU"/>
        </w:rPr>
        <w:t xml:space="preserve"> </w:t>
      </w:r>
      <w:r>
        <w:rPr>
          <w:lang w:val="ru-RU"/>
        </w:rPr>
        <w:t>в</w:t>
      </w:r>
      <w:r w:rsidRPr="003A0FE0">
        <w:rPr>
          <w:lang w:val="ru-RU"/>
        </w:rPr>
        <w:t xml:space="preserve"> </w:t>
      </w:r>
      <w:r>
        <w:rPr>
          <w:lang w:val="ru-RU"/>
        </w:rPr>
        <w:t>государственном</w:t>
      </w:r>
      <w:r w:rsidRPr="003A0FE0">
        <w:rPr>
          <w:lang w:val="ru-RU"/>
        </w:rPr>
        <w:t xml:space="preserve"> </w:t>
      </w:r>
      <w:r>
        <w:rPr>
          <w:lang w:val="ru-RU"/>
        </w:rPr>
        <w:t>секторе</w:t>
      </w:r>
      <w:r w:rsidRPr="003A0FE0">
        <w:rPr>
          <w:lang w:val="ru-RU"/>
        </w:rPr>
        <w:t xml:space="preserve">, </w:t>
      </w:r>
      <w:r>
        <w:rPr>
          <w:lang w:val="ru-RU"/>
        </w:rPr>
        <w:t>которое</w:t>
      </w:r>
      <w:r w:rsidRPr="003A0FE0">
        <w:rPr>
          <w:lang w:val="ru-RU"/>
        </w:rPr>
        <w:t xml:space="preserve"> </w:t>
      </w:r>
      <w:r>
        <w:rPr>
          <w:lang w:val="ru-RU"/>
        </w:rPr>
        <w:t>было</w:t>
      </w:r>
      <w:r w:rsidRPr="003A0FE0">
        <w:rPr>
          <w:lang w:val="ru-RU"/>
        </w:rPr>
        <w:t xml:space="preserve"> </w:t>
      </w:r>
      <w:r>
        <w:rPr>
          <w:lang w:val="ru-RU"/>
        </w:rPr>
        <w:t>создано</w:t>
      </w:r>
      <w:r w:rsidRPr="003A0FE0">
        <w:rPr>
          <w:lang w:val="ru-RU"/>
        </w:rPr>
        <w:t xml:space="preserve"> </w:t>
      </w:r>
      <w:r>
        <w:rPr>
          <w:lang w:val="ru-RU"/>
        </w:rPr>
        <w:t>по</w:t>
      </w:r>
      <w:r w:rsidRPr="003A0FE0">
        <w:rPr>
          <w:lang w:val="ru-RU"/>
        </w:rPr>
        <w:t xml:space="preserve"> </w:t>
      </w:r>
      <w:r>
        <w:rPr>
          <w:lang w:val="ru-RU"/>
        </w:rPr>
        <w:t>инициативе</w:t>
      </w:r>
      <w:r w:rsidRPr="003A0FE0">
        <w:rPr>
          <w:lang w:val="ru-RU"/>
        </w:rPr>
        <w:t xml:space="preserve"> </w:t>
      </w:r>
      <w:r>
        <w:rPr>
          <w:lang w:val="ru-RU"/>
        </w:rPr>
        <w:t>Канцелярии</w:t>
      </w:r>
      <w:r w:rsidRPr="003A0FE0">
        <w:rPr>
          <w:lang w:val="ru-RU"/>
        </w:rPr>
        <w:t xml:space="preserve"> </w:t>
      </w:r>
      <w:r>
        <w:rPr>
          <w:lang w:val="ru-RU"/>
        </w:rPr>
        <w:t>Генерального</w:t>
      </w:r>
      <w:r w:rsidRPr="003A0FE0">
        <w:rPr>
          <w:lang w:val="ru-RU"/>
        </w:rPr>
        <w:t xml:space="preserve"> </w:t>
      </w:r>
      <w:r>
        <w:rPr>
          <w:lang w:val="ru-RU"/>
        </w:rPr>
        <w:t>аудитора</w:t>
      </w:r>
      <w:r w:rsidRPr="003A0FE0">
        <w:rPr>
          <w:lang w:val="ru-RU"/>
        </w:rPr>
        <w:t xml:space="preserve"> </w:t>
      </w:r>
      <w:r>
        <w:rPr>
          <w:lang w:val="ru-RU"/>
        </w:rPr>
        <w:t>Азиатского</w:t>
      </w:r>
      <w:r w:rsidRPr="003A0FE0">
        <w:rPr>
          <w:lang w:val="ru-RU"/>
        </w:rPr>
        <w:t xml:space="preserve"> </w:t>
      </w:r>
      <w:r>
        <w:rPr>
          <w:lang w:val="ru-RU"/>
        </w:rPr>
        <w:t>банка</w:t>
      </w:r>
      <w:r w:rsidRPr="003A0FE0">
        <w:rPr>
          <w:lang w:val="ru-RU"/>
        </w:rPr>
        <w:t xml:space="preserve"> </w:t>
      </w:r>
      <w:r>
        <w:rPr>
          <w:lang w:val="ru-RU"/>
        </w:rPr>
        <w:t>развития</w:t>
      </w:r>
      <w:r w:rsidRPr="003A0FE0">
        <w:rPr>
          <w:lang w:val="ru-RU"/>
        </w:rPr>
        <w:t>.</w:t>
      </w:r>
      <w:r>
        <w:rPr>
          <w:lang w:val="ru-RU"/>
        </w:rPr>
        <w:t xml:space="preserve"> </w:t>
      </w:r>
    </w:p>
  </w:footnote>
  <w:footnote w:id="4">
    <w:p w14:paraId="230843F2" w14:textId="0048C9E2" w:rsidR="00046C7F" w:rsidRPr="00942D74" w:rsidRDefault="00046C7F" w:rsidP="00C46B12">
      <w:pPr>
        <w:pStyle w:val="FootnoteText"/>
        <w:rPr>
          <w:lang w:val="ru-RU"/>
        </w:rPr>
      </w:pPr>
      <w:r>
        <w:rPr>
          <w:rStyle w:val="FootnoteReference"/>
        </w:rPr>
        <w:footnoteRef/>
      </w:r>
      <w:r w:rsidRPr="00942D74">
        <w:rPr>
          <w:lang w:val="ru-RU"/>
        </w:rPr>
        <w:t xml:space="preserve">  </w:t>
      </w:r>
      <w:r>
        <w:rPr>
          <w:lang w:val="ru-RU"/>
        </w:rPr>
        <w:t>Перечень</w:t>
      </w:r>
      <w:r w:rsidRPr="00942D74">
        <w:rPr>
          <w:lang w:val="ru-RU"/>
        </w:rPr>
        <w:t xml:space="preserve"> </w:t>
      </w:r>
      <w:r>
        <w:rPr>
          <w:lang w:val="ru-RU"/>
        </w:rPr>
        <w:t>отчетов</w:t>
      </w:r>
      <w:r w:rsidRPr="00942D74">
        <w:rPr>
          <w:lang w:val="ru-RU"/>
        </w:rPr>
        <w:t xml:space="preserve"> </w:t>
      </w:r>
      <w:r>
        <w:rPr>
          <w:lang w:val="ru-RU"/>
        </w:rPr>
        <w:t>содержится</w:t>
      </w:r>
      <w:r w:rsidRPr="00942D74">
        <w:rPr>
          <w:lang w:val="ru-RU"/>
        </w:rPr>
        <w:t xml:space="preserve"> </w:t>
      </w:r>
      <w:r>
        <w:rPr>
          <w:lang w:val="ru-RU"/>
        </w:rPr>
        <w:t>в</w:t>
      </w:r>
      <w:r w:rsidRPr="00942D74">
        <w:rPr>
          <w:lang w:val="ru-RU"/>
        </w:rPr>
        <w:t xml:space="preserve"> </w:t>
      </w:r>
      <w:r>
        <w:rPr>
          <w:lang w:val="ru-RU"/>
        </w:rPr>
        <w:t>приложении.</w:t>
      </w:r>
    </w:p>
  </w:footnote>
  <w:footnote w:id="5">
    <w:p w14:paraId="31BD5E4E" w14:textId="77777777" w:rsidR="00046C7F" w:rsidRPr="00181C92" w:rsidRDefault="00046C7F" w:rsidP="00181C92">
      <w:pPr>
        <w:pStyle w:val="FootnoteText"/>
        <w:rPr>
          <w:lang w:val="ru-RU"/>
        </w:rPr>
      </w:pPr>
      <w:r>
        <w:rPr>
          <w:rStyle w:val="FootnoteReference"/>
        </w:rPr>
        <w:footnoteRef/>
      </w:r>
      <w:r w:rsidRPr="00181C92">
        <w:rPr>
          <w:lang w:val="ru-RU"/>
        </w:rPr>
        <w:t xml:space="preserve">  </w:t>
      </w:r>
      <w:r w:rsidRPr="00181C92">
        <w:t>TeamCentral</w:t>
      </w:r>
      <w:r w:rsidRPr="00181C92">
        <w:rPr>
          <w:lang w:val="ru-RU"/>
        </w:rPr>
        <w:t xml:space="preserve">© – один из модулей специализированной программной системы </w:t>
      </w:r>
      <w:r w:rsidRPr="00181C92">
        <w:t>TeamMate</w:t>
      </w:r>
      <w:r w:rsidRPr="00181C92">
        <w:rPr>
          <w:lang w:val="ru-RU"/>
        </w:rPr>
        <w:t>, которая предназначена для проведения аудиторских проверок и включает целый ряд модулей для, в частности, работы с электронными документами, контроля выполнения рекомендаций, оценки риска и составления временных графиков.</w:t>
      </w:r>
      <w:r>
        <w:rPr>
          <w:lang w:val="ru-RU"/>
        </w:rPr>
        <w:t xml:space="preserve"> </w:t>
      </w:r>
    </w:p>
  </w:footnote>
  <w:footnote w:id="6">
    <w:p w14:paraId="5C4BD86A" w14:textId="1A81F098" w:rsidR="00046C7F" w:rsidRPr="00F75110" w:rsidRDefault="00046C7F" w:rsidP="00F736B0">
      <w:pPr>
        <w:pStyle w:val="FootnoteText"/>
        <w:rPr>
          <w:lang w:val="ru-RU"/>
        </w:rPr>
      </w:pPr>
      <w:r>
        <w:rPr>
          <w:rStyle w:val="FootnoteReference"/>
        </w:rPr>
        <w:footnoteRef/>
      </w:r>
      <w:r w:rsidRPr="00F75110">
        <w:rPr>
          <w:lang w:val="ru-RU"/>
        </w:rPr>
        <w:t xml:space="preserve">  </w:t>
      </w:r>
      <w:r>
        <w:rPr>
          <w:lang w:val="ru-RU"/>
        </w:rPr>
        <w:t>В</w:t>
      </w:r>
      <w:r w:rsidRPr="00F75110">
        <w:rPr>
          <w:lang w:val="ru-RU"/>
        </w:rPr>
        <w:t xml:space="preserve"> </w:t>
      </w:r>
      <w:r>
        <w:rPr>
          <w:lang w:val="ru-RU"/>
        </w:rPr>
        <w:t>рамках</w:t>
      </w:r>
      <w:r w:rsidRPr="00F75110">
        <w:rPr>
          <w:lang w:val="ru-RU"/>
        </w:rPr>
        <w:t xml:space="preserve"> </w:t>
      </w:r>
      <w:r>
        <w:rPr>
          <w:lang w:val="ru-RU"/>
        </w:rPr>
        <w:t>оценки</w:t>
      </w:r>
      <w:r w:rsidRPr="00F75110">
        <w:rPr>
          <w:lang w:val="ru-RU"/>
        </w:rPr>
        <w:t xml:space="preserve"> </w:t>
      </w:r>
      <w:r>
        <w:rPr>
          <w:lang w:val="ru-RU"/>
        </w:rPr>
        <w:t>была</w:t>
      </w:r>
      <w:r w:rsidRPr="00F75110">
        <w:rPr>
          <w:lang w:val="ru-RU"/>
        </w:rPr>
        <w:t xml:space="preserve"> </w:t>
      </w:r>
      <w:r>
        <w:rPr>
          <w:lang w:val="ru-RU"/>
        </w:rPr>
        <w:t>использована</w:t>
      </w:r>
      <w:r w:rsidRPr="00F75110">
        <w:rPr>
          <w:lang w:val="ru-RU"/>
        </w:rPr>
        <w:t xml:space="preserve"> </w:t>
      </w:r>
      <w:r>
        <w:rPr>
          <w:lang w:val="ru-RU"/>
        </w:rPr>
        <w:t>модель</w:t>
      </w:r>
      <w:r w:rsidRPr="00F75110">
        <w:rPr>
          <w:lang w:val="ru-RU"/>
        </w:rPr>
        <w:t xml:space="preserve"> </w:t>
      </w:r>
      <w:r>
        <w:rPr>
          <w:lang w:val="ru-RU"/>
        </w:rPr>
        <w:t>оценки</w:t>
      </w:r>
      <w:r w:rsidRPr="00F75110">
        <w:rPr>
          <w:lang w:val="ru-RU"/>
        </w:rPr>
        <w:t xml:space="preserve"> </w:t>
      </w:r>
      <w:r>
        <w:rPr>
          <w:lang w:val="ru-RU"/>
        </w:rPr>
        <w:t>текущего</w:t>
      </w:r>
      <w:r w:rsidRPr="00F75110">
        <w:rPr>
          <w:lang w:val="ru-RU"/>
        </w:rPr>
        <w:t xml:space="preserve"> </w:t>
      </w:r>
      <w:r>
        <w:rPr>
          <w:lang w:val="ru-RU"/>
        </w:rPr>
        <w:t>состояния</w:t>
      </w:r>
      <w:r w:rsidRPr="00F75110">
        <w:rPr>
          <w:lang w:val="ru-RU"/>
        </w:rPr>
        <w:t xml:space="preserve">, </w:t>
      </w:r>
      <w:r>
        <w:rPr>
          <w:lang w:val="ru-RU"/>
        </w:rPr>
        <w:t xml:space="preserve">разработанная компанией </w:t>
      </w:r>
      <w:r>
        <w:t>PwC</w:t>
      </w:r>
      <w:r>
        <w:rPr>
          <w:lang w:val="ru-RU"/>
        </w:rPr>
        <w:t>.</w:t>
      </w:r>
    </w:p>
  </w:footnote>
  <w:footnote w:id="7">
    <w:p w14:paraId="64BA528B" w14:textId="1170EF77" w:rsidR="00046C7F" w:rsidRPr="00CE0303" w:rsidRDefault="00046C7F" w:rsidP="001635B5">
      <w:pPr>
        <w:pStyle w:val="FootnoteText"/>
        <w:rPr>
          <w:lang w:val="ru-RU"/>
        </w:rPr>
      </w:pPr>
      <w:r>
        <w:rPr>
          <w:rStyle w:val="FootnoteReference"/>
        </w:rPr>
        <w:footnoteRef/>
      </w:r>
      <w:r w:rsidRPr="00A47A46">
        <w:rPr>
          <w:lang w:val="ru-RU"/>
        </w:rPr>
        <w:t xml:space="preserve">  </w:t>
      </w:r>
      <w:r>
        <w:rPr>
          <w:lang w:val="ru-RU"/>
        </w:rPr>
        <w:t>РАП</w:t>
      </w:r>
      <w:r w:rsidRPr="00A47A46">
        <w:rPr>
          <w:lang w:val="ru-RU"/>
        </w:rPr>
        <w:t xml:space="preserve"> – </w:t>
      </w:r>
      <w:r>
        <w:rPr>
          <w:lang w:val="ru-RU"/>
        </w:rPr>
        <w:t>это</w:t>
      </w:r>
      <w:r w:rsidRPr="00A47A46">
        <w:rPr>
          <w:lang w:val="ru-RU"/>
        </w:rPr>
        <w:t xml:space="preserve"> </w:t>
      </w:r>
      <w:r>
        <w:rPr>
          <w:lang w:val="ru-RU"/>
        </w:rPr>
        <w:t>использование</w:t>
      </w:r>
      <w:r w:rsidRPr="00A47A46">
        <w:rPr>
          <w:lang w:val="ru-RU"/>
        </w:rPr>
        <w:t xml:space="preserve"> </w:t>
      </w:r>
      <w:r>
        <w:rPr>
          <w:lang w:val="ru-RU"/>
        </w:rPr>
        <w:t>программных</w:t>
      </w:r>
      <w:r w:rsidRPr="00A47A46">
        <w:rPr>
          <w:lang w:val="ru-RU"/>
        </w:rPr>
        <w:t xml:space="preserve"> </w:t>
      </w:r>
      <w:r>
        <w:rPr>
          <w:lang w:val="ru-RU"/>
        </w:rPr>
        <w:t>средств</w:t>
      </w:r>
      <w:r w:rsidRPr="00A47A46">
        <w:rPr>
          <w:lang w:val="ru-RU"/>
        </w:rPr>
        <w:t xml:space="preserve"> </w:t>
      </w:r>
      <w:r>
        <w:rPr>
          <w:lang w:val="ru-RU"/>
        </w:rPr>
        <w:t>с</w:t>
      </w:r>
      <w:r w:rsidRPr="00A47A46">
        <w:rPr>
          <w:lang w:val="ru-RU"/>
        </w:rPr>
        <w:t xml:space="preserve"> </w:t>
      </w:r>
      <w:r>
        <w:rPr>
          <w:lang w:val="ru-RU"/>
        </w:rPr>
        <w:t>элементами</w:t>
      </w:r>
      <w:r w:rsidRPr="00A47A46">
        <w:rPr>
          <w:lang w:val="ru-RU"/>
        </w:rPr>
        <w:t xml:space="preserve"> </w:t>
      </w:r>
      <w:r>
        <w:rPr>
          <w:lang w:val="ru-RU"/>
        </w:rPr>
        <w:t>ИИ</w:t>
      </w:r>
      <w:r w:rsidRPr="00A47A46">
        <w:rPr>
          <w:lang w:val="ru-RU"/>
        </w:rPr>
        <w:t xml:space="preserve"> </w:t>
      </w:r>
      <w:r>
        <w:rPr>
          <w:lang w:val="ru-RU"/>
        </w:rPr>
        <w:t>и</w:t>
      </w:r>
      <w:r w:rsidRPr="00A47A46">
        <w:rPr>
          <w:lang w:val="ru-RU"/>
        </w:rPr>
        <w:t xml:space="preserve"> </w:t>
      </w:r>
      <w:r>
        <w:rPr>
          <w:lang w:val="ru-RU"/>
        </w:rPr>
        <w:t>машинного</w:t>
      </w:r>
      <w:r w:rsidRPr="00A47A46">
        <w:rPr>
          <w:lang w:val="ru-RU"/>
        </w:rPr>
        <w:t xml:space="preserve"> </w:t>
      </w:r>
      <w:r>
        <w:rPr>
          <w:lang w:val="ru-RU"/>
        </w:rPr>
        <w:t>обучения</w:t>
      </w:r>
      <w:r w:rsidRPr="00A47A46">
        <w:rPr>
          <w:lang w:val="ru-RU"/>
        </w:rPr>
        <w:t xml:space="preserve"> </w:t>
      </w:r>
      <w:r>
        <w:rPr>
          <w:lang w:val="ru-RU"/>
        </w:rPr>
        <w:t>для</w:t>
      </w:r>
      <w:r w:rsidRPr="00A47A46">
        <w:rPr>
          <w:lang w:val="ru-RU"/>
        </w:rPr>
        <w:t xml:space="preserve"> </w:t>
      </w:r>
      <w:r>
        <w:rPr>
          <w:lang w:val="ru-RU"/>
        </w:rPr>
        <w:t>выполнения</w:t>
      </w:r>
      <w:r w:rsidRPr="00A47A46">
        <w:rPr>
          <w:lang w:val="ru-RU"/>
        </w:rPr>
        <w:t xml:space="preserve"> </w:t>
      </w:r>
      <w:r>
        <w:rPr>
          <w:lang w:val="ru-RU"/>
        </w:rPr>
        <w:t>масштабных</w:t>
      </w:r>
      <w:r w:rsidRPr="00A47A46">
        <w:rPr>
          <w:lang w:val="ru-RU"/>
        </w:rPr>
        <w:t xml:space="preserve"> </w:t>
      </w:r>
      <w:r>
        <w:rPr>
          <w:lang w:val="ru-RU"/>
        </w:rPr>
        <w:t>и</w:t>
      </w:r>
      <w:r w:rsidRPr="00A47A46">
        <w:rPr>
          <w:lang w:val="ru-RU"/>
        </w:rPr>
        <w:t xml:space="preserve"> </w:t>
      </w:r>
      <w:r>
        <w:rPr>
          <w:lang w:val="ru-RU"/>
        </w:rPr>
        <w:t>повторяющихся задач, которые ранее должны были выполнять люди.</w:t>
      </w:r>
    </w:p>
  </w:footnote>
  <w:footnote w:id="8">
    <w:p w14:paraId="39CDC9FF" w14:textId="77777777" w:rsidR="00046C7F" w:rsidRPr="00F464B6" w:rsidRDefault="00046C7F" w:rsidP="0051368E">
      <w:pPr>
        <w:pStyle w:val="FootnoteText"/>
        <w:rPr>
          <w:lang w:val="ru-RU"/>
        </w:rPr>
      </w:pPr>
      <w:r>
        <w:rPr>
          <w:rStyle w:val="FootnoteReference"/>
        </w:rPr>
        <w:footnoteRef/>
      </w:r>
      <w:r w:rsidRPr="00F464B6">
        <w:rPr>
          <w:lang w:val="ru-RU"/>
        </w:rPr>
        <w:t xml:space="preserve">  </w:t>
      </w:r>
      <w:r>
        <w:rPr>
          <w:lang w:val="ru-RU"/>
        </w:rPr>
        <w:t>СЦ</w:t>
      </w:r>
      <w:r w:rsidRPr="00F464B6">
        <w:rPr>
          <w:lang w:val="ru-RU"/>
        </w:rPr>
        <w:t xml:space="preserve"> </w:t>
      </w:r>
      <w:r>
        <w:t>III</w:t>
      </w:r>
      <w:r w:rsidRPr="00F464B6">
        <w:rPr>
          <w:lang w:val="ru-RU"/>
        </w:rPr>
        <w:t xml:space="preserve">:  </w:t>
      </w:r>
      <w:r>
        <w:rPr>
          <w:lang w:val="ru-RU"/>
        </w:rPr>
        <w:t>Содействие</w:t>
      </w:r>
      <w:r w:rsidRPr="00F464B6">
        <w:rPr>
          <w:lang w:val="ru-RU"/>
        </w:rPr>
        <w:t xml:space="preserve"> </w:t>
      </w:r>
      <w:r>
        <w:rPr>
          <w:lang w:val="ru-RU"/>
        </w:rPr>
        <w:t>использованию</w:t>
      </w:r>
      <w:r w:rsidRPr="00F464B6">
        <w:rPr>
          <w:lang w:val="ru-RU"/>
        </w:rPr>
        <w:t xml:space="preserve"> </w:t>
      </w:r>
      <w:r>
        <w:rPr>
          <w:lang w:val="ru-RU"/>
        </w:rPr>
        <w:t>ИС</w:t>
      </w:r>
      <w:r w:rsidRPr="00F464B6">
        <w:rPr>
          <w:lang w:val="ru-RU"/>
        </w:rPr>
        <w:t xml:space="preserve"> </w:t>
      </w:r>
      <w:r>
        <w:rPr>
          <w:lang w:val="ru-RU"/>
        </w:rPr>
        <w:t>в</w:t>
      </w:r>
      <w:r w:rsidRPr="00F464B6">
        <w:rPr>
          <w:lang w:val="ru-RU"/>
        </w:rPr>
        <w:t xml:space="preserve"> </w:t>
      </w:r>
      <w:r>
        <w:rPr>
          <w:lang w:val="ru-RU"/>
        </w:rPr>
        <w:t>целях</w:t>
      </w:r>
      <w:r w:rsidRPr="00F464B6">
        <w:rPr>
          <w:lang w:val="ru-RU"/>
        </w:rPr>
        <w:t xml:space="preserve"> </w:t>
      </w:r>
      <w:r>
        <w:rPr>
          <w:lang w:val="ru-RU"/>
        </w:rPr>
        <w:t>развития</w:t>
      </w:r>
      <w:r w:rsidRPr="00F464B6">
        <w:rPr>
          <w:lang w:val="ru-RU"/>
        </w:rPr>
        <w:t xml:space="preserve">;  </w:t>
      </w:r>
      <w:r>
        <w:rPr>
          <w:lang w:val="ru-RU"/>
        </w:rPr>
        <w:t>СЦ</w:t>
      </w:r>
      <w:r w:rsidRPr="00F464B6">
        <w:rPr>
          <w:lang w:val="ru-RU"/>
        </w:rPr>
        <w:t xml:space="preserve"> </w:t>
      </w:r>
      <w:r>
        <w:t>IV</w:t>
      </w:r>
      <w:r w:rsidRPr="00F464B6">
        <w:rPr>
          <w:lang w:val="ru-RU"/>
        </w:rPr>
        <w:t xml:space="preserve">: </w:t>
      </w:r>
      <w:r w:rsidRPr="00F464B6">
        <w:rPr>
          <w:color w:val="3B3B3B"/>
          <w:shd w:val="clear" w:color="auto" w:fill="FAFAFA"/>
          <w:lang w:val="ru-RU"/>
        </w:rPr>
        <w:t xml:space="preserve"> </w:t>
      </w:r>
      <w:r>
        <w:rPr>
          <w:color w:val="3B3B3B"/>
          <w:shd w:val="clear" w:color="auto" w:fill="FAFAFA"/>
          <w:lang w:val="ru-RU"/>
        </w:rPr>
        <w:t>Координация и развитие глобальной инфраструктуры ИС</w:t>
      </w:r>
      <w:r w:rsidRPr="00F464B6">
        <w:rPr>
          <w:color w:val="3B3B3B"/>
          <w:shd w:val="clear" w:color="auto" w:fill="FAFAFA"/>
          <w:lang w:val="ru-RU"/>
        </w:rPr>
        <w:t xml:space="preserve">; </w:t>
      </w:r>
      <w:r w:rsidRPr="00F464B6">
        <w:rPr>
          <w:lang w:val="ru-RU"/>
        </w:rPr>
        <w:t xml:space="preserve"> </w:t>
      </w:r>
      <w:r>
        <w:rPr>
          <w:lang w:val="ru-RU"/>
        </w:rPr>
        <w:t>и</w:t>
      </w:r>
      <w:r w:rsidRPr="00F464B6">
        <w:rPr>
          <w:lang w:val="ru-RU"/>
        </w:rPr>
        <w:t xml:space="preserve"> </w:t>
      </w:r>
      <w:r>
        <w:rPr>
          <w:lang w:val="ru-RU"/>
        </w:rPr>
        <w:t>СЦ</w:t>
      </w:r>
      <w:r w:rsidRPr="00F464B6">
        <w:rPr>
          <w:lang w:val="ru-RU"/>
        </w:rPr>
        <w:t xml:space="preserve"> </w:t>
      </w:r>
      <w:r w:rsidRPr="00984920">
        <w:t>VII</w:t>
      </w:r>
      <w:r w:rsidRPr="00F464B6">
        <w:rPr>
          <w:lang w:val="ru-RU"/>
        </w:rPr>
        <w:t>:  Решение проблем ИС в контексте вопросов глобальной политики</w:t>
      </w:r>
      <w:r w:rsidRPr="00F464B6">
        <w:rPr>
          <w:color w:val="3B3B3B"/>
          <w:shd w:val="clear" w:color="auto" w:fill="FAFAFA"/>
          <w:lang w:val="ru-RU"/>
        </w:rPr>
        <w:t>.</w:t>
      </w:r>
    </w:p>
  </w:footnote>
  <w:footnote w:id="9">
    <w:p w14:paraId="61907DBC" w14:textId="6AAC36D6" w:rsidR="00046C7F" w:rsidRPr="00527841" w:rsidRDefault="00046C7F" w:rsidP="00B13575">
      <w:pPr>
        <w:pStyle w:val="FootnoteText"/>
        <w:rPr>
          <w:lang w:val="ru-RU"/>
        </w:rPr>
      </w:pPr>
      <w:r>
        <w:rPr>
          <w:rStyle w:val="FootnoteReference"/>
        </w:rPr>
        <w:footnoteRef/>
      </w:r>
      <w:r w:rsidRPr="00B13575">
        <w:rPr>
          <w:lang w:val="ru-RU"/>
        </w:rPr>
        <w:t xml:space="preserve">  </w:t>
      </w:r>
      <w:r>
        <w:rPr>
          <w:lang w:val="ru-RU"/>
        </w:rPr>
        <w:t>БАПОР</w:t>
      </w:r>
      <w:r w:rsidRPr="00B13575">
        <w:rPr>
          <w:lang w:val="ru-RU"/>
        </w:rPr>
        <w:t xml:space="preserve">, </w:t>
      </w:r>
      <w:r>
        <w:rPr>
          <w:lang w:val="ru-RU"/>
        </w:rPr>
        <w:t>МФСР</w:t>
      </w:r>
      <w:r w:rsidRPr="00B13575">
        <w:rPr>
          <w:lang w:val="ru-RU"/>
        </w:rPr>
        <w:t xml:space="preserve">, </w:t>
      </w:r>
      <w:r>
        <w:rPr>
          <w:lang w:val="ru-RU"/>
        </w:rPr>
        <w:t>ЮНЕСКО</w:t>
      </w:r>
      <w:r w:rsidRPr="00B13575">
        <w:rPr>
          <w:lang w:val="ru-RU"/>
        </w:rPr>
        <w:t xml:space="preserve">, </w:t>
      </w:r>
      <w:r>
        <w:rPr>
          <w:lang w:val="ru-RU"/>
        </w:rPr>
        <w:t>ЮНФПА</w:t>
      </w:r>
      <w:r w:rsidRPr="00B13575">
        <w:rPr>
          <w:lang w:val="ru-RU"/>
        </w:rPr>
        <w:t xml:space="preserve">, </w:t>
      </w:r>
      <w:r>
        <w:rPr>
          <w:lang w:val="ru-RU"/>
        </w:rPr>
        <w:t>Секретариат</w:t>
      </w:r>
      <w:r w:rsidRPr="00B13575">
        <w:rPr>
          <w:lang w:val="ru-RU"/>
        </w:rPr>
        <w:t xml:space="preserve"> </w:t>
      </w:r>
      <w:r>
        <w:rPr>
          <w:lang w:val="ru-RU"/>
        </w:rPr>
        <w:t xml:space="preserve">ООН, ВОЗ, МОТ, ФАО, ВПП, ПРООН и Всемирный банк. </w:t>
      </w:r>
    </w:p>
  </w:footnote>
  <w:footnote w:id="10">
    <w:p w14:paraId="49330B0E" w14:textId="22C7E01B" w:rsidR="00046C7F" w:rsidRPr="00835E02" w:rsidRDefault="00046C7F" w:rsidP="00C46B12">
      <w:pPr>
        <w:pStyle w:val="FootnoteText"/>
        <w:rPr>
          <w:lang w:val="ru-RU"/>
        </w:rPr>
      </w:pPr>
      <w:r>
        <w:rPr>
          <w:rStyle w:val="FootnoteReference"/>
        </w:rPr>
        <w:footnoteRef/>
      </w:r>
      <w:r w:rsidRPr="00835E02">
        <w:rPr>
          <w:lang w:val="ru-RU"/>
        </w:rPr>
        <w:t xml:space="preserve">  </w:t>
      </w:r>
      <w:r>
        <w:rPr>
          <w:lang w:val="ru-RU"/>
        </w:rPr>
        <w:t>УВН, пункты</w:t>
      </w:r>
      <w:r w:rsidRPr="00835E02">
        <w:rPr>
          <w:lang w:val="ru-RU"/>
        </w:rPr>
        <w:t xml:space="preserve"> 20, 21, 23</w:t>
      </w:r>
      <w:r>
        <w:rPr>
          <w:lang w:val="ru-RU"/>
        </w:rPr>
        <w:t>,</w:t>
      </w:r>
      <w:r w:rsidRPr="00835E02">
        <w:rPr>
          <w:lang w:val="ru-RU"/>
        </w:rPr>
        <w:t xml:space="preserve"> 2</w:t>
      </w:r>
      <w:r>
        <w:rPr>
          <w:lang w:val="ru-RU"/>
        </w:rPr>
        <w:t>4 и 25</w:t>
      </w:r>
      <w:r w:rsidRPr="00835E02">
        <w:rPr>
          <w:lang w:val="ru-RU"/>
        </w:rPr>
        <w:t>.</w:t>
      </w:r>
    </w:p>
  </w:footnote>
  <w:footnote w:id="11">
    <w:p w14:paraId="21D80CA9" w14:textId="6A19CE59" w:rsidR="00046C7F" w:rsidRPr="00835E02" w:rsidRDefault="00046C7F">
      <w:pPr>
        <w:pStyle w:val="FootnoteText"/>
        <w:rPr>
          <w:lang w:val="ru-RU"/>
        </w:rPr>
      </w:pPr>
      <w:r>
        <w:rPr>
          <w:rStyle w:val="FootnoteReference"/>
        </w:rPr>
        <w:footnoteRef/>
      </w:r>
      <w:r w:rsidRPr="00D67501">
        <w:rPr>
          <w:lang w:val="ru-RU"/>
        </w:rPr>
        <w:t xml:space="preserve"> </w:t>
      </w:r>
      <w:r>
        <w:rPr>
          <w:lang w:val="ru-RU"/>
        </w:rPr>
        <w:t xml:space="preserve">УВН, пункт 48 </w:t>
      </w:r>
      <w:r w:rsidRPr="00D67501">
        <w:rPr>
          <w:lang w:val="ru-RU"/>
        </w:rPr>
        <w:t>(</w:t>
      </w:r>
      <w:r>
        <w:rPr>
          <w:lang w:val="en-GB"/>
        </w:rPr>
        <w:t>b</w:t>
      </w:r>
      <w:r w:rsidRPr="00835E02">
        <w:rPr>
          <w:lang w:val="ru-RU"/>
        </w:rPr>
        <w:t xml:space="preserve">). </w:t>
      </w:r>
    </w:p>
  </w:footnote>
  <w:footnote w:id="12">
    <w:p w14:paraId="463BE410" w14:textId="51B81DD5" w:rsidR="00046C7F" w:rsidRPr="00DB6BA7" w:rsidRDefault="00046C7F" w:rsidP="00C46B12">
      <w:pPr>
        <w:pStyle w:val="FootnoteText"/>
        <w:spacing w:after="20"/>
        <w:rPr>
          <w:lang w:val="ru-RU"/>
        </w:rPr>
      </w:pPr>
      <w:r w:rsidRPr="00AE32CE">
        <w:rPr>
          <w:rStyle w:val="FootnoteReference"/>
          <w:szCs w:val="18"/>
        </w:rPr>
        <w:footnoteRef/>
      </w:r>
      <w:r w:rsidRPr="00DB6BA7">
        <w:rPr>
          <w:szCs w:val="18"/>
          <w:lang w:val="ru-RU"/>
        </w:rPr>
        <w:t xml:space="preserve">  </w:t>
      </w:r>
      <w:r>
        <w:rPr>
          <w:szCs w:val="18"/>
          <w:lang w:val="ru-RU"/>
        </w:rPr>
        <w:t>УВН</w:t>
      </w:r>
      <w:r w:rsidRPr="00D67501">
        <w:rPr>
          <w:szCs w:val="18"/>
          <w:lang w:val="ru-RU"/>
        </w:rPr>
        <w:t xml:space="preserve">, </w:t>
      </w:r>
      <w:r>
        <w:rPr>
          <w:szCs w:val="18"/>
          <w:lang w:val="ru-RU"/>
        </w:rPr>
        <w:t>пункт</w:t>
      </w:r>
      <w:r w:rsidRPr="00D67501">
        <w:rPr>
          <w:szCs w:val="18"/>
          <w:lang w:val="ru-RU"/>
        </w:rPr>
        <w:t xml:space="preserve"> 4</w:t>
      </w:r>
      <w:r w:rsidRPr="00DB6BA7">
        <w:rPr>
          <w:szCs w:val="18"/>
          <w:lang w:val="ru-RU"/>
        </w:rPr>
        <w:t>5.</w:t>
      </w:r>
    </w:p>
  </w:footnote>
  <w:footnote w:id="13">
    <w:p w14:paraId="02A91AB3" w14:textId="7996C315" w:rsidR="00046C7F" w:rsidRPr="00DB6BA7" w:rsidRDefault="00046C7F" w:rsidP="00C46B12">
      <w:pPr>
        <w:pStyle w:val="FootnoteText"/>
        <w:spacing w:after="20"/>
        <w:rPr>
          <w:lang w:val="ru-RU"/>
        </w:rPr>
      </w:pPr>
      <w:r w:rsidRPr="003F279E">
        <w:rPr>
          <w:rStyle w:val="FootnoteReference"/>
          <w:szCs w:val="18"/>
        </w:rPr>
        <w:footnoteRef/>
      </w:r>
      <w:r w:rsidRPr="00DB6BA7">
        <w:rPr>
          <w:szCs w:val="18"/>
          <w:lang w:val="ru-RU"/>
        </w:rPr>
        <w:t xml:space="preserve">  </w:t>
      </w:r>
      <w:r>
        <w:rPr>
          <w:szCs w:val="18"/>
          <w:lang w:val="ru-RU"/>
        </w:rPr>
        <w:t>СИ</w:t>
      </w:r>
      <w:r w:rsidRPr="00DB6BA7">
        <w:rPr>
          <w:szCs w:val="18"/>
          <w:lang w:val="ru-RU"/>
        </w:rPr>
        <w:t xml:space="preserve"> 16/2010, </w:t>
      </w:r>
      <w:r>
        <w:rPr>
          <w:szCs w:val="18"/>
          <w:lang w:val="ru-RU"/>
        </w:rPr>
        <w:t>пункт</w:t>
      </w:r>
      <w:r w:rsidRPr="00DB6BA7">
        <w:rPr>
          <w:szCs w:val="18"/>
          <w:lang w:val="ru-RU"/>
        </w:rPr>
        <w:t xml:space="preserve"> 7.</w:t>
      </w:r>
    </w:p>
  </w:footnote>
  <w:footnote w:id="14">
    <w:p w14:paraId="2C71F32F" w14:textId="733BFB86" w:rsidR="00046C7F" w:rsidRPr="00835E02" w:rsidRDefault="00046C7F" w:rsidP="00C46B12">
      <w:pPr>
        <w:spacing w:after="20"/>
        <w:rPr>
          <w:lang w:val="ru-RU"/>
        </w:rPr>
      </w:pPr>
      <w:r w:rsidRPr="003F279E">
        <w:rPr>
          <w:rStyle w:val="FootnoteReference"/>
          <w:sz w:val="18"/>
          <w:szCs w:val="18"/>
        </w:rPr>
        <w:footnoteRef/>
      </w:r>
      <w:r w:rsidRPr="00835E02">
        <w:rPr>
          <w:sz w:val="18"/>
          <w:szCs w:val="18"/>
          <w:lang w:val="ru-RU"/>
        </w:rPr>
        <w:t xml:space="preserve">  </w:t>
      </w:r>
      <w:r>
        <w:rPr>
          <w:sz w:val="18"/>
          <w:szCs w:val="18"/>
          <w:lang w:val="ru-RU"/>
        </w:rPr>
        <w:t>СИ</w:t>
      </w:r>
      <w:r w:rsidRPr="00835E02">
        <w:rPr>
          <w:sz w:val="18"/>
          <w:szCs w:val="18"/>
          <w:lang w:val="ru-RU"/>
        </w:rPr>
        <w:t xml:space="preserve"> 16/2010</w:t>
      </w:r>
      <w:r w:rsidRPr="00CE0303">
        <w:rPr>
          <w:sz w:val="18"/>
          <w:szCs w:val="18"/>
          <w:lang w:val="ru-RU"/>
        </w:rPr>
        <w:t xml:space="preserve">, </w:t>
      </w:r>
      <w:r>
        <w:rPr>
          <w:sz w:val="18"/>
          <w:szCs w:val="18"/>
          <w:lang w:val="ru-RU"/>
        </w:rPr>
        <w:t>пункт</w:t>
      </w:r>
      <w:r w:rsidRPr="00835E02">
        <w:rPr>
          <w:sz w:val="18"/>
          <w:szCs w:val="18"/>
          <w:lang w:val="ru-RU"/>
        </w:rPr>
        <w:t xml:space="preserve"> 8.</w:t>
      </w:r>
    </w:p>
  </w:footnote>
  <w:footnote w:id="15">
    <w:p w14:paraId="4DA4C9B7" w14:textId="02C417E3" w:rsidR="00046C7F" w:rsidRPr="00CE0303" w:rsidRDefault="00046C7F" w:rsidP="00A87B76">
      <w:pPr>
        <w:pStyle w:val="FootnoteText"/>
        <w:rPr>
          <w:lang w:val="ru-RU"/>
        </w:rPr>
      </w:pPr>
      <w:r>
        <w:rPr>
          <w:rStyle w:val="FootnoteReference"/>
        </w:rPr>
        <w:footnoteRef/>
      </w:r>
      <w:r w:rsidRPr="00835E02">
        <w:rPr>
          <w:szCs w:val="18"/>
          <w:lang w:val="ru-RU"/>
        </w:rPr>
        <w:t xml:space="preserve">  </w:t>
      </w:r>
      <w:r w:rsidRPr="00EE53F8">
        <w:rPr>
          <w:lang w:val="fr-CH"/>
        </w:rPr>
        <w:t>WO</w:t>
      </w:r>
      <w:r w:rsidRPr="00835E02">
        <w:rPr>
          <w:lang w:val="ru-RU"/>
        </w:rPr>
        <w:t>/</w:t>
      </w:r>
      <w:r w:rsidRPr="00EE53F8">
        <w:rPr>
          <w:lang w:val="fr-CH"/>
        </w:rPr>
        <w:t>PBC</w:t>
      </w:r>
      <w:r w:rsidRPr="00835E02">
        <w:rPr>
          <w:lang w:val="ru-RU"/>
        </w:rPr>
        <w:t>/30/14 –</w:t>
      </w:r>
      <w:r w:rsidRPr="00CE0303">
        <w:rPr>
          <w:lang w:val="ru-RU"/>
        </w:rPr>
        <w:t xml:space="preserve"> </w:t>
      </w:r>
      <w:r w:rsidRPr="00835E02">
        <w:rPr>
          <w:lang w:val="ru-RU"/>
        </w:rPr>
        <w:t>18</w:t>
      </w:r>
      <w:r w:rsidRPr="00CE0303">
        <w:rPr>
          <w:lang w:val="ru-RU"/>
        </w:rPr>
        <w:t xml:space="preserve"> </w:t>
      </w:r>
      <w:r>
        <w:rPr>
          <w:lang w:val="ru-RU"/>
        </w:rPr>
        <w:t>июня</w:t>
      </w:r>
      <w:r w:rsidRPr="00835E02">
        <w:rPr>
          <w:lang w:val="ru-RU"/>
        </w:rPr>
        <w:t xml:space="preserve"> 2019</w:t>
      </w:r>
      <w:r w:rsidRPr="00CE0303">
        <w:rPr>
          <w:lang w:val="ru-RU"/>
        </w:rPr>
        <w:t xml:space="preserve"> </w:t>
      </w:r>
      <w:r>
        <w:rPr>
          <w:lang w:val="ru-RU"/>
        </w:rPr>
        <w:t>г</w:t>
      </w:r>
      <w:r w:rsidRPr="00CE0303">
        <w:rPr>
          <w:lang w:val="ru-RU"/>
        </w:rPr>
        <w:t xml:space="preserve">. </w:t>
      </w:r>
    </w:p>
  </w:footnote>
  <w:footnote w:id="16">
    <w:p w14:paraId="377F9FED" w14:textId="53822DDC" w:rsidR="00046C7F" w:rsidRPr="00CE0303" w:rsidRDefault="00046C7F" w:rsidP="00547A64">
      <w:pPr>
        <w:pStyle w:val="FootnoteText"/>
        <w:rPr>
          <w:lang w:val="ru-RU"/>
        </w:rPr>
      </w:pPr>
      <w:r>
        <w:rPr>
          <w:rStyle w:val="FootnoteReference"/>
        </w:rPr>
        <w:footnoteRef/>
      </w:r>
      <w:r w:rsidRPr="00547A64">
        <w:rPr>
          <w:lang w:val="ru-RU"/>
        </w:rPr>
        <w:t xml:space="preserve">  </w:t>
      </w:r>
      <w:r w:rsidRPr="00547A64">
        <w:rPr>
          <w:b/>
          <w:lang w:val="ru-RU"/>
        </w:rPr>
        <w:t>Программа</w:t>
      </w:r>
      <w:r w:rsidRPr="00547A64">
        <w:rPr>
          <w:b/>
          <w:lang w:val="en-GB"/>
        </w:rPr>
        <w:t> </w:t>
      </w:r>
      <w:r w:rsidRPr="00547A64">
        <w:rPr>
          <w:b/>
          <w:lang w:val="ru-RU"/>
        </w:rPr>
        <w:t>1</w:t>
      </w:r>
      <w:r w:rsidRPr="00547A64">
        <w:rPr>
          <w:lang w:val="ru-RU"/>
        </w:rPr>
        <w:t xml:space="preserve"> (Патентное право); </w:t>
      </w:r>
      <w:r w:rsidRPr="00547A64">
        <w:rPr>
          <w:b/>
          <w:lang w:val="ru-RU"/>
        </w:rPr>
        <w:t>Программа</w:t>
      </w:r>
      <w:r w:rsidRPr="00547A64">
        <w:rPr>
          <w:b/>
          <w:lang w:val="en-GB"/>
        </w:rPr>
        <w:t> </w:t>
      </w:r>
      <w:r w:rsidRPr="00547A64">
        <w:rPr>
          <w:b/>
          <w:lang w:val="ru-RU"/>
        </w:rPr>
        <w:t>2</w:t>
      </w:r>
      <w:r w:rsidRPr="00547A64">
        <w:rPr>
          <w:lang w:val="ru-RU"/>
        </w:rPr>
        <w:t xml:space="preserve"> (Товарные знаки, промышленные образцы и географические указания); </w:t>
      </w:r>
      <w:r w:rsidRPr="00547A64">
        <w:rPr>
          <w:b/>
          <w:lang w:val="ru-RU"/>
        </w:rPr>
        <w:t>Программа</w:t>
      </w:r>
      <w:r w:rsidRPr="00547A64">
        <w:rPr>
          <w:b/>
          <w:lang w:val="en-GB"/>
        </w:rPr>
        <w:t> </w:t>
      </w:r>
      <w:r w:rsidRPr="00547A64">
        <w:rPr>
          <w:b/>
          <w:lang w:val="ru-RU"/>
        </w:rPr>
        <w:t>3</w:t>
      </w:r>
      <w:r w:rsidRPr="00547A64">
        <w:rPr>
          <w:lang w:val="ru-RU"/>
        </w:rPr>
        <w:t xml:space="preserve"> (Авторское право и смежные права); </w:t>
      </w:r>
      <w:r w:rsidRPr="00547A64">
        <w:rPr>
          <w:b/>
          <w:lang w:val="ru-RU"/>
        </w:rPr>
        <w:t>Программа 4</w:t>
      </w:r>
      <w:r w:rsidRPr="00547A64">
        <w:rPr>
          <w:lang w:val="ru-RU"/>
        </w:rPr>
        <w:t xml:space="preserve"> (Традиционные знания, традиционные выражения культуры и генетические ресурсы); </w:t>
      </w:r>
      <w:r w:rsidRPr="00547A64">
        <w:rPr>
          <w:b/>
          <w:lang w:val="ru-RU"/>
        </w:rPr>
        <w:t>Программа</w:t>
      </w:r>
      <w:r w:rsidRPr="00547A64">
        <w:rPr>
          <w:b/>
          <w:lang w:val="en-GB"/>
        </w:rPr>
        <w:t> </w:t>
      </w:r>
      <w:r w:rsidRPr="00547A64">
        <w:rPr>
          <w:b/>
          <w:lang w:val="ru-RU"/>
        </w:rPr>
        <w:t>5</w:t>
      </w:r>
      <w:r w:rsidRPr="00547A64">
        <w:rPr>
          <w:lang w:val="ru-RU"/>
        </w:rPr>
        <w:t xml:space="preserve"> (Система PCT); </w:t>
      </w:r>
      <w:r w:rsidRPr="00547A64">
        <w:rPr>
          <w:b/>
          <w:lang w:val="ru-RU"/>
        </w:rPr>
        <w:t>Программа</w:t>
      </w:r>
      <w:r w:rsidRPr="00547A64">
        <w:rPr>
          <w:b/>
          <w:lang w:val="en-GB"/>
        </w:rPr>
        <w:t> </w:t>
      </w:r>
      <w:r w:rsidRPr="00547A64">
        <w:rPr>
          <w:b/>
          <w:lang w:val="ru-RU"/>
        </w:rPr>
        <w:t>6</w:t>
      </w:r>
      <w:r w:rsidRPr="00547A64">
        <w:rPr>
          <w:lang w:val="ru-RU"/>
        </w:rPr>
        <w:t xml:space="preserve"> (Мадридская система); </w:t>
      </w:r>
      <w:r w:rsidRPr="00547A64">
        <w:rPr>
          <w:b/>
          <w:lang w:val="ru-RU"/>
        </w:rPr>
        <w:t>Программа</w:t>
      </w:r>
      <w:r w:rsidRPr="00547A64">
        <w:rPr>
          <w:b/>
          <w:lang w:val="en-GB"/>
        </w:rPr>
        <w:t> </w:t>
      </w:r>
      <w:r w:rsidRPr="00547A64">
        <w:rPr>
          <w:b/>
          <w:lang w:val="ru-RU"/>
        </w:rPr>
        <w:t>7</w:t>
      </w:r>
      <w:r w:rsidRPr="00547A64">
        <w:rPr>
          <w:lang w:val="ru-RU"/>
        </w:rPr>
        <w:t xml:space="preserve"> (Центр ВОИС по арбитражу и посредничеству); </w:t>
      </w:r>
      <w:r w:rsidRPr="00547A64">
        <w:rPr>
          <w:b/>
          <w:lang w:val="ru-RU"/>
        </w:rPr>
        <w:t>Программа</w:t>
      </w:r>
      <w:r w:rsidRPr="00547A64">
        <w:rPr>
          <w:b/>
          <w:lang w:val="en-GB"/>
        </w:rPr>
        <w:t> </w:t>
      </w:r>
      <w:r w:rsidRPr="00547A64">
        <w:rPr>
          <w:b/>
          <w:lang w:val="ru-RU"/>
        </w:rPr>
        <w:t>8</w:t>
      </w:r>
      <w:r w:rsidRPr="00547A64">
        <w:rPr>
          <w:lang w:val="ru-RU"/>
        </w:rPr>
        <w:t xml:space="preserve"> (Координация деятельности в рамках Повестки дня в области развития); </w:t>
      </w:r>
      <w:r w:rsidRPr="00547A64">
        <w:rPr>
          <w:b/>
          <w:lang w:val="ru-RU"/>
        </w:rPr>
        <w:t>Программа</w:t>
      </w:r>
      <w:r w:rsidRPr="00547A64">
        <w:rPr>
          <w:b/>
          <w:lang w:val="en-GB"/>
        </w:rPr>
        <w:t> </w:t>
      </w:r>
      <w:r w:rsidRPr="00547A64">
        <w:rPr>
          <w:b/>
          <w:lang w:val="ru-RU"/>
        </w:rPr>
        <w:t>9</w:t>
      </w:r>
      <w:r w:rsidRPr="00547A64">
        <w:rPr>
          <w:lang w:val="ru-RU"/>
        </w:rPr>
        <w:t xml:space="preserve"> (Африка, арабские страны, Азия и Тихоокеанский регион, Латинская Америка и страны Карибского бассейна, наименее развитые страны); </w:t>
      </w:r>
      <w:r w:rsidRPr="00547A64">
        <w:rPr>
          <w:b/>
          <w:lang w:val="ru-RU"/>
        </w:rPr>
        <w:t>Программа</w:t>
      </w:r>
      <w:r w:rsidRPr="00547A64">
        <w:rPr>
          <w:b/>
          <w:lang w:val="en-GB"/>
        </w:rPr>
        <w:t> </w:t>
      </w:r>
      <w:r w:rsidRPr="00547A64">
        <w:rPr>
          <w:b/>
          <w:lang w:val="ru-RU"/>
        </w:rPr>
        <w:t>10</w:t>
      </w:r>
      <w:r w:rsidRPr="00547A64">
        <w:rPr>
          <w:lang w:val="ru-RU"/>
        </w:rPr>
        <w:t xml:space="preserve"> (Страны переходного периода и развитые страны); </w:t>
      </w:r>
      <w:r w:rsidRPr="00547A64">
        <w:rPr>
          <w:b/>
          <w:lang w:val="ru-RU"/>
        </w:rPr>
        <w:t>Программа 11</w:t>
      </w:r>
      <w:r w:rsidRPr="00547A64">
        <w:rPr>
          <w:lang w:val="ru-RU"/>
        </w:rPr>
        <w:t xml:space="preserve">(Академия ВОИС); </w:t>
      </w:r>
      <w:r w:rsidRPr="00547A64">
        <w:rPr>
          <w:b/>
          <w:lang w:val="ru-RU"/>
        </w:rPr>
        <w:t>Программа</w:t>
      </w:r>
      <w:r w:rsidRPr="00547A64">
        <w:rPr>
          <w:b/>
          <w:lang w:val="en-GB"/>
        </w:rPr>
        <w:t> </w:t>
      </w:r>
      <w:r w:rsidRPr="00547A64">
        <w:rPr>
          <w:b/>
          <w:lang w:val="ru-RU"/>
        </w:rPr>
        <w:t>12</w:t>
      </w:r>
      <w:r w:rsidRPr="00547A64">
        <w:rPr>
          <w:lang w:val="ru-RU"/>
        </w:rPr>
        <w:t xml:space="preserve"> (Международные классификации и стандарты); </w:t>
      </w:r>
      <w:r w:rsidRPr="00547A64">
        <w:rPr>
          <w:b/>
          <w:lang w:val="ru-RU"/>
        </w:rPr>
        <w:t>Программа 13</w:t>
      </w:r>
      <w:r w:rsidRPr="00547A64">
        <w:rPr>
          <w:lang w:val="ru-RU"/>
        </w:rPr>
        <w:t xml:space="preserve"> (Глобальные базы данных); </w:t>
      </w:r>
      <w:r w:rsidRPr="00547A64">
        <w:rPr>
          <w:b/>
          <w:lang w:val="ru-RU"/>
        </w:rPr>
        <w:t>Программа</w:t>
      </w:r>
      <w:r w:rsidRPr="00547A64">
        <w:rPr>
          <w:b/>
          <w:lang w:val="en-GB"/>
        </w:rPr>
        <w:t> </w:t>
      </w:r>
      <w:r w:rsidRPr="00547A64">
        <w:rPr>
          <w:b/>
          <w:lang w:val="ru-RU"/>
        </w:rPr>
        <w:t>14</w:t>
      </w:r>
      <w:r w:rsidRPr="00547A64">
        <w:rPr>
          <w:lang w:val="ru-RU"/>
        </w:rPr>
        <w:t xml:space="preserve"> (Услуги по обеспечению доступа к информации и знаниям); </w:t>
      </w:r>
      <w:r w:rsidRPr="00547A64">
        <w:rPr>
          <w:b/>
          <w:lang w:val="ru-RU"/>
        </w:rPr>
        <w:t>Программа</w:t>
      </w:r>
      <w:r w:rsidRPr="00547A64">
        <w:rPr>
          <w:b/>
          <w:lang w:val="en-GB"/>
        </w:rPr>
        <w:t> </w:t>
      </w:r>
      <w:r w:rsidRPr="00547A64">
        <w:rPr>
          <w:b/>
          <w:lang w:val="ru-RU"/>
        </w:rPr>
        <w:t>15</w:t>
      </w:r>
      <w:r w:rsidRPr="00547A64">
        <w:rPr>
          <w:lang w:val="ru-RU"/>
        </w:rPr>
        <w:t xml:space="preserve"> (Деловые решения для ведомств ИС); </w:t>
      </w:r>
      <w:r w:rsidRPr="00547A64">
        <w:rPr>
          <w:b/>
          <w:lang w:val="ru-RU"/>
        </w:rPr>
        <w:t>Программа</w:t>
      </w:r>
      <w:r w:rsidRPr="00547A64">
        <w:rPr>
          <w:b/>
          <w:lang w:val="en-GB"/>
        </w:rPr>
        <w:t> </w:t>
      </w:r>
      <w:r w:rsidRPr="00547A64">
        <w:rPr>
          <w:b/>
          <w:lang w:val="ru-RU"/>
        </w:rPr>
        <w:t>16</w:t>
      </w:r>
      <w:r w:rsidRPr="00547A64">
        <w:rPr>
          <w:lang w:val="ru-RU"/>
        </w:rPr>
        <w:t xml:space="preserve"> (Экономика и статистика); </w:t>
      </w:r>
      <w:r w:rsidRPr="00547A64">
        <w:rPr>
          <w:b/>
          <w:lang w:val="ru-RU"/>
        </w:rPr>
        <w:t>Программа</w:t>
      </w:r>
      <w:r w:rsidRPr="00547A64">
        <w:rPr>
          <w:b/>
          <w:lang w:val="en-GB"/>
        </w:rPr>
        <w:t> </w:t>
      </w:r>
      <w:r w:rsidRPr="00547A64">
        <w:rPr>
          <w:b/>
          <w:lang w:val="ru-RU"/>
        </w:rPr>
        <w:t>17</w:t>
      </w:r>
      <w:r w:rsidRPr="00547A64">
        <w:rPr>
          <w:lang w:val="ru-RU"/>
        </w:rPr>
        <w:t xml:space="preserve"> (Обеспечение уважения ИС); </w:t>
      </w:r>
      <w:r w:rsidRPr="00547A64">
        <w:rPr>
          <w:b/>
          <w:lang w:val="ru-RU"/>
        </w:rPr>
        <w:t>Программа</w:t>
      </w:r>
      <w:r w:rsidRPr="00547A64">
        <w:rPr>
          <w:b/>
          <w:lang w:val="en-GB"/>
        </w:rPr>
        <w:t> </w:t>
      </w:r>
      <w:r w:rsidRPr="00547A64">
        <w:rPr>
          <w:b/>
          <w:lang w:val="ru-RU"/>
        </w:rPr>
        <w:t>18</w:t>
      </w:r>
      <w:r w:rsidRPr="00547A64">
        <w:rPr>
          <w:lang w:val="ru-RU"/>
        </w:rPr>
        <w:t xml:space="preserve"> (ИС и глобальные задачи); </w:t>
      </w:r>
      <w:r w:rsidRPr="00547A64">
        <w:rPr>
          <w:b/>
          <w:lang w:val="ru-RU"/>
        </w:rPr>
        <w:t>Программа</w:t>
      </w:r>
      <w:r w:rsidRPr="00547A64">
        <w:rPr>
          <w:b/>
          <w:lang w:val="en-GB"/>
        </w:rPr>
        <w:t> </w:t>
      </w:r>
      <w:r w:rsidRPr="00547A64">
        <w:rPr>
          <w:b/>
          <w:lang w:val="ru-RU"/>
        </w:rPr>
        <w:t>19</w:t>
      </w:r>
      <w:r w:rsidRPr="00547A64">
        <w:rPr>
          <w:lang w:val="ru-RU"/>
        </w:rPr>
        <w:t xml:space="preserve"> (Коммуникации); </w:t>
      </w:r>
      <w:r w:rsidRPr="00547A64">
        <w:rPr>
          <w:b/>
          <w:lang w:val="ru-RU"/>
        </w:rPr>
        <w:t>Программа</w:t>
      </w:r>
      <w:r w:rsidRPr="00547A64">
        <w:rPr>
          <w:b/>
          <w:lang w:val="en-GB"/>
        </w:rPr>
        <w:t> </w:t>
      </w:r>
      <w:r w:rsidRPr="00547A64">
        <w:rPr>
          <w:b/>
          <w:lang w:val="ru-RU"/>
        </w:rPr>
        <w:t>20</w:t>
      </w:r>
      <w:r w:rsidRPr="00547A64">
        <w:rPr>
          <w:lang w:val="ru-RU"/>
        </w:rPr>
        <w:t xml:space="preserve"> (Внешние связи, партнерства и внешние бюро); </w:t>
      </w:r>
      <w:r w:rsidRPr="00547A64">
        <w:rPr>
          <w:b/>
          <w:lang w:val="ru-RU"/>
        </w:rPr>
        <w:t>Программа</w:t>
      </w:r>
      <w:r w:rsidRPr="00547A64">
        <w:rPr>
          <w:b/>
          <w:lang w:val="en-GB"/>
        </w:rPr>
        <w:t> </w:t>
      </w:r>
      <w:r w:rsidRPr="00547A64">
        <w:rPr>
          <w:b/>
          <w:lang w:val="ru-RU"/>
        </w:rPr>
        <w:t>21</w:t>
      </w:r>
      <w:r w:rsidRPr="00547A64">
        <w:rPr>
          <w:lang w:val="ru-RU"/>
        </w:rPr>
        <w:t xml:space="preserve"> (Исполнительное руководство); </w:t>
      </w:r>
      <w:r w:rsidRPr="00547A64">
        <w:rPr>
          <w:b/>
          <w:lang w:val="ru-RU"/>
        </w:rPr>
        <w:t>Программа</w:t>
      </w:r>
      <w:r w:rsidRPr="00547A64">
        <w:rPr>
          <w:b/>
          <w:lang w:val="en-GB"/>
        </w:rPr>
        <w:t> </w:t>
      </w:r>
      <w:r w:rsidRPr="00547A64">
        <w:rPr>
          <w:b/>
          <w:lang w:val="ru-RU"/>
        </w:rPr>
        <w:t>22</w:t>
      </w:r>
      <w:r w:rsidRPr="00547A64">
        <w:rPr>
          <w:lang w:val="ru-RU"/>
        </w:rPr>
        <w:t xml:space="preserve"> (Управление программами и ресурсами); </w:t>
      </w:r>
      <w:r w:rsidRPr="00547A64">
        <w:rPr>
          <w:b/>
          <w:lang w:val="ru-RU"/>
        </w:rPr>
        <w:t>Программа</w:t>
      </w:r>
      <w:r w:rsidRPr="00547A64">
        <w:rPr>
          <w:b/>
          <w:lang w:val="en-GB"/>
        </w:rPr>
        <w:t> </w:t>
      </w:r>
      <w:r w:rsidRPr="00547A64">
        <w:rPr>
          <w:b/>
          <w:lang w:val="ru-RU"/>
        </w:rPr>
        <w:t>23</w:t>
      </w:r>
      <w:r w:rsidRPr="00547A64">
        <w:rPr>
          <w:lang w:val="ru-RU"/>
        </w:rPr>
        <w:t xml:space="preserve">(Управление людскими ресурсами и их развитие); </w:t>
      </w:r>
      <w:r w:rsidRPr="00547A64">
        <w:rPr>
          <w:b/>
          <w:lang w:val="ru-RU"/>
        </w:rPr>
        <w:t>Программа</w:t>
      </w:r>
      <w:r w:rsidRPr="00547A64">
        <w:rPr>
          <w:b/>
          <w:lang w:val="en-GB"/>
        </w:rPr>
        <w:t> </w:t>
      </w:r>
      <w:r w:rsidRPr="00547A64">
        <w:rPr>
          <w:b/>
          <w:lang w:val="ru-RU"/>
        </w:rPr>
        <w:t>24</w:t>
      </w:r>
      <w:r w:rsidRPr="00547A64">
        <w:rPr>
          <w:lang w:val="ru-RU"/>
        </w:rPr>
        <w:t xml:space="preserve"> (Службы общей поддержки); </w:t>
      </w:r>
      <w:r w:rsidRPr="00547A64">
        <w:rPr>
          <w:b/>
          <w:lang w:val="ru-RU"/>
        </w:rPr>
        <w:t>Программа</w:t>
      </w:r>
      <w:r w:rsidRPr="00547A64">
        <w:rPr>
          <w:b/>
          <w:lang w:val="en-GB"/>
        </w:rPr>
        <w:t> </w:t>
      </w:r>
      <w:r w:rsidRPr="00547A64">
        <w:rPr>
          <w:b/>
          <w:lang w:val="ru-RU"/>
        </w:rPr>
        <w:t>25</w:t>
      </w:r>
      <w:r w:rsidRPr="00547A64">
        <w:rPr>
          <w:lang w:val="ru-RU"/>
        </w:rPr>
        <w:t xml:space="preserve"> (Информационные и коммуникационные технологии); </w:t>
      </w:r>
      <w:r w:rsidRPr="00547A64">
        <w:rPr>
          <w:b/>
          <w:lang w:val="ru-RU"/>
        </w:rPr>
        <w:t>Программа</w:t>
      </w:r>
      <w:r w:rsidRPr="00547A64">
        <w:rPr>
          <w:b/>
          <w:lang w:val="en-GB"/>
        </w:rPr>
        <w:t> </w:t>
      </w:r>
      <w:r w:rsidRPr="00547A64">
        <w:rPr>
          <w:b/>
          <w:lang w:val="ru-RU"/>
        </w:rPr>
        <w:t>26</w:t>
      </w:r>
      <w:r w:rsidRPr="00547A64">
        <w:rPr>
          <w:lang w:val="ru-RU"/>
        </w:rPr>
        <w:t xml:space="preserve"> (Отдел внутреннего надзора); </w:t>
      </w:r>
      <w:r w:rsidRPr="00547A64">
        <w:rPr>
          <w:b/>
          <w:lang w:val="ru-RU"/>
        </w:rPr>
        <w:t>Программа</w:t>
      </w:r>
      <w:r w:rsidRPr="00547A64">
        <w:rPr>
          <w:b/>
          <w:lang w:val="en-GB"/>
        </w:rPr>
        <w:t> </w:t>
      </w:r>
      <w:r w:rsidRPr="00547A64">
        <w:rPr>
          <w:b/>
          <w:lang w:val="ru-RU"/>
        </w:rPr>
        <w:t>27</w:t>
      </w:r>
      <w:r w:rsidRPr="00547A64">
        <w:rPr>
          <w:lang w:val="ru-RU"/>
        </w:rPr>
        <w:t xml:space="preserve"> (Конференционная и лингвистическая службы); </w:t>
      </w:r>
      <w:r w:rsidRPr="00547A64">
        <w:rPr>
          <w:b/>
          <w:lang w:val="ru-RU"/>
        </w:rPr>
        <w:t>Программа</w:t>
      </w:r>
      <w:r w:rsidRPr="00547A64">
        <w:rPr>
          <w:b/>
          <w:lang w:val="en-GB"/>
        </w:rPr>
        <w:t> </w:t>
      </w:r>
      <w:r w:rsidRPr="00547A64">
        <w:rPr>
          <w:b/>
          <w:lang w:val="ru-RU"/>
        </w:rPr>
        <w:t>28</w:t>
      </w:r>
      <w:r w:rsidRPr="00547A64">
        <w:rPr>
          <w:lang w:val="ru-RU"/>
        </w:rPr>
        <w:t xml:space="preserve"> (Целостность информации, охрана и безопасность); </w:t>
      </w:r>
      <w:r w:rsidRPr="00547A64">
        <w:rPr>
          <w:b/>
          <w:lang w:val="ru-RU"/>
        </w:rPr>
        <w:t>Программа</w:t>
      </w:r>
      <w:r w:rsidRPr="00547A64">
        <w:rPr>
          <w:b/>
          <w:lang w:val="en-GB"/>
        </w:rPr>
        <w:t> </w:t>
      </w:r>
      <w:r w:rsidRPr="00547A64">
        <w:rPr>
          <w:b/>
          <w:lang w:val="ru-RU"/>
        </w:rPr>
        <w:t>30</w:t>
      </w:r>
      <w:r w:rsidRPr="00547A64">
        <w:rPr>
          <w:lang w:val="ru-RU"/>
        </w:rPr>
        <w:t xml:space="preserve"> (Малые и средние предприятия (МСП) и поддержка предпринимательства); </w:t>
      </w:r>
      <w:r w:rsidRPr="00547A64">
        <w:rPr>
          <w:b/>
          <w:lang w:val="ru-RU"/>
        </w:rPr>
        <w:t>Программа</w:t>
      </w:r>
      <w:r w:rsidRPr="00547A64">
        <w:rPr>
          <w:b/>
          <w:lang w:val="en-GB"/>
        </w:rPr>
        <w:t> </w:t>
      </w:r>
      <w:r w:rsidRPr="00547A64">
        <w:rPr>
          <w:b/>
          <w:lang w:val="ru-RU"/>
        </w:rPr>
        <w:t>31</w:t>
      </w:r>
      <w:r w:rsidRPr="00547A64">
        <w:rPr>
          <w:lang w:val="ru-RU"/>
        </w:rPr>
        <w:t xml:space="preserve"> (Гаагская система); </w:t>
      </w:r>
      <w:r w:rsidRPr="00547A64">
        <w:rPr>
          <w:b/>
          <w:lang w:val="ru-RU"/>
        </w:rPr>
        <w:t>Программа</w:t>
      </w:r>
      <w:r w:rsidRPr="00547A64">
        <w:rPr>
          <w:b/>
          <w:lang w:val="en-GB"/>
        </w:rPr>
        <w:t> </w:t>
      </w:r>
      <w:r w:rsidRPr="00547A64">
        <w:rPr>
          <w:b/>
          <w:lang w:val="ru-RU"/>
        </w:rPr>
        <w:t>32</w:t>
      </w:r>
      <w:r w:rsidRPr="00547A64">
        <w:rPr>
          <w:lang w:val="ru-RU"/>
        </w:rPr>
        <w:t xml:space="preserve"> (Лиссабонская система).</w:t>
      </w:r>
      <w:r>
        <w:rPr>
          <w:lang w:val="ru-RU"/>
        </w:rPr>
        <w:t xml:space="preserve"> </w:t>
      </w:r>
    </w:p>
    <w:p w14:paraId="3E336053" w14:textId="4A903329" w:rsidR="00046C7F" w:rsidRPr="00CE0303" w:rsidRDefault="00046C7F" w:rsidP="00C84D33">
      <w:pPr>
        <w:pStyle w:val="FootnoteText"/>
        <w:rPr>
          <w:lang w:val="ru-RU"/>
        </w:rPr>
      </w:pPr>
    </w:p>
  </w:footnote>
  <w:footnote w:id="17">
    <w:p w14:paraId="54031828" w14:textId="1F642E66" w:rsidR="00046C7F" w:rsidRPr="00CE0303" w:rsidRDefault="00046C7F" w:rsidP="00C46B12">
      <w:pPr>
        <w:pStyle w:val="FootnoteText"/>
        <w:rPr>
          <w:lang w:val="ru-RU"/>
        </w:rPr>
      </w:pPr>
      <w:r>
        <w:rPr>
          <w:rStyle w:val="FootnoteReference"/>
        </w:rPr>
        <w:footnoteRef/>
      </w:r>
      <w:r w:rsidRPr="00CE0303">
        <w:rPr>
          <w:lang w:val="ru-RU"/>
        </w:rPr>
        <w:t xml:space="preserve">  </w:t>
      </w:r>
      <w:r>
        <w:rPr>
          <w:lang w:val="ru-RU"/>
        </w:rPr>
        <w:t>УВН</w:t>
      </w:r>
      <w:r w:rsidRPr="00CE0303">
        <w:rPr>
          <w:lang w:val="ru-RU"/>
        </w:rPr>
        <w:t xml:space="preserve">, </w:t>
      </w:r>
      <w:r>
        <w:rPr>
          <w:lang w:val="ru-RU"/>
        </w:rPr>
        <w:t>пункт</w:t>
      </w:r>
      <w:r w:rsidRPr="00CE0303">
        <w:rPr>
          <w:lang w:val="ru-RU"/>
        </w:rPr>
        <w:t xml:space="preserve"> 28 (</w:t>
      </w:r>
      <w:r w:rsidRPr="00072495">
        <w:t>g</w:t>
      </w:r>
      <w:r w:rsidRPr="00CE0303">
        <w:rPr>
          <w:lang w:val="ru-RU"/>
        </w:rPr>
        <w:t>).</w:t>
      </w:r>
    </w:p>
  </w:footnote>
  <w:footnote w:id="18">
    <w:p w14:paraId="15C2A5BA" w14:textId="20C635F6" w:rsidR="00046C7F" w:rsidRPr="00CE0303" w:rsidRDefault="00046C7F" w:rsidP="00C46B12">
      <w:pPr>
        <w:pStyle w:val="FootnoteText"/>
        <w:rPr>
          <w:lang w:val="ru-RU"/>
        </w:rPr>
      </w:pPr>
      <w:r>
        <w:rPr>
          <w:rStyle w:val="FootnoteReference"/>
        </w:rPr>
        <w:footnoteRef/>
      </w:r>
      <w:r w:rsidRPr="00CE0303">
        <w:rPr>
          <w:lang w:val="ru-RU"/>
        </w:rPr>
        <w:t xml:space="preserve">  </w:t>
      </w:r>
      <w:r>
        <w:rPr>
          <w:lang w:val="ru-RU"/>
        </w:rPr>
        <w:t>УВН</w:t>
      </w:r>
      <w:r w:rsidRPr="00CE0303">
        <w:rPr>
          <w:lang w:val="ru-RU"/>
        </w:rPr>
        <w:t xml:space="preserve">, </w:t>
      </w:r>
      <w:r>
        <w:rPr>
          <w:lang w:val="ru-RU"/>
        </w:rPr>
        <w:t>пункт</w:t>
      </w:r>
      <w:r w:rsidRPr="00CE0303">
        <w:rPr>
          <w:lang w:val="ru-RU"/>
        </w:rPr>
        <w:t xml:space="preserve"> 48 (</w:t>
      </w:r>
      <w:r>
        <w:t>i</w:t>
      </w:r>
      <w:r w:rsidRPr="00CE0303">
        <w:rPr>
          <w:lang w:val="ru-RU"/>
        </w:rPr>
        <w:t>).</w:t>
      </w:r>
    </w:p>
  </w:footnote>
  <w:footnote w:id="19">
    <w:p w14:paraId="675C9953" w14:textId="6B78D257" w:rsidR="00046C7F" w:rsidRPr="00A61AD6" w:rsidRDefault="00046C7F" w:rsidP="00C46B12">
      <w:pPr>
        <w:pStyle w:val="FootnoteText"/>
        <w:rPr>
          <w:lang w:val="ru-RU"/>
        </w:rPr>
      </w:pPr>
      <w:r>
        <w:rPr>
          <w:rStyle w:val="FootnoteReference"/>
        </w:rPr>
        <w:footnoteRef/>
      </w:r>
      <w:r w:rsidRPr="00A61AD6">
        <w:rPr>
          <w:lang w:val="ru-RU"/>
        </w:rPr>
        <w:t xml:space="preserve">  </w:t>
      </w:r>
      <w:r w:rsidRPr="00A61AD6">
        <w:rPr>
          <w:lang w:val="ru-RU"/>
        </w:rPr>
        <w:t>Эта процентная величина основана на бюджетном показателе после пере</w:t>
      </w:r>
      <w:r>
        <w:rPr>
          <w:lang w:val="ru-RU"/>
        </w:rPr>
        <w:t>вода</w:t>
      </w:r>
      <w:r w:rsidRPr="00A61AD6">
        <w:rPr>
          <w:lang w:val="ru-RU"/>
        </w:rPr>
        <w:t xml:space="preserve"> средств </w:t>
      </w:r>
      <w:r>
        <w:rPr>
          <w:lang w:val="ru-RU"/>
        </w:rPr>
        <w:t xml:space="preserve">на нужды </w:t>
      </w:r>
      <w:r w:rsidRPr="00A61AD6">
        <w:rPr>
          <w:lang w:val="ru-RU"/>
        </w:rPr>
        <w:t>ОВН.</w:t>
      </w:r>
    </w:p>
  </w:footnote>
  <w:footnote w:id="20">
    <w:p w14:paraId="6672ED4D" w14:textId="4441C024" w:rsidR="00046C7F" w:rsidRPr="00143318" w:rsidRDefault="00046C7F" w:rsidP="00C46B12">
      <w:pPr>
        <w:spacing w:after="40"/>
        <w:rPr>
          <w:lang w:val="ru-RU"/>
        </w:rPr>
      </w:pPr>
      <w:r w:rsidRPr="002C6407">
        <w:rPr>
          <w:rStyle w:val="FootnoteReference"/>
          <w:sz w:val="16"/>
          <w:szCs w:val="16"/>
        </w:rPr>
        <w:footnoteRef/>
      </w:r>
      <w:r w:rsidRPr="00143318">
        <w:rPr>
          <w:sz w:val="18"/>
          <w:szCs w:val="18"/>
          <w:lang w:val="ru-RU"/>
        </w:rPr>
        <w:t xml:space="preserve">  </w:t>
      </w:r>
      <w:r>
        <w:rPr>
          <w:sz w:val="18"/>
          <w:szCs w:val="18"/>
          <w:lang w:val="ru-RU"/>
        </w:rPr>
        <w:t xml:space="preserve">Расходы в 2019 г. здесь показаны только за период с июля по декабрь 2019 г. </w:t>
      </w:r>
      <w:r w:rsidRPr="00A61AD6">
        <w:rPr>
          <w:sz w:val="18"/>
          <w:szCs w:val="18"/>
          <w:lang w:val="ru-RU"/>
        </w:rPr>
        <w:t>Данные</w:t>
      </w:r>
      <w:r w:rsidRPr="00143318">
        <w:rPr>
          <w:sz w:val="18"/>
          <w:szCs w:val="18"/>
          <w:lang w:val="ru-RU"/>
        </w:rPr>
        <w:t xml:space="preserve"> </w:t>
      </w:r>
      <w:r w:rsidRPr="00A61AD6">
        <w:rPr>
          <w:sz w:val="18"/>
          <w:szCs w:val="18"/>
          <w:lang w:val="ru-RU"/>
        </w:rPr>
        <w:t>в</w:t>
      </w:r>
      <w:r w:rsidRPr="00143318">
        <w:rPr>
          <w:sz w:val="18"/>
          <w:szCs w:val="18"/>
          <w:lang w:val="ru-RU"/>
        </w:rPr>
        <w:t xml:space="preserve"> </w:t>
      </w:r>
      <w:r w:rsidRPr="00A61AD6">
        <w:rPr>
          <w:sz w:val="18"/>
          <w:szCs w:val="18"/>
          <w:lang w:val="ru-RU"/>
        </w:rPr>
        <w:t>тыс</w:t>
      </w:r>
      <w:r w:rsidRPr="00143318">
        <w:rPr>
          <w:sz w:val="18"/>
          <w:szCs w:val="18"/>
          <w:lang w:val="ru-RU"/>
        </w:rPr>
        <w:t xml:space="preserve">. </w:t>
      </w:r>
      <w:r w:rsidRPr="00A61AD6">
        <w:rPr>
          <w:sz w:val="18"/>
          <w:szCs w:val="18"/>
          <w:lang w:val="ru-RU"/>
        </w:rPr>
        <w:t>шв</w:t>
      </w:r>
      <w:r w:rsidRPr="00143318">
        <w:rPr>
          <w:sz w:val="18"/>
          <w:szCs w:val="18"/>
          <w:lang w:val="ru-RU"/>
        </w:rPr>
        <w:t xml:space="preserve">. </w:t>
      </w:r>
      <w:r w:rsidRPr="00A61AD6">
        <w:rPr>
          <w:sz w:val="18"/>
          <w:szCs w:val="18"/>
          <w:lang w:val="ru-RU"/>
        </w:rPr>
        <w:t>франков</w:t>
      </w:r>
      <w:r w:rsidRPr="00143318">
        <w:rPr>
          <w:sz w:val="18"/>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45633" w14:textId="7A1A70A2" w:rsidR="00046C7F" w:rsidRPr="00793E3B" w:rsidRDefault="00046C7F" w:rsidP="00477D6B">
    <w:pPr>
      <w:jc w:val="right"/>
      <w:rPr>
        <w:lang w:val="ru-RU"/>
      </w:rPr>
    </w:pPr>
    <w:r>
      <w:t>WO/PBC/31/5</w:t>
    </w:r>
  </w:p>
  <w:p w14:paraId="018BED26" w14:textId="77777777" w:rsidR="00046C7F" w:rsidRDefault="00046C7F"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3</w:t>
    </w:r>
    <w:r>
      <w:fldChar w:fldCharType="end"/>
    </w:r>
  </w:p>
  <w:p w14:paraId="70157FC7" w14:textId="77777777" w:rsidR="00046C7F" w:rsidRDefault="00046C7F" w:rsidP="00477D6B">
    <w:pPr>
      <w:jc w:val="right"/>
    </w:pPr>
  </w:p>
  <w:p w14:paraId="03D3DF3F" w14:textId="77777777" w:rsidR="00046C7F" w:rsidRDefault="00046C7F"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F1B72" w14:textId="77777777" w:rsidR="00046C7F" w:rsidRPr="00F87303" w:rsidRDefault="00046C7F" w:rsidP="002670C4">
    <w:pPr>
      <w:jc w:val="right"/>
    </w:pPr>
    <w:r>
      <w:t>WO/PBC/28</w:t>
    </w:r>
    <w:r w:rsidRPr="00E204EC">
      <w:t>/</w:t>
    </w:r>
    <w:r>
      <w:t>5</w:t>
    </w:r>
  </w:p>
  <w:p w14:paraId="77ECC72B" w14:textId="77777777" w:rsidR="00046C7F" w:rsidRPr="00E365E6" w:rsidRDefault="00046C7F" w:rsidP="002670C4">
    <w:pPr>
      <w:pStyle w:val="Header"/>
      <w:jc w:val="right"/>
    </w:pPr>
    <w:proofErr w:type="gramStart"/>
    <w:r>
      <w:t>page</w:t>
    </w:r>
    <w:proofErr w:type="gramEnd"/>
    <w:r>
      <w:t xml:space="preserve"> </w:t>
    </w:r>
    <w:r>
      <w:fldChar w:fldCharType="begin"/>
    </w:r>
    <w:r>
      <w:instrText xml:space="preserve"> PAGE   \* MERGEFORMAT </w:instrText>
    </w:r>
    <w:r>
      <w:fldChar w:fldCharType="separate"/>
    </w:r>
    <w:r>
      <w:rPr>
        <w:noProof/>
      </w:rPr>
      <w:t>20</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623F9" w14:textId="77777777" w:rsidR="00046C7F" w:rsidRPr="00F87303" w:rsidRDefault="00046C7F" w:rsidP="002670C4">
    <w:pPr>
      <w:jc w:val="right"/>
    </w:pPr>
    <w:r>
      <w:t>WO/PBC/31/4</w:t>
    </w:r>
  </w:p>
  <w:p w14:paraId="067EE2E0" w14:textId="09771092" w:rsidR="00046C7F" w:rsidRPr="00793E3B" w:rsidRDefault="00046C7F" w:rsidP="002670C4">
    <w:pPr>
      <w:pStyle w:val="Header"/>
      <w:jc w:val="right"/>
      <w:rPr>
        <w:noProof/>
        <w:lang w:val="ru-RU"/>
      </w:rPr>
    </w:pPr>
    <w:r>
      <w:rPr>
        <w:lang w:val="ru-RU"/>
      </w:rPr>
      <w:t>стр.</w:t>
    </w:r>
    <w:r>
      <w:t xml:space="preserve"> </w:t>
    </w:r>
    <w:r>
      <w:fldChar w:fldCharType="begin"/>
    </w:r>
    <w:r>
      <w:instrText xml:space="preserve"> PAGE   \* MERGEFORMAT </w:instrText>
    </w:r>
    <w:r>
      <w:fldChar w:fldCharType="separate"/>
    </w:r>
    <w:r w:rsidR="00AD2CB1">
      <w:rPr>
        <w:noProof/>
      </w:rPr>
      <w:t>18</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42953" w14:textId="77777777" w:rsidR="007F1FAB" w:rsidRDefault="007F1FAB">
    <w:pPr>
      <w:pStyle w:val="Header"/>
      <w:jc w:val="right"/>
    </w:pPr>
    <w:r>
      <w:t>WO/PBC/31/4</w:t>
    </w:r>
  </w:p>
  <w:p w14:paraId="26ECBBA8" w14:textId="678A463C" w:rsidR="007F1FAB" w:rsidRDefault="007F1FAB">
    <w:pPr>
      <w:pStyle w:val="Header"/>
      <w:jc w:val="right"/>
    </w:pPr>
    <w:proofErr w:type="gramStart"/>
    <w:r>
      <w:t>стр</w:t>
    </w:r>
    <w:proofErr w:type="gramEnd"/>
    <w:r>
      <w:t>.</w:t>
    </w:r>
    <w:r>
      <w:rPr>
        <w:lang w:val="ru-RU"/>
      </w:rPr>
      <w:t xml:space="preserve"> </w:t>
    </w:r>
    <w:sdt>
      <w:sdtPr>
        <w:id w:val="-5576236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D2CB1">
          <w:rPr>
            <w:noProof/>
          </w:rPr>
          <w:t>2</w:t>
        </w:r>
        <w:r>
          <w:rPr>
            <w:noProof/>
          </w:rPr>
          <w:fldChar w:fldCharType="end"/>
        </w:r>
      </w:sdtContent>
    </w:sdt>
  </w:p>
  <w:p w14:paraId="1A748BFD" w14:textId="702A6EE2" w:rsidR="00046C7F" w:rsidRPr="00840B90" w:rsidRDefault="00046C7F" w:rsidP="00793E3B">
    <w:pPr>
      <w:pStyle w:val="Header"/>
      <w:rPr>
        <w:lang w:val="ru-RU"/>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63E95" w14:textId="77777777" w:rsidR="00046C7F" w:rsidRDefault="00046C7F" w:rsidP="00477D6B">
    <w:pPr>
      <w:jc w:val="right"/>
    </w:pPr>
    <w:bookmarkStart w:id="65" w:name="Code2"/>
    <w:bookmarkEnd w:id="65"/>
    <w:r>
      <w:t>WO/GA/52/4WO/PBC/31/</w:t>
    </w:r>
  </w:p>
  <w:p w14:paraId="365BAAC1" w14:textId="77777777" w:rsidR="00046C7F" w:rsidRDefault="00046C7F"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20</w:t>
    </w:r>
    <w:r>
      <w:fldChar w:fldCharType="end"/>
    </w:r>
  </w:p>
  <w:p w14:paraId="75B272AB" w14:textId="77777777" w:rsidR="00046C7F" w:rsidRDefault="00046C7F" w:rsidP="00477D6B">
    <w:pPr>
      <w:jc w:val="right"/>
    </w:pPr>
  </w:p>
  <w:p w14:paraId="59E6120A" w14:textId="77777777" w:rsidR="00046C7F" w:rsidRDefault="00046C7F"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A469F" w14:textId="77777777" w:rsidR="007F1FAB" w:rsidRDefault="007F1FAB">
    <w:pPr>
      <w:pStyle w:val="Header"/>
      <w:jc w:val="right"/>
    </w:pPr>
    <w:r>
      <w:t>WO/PBC/31/4</w:t>
    </w:r>
  </w:p>
  <w:p w14:paraId="24144351" w14:textId="2533141B" w:rsidR="007F1FAB" w:rsidRPr="007F1FAB" w:rsidRDefault="007F1FAB">
    <w:pPr>
      <w:pStyle w:val="Header"/>
      <w:jc w:val="right"/>
      <w:rPr>
        <w:lang w:val="ru-RU"/>
      </w:rPr>
    </w:pPr>
    <w:r>
      <w:rPr>
        <w:lang w:val="ru-RU"/>
      </w:rPr>
      <w:t>ПРИЛОЖЕНИЕ</w:t>
    </w:r>
  </w:p>
  <w:p w14:paraId="38673026" w14:textId="77777777" w:rsidR="007F1FAB" w:rsidRPr="00840B90" w:rsidRDefault="007F1FAB" w:rsidP="00793E3B">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29EED31C"/>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07"/>
        </w:tabs>
        <w:ind w:left="540"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186B35"/>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D486423"/>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61423AA"/>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6"/>
  </w:num>
  <w:num w:numId="9">
    <w:abstractNumId w:val="2"/>
  </w:num>
  <w:num w:numId="10">
    <w:abstractNumId w:val="4"/>
  </w:num>
  <w:num w:numId="11">
    <w:abstractNumId w:val="1"/>
  </w:num>
  <w:num w:numId="1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ru-RU" w:vendorID="64" w:dllVersion="0" w:nlCheck="1" w:checkStyle="0"/>
  <w:activeWritingStyle w:appName="MSWord" w:lang="ru-RU" w:vendorID="64" w:dllVersion="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97"/>
    <w:rsid w:val="00003341"/>
    <w:rsid w:val="00004205"/>
    <w:rsid w:val="00007C8D"/>
    <w:rsid w:val="00012A0C"/>
    <w:rsid w:val="0001407C"/>
    <w:rsid w:val="00017479"/>
    <w:rsid w:val="000259B5"/>
    <w:rsid w:val="000269CE"/>
    <w:rsid w:val="00027788"/>
    <w:rsid w:val="00037140"/>
    <w:rsid w:val="0003750A"/>
    <w:rsid w:val="00043CAA"/>
    <w:rsid w:val="000449A2"/>
    <w:rsid w:val="00046C7F"/>
    <w:rsid w:val="00050B9C"/>
    <w:rsid w:val="00053BE8"/>
    <w:rsid w:val="00056816"/>
    <w:rsid w:val="000649AF"/>
    <w:rsid w:val="00066818"/>
    <w:rsid w:val="00067B6A"/>
    <w:rsid w:val="00070BF1"/>
    <w:rsid w:val="00074608"/>
    <w:rsid w:val="000746B5"/>
    <w:rsid w:val="00075432"/>
    <w:rsid w:val="00083433"/>
    <w:rsid w:val="00087F87"/>
    <w:rsid w:val="000920C6"/>
    <w:rsid w:val="00094B31"/>
    <w:rsid w:val="000968ED"/>
    <w:rsid w:val="000A003F"/>
    <w:rsid w:val="000A07F8"/>
    <w:rsid w:val="000A2877"/>
    <w:rsid w:val="000A3D97"/>
    <w:rsid w:val="000A7A2D"/>
    <w:rsid w:val="000D1D94"/>
    <w:rsid w:val="000D7F45"/>
    <w:rsid w:val="000E0DDF"/>
    <w:rsid w:val="000E1DB8"/>
    <w:rsid w:val="000E2BF2"/>
    <w:rsid w:val="000E41A5"/>
    <w:rsid w:val="000F5E56"/>
    <w:rsid w:val="000F6132"/>
    <w:rsid w:val="000F7A31"/>
    <w:rsid w:val="00104BDC"/>
    <w:rsid w:val="001052E2"/>
    <w:rsid w:val="001151B7"/>
    <w:rsid w:val="001160CB"/>
    <w:rsid w:val="001317B1"/>
    <w:rsid w:val="00131D66"/>
    <w:rsid w:val="001362EE"/>
    <w:rsid w:val="00143318"/>
    <w:rsid w:val="0014654C"/>
    <w:rsid w:val="001542CE"/>
    <w:rsid w:val="00155D73"/>
    <w:rsid w:val="001635B5"/>
    <w:rsid w:val="001643D3"/>
    <w:rsid w:val="00164401"/>
    <w:rsid w:val="001647D5"/>
    <w:rsid w:val="00171C76"/>
    <w:rsid w:val="001750C8"/>
    <w:rsid w:val="00181C92"/>
    <w:rsid w:val="001832A6"/>
    <w:rsid w:val="00191379"/>
    <w:rsid w:val="00193A11"/>
    <w:rsid w:val="001952B7"/>
    <w:rsid w:val="00196CD2"/>
    <w:rsid w:val="001B343A"/>
    <w:rsid w:val="001C0E37"/>
    <w:rsid w:val="001C123D"/>
    <w:rsid w:val="001C6CA4"/>
    <w:rsid w:val="001D4107"/>
    <w:rsid w:val="001E003B"/>
    <w:rsid w:val="001F21C8"/>
    <w:rsid w:val="00203D24"/>
    <w:rsid w:val="0021217E"/>
    <w:rsid w:val="00213D21"/>
    <w:rsid w:val="00217391"/>
    <w:rsid w:val="00224AED"/>
    <w:rsid w:val="0023270A"/>
    <w:rsid w:val="002415DC"/>
    <w:rsid w:val="00243430"/>
    <w:rsid w:val="00243DD8"/>
    <w:rsid w:val="002446E9"/>
    <w:rsid w:val="00247252"/>
    <w:rsid w:val="0025359D"/>
    <w:rsid w:val="00255686"/>
    <w:rsid w:val="00256FF6"/>
    <w:rsid w:val="00257602"/>
    <w:rsid w:val="002630EC"/>
    <w:rsid w:val="002634C4"/>
    <w:rsid w:val="002654AF"/>
    <w:rsid w:val="00265CB7"/>
    <w:rsid w:val="002670C4"/>
    <w:rsid w:val="002717D1"/>
    <w:rsid w:val="00284537"/>
    <w:rsid w:val="0028603B"/>
    <w:rsid w:val="0028626A"/>
    <w:rsid w:val="00286DAC"/>
    <w:rsid w:val="0029118F"/>
    <w:rsid w:val="002928D3"/>
    <w:rsid w:val="00292F87"/>
    <w:rsid w:val="002A1916"/>
    <w:rsid w:val="002B1DD2"/>
    <w:rsid w:val="002C1C90"/>
    <w:rsid w:val="002C23BF"/>
    <w:rsid w:val="002C485D"/>
    <w:rsid w:val="002E1846"/>
    <w:rsid w:val="002E3A72"/>
    <w:rsid w:val="002F1FE6"/>
    <w:rsid w:val="002F4E68"/>
    <w:rsid w:val="002F5D8D"/>
    <w:rsid w:val="0030012B"/>
    <w:rsid w:val="0031229D"/>
    <w:rsid w:val="00312F7F"/>
    <w:rsid w:val="00314917"/>
    <w:rsid w:val="00326E2A"/>
    <w:rsid w:val="003453CA"/>
    <w:rsid w:val="00347735"/>
    <w:rsid w:val="00350525"/>
    <w:rsid w:val="00350BCB"/>
    <w:rsid w:val="00361450"/>
    <w:rsid w:val="003616EC"/>
    <w:rsid w:val="003673CF"/>
    <w:rsid w:val="003714D6"/>
    <w:rsid w:val="0037708F"/>
    <w:rsid w:val="0038146E"/>
    <w:rsid w:val="003821DD"/>
    <w:rsid w:val="003845C1"/>
    <w:rsid w:val="00392CEA"/>
    <w:rsid w:val="0039415E"/>
    <w:rsid w:val="0039651E"/>
    <w:rsid w:val="003A0FE0"/>
    <w:rsid w:val="003A6F89"/>
    <w:rsid w:val="003B0312"/>
    <w:rsid w:val="003B38C1"/>
    <w:rsid w:val="003B545B"/>
    <w:rsid w:val="003C34E9"/>
    <w:rsid w:val="003C526E"/>
    <w:rsid w:val="003C5909"/>
    <w:rsid w:val="003F602D"/>
    <w:rsid w:val="003F6C0B"/>
    <w:rsid w:val="003F7CC2"/>
    <w:rsid w:val="00402468"/>
    <w:rsid w:val="00412F47"/>
    <w:rsid w:val="00423E3E"/>
    <w:rsid w:val="00427AF4"/>
    <w:rsid w:val="00431669"/>
    <w:rsid w:val="00450494"/>
    <w:rsid w:val="0045409D"/>
    <w:rsid w:val="00454D28"/>
    <w:rsid w:val="004647DA"/>
    <w:rsid w:val="0047206B"/>
    <w:rsid w:val="00474062"/>
    <w:rsid w:val="00475956"/>
    <w:rsid w:val="00477CDB"/>
    <w:rsid w:val="00477D6B"/>
    <w:rsid w:val="00487317"/>
    <w:rsid w:val="0049212C"/>
    <w:rsid w:val="0049526D"/>
    <w:rsid w:val="004B0799"/>
    <w:rsid w:val="004B0B41"/>
    <w:rsid w:val="004B0E9D"/>
    <w:rsid w:val="004B5CF4"/>
    <w:rsid w:val="004D2AF2"/>
    <w:rsid w:val="004D2C1E"/>
    <w:rsid w:val="005019FF"/>
    <w:rsid w:val="0050351D"/>
    <w:rsid w:val="00511711"/>
    <w:rsid w:val="005120F1"/>
    <w:rsid w:val="0051368E"/>
    <w:rsid w:val="005214D5"/>
    <w:rsid w:val="00526790"/>
    <w:rsid w:val="00527841"/>
    <w:rsid w:val="0053057A"/>
    <w:rsid w:val="00531A5E"/>
    <w:rsid w:val="005361A2"/>
    <w:rsid w:val="005370EC"/>
    <w:rsid w:val="005463D1"/>
    <w:rsid w:val="00547A64"/>
    <w:rsid w:val="00552A6D"/>
    <w:rsid w:val="00556076"/>
    <w:rsid w:val="00560A29"/>
    <w:rsid w:val="00567C6A"/>
    <w:rsid w:val="00571086"/>
    <w:rsid w:val="00582C73"/>
    <w:rsid w:val="00592A69"/>
    <w:rsid w:val="005A291B"/>
    <w:rsid w:val="005A6146"/>
    <w:rsid w:val="005B12AC"/>
    <w:rsid w:val="005C6649"/>
    <w:rsid w:val="005C77AE"/>
    <w:rsid w:val="005D13DE"/>
    <w:rsid w:val="005D197F"/>
    <w:rsid w:val="005D7110"/>
    <w:rsid w:val="005E27B1"/>
    <w:rsid w:val="0060323E"/>
    <w:rsid w:val="00605827"/>
    <w:rsid w:val="00610A13"/>
    <w:rsid w:val="00614FCE"/>
    <w:rsid w:val="006159AB"/>
    <w:rsid w:val="00620A74"/>
    <w:rsid w:val="00620FF9"/>
    <w:rsid w:val="006268E6"/>
    <w:rsid w:val="0063583F"/>
    <w:rsid w:val="0064063E"/>
    <w:rsid w:val="00642BF8"/>
    <w:rsid w:val="00642F0F"/>
    <w:rsid w:val="00646050"/>
    <w:rsid w:val="00646244"/>
    <w:rsid w:val="0064656B"/>
    <w:rsid w:val="00650E6D"/>
    <w:rsid w:val="00652BD9"/>
    <w:rsid w:val="00655B44"/>
    <w:rsid w:val="00656546"/>
    <w:rsid w:val="0066090A"/>
    <w:rsid w:val="00660F45"/>
    <w:rsid w:val="006713CA"/>
    <w:rsid w:val="00676C5C"/>
    <w:rsid w:val="006775E3"/>
    <w:rsid w:val="00682FAF"/>
    <w:rsid w:val="0068488E"/>
    <w:rsid w:val="00684D26"/>
    <w:rsid w:val="006876B9"/>
    <w:rsid w:val="006918F6"/>
    <w:rsid w:val="006955C9"/>
    <w:rsid w:val="00696001"/>
    <w:rsid w:val="006961B9"/>
    <w:rsid w:val="00697F4C"/>
    <w:rsid w:val="006B108F"/>
    <w:rsid w:val="006B1846"/>
    <w:rsid w:val="006B41F2"/>
    <w:rsid w:val="006B5E74"/>
    <w:rsid w:val="006B7E80"/>
    <w:rsid w:val="006C4A8E"/>
    <w:rsid w:val="006C6F42"/>
    <w:rsid w:val="006D55AC"/>
    <w:rsid w:val="006F02D3"/>
    <w:rsid w:val="007001E2"/>
    <w:rsid w:val="00700FA0"/>
    <w:rsid w:val="00710BBE"/>
    <w:rsid w:val="0071590C"/>
    <w:rsid w:val="00720EFD"/>
    <w:rsid w:val="00721FE7"/>
    <w:rsid w:val="0072225C"/>
    <w:rsid w:val="00724AC0"/>
    <w:rsid w:val="007257B5"/>
    <w:rsid w:val="007271E8"/>
    <w:rsid w:val="007305B0"/>
    <w:rsid w:val="00736FE9"/>
    <w:rsid w:val="007470B1"/>
    <w:rsid w:val="0076638D"/>
    <w:rsid w:val="00771DA7"/>
    <w:rsid w:val="00772DD9"/>
    <w:rsid w:val="00793476"/>
    <w:rsid w:val="00793A7C"/>
    <w:rsid w:val="00793E3B"/>
    <w:rsid w:val="007A398A"/>
    <w:rsid w:val="007B4FA8"/>
    <w:rsid w:val="007B5CF7"/>
    <w:rsid w:val="007B7E12"/>
    <w:rsid w:val="007C2EFC"/>
    <w:rsid w:val="007C3096"/>
    <w:rsid w:val="007D0739"/>
    <w:rsid w:val="007D131F"/>
    <w:rsid w:val="007D1432"/>
    <w:rsid w:val="007D1613"/>
    <w:rsid w:val="007D44F7"/>
    <w:rsid w:val="007E4C0E"/>
    <w:rsid w:val="007E5351"/>
    <w:rsid w:val="007E72F5"/>
    <w:rsid w:val="007F1FAB"/>
    <w:rsid w:val="00800748"/>
    <w:rsid w:val="00805BD5"/>
    <w:rsid w:val="0082437A"/>
    <w:rsid w:val="00831998"/>
    <w:rsid w:val="00835857"/>
    <w:rsid w:val="00835E02"/>
    <w:rsid w:val="00840B90"/>
    <w:rsid w:val="00841A9C"/>
    <w:rsid w:val="00850193"/>
    <w:rsid w:val="00851BE5"/>
    <w:rsid w:val="00852119"/>
    <w:rsid w:val="0085356D"/>
    <w:rsid w:val="00857006"/>
    <w:rsid w:val="00863C7B"/>
    <w:rsid w:val="008657A1"/>
    <w:rsid w:val="00865FD8"/>
    <w:rsid w:val="00874BB8"/>
    <w:rsid w:val="00874EB5"/>
    <w:rsid w:val="00875495"/>
    <w:rsid w:val="00875BE6"/>
    <w:rsid w:val="008936EE"/>
    <w:rsid w:val="008A0104"/>
    <w:rsid w:val="008A134B"/>
    <w:rsid w:val="008A65EC"/>
    <w:rsid w:val="008B04A1"/>
    <w:rsid w:val="008B2CC1"/>
    <w:rsid w:val="008B60B2"/>
    <w:rsid w:val="008C784C"/>
    <w:rsid w:val="008D2128"/>
    <w:rsid w:val="008D2FE8"/>
    <w:rsid w:val="008D6E1E"/>
    <w:rsid w:val="008E0230"/>
    <w:rsid w:val="008E49F1"/>
    <w:rsid w:val="008F70F3"/>
    <w:rsid w:val="008F7571"/>
    <w:rsid w:val="00902985"/>
    <w:rsid w:val="00904446"/>
    <w:rsid w:val="0090731E"/>
    <w:rsid w:val="00916EE2"/>
    <w:rsid w:val="00925276"/>
    <w:rsid w:val="0093250A"/>
    <w:rsid w:val="00934AA0"/>
    <w:rsid w:val="0093644C"/>
    <w:rsid w:val="00940C6B"/>
    <w:rsid w:val="00940E3D"/>
    <w:rsid w:val="00942D74"/>
    <w:rsid w:val="0094451C"/>
    <w:rsid w:val="0094491F"/>
    <w:rsid w:val="0094679E"/>
    <w:rsid w:val="0095085A"/>
    <w:rsid w:val="00951CE5"/>
    <w:rsid w:val="00953533"/>
    <w:rsid w:val="009651CC"/>
    <w:rsid w:val="00966A22"/>
    <w:rsid w:val="0096722F"/>
    <w:rsid w:val="00974162"/>
    <w:rsid w:val="00980843"/>
    <w:rsid w:val="00982C02"/>
    <w:rsid w:val="009A1BB2"/>
    <w:rsid w:val="009B35A7"/>
    <w:rsid w:val="009C27E1"/>
    <w:rsid w:val="009D1DB4"/>
    <w:rsid w:val="009D49E5"/>
    <w:rsid w:val="009D5455"/>
    <w:rsid w:val="009E1ABB"/>
    <w:rsid w:val="009E2791"/>
    <w:rsid w:val="009E3F6F"/>
    <w:rsid w:val="009F4424"/>
    <w:rsid w:val="009F499F"/>
    <w:rsid w:val="00A13D9E"/>
    <w:rsid w:val="00A14287"/>
    <w:rsid w:val="00A31997"/>
    <w:rsid w:val="00A372C6"/>
    <w:rsid w:val="00A37342"/>
    <w:rsid w:val="00A40699"/>
    <w:rsid w:val="00A42DAF"/>
    <w:rsid w:val="00A45BD8"/>
    <w:rsid w:val="00A47A46"/>
    <w:rsid w:val="00A54660"/>
    <w:rsid w:val="00A55DFF"/>
    <w:rsid w:val="00A56BDE"/>
    <w:rsid w:val="00A61861"/>
    <w:rsid w:val="00A61AD6"/>
    <w:rsid w:val="00A61DF8"/>
    <w:rsid w:val="00A66032"/>
    <w:rsid w:val="00A739FE"/>
    <w:rsid w:val="00A83C19"/>
    <w:rsid w:val="00A8602C"/>
    <w:rsid w:val="00A869B7"/>
    <w:rsid w:val="00A87B1C"/>
    <w:rsid w:val="00A87B76"/>
    <w:rsid w:val="00A942E3"/>
    <w:rsid w:val="00A95924"/>
    <w:rsid w:val="00AB58BA"/>
    <w:rsid w:val="00AC205C"/>
    <w:rsid w:val="00AC2FB1"/>
    <w:rsid w:val="00AC3480"/>
    <w:rsid w:val="00AC38B6"/>
    <w:rsid w:val="00AD2CB1"/>
    <w:rsid w:val="00AD5C7E"/>
    <w:rsid w:val="00AD73BB"/>
    <w:rsid w:val="00AF0A6B"/>
    <w:rsid w:val="00B05A69"/>
    <w:rsid w:val="00B11BEF"/>
    <w:rsid w:val="00B13575"/>
    <w:rsid w:val="00B15707"/>
    <w:rsid w:val="00B15935"/>
    <w:rsid w:val="00B16E03"/>
    <w:rsid w:val="00B17D9C"/>
    <w:rsid w:val="00B2412F"/>
    <w:rsid w:val="00B250D0"/>
    <w:rsid w:val="00B2634B"/>
    <w:rsid w:val="00B26F18"/>
    <w:rsid w:val="00B3286D"/>
    <w:rsid w:val="00B409E9"/>
    <w:rsid w:val="00B55958"/>
    <w:rsid w:val="00B601F0"/>
    <w:rsid w:val="00B67F6E"/>
    <w:rsid w:val="00B7018C"/>
    <w:rsid w:val="00B7173D"/>
    <w:rsid w:val="00B75269"/>
    <w:rsid w:val="00B75281"/>
    <w:rsid w:val="00B76083"/>
    <w:rsid w:val="00B8093E"/>
    <w:rsid w:val="00B86A2F"/>
    <w:rsid w:val="00B92F1F"/>
    <w:rsid w:val="00B9734B"/>
    <w:rsid w:val="00BA30E2"/>
    <w:rsid w:val="00BB11D9"/>
    <w:rsid w:val="00BB237F"/>
    <w:rsid w:val="00BB5A5A"/>
    <w:rsid w:val="00BB6DFC"/>
    <w:rsid w:val="00BD43A2"/>
    <w:rsid w:val="00BF16F0"/>
    <w:rsid w:val="00BF1D4E"/>
    <w:rsid w:val="00C0041B"/>
    <w:rsid w:val="00C10FA7"/>
    <w:rsid w:val="00C11BFE"/>
    <w:rsid w:val="00C17C52"/>
    <w:rsid w:val="00C25618"/>
    <w:rsid w:val="00C274D7"/>
    <w:rsid w:val="00C3033F"/>
    <w:rsid w:val="00C307A5"/>
    <w:rsid w:val="00C35620"/>
    <w:rsid w:val="00C43C60"/>
    <w:rsid w:val="00C44E81"/>
    <w:rsid w:val="00C46B12"/>
    <w:rsid w:val="00C5068F"/>
    <w:rsid w:val="00C558D0"/>
    <w:rsid w:val="00C61062"/>
    <w:rsid w:val="00C64AF6"/>
    <w:rsid w:val="00C752E4"/>
    <w:rsid w:val="00C844BE"/>
    <w:rsid w:val="00C84D33"/>
    <w:rsid w:val="00C86D74"/>
    <w:rsid w:val="00C94A70"/>
    <w:rsid w:val="00C95197"/>
    <w:rsid w:val="00C96AD0"/>
    <w:rsid w:val="00C96BC5"/>
    <w:rsid w:val="00C97185"/>
    <w:rsid w:val="00CA3BE7"/>
    <w:rsid w:val="00CA69D4"/>
    <w:rsid w:val="00CB3542"/>
    <w:rsid w:val="00CC0241"/>
    <w:rsid w:val="00CC17EC"/>
    <w:rsid w:val="00CC6D3E"/>
    <w:rsid w:val="00CD04F1"/>
    <w:rsid w:val="00CD624E"/>
    <w:rsid w:val="00CE0303"/>
    <w:rsid w:val="00CF5EDD"/>
    <w:rsid w:val="00CF681A"/>
    <w:rsid w:val="00D01054"/>
    <w:rsid w:val="00D03EA0"/>
    <w:rsid w:val="00D058A9"/>
    <w:rsid w:val="00D073A1"/>
    <w:rsid w:val="00D07C78"/>
    <w:rsid w:val="00D25480"/>
    <w:rsid w:val="00D32887"/>
    <w:rsid w:val="00D351C7"/>
    <w:rsid w:val="00D45252"/>
    <w:rsid w:val="00D4733C"/>
    <w:rsid w:val="00D47FE4"/>
    <w:rsid w:val="00D536FD"/>
    <w:rsid w:val="00D6001A"/>
    <w:rsid w:val="00D6115A"/>
    <w:rsid w:val="00D67501"/>
    <w:rsid w:val="00D71B4D"/>
    <w:rsid w:val="00D93D55"/>
    <w:rsid w:val="00D953CD"/>
    <w:rsid w:val="00D96D6A"/>
    <w:rsid w:val="00DA56C7"/>
    <w:rsid w:val="00DB5A51"/>
    <w:rsid w:val="00DB6BA7"/>
    <w:rsid w:val="00DC0370"/>
    <w:rsid w:val="00DC13DA"/>
    <w:rsid w:val="00DC7B07"/>
    <w:rsid w:val="00DD1B5C"/>
    <w:rsid w:val="00DD3E97"/>
    <w:rsid w:val="00DD6B0E"/>
    <w:rsid w:val="00DD7B7F"/>
    <w:rsid w:val="00DE3E0C"/>
    <w:rsid w:val="00DE7DA7"/>
    <w:rsid w:val="00DF1EAA"/>
    <w:rsid w:val="00DF4AF1"/>
    <w:rsid w:val="00E0083A"/>
    <w:rsid w:val="00E14D25"/>
    <w:rsid w:val="00E15015"/>
    <w:rsid w:val="00E335FE"/>
    <w:rsid w:val="00E37665"/>
    <w:rsid w:val="00E50A30"/>
    <w:rsid w:val="00E51F5D"/>
    <w:rsid w:val="00E60513"/>
    <w:rsid w:val="00E65304"/>
    <w:rsid w:val="00E74A3E"/>
    <w:rsid w:val="00EA2BCB"/>
    <w:rsid w:val="00EA6140"/>
    <w:rsid w:val="00EA7AA8"/>
    <w:rsid w:val="00EA7D6E"/>
    <w:rsid w:val="00EB2F76"/>
    <w:rsid w:val="00EC4E49"/>
    <w:rsid w:val="00EC61F1"/>
    <w:rsid w:val="00EC7735"/>
    <w:rsid w:val="00ED3A15"/>
    <w:rsid w:val="00ED77FB"/>
    <w:rsid w:val="00EE1BD2"/>
    <w:rsid w:val="00EE45FA"/>
    <w:rsid w:val="00EE53F8"/>
    <w:rsid w:val="00EF06A7"/>
    <w:rsid w:val="00F01160"/>
    <w:rsid w:val="00F043DE"/>
    <w:rsid w:val="00F062F0"/>
    <w:rsid w:val="00F217CC"/>
    <w:rsid w:val="00F45565"/>
    <w:rsid w:val="00F464B6"/>
    <w:rsid w:val="00F46A11"/>
    <w:rsid w:val="00F504CE"/>
    <w:rsid w:val="00F5545A"/>
    <w:rsid w:val="00F620D5"/>
    <w:rsid w:val="00F657DF"/>
    <w:rsid w:val="00F65CF1"/>
    <w:rsid w:val="00F66152"/>
    <w:rsid w:val="00F736B0"/>
    <w:rsid w:val="00F75110"/>
    <w:rsid w:val="00F82253"/>
    <w:rsid w:val="00F87F84"/>
    <w:rsid w:val="00F907C7"/>
    <w:rsid w:val="00F9165B"/>
    <w:rsid w:val="00F953FF"/>
    <w:rsid w:val="00FB001C"/>
    <w:rsid w:val="00FB3E47"/>
    <w:rsid w:val="00FB4EB8"/>
    <w:rsid w:val="00FC7E97"/>
    <w:rsid w:val="00FD0C02"/>
    <w:rsid w:val="00FE4AB7"/>
    <w:rsid w:val="00FF003D"/>
    <w:rsid w:val="00FF11B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9562C8D"/>
  <w15:docId w15:val="{994A53AD-4999-4D92-A042-54AFF6C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C46B12"/>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link w:val="CaptionChar"/>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uiPriority w:val="99"/>
    <w:qFormat/>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nhideWhenUsed/>
    <w:rsid w:val="006961B9"/>
    <w:rPr>
      <w:rFonts w:ascii="Segoe UI" w:hAnsi="Segoe UI" w:cs="Segoe UI"/>
      <w:sz w:val="18"/>
      <w:szCs w:val="18"/>
    </w:rPr>
  </w:style>
  <w:style w:type="character" w:customStyle="1" w:styleId="BalloonTextChar">
    <w:name w:val="Balloon Text Char"/>
    <w:basedOn w:val="DefaultParagraphFont"/>
    <w:link w:val="BalloonText"/>
    <w:rsid w:val="006961B9"/>
    <w:rPr>
      <w:rFonts w:ascii="Segoe UI" w:eastAsia="SimSun" w:hAnsi="Segoe UI" w:cs="Segoe UI"/>
      <w:sz w:val="18"/>
      <w:szCs w:val="18"/>
      <w:lang w:val="en-US" w:eastAsia="zh-CN"/>
    </w:rPr>
  </w:style>
  <w:style w:type="character" w:customStyle="1" w:styleId="ONUMEChar">
    <w:name w:val="ONUM E Char"/>
    <w:link w:val="ONUME"/>
    <w:locked/>
    <w:rsid w:val="00FC7E97"/>
    <w:rPr>
      <w:rFonts w:ascii="Arial" w:eastAsia="SimSun" w:hAnsi="Arial" w:cs="Arial"/>
      <w:sz w:val="22"/>
      <w:lang w:val="en-US" w:eastAsia="zh-CN"/>
    </w:rPr>
  </w:style>
  <w:style w:type="character" w:customStyle="1" w:styleId="Heading5Char">
    <w:name w:val="Heading 5 Char"/>
    <w:basedOn w:val="DefaultParagraphFont"/>
    <w:link w:val="Heading5"/>
    <w:rsid w:val="00C46B12"/>
    <w:rPr>
      <w:rFonts w:ascii="Arial" w:eastAsiaTheme="majorEastAsia" w:hAnsi="Arial" w:cstheme="majorBidi"/>
      <w:i/>
      <w:sz w:val="22"/>
      <w:lang w:val="en-US" w:eastAsia="zh-CN"/>
    </w:rPr>
  </w:style>
  <w:style w:type="character" w:customStyle="1" w:styleId="Heading2Char">
    <w:name w:val="Heading 2 Char"/>
    <w:link w:val="Heading2"/>
    <w:locked/>
    <w:rsid w:val="00C46B12"/>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C46B12"/>
    <w:rPr>
      <w:rFonts w:ascii="Arial" w:eastAsia="SimSun" w:hAnsi="Arial" w:cs="Arial"/>
      <w:sz w:val="22"/>
      <w:lang w:val="en-US" w:eastAsia="zh-CN"/>
    </w:rPr>
  </w:style>
  <w:style w:type="character" w:customStyle="1" w:styleId="CaptionChar">
    <w:name w:val="Caption Char"/>
    <w:basedOn w:val="DefaultParagraphFont"/>
    <w:link w:val="Caption"/>
    <w:rsid w:val="00C46B12"/>
    <w:rPr>
      <w:rFonts w:ascii="Arial" w:eastAsia="SimSun" w:hAnsi="Arial" w:cs="Arial"/>
      <w:b/>
      <w:bCs/>
      <w:sz w:val="18"/>
      <w:lang w:val="en-US" w:eastAsia="zh-CN"/>
    </w:rPr>
  </w:style>
  <w:style w:type="character" w:customStyle="1" w:styleId="CommentTextChar">
    <w:name w:val="Comment Text Char"/>
    <w:basedOn w:val="DefaultParagraphFont"/>
    <w:semiHidden/>
    <w:rsid w:val="00C46B12"/>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C46B12"/>
    <w:rPr>
      <w:rFonts w:ascii="Arial" w:eastAsia="SimSun" w:hAnsi="Arial" w:cs="Arial"/>
      <w:sz w:val="18"/>
      <w:lang w:val="en-US"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uiPriority w:val="99"/>
    <w:locked/>
    <w:rsid w:val="00C46B12"/>
    <w:rPr>
      <w:rFonts w:ascii="Arial" w:eastAsia="SimSun" w:hAnsi="Arial" w:cs="Arial"/>
      <w:sz w:val="18"/>
      <w:lang w:val="en-US" w:eastAsia="zh-CN"/>
    </w:rPr>
  </w:style>
  <w:style w:type="character" w:customStyle="1" w:styleId="HeaderChar">
    <w:name w:val="Header Char"/>
    <w:link w:val="Header"/>
    <w:uiPriority w:val="99"/>
    <w:locked/>
    <w:rsid w:val="00C46B12"/>
    <w:rPr>
      <w:rFonts w:ascii="Arial" w:eastAsia="SimSun" w:hAnsi="Arial" w:cs="Arial"/>
      <w:sz w:val="22"/>
      <w:lang w:val="en-US" w:eastAsia="zh-CN"/>
    </w:rPr>
  </w:style>
  <w:style w:type="paragraph" w:styleId="NoSpacing">
    <w:name w:val="No Spacing"/>
    <w:uiPriority w:val="1"/>
    <w:qFormat/>
    <w:rsid w:val="00C46B12"/>
    <w:rPr>
      <w:rFonts w:ascii="Arial" w:eastAsia="SimSun" w:hAnsi="Arial" w:cs="Arial"/>
      <w:sz w:val="22"/>
      <w:lang w:val="en-US" w:eastAsia="zh-CN"/>
    </w:rPr>
  </w:style>
  <w:style w:type="paragraph" w:styleId="TOC1">
    <w:name w:val="toc 1"/>
    <w:basedOn w:val="Normal"/>
    <w:next w:val="Normal"/>
    <w:autoRedefine/>
    <w:uiPriority w:val="39"/>
    <w:qFormat/>
    <w:rsid w:val="00C46B12"/>
    <w:pPr>
      <w:tabs>
        <w:tab w:val="left" w:pos="440"/>
        <w:tab w:val="right" w:leader="dot" w:pos="9345"/>
      </w:tabs>
      <w:spacing w:before="240" w:after="240"/>
    </w:pPr>
  </w:style>
  <w:style w:type="character" w:styleId="Hyperlink">
    <w:name w:val="Hyperlink"/>
    <w:basedOn w:val="DefaultParagraphFont"/>
    <w:uiPriority w:val="99"/>
    <w:rsid w:val="00C46B12"/>
    <w:rPr>
      <w:rFonts w:cs="Times New Roman"/>
      <w:color w:val="0000FF"/>
      <w:u w:val="single"/>
    </w:rPr>
  </w:style>
  <w:style w:type="table" w:styleId="TableGrid">
    <w:name w:val="Table Grid"/>
    <w:basedOn w:val="TableNormal"/>
    <w:uiPriority w:val="59"/>
    <w:rsid w:val="00C46B12"/>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
    <w:basedOn w:val="DefaultParagraphFont"/>
    <w:link w:val="BVIfnrTegnCharTegnChar"/>
    <w:uiPriority w:val="99"/>
    <w:qFormat/>
    <w:rsid w:val="00C46B12"/>
    <w:rPr>
      <w:vertAlign w:val="superscript"/>
    </w:rPr>
  </w:style>
  <w:style w:type="paragraph" w:styleId="PlainText">
    <w:name w:val="Plain Text"/>
    <w:basedOn w:val="Normal"/>
    <w:link w:val="PlainTextChar"/>
    <w:uiPriority w:val="99"/>
    <w:rsid w:val="00C46B12"/>
    <w:rPr>
      <w:rFonts w:ascii="Courier New" w:hAnsi="Courier New" w:cs="Courier New"/>
      <w:sz w:val="20"/>
    </w:rPr>
  </w:style>
  <w:style w:type="character" w:customStyle="1" w:styleId="PlainTextChar">
    <w:name w:val="Plain Text Char"/>
    <w:basedOn w:val="DefaultParagraphFont"/>
    <w:link w:val="PlainText"/>
    <w:uiPriority w:val="99"/>
    <w:rsid w:val="00C46B12"/>
    <w:rPr>
      <w:rFonts w:ascii="Courier New" w:eastAsia="SimSun" w:hAnsi="Courier New" w:cs="Courier New"/>
      <w:lang w:val="en-US" w:eastAsia="zh-CN"/>
    </w:rPr>
  </w:style>
  <w:style w:type="paragraph" w:styleId="ListParagraph">
    <w:name w:val="List Paragraph"/>
    <w:basedOn w:val="Normal"/>
    <w:link w:val="ListParagraphChar"/>
    <w:uiPriority w:val="34"/>
    <w:qFormat/>
    <w:rsid w:val="00C46B12"/>
    <w:pPr>
      <w:ind w:left="720"/>
      <w:contextualSpacing/>
    </w:pPr>
  </w:style>
  <w:style w:type="character" w:customStyle="1" w:styleId="ListParagraphChar">
    <w:name w:val="List Paragraph Char"/>
    <w:basedOn w:val="DefaultParagraphFont"/>
    <w:link w:val="ListParagraph"/>
    <w:uiPriority w:val="34"/>
    <w:rsid w:val="00C46B12"/>
    <w:rPr>
      <w:rFonts w:ascii="Arial" w:eastAsia="SimSun" w:hAnsi="Arial" w:cs="Arial"/>
      <w:sz w:val="22"/>
      <w:lang w:val="en-US" w:eastAsia="zh-CN"/>
    </w:rPr>
  </w:style>
  <w:style w:type="character" w:styleId="CommentReference">
    <w:name w:val="annotation reference"/>
    <w:basedOn w:val="DefaultParagraphFont"/>
    <w:rsid w:val="00C46B12"/>
    <w:rPr>
      <w:sz w:val="16"/>
      <w:szCs w:val="16"/>
    </w:rPr>
  </w:style>
  <w:style w:type="paragraph" w:styleId="CommentSubject">
    <w:name w:val="annotation subject"/>
    <w:basedOn w:val="CommentText"/>
    <w:next w:val="CommentText"/>
    <w:link w:val="CommentSubjectChar"/>
    <w:rsid w:val="00C46B12"/>
    <w:rPr>
      <w:b/>
      <w:bCs/>
      <w:sz w:val="20"/>
    </w:rPr>
  </w:style>
  <w:style w:type="character" w:customStyle="1" w:styleId="CommentTextChar1">
    <w:name w:val="Comment Text Char1"/>
    <w:basedOn w:val="DefaultParagraphFont"/>
    <w:link w:val="CommentText"/>
    <w:semiHidden/>
    <w:rsid w:val="00C46B12"/>
    <w:rPr>
      <w:rFonts w:ascii="Arial" w:eastAsia="SimSun" w:hAnsi="Arial" w:cs="Arial"/>
      <w:sz w:val="18"/>
      <w:lang w:val="en-US" w:eastAsia="zh-CN"/>
    </w:rPr>
  </w:style>
  <w:style w:type="character" w:customStyle="1" w:styleId="CommentSubjectChar">
    <w:name w:val="Comment Subject Char"/>
    <w:basedOn w:val="CommentTextChar1"/>
    <w:link w:val="CommentSubject"/>
    <w:rsid w:val="00C46B12"/>
    <w:rPr>
      <w:rFonts w:ascii="Arial" w:eastAsia="SimSun" w:hAnsi="Arial" w:cs="Arial"/>
      <w:b/>
      <w:bCs/>
      <w:sz w:val="18"/>
      <w:lang w:val="en-US" w:eastAsia="zh-CN"/>
    </w:rPr>
  </w:style>
  <w:style w:type="character" w:styleId="EndnoteReference">
    <w:name w:val="endnote reference"/>
    <w:basedOn w:val="DefaultParagraphFont"/>
    <w:rsid w:val="00C46B12"/>
    <w:rPr>
      <w:vertAlign w:val="superscript"/>
    </w:rPr>
  </w:style>
  <w:style w:type="paragraph" w:styleId="NormalWeb">
    <w:name w:val="Normal (Web)"/>
    <w:basedOn w:val="Normal"/>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locked/>
    <w:rsid w:val="00C46B12"/>
    <w:rPr>
      <w:rFonts w:ascii="Arial" w:hAnsi="Arial"/>
      <w:sz w:val="22"/>
      <w:lang w:val="x-none" w:eastAsia="x-none"/>
    </w:rPr>
  </w:style>
  <w:style w:type="character" w:customStyle="1" w:styleId="apple-converted-space">
    <w:name w:val="apple-converted-space"/>
    <w:basedOn w:val="DefaultParagraphFont"/>
    <w:rsid w:val="00C46B12"/>
  </w:style>
  <w:style w:type="paragraph" w:customStyle="1" w:styleId="Default">
    <w:name w:val="Default"/>
    <w:rsid w:val="00C46B12"/>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unhideWhenUsed/>
    <w:qFormat/>
    <w:rsid w:val="00C46B12"/>
    <w:pPr>
      <w:spacing w:after="100"/>
      <w:ind w:left="220"/>
    </w:pPr>
  </w:style>
  <w:style w:type="paragraph" w:customStyle="1" w:styleId="Heading11">
    <w:name w:val="Heading 1.1"/>
    <w:basedOn w:val="Heading1"/>
    <w:qFormat/>
    <w:rsid w:val="00C46B12"/>
    <w:pPr>
      <w:numPr>
        <w:numId w:val="7"/>
      </w:numPr>
      <w:spacing w:before="480"/>
    </w:pPr>
    <w:rPr>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uiPriority w:val="99"/>
    <w:rsid w:val="00C46B12"/>
    <w:pPr>
      <w:spacing w:after="160" w:line="240" w:lineRule="atLeast"/>
    </w:pPr>
    <w:rPr>
      <w:rFonts w:ascii="Times New Roman" w:eastAsia="Times New Roman" w:hAnsi="Times New Roman" w:cs="Times New Roman"/>
      <w:sz w:val="20"/>
      <w:vertAlign w:val="superscript"/>
      <w:lang w:val="fr-CH" w:eastAsia="fr-CH"/>
    </w:rPr>
  </w:style>
  <w:style w:type="paragraph" w:styleId="Revision">
    <w:name w:val="Revision"/>
    <w:hidden/>
    <w:uiPriority w:val="99"/>
    <w:semiHidden/>
    <w:rsid w:val="00C46B12"/>
    <w:rPr>
      <w:rFonts w:ascii="Arial" w:eastAsia="SimSun" w:hAnsi="Arial" w:cs="Arial"/>
      <w:sz w:val="22"/>
      <w:lang w:val="en-US" w:eastAsia="zh-CN"/>
    </w:rPr>
  </w:style>
  <w:style w:type="character" w:customStyle="1" w:styleId="Heading1Char">
    <w:name w:val="Heading 1 Char"/>
    <w:basedOn w:val="DefaultParagraphFont"/>
    <w:link w:val="Heading1"/>
    <w:rsid w:val="00C46B12"/>
    <w:rPr>
      <w:rFonts w:ascii="Arial" w:eastAsia="SimSun" w:hAnsi="Arial" w:cs="Arial"/>
      <w:b/>
      <w:bCs/>
      <w:caps/>
      <w:kern w:val="32"/>
      <w:sz w:val="22"/>
      <w:szCs w:val="32"/>
      <w:lang w:val="en-US" w:eastAsia="zh-CN"/>
    </w:rPr>
  </w:style>
  <w:style w:type="table" w:styleId="GridTable6Colorful-Accent1">
    <w:name w:val="Grid Table 6 Colorful Accent 1"/>
    <w:basedOn w:val="TableNormal"/>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eader" Target="header5.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ED884-E0C8-405B-A221-155F4679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6279</Words>
  <Characters>42186</Characters>
  <Application>Microsoft Office Word</Application>
  <DocSecurity>0</DocSecurity>
  <Lines>908</Lines>
  <Paragraphs>345</Paragraphs>
  <ScaleCrop>false</ScaleCrop>
  <HeadingPairs>
    <vt:vector size="2" baseType="variant">
      <vt:variant>
        <vt:lpstr>Title</vt:lpstr>
      </vt:variant>
      <vt:variant>
        <vt:i4>1</vt:i4>
      </vt:variant>
    </vt:vector>
  </HeadingPairs>
  <TitlesOfParts>
    <vt:vector size="1" baseType="lpstr">
      <vt:lpstr>WO/GA/52/</vt:lpstr>
    </vt:vector>
  </TitlesOfParts>
  <Company>WIPO</Company>
  <LinksUpToDate>false</LinksUpToDate>
  <CharactersWithSpaces>48384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WO/GA/52/</dc:title>
  <dc:subject/>
  <dc:creator>IOD</dc:creator>
  <cp:keywords>PUBLIC</cp:keywords>
  <dc:description/>
  <cp:lastModifiedBy>HÄFLIGER Patience</cp:lastModifiedBy>
  <cp:revision>5</cp:revision>
  <cp:lastPrinted>2020-04-27T13:46:00Z</cp:lastPrinted>
  <dcterms:created xsi:type="dcterms:W3CDTF">2020-07-14T08:14:00Z</dcterms:created>
  <dcterms:modified xsi:type="dcterms:W3CDTF">2020-07-17T07:42:00Z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15b8dd11-c581-45ff-925c-997595eeb380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