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4835C" w14:textId="72B30B7C" w:rsidR="00267852" w:rsidRPr="008B2CC1" w:rsidRDefault="00A878FC" w:rsidP="00267852">
      <w:pPr>
        <w:spacing w:after="120"/>
        <w:jc w:val="right"/>
      </w:pPr>
      <w:bookmarkStart w:id="0" w:name="_GoBack"/>
      <w:bookmarkEnd w:id="0"/>
      <w:r>
        <w:rPr>
          <w:noProof/>
          <w:lang w:val="en-US" w:eastAsia="en-US"/>
        </w:rPr>
        <w:drawing>
          <wp:inline distT="0" distB="0" distL="0" distR="0" wp14:anchorId="3C4346DA" wp14:editId="7C01DDAD">
            <wp:extent cx="3248025" cy="1628775"/>
            <wp:effectExtent l="0" t="0" r="9525" b="9525"/>
            <wp:docPr id="9" name="Picture 9" descr="Title: Эмблема ВОИС - Description: 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Эмблема ВОИС - Description: 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48025" cy="1628775"/>
                    </a:xfrm>
                    <a:prstGeom prst="rect">
                      <a:avLst/>
                    </a:prstGeom>
                    <a:noFill/>
                    <a:ln>
                      <a:noFill/>
                    </a:ln>
                  </pic:spPr>
                </pic:pic>
              </a:graphicData>
            </a:graphic>
          </wp:inline>
        </w:drawing>
      </w:r>
      <w:r w:rsidR="00267852">
        <w:rPr>
          <w:rFonts w:ascii="Arial Black" w:hAnsi="Arial Black"/>
          <w:caps/>
          <w:noProof/>
          <w:sz w:val="15"/>
          <w:lang w:val="en-US" w:eastAsia="en-US"/>
        </w:rPr>
        <mc:AlternateContent>
          <mc:Choice Requires="wps">
            <w:drawing>
              <wp:inline distT="0" distB="0" distL="0" distR="0" wp14:anchorId="192AF01A" wp14:editId="59CC973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DD98F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3604499" w14:textId="28B23030" w:rsidR="00267852" w:rsidRPr="001024FE" w:rsidRDefault="00267852" w:rsidP="00267852">
      <w:pPr>
        <w:jc w:val="right"/>
        <w:rPr>
          <w:rFonts w:ascii="Arial Black" w:hAnsi="Arial Black"/>
          <w:caps/>
          <w:sz w:val="15"/>
          <w:szCs w:val="15"/>
        </w:rPr>
      </w:pPr>
      <w:r>
        <w:rPr>
          <w:rFonts w:ascii="Arial Black" w:hAnsi="Arial Black"/>
          <w:caps/>
          <w:sz w:val="15"/>
        </w:rPr>
        <w:t>WO/GA/55/</w:t>
      </w:r>
      <w:bookmarkStart w:id="1" w:name="Code"/>
      <w:r>
        <w:rPr>
          <w:rFonts w:ascii="Arial Black" w:hAnsi="Arial Black"/>
          <w:caps/>
          <w:sz w:val="15"/>
        </w:rPr>
        <w:t>9</w:t>
      </w:r>
    </w:p>
    <w:bookmarkEnd w:id="1"/>
    <w:p w14:paraId="4F349C2A" w14:textId="77777777" w:rsidR="00267852" w:rsidRPr="00CE65D4" w:rsidRDefault="00267852" w:rsidP="00267852">
      <w:pPr>
        <w:jc w:val="right"/>
        <w:rPr>
          <w:rFonts w:ascii="Arial Black" w:hAnsi="Arial Black"/>
          <w:caps/>
          <w:sz w:val="15"/>
          <w:szCs w:val="15"/>
        </w:rPr>
      </w:pPr>
      <w:r>
        <w:rPr>
          <w:rFonts w:ascii="Arial Black" w:hAnsi="Arial Black"/>
          <w:caps/>
          <w:sz w:val="15"/>
        </w:rPr>
        <w:t xml:space="preserve">ОРИГИНАЛ: </w:t>
      </w:r>
      <w:bookmarkStart w:id="2" w:name="Original"/>
      <w:r>
        <w:rPr>
          <w:rFonts w:ascii="Arial Black" w:hAnsi="Arial Black"/>
          <w:caps/>
          <w:sz w:val="15"/>
        </w:rPr>
        <w:t>АНГЛИЙСКИЙ</w:t>
      </w:r>
    </w:p>
    <w:bookmarkEnd w:id="2"/>
    <w:p w14:paraId="3057D764" w14:textId="5AF86EF4" w:rsidR="00267852" w:rsidRPr="00CE65D4" w:rsidRDefault="00267852" w:rsidP="00267852">
      <w:pPr>
        <w:spacing w:after="1200"/>
        <w:jc w:val="right"/>
        <w:rPr>
          <w:rFonts w:ascii="Arial Black" w:hAnsi="Arial Black"/>
          <w:caps/>
          <w:sz w:val="15"/>
          <w:szCs w:val="15"/>
        </w:rPr>
      </w:pPr>
      <w:r>
        <w:rPr>
          <w:rFonts w:ascii="Arial Black" w:hAnsi="Arial Black"/>
          <w:caps/>
          <w:sz w:val="15"/>
        </w:rPr>
        <w:t xml:space="preserve">ДАТА: </w:t>
      </w:r>
      <w:bookmarkStart w:id="3" w:name="Date"/>
      <w:r>
        <w:rPr>
          <w:rFonts w:ascii="Arial Black" w:hAnsi="Arial Black"/>
          <w:caps/>
          <w:sz w:val="15"/>
        </w:rPr>
        <w:t>1</w:t>
      </w:r>
      <w:r w:rsidR="0041512C">
        <w:rPr>
          <w:rFonts w:ascii="Arial Black" w:hAnsi="Arial Black"/>
          <w:caps/>
          <w:sz w:val="15"/>
        </w:rPr>
        <w:t>9</w:t>
      </w:r>
      <w:r>
        <w:rPr>
          <w:rFonts w:ascii="Arial Black" w:hAnsi="Arial Black"/>
          <w:caps/>
          <w:sz w:val="15"/>
        </w:rPr>
        <w:t xml:space="preserve"> АПРЕЛЯ 2022 Г.</w:t>
      </w:r>
    </w:p>
    <w:bookmarkEnd w:id="3"/>
    <w:p w14:paraId="34EEF2E4" w14:textId="77777777" w:rsidR="00267852" w:rsidRPr="003845C1" w:rsidRDefault="00267852" w:rsidP="00267852">
      <w:pPr>
        <w:spacing w:after="600"/>
        <w:rPr>
          <w:b/>
          <w:sz w:val="28"/>
          <w:szCs w:val="28"/>
        </w:rPr>
      </w:pPr>
      <w:r>
        <w:rPr>
          <w:b/>
          <w:sz w:val="28"/>
        </w:rPr>
        <w:t>Генеральная Ассамблея ВОИС</w:t>
      </w:r>
    </w:p>
    <w:p w14:paraId="4DE8ED51" w14:textId="77777777" w:rsidR="00267852" w:rsidRPr="003845C1" w:rsidRDefault="00267852" w:rsidP="00267852">
      <w:pPr>
        <w:rPr>
          <w:b/>
          <w:sz w:val="24"/>
          <w:szCs w:val="24"/>
        </w:rPr>
      </w:pPr>
      <w:r>
        <w:rPr>
          <w:b/>
          <w:sz w:val="24"/>
        </w:rPr>
        <w:t>Пятьдесят пятая (30-я внеочередная) сессия</w:t>
      </w:r>
      <w:r>
        <w:rPr>
          <w:b/>
          <w:sz w:val="24"/>
        </w:rPr>
        <w:br/>
      </w:r>
    </w:p>
    <w:p w14:paraId="7BE52A1E" w14:textId="06986F00" w:rsidR="00267852" w:rsidRPr="009F3BF9" w:rsidRDefault="00267852" w:rsidP="00267852">
      <w:pPr>
        <w:spacing w:after="720"/>
      </w:pPr>
      <w:r>
        <w:rPr>
          <w:b/>
          <w:sz w:val="24"/>
        </w:rPr>
        <w:t xml:space="preserve">Женева, </w:t>
      </w:r>
      <w:r w:rsidR="00E01AA7">
        <w:rPr>
          <w:b/>
          <w:sz w:val="24"/>
        </w:rPr>
        <w:t>14</w:t>
      </w:r>
      <w:r>
        <w:rPr>
          <w:b/>
          <w:sz w:val="24"/>
        </w:rPr>
        <w:t>–22 июля 2022 г.</w:t>
      </w:r>
    </w:p>
    <w:p w14:paraId="218DBE1B" w14:textId="77777777" w:rsidR="00267852" w:rsidRPr="009F3BF9" w:rsidRDefault="00267852" w:rsidP="00267852">
      <w:pPr>
        <w:spacing w:after="360"/>
        <w:rPr>
          <w:caps/>
          <w:sz w:val="24"/>
        </w:rPr>
      </w:pPr>
      <w:bookmarkStart w:id="4" w:name="TitleOfDoc"/>
      <w:r>
        <w:rPr>
          <w:caps/>
          <w:sz w:val="24"/>
        </w:rPr>
        <w:t>ГОДОВОЙ ОТЧЕТ ДИРЕКТОРА ОТДЕЛА ВНУТРЕННЕГО НАДЗОРА (ОВН)</w:t>
      </w:r>
    </w:p>
    <w:p w14:paraId="55C2D95D" w14:textId="77777777" w:rsidR="00267852" w:rsidRPr="004D39C4" w:rsidRDefault="00267852" w:rsidP="00267852">
      <w:pPr>
        <w:spacing w:after="960"/>
        <w:rPr>
          <w:i/>
        </w:rPr>
      </w:pPr>
      <w:bookmarkStart w:id="5" w:name="Prepared"/>
      <w:bookmarkEnd w:id="4"/>
      <w:r>
        <w:rPr>
          <w:i/>
        </w:rPr>
        <w:t>подготовлен Секретариатом</w:t>
      </w:r>
    </w:p>
    <w:bookmarkEnd w:id="5"/>
    <w:p w14:paraId="2F19B089" w14:textId="4C4F9A6B" w:rsidR="00267852" w:rsidRDefault="00267852" w:rsidP="00267852">
      <w:pPr>
        <w:pStyle w:val="ONUME"/>
        <w:numPr>
          <w:ilvl w:val="0"/>
          <w:numId w:val="4"/>
        </w:numPr>
      </w:pPr>
      <w:r>
        <w:t xml:space="preserve">В настоящем документе содержится </w:t>
      </w:r>
      <w:r w:rsidR="00157B3D">
        <w:t>г</w:t>
      </w:r>
      <w:r>
        <w:t>одовой отчет директора Отдела внутреннего надзора (ОВН) (документ WO/PBC/34/5), представленный Комитету ВОИС по программе и бюджету (КПБ) для рассмотрения на его тридцать четвертой сессии (27 июня – 1 июля 2022 г.)</w:t>
      </w:r>
    </w:p>
    <w:p w14:paraId="079632E4" w14:textId="77777777" w:rsidR="00267852" w:rsidRDefault="00267852" w:rsidP="00267852">
      <w:pPr>
        <w:pStyle w:val="ONUME"/>
      </w:pPr>
      <w:r>
        <w:t>Все решения КПБ в отношении этого документа будут отражены в перечне решений, принятых Комитетом по программе и бюджету (документ A/63/7).</w:t>
      </w:r>
    </w:p>
    <w:p w14:paraId="282B145E" w14:textId="77777777" w:rsidR="00267852" w:rsidRDefault="00267852" w:rsidP="00267852">
      <w:pPr>
        <w:pStyle w:val="ONUME"/>
        <w:numPr>
          <w:ilvl w:val="0"/>
          <w:numId w:val="0"/>
        </w:numPr>
        <w:tabs>
          <w:tab w:val="left" w:pos="6096"/>
        </w:tabs>
        <w:spacing w:after="0"/>
        <w:ind w:left="5533"/>
        <w:rPr>
          <w:i/>
        </w:rPr>
      </w:pPr>
    </w:p>
    <w:p w14:paraId="17B93530" w14:textId="77777777" w:rsidR="00267852" w:rsidRDefault="00267852" w:rsidP="00267852">
      <w:pPr>
        <w:pStyle w:val="Endofdocument-Annex"/>
      </w:pPr>
      <w:r>
        <w:t>[Документ WO/PBC/34/5 следует]</w:t>
      </w:r>
    </w:p>
    <w:p w14:paraId="373A4083" w14:textId="77777777" w:rsidR="00267852" w:rsidRDefault="00267852" w:rsidP="00267852">
      <w:pPr>
        <w:spacing w:after="220"/>
      </w:pPr>
    </w:p>
    <w:p w14:paraId="50C9C5C5" w14:textId="77777777" w:rsidR="00267852" w:rsidRDefault="00267852" w:rsidP="00267852">
      <w:pPr>
        <w:spacing w:after="220"/>
        <w:sectPr w:rsidR="00267852" w:rsidSect="004854F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14:paraId="67B4EAC9" w14:textId="77777777" w:rsidR="00267852" w:rsidRDefault="00267852" w:rsidP="00267852">
      <w:pPr>
        <w:spacing w:after="220"/>
        <w:sectPr w:rsidR="00267852" w:rsidSect="004854FF">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Caption w:val="En tête"/>
        <w:tblDescription w:val="PBC en tête"/>
      </w:tblPr>
      <w:tblGrid>
        <w:gridCol w:w="4513"/>
        <w:gridCol w:w="4337"/>
        <w:gridCol w:w="506"/>
      </w:tblGrid>
      <w:tr w:rsidR="00267852" w:rsidRPr="008B2CC1" w14:paraId="27A75302" w14:textId="77777777" w:rsidTr="004854FF">
        <w:tc>
          <w:tcPr>
            <w:tcW w:w="4513" w:type="dxa"/>
            <w:tcBorders>
              <w:bottom w:val="single" w:sz="4" w:space="0" w:color="auto"/>
            </w:tcBorders>
            <w:tcMar>
              <w:bottom w:w="170" w:type="dxa"/>
            </w:tcMar>
          </w:tcPr>
          <w:p w14:paraId="22A00128" w14:textId="77777777" w:rsidR="00267852" w:rsidRPr="008B2CC1" w:rsidRDefault="00267852" w:rsidP="004854FF"/>
        </w:tc>
        <w:tc>
          <w:tcPr>
            <w:tcW w:w="4337" w:type="dxa"/>
            <w:tcBorders>
              <w:bottom w:val="single" w:sz="4" w:space="0" w:color="auto"/>
            </w:tcBorders>
            <w:tcMar>
              <w:left w:w="0" w:type="dxa"/>
              <w:right w:w="0" w:type="dxa"/>
            </w:tcMar>
          </w:tcPr>
          <w:p w14:paraId="6F5910BA" w14:textId="3E95C923" w:rsidR="00267852" w:rsidRPr="008B2CC1" w:rsidRDefault="001A5B1B" w:rsidP="004854FF">
            <w:r>
              <w:rPr>
                <w:rFonts w:ascii="Arial Black" w:hAnsi="Arial Black"/>
                <w:caps/>
                <w:noProof/>
                <w:sz w:val="15"/>
                <w:lang w:val="en-US" w:eastAsia="en-US"/>
              </w:rPr>
              <w:drawing>
                <wp:inline distT="0" distB="0" distL="0" distR="0" wp14:anchorId="135215D7" wp14:editId="4F1C9B0B">
                  <wp:extent cx="1743710" cy="1286510"/>
                  <wp:effectExtent l="0" t="0" r="8890" b="8890"/>
                  <wp:docPr id="5" name="Picture 5"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3710" cy="1286510"/>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46E3AE6C" w14:textId="77777777" w:rsidR="00267852" w:rsidRPr="008B2CC1" w:rsidRDefault="00267852" w:rsidP="004854FF">
            <w:pPr>
              <w:jc w:val="right"/>
            </w:pPr>
            <w:r>
              <w:rPr>
                <w:b/>
                <w:sz w:val="40"/>
              </w:rPr>
              <w:t>R</w:t>
            </w:r>
          </w:p>
        </w:tc>
      </w:tr>
      <w:tr w:rsidR="00267852" w:rsidRPr="001832A6" w14:paraId="750D20B5" w14:textId="77777777" w:rsidTr="004854FF">
        <w:trPr>
          <w:trHeight w:hRule="exact" w:val="357"/>
        </w:trPr>
        <w:tc>
          <w:tcPr>
            <w:tcW w:w="9356" w:type="dxa"/>
            <w:gridSpan w:val="3"/>
            <w:tcBorders>
              <w:top w:val="single" w:sz="4" w:space="0" w:color="auto"/>
            </w:tcBorders>
            <w:tcMar>
              <w:top w:w="170" w:type="dxa"/>
              <w:left w:w="0" w:type="dxa"/>
              <w:right w:w="0" w:type="dxa"/>
            </w:tcMar>
            <w:vAlign w:val="bottom"/>
          </w:tcPr>
          <w:p w14:paraId="59282B2C" w14:textId="77777777" w:rsidR="00267852" w:rsidRPr="0090731E" w:rsidRDefault="00267852" w:rsidP="004854FF">
            <w:pPr>
              <w:jc w:val="right"/>
              <w:rPr>
                <w:rFonts w:ascii="Arial Black" w:hAnsi="Arial Black"/>
                <w:caps/>
                <w:sz w:val="15"/>
              </w:rPr>
            </w:pPr>
            <w:r>
              <w:rPr>
                <w:rFonts w:ascii="Arial Black" w:hAnsi="Arial Black"/>
                <w:caps/>
                <w:sz w:val="15"/>
              </w:rPr>
              <w:t>WO/PBC/34/5</w:t>
            </w:r>
          </w:p>
        </w:tc>
      </w:tr>
      <w:tr w:rsidR="00267852" w:rsidRPr="001832A6" w14:paraId="613F3A83" w14:textId="77777777" w:rsidTr="004854FF">
        <w:trPr>
          <w:trHeight w:hRule="exact" w:val="170"/>
        </w:trPr>
        <w:tc>
          <w:tcPr>
            <w:tcW w:w="9356" w:type="dxa"/>
            <w:gridSpan w:val="3"/>
            <w:noWrap/>
            <w:tcMar>
              <w:left w:w="0" w:type="dxa"/>
              <w:right w:w="0" w:type="dxa"/>
            </w:tcMar>
            <w:vAlign w:val="bottom"/>
          </w:tcPr>
          <w:p w14:paraId="13ACA4E9" w14:textId="77777777" w:rsidR="00267852" w:rsidRPr="0090731E" w:rsidRDefault="00267852" w:rsidP="004854FF">
            <w:pPr>
              <w:jc w:val="right"/>
              <w:rPr>
                <w:rFonts w:ascii="Arial Black" w:hAnsi="Arial Black"/>
                <w:caps/>
                <w:sz w:val="15"/>
              </w:rPr>
            </w:pPr>
            <w:r>
              <w:rPr>
                <w:rFonts w:ascii="Arial Black" w:hAnsi="Arial Black"/>
                <w:caps/>
                <w:sz w:val="15"/>
              </w:rPr>
              <w:t xml:space="preserve">ОРИГИНАЛ: АНГЛИЙСКИЙ   </w:t>
            </w:r>
          </w:p>
        </w:tc>
      </w:tr>
      <w:tr w:rsidR="00267852" w:rsidRPr="00C0396C" w14:paraId="17631DF9" w14:textId="77777777" w:rsidTr="004854FF">
        <w:trPr>
          <w:trHeight w:hRule="exact" w:val="198"/>
        </w:trPr>
        <w:tc>
          <w:tcPr>
            <w:tcW w:w="9356" w:type="dxa"/>
            <w:gridSpan w:val="3"/>
            <w:tcMar>
              <w:left w:w="0" w:type="dxa"/>
              <w:right w:w="0" w:type="dxa"/>
            </w:tcMar>
            <w:vAlign w:val="bottom"/>
          </w:tcPr>
          <w:p w14:paraId="51B49273" w14:textId="57802167" w:rsidR="00267852" w:rsidRPr="00C0396C" w:rsidRDefault="00A0584E" w:rsidP="00AA1ADA">
            <w:pPr>
              <w:spacing w:line="1680" w:lineRule="auto"/>
              <w:jc w:val="right"/>
              <w:rPr>
                <w:rFonts w:ascii="Arial Black" w:hAnsi="Arial Black"/>
                <w:b/>
                <w:caps/>
                <w:sz w:val="15"/>
              </w:rPr>
            </w:pPr>
            <w:r>
              <w:rPr>
                <w:rFonts w:ascii="Arial Black" w:hAnsi="Arial Black"/>
                <w:b/>
                <w:caps/>
                <w:sz w:val="15"/>
              </w:rPr>
              <w:t>ДАТА: 19</w:t>
            </w:r>
            <w:r w:rsidR="00267852">
              <w:rPr>
                <w:rFonts w:ascii="Arial Black" w:hAnsi="Arial Black"/>
                <w:b/>
                <w:caps/>
                <w:sz w:val="15"/>
              </w:rPr>
              <w:t xml:space="preserve"> АПРЕЛЯ 2022 Г.   </w:t>
            </w:r>
          </w:p>
        </w:tc>
      </w:tr>
    </w:tbl>
    <w:p w14:paraId="508184EA" w14:textId="77777777" w:rsidR="00267852" w:rsidRPr="00803E6B" w:rsidRDefault="00267852" w:rsidP="00267852">
      <w:pPr>
        <w:pStyle w:val="Heading1"/>
        <w:spacing w:before="1000" w:after="600"/>
        <w:rPr>
          <w:caps w:val="0"/>
          <w:sz w:val="28"/>
        </w:rPr>
      </w:pPr>
      <w:bookmarkStart w:id="6" w:name="_Toc98252881"/>
      <w:r>
        <w:rPr>
          <w:caps w:val="0"/>
          <w:sz w:val="28"/>
        </w:rPr>
        <w:t>Комитет по программе и бюджету</w:t>
      </w:r>
      <w:bookmarkEnd w:id="6"/>
    </w:p>
    <w:p w14:paraId="13D4EC56" w14:textId="75905BDA" w:rsidR="00267852" w:rsidRPr="00803E6B" w:rsidRDefault="00267852" w:rsidP="00267852">
      <w:pPr>
        <w:rPr>
          <w:b/>
          <w:sz w:val="24"/>
        </w:rPr>
      </w:pPr>
      <w:r>
        <w:rPr>
          <w:b/>
          <w:sz w:val="24"/>
        </w:rPr>
        <w:t xml:space="preserve">Тридцать </w:t>
      </w:r>
      <w:r w:rsidR="00A10BFF">
        <w:rPr>
          <w:b/>
          <w:sz w:val="24"/>
        </w:rPr>
        <w:t>четвертая</w:t>
      </w:r>
      <w:r>
        <w:rPr>
          <w:b/>
          <w:sz w:val="24"/>
        </w:rPr>
        <w:t xml:space="preserve"> сессия</w:t>
      </w:r>
    </w:p>
    <w:p w14:paraId="6A7B6539" w14:textId="77777777" w:rsidR="00267852" w:rsidRDefault="00267852" w:rsidP="00267852">
      <w:pPr>
        <w:spacing w:after="720"/>
        <w:rPr>
          <w:b/>
          <w:sz w:val="24"/>
        </w:rPr>
      </w:pPr>
      <w:r>
        <w:rPr>
          <w:b/>
          <w:sz w:val="24"/>
        </w:rPr>
        <w:t>Женева, 27 июня – 1 июля 2022 г.</w:t>
      </w:r>
    </w:p>
    <w:p w14:paraId="1AE72E93" w14:textId="77777777" w:rsidR="00267852" w:rsidRDefault="00267852" w:rsidP="00267852">
      <w:pPr>
        <w:spacing w:after="360"/>
        <w:rPr>
          <w:sz w:val="24"/>
        </w:rPr>
      </w:pPr>
      <w:r>
        <w:rPr>
          <w:sz w:val="24"/>
        </w:rPr>
        <w:t>ГОДОВОЙ ОТЧЕТ ДИРЕКТОРА ОТДЕЛА ВНУТРЕННЕГО НАДЗОРА (ОВН)</w:t>
      </w:r>
    </w:p>
    <w:p w14:paraId="31F28256" w14:textId="77777777" w:rsidR="00267852" w:rsidRDefault="00267852" w:rsidP="00267852">
      <w:pPr>
        <w:spacing w:after="960"/>
        <w:rPr>
          <w:i/>
          <w:sz w:val="24"/>
        </w:rPr>
      </w:pPr>
      <w:r>
        <w:rPr>
          <w:i/>
          <w:sz w:val="24"/>
        </w:rPr>
        <w:t>подготовлен Секретариатом</w:t>
      </w:r>
    </w:p>
    <w:p w14:paraId="3F7EFB47" w14:textId="68B0C795" w:rsidR="00267852" w:rsidRPr="00C765F0" w:rsidRDefault="00267852" w:rsidP="00267852">
      <w:pPr>
        <w:pStyle w:val="ONUME"/>
        <w:numPr>
          <w:ilvl w:val="0"/>
          <w:numId w:val="5"/>
        </w:numPr>
      </w:pPr>
      <w:r>
        <w:t>В соответствии с пунктом 47 Устава внутреннего надзора (УВН) директор Отдела внутреннего надзора (ОВН) ежегодно представляет Генеральной Ассамблее ВОИС через Комитет по программе и бюджету (КПБ) сводный отчет. В отчете содержится общий обзор деятельности по внутреннему надзору, проведенной в течение отчетного периода с 1 января 2021 г. по 31 декабря 2021 г.</w:t>
      </w:r>
    </w:p>
    <w:p w14:paraId="057AAB10" w14:textId="77777777" w:rsidR="00267852" w:rsidRPr="00136900" w:rsidRDefault="00267852" w:rsidP="00267852">
      <w:pPr>
        <w:pStyle w:val="ONUME"/>
        <w:numPr>
          <w:ilvl w:val="0"/>
          <w:numId w:val="4"/>
        </w:numPr>
        <w:rPr>
          <w:i/>
        </w:rPr>
      </w:pPr>
      <w:r>
        <w:t>Предлагается следующий пункт решения.</w:t>
      </w:r>
    </w:p>
    <w:p w14:paraId="4E01373D" w14:textId="63E740C1" w:rsidR="00267852" w:rsidRDefault="00267852" w:rsidP="00267852">
      <w:pPr>
        <w:pStyle w:val="ListParagraph"/>
        <w:numPr>
          <w:ilvl w:val="0"/>
          <w:numId w:val="4"/>
        </w:numPr>
        <w:spacing w:after="240"/>
        <w:ind w:left="5529"/>
        <w:rPr>
          <w:i/>
        </w:rPr>
      </w:pPr>
      <w:r>
        <w:rPr>
          <w:i/>
        </w:rPr>
        <w:t xml:space="preserve">Комитет по программе и бюджету (КПБ) рекомендовал Генеральной Ассамблее ВОИС принять к сведению </w:t>
      </w:r>
      <w:r w:rsidR="00C5237A">
        <w:rPr>
          <w:i/>
        </w:rPr>
        <w:t>г</w:t>
      </w:r>
      <w:r>
        <w:rPr>
          <w:i/>
        </w:rPr>
        <w:t>одовой отчет директора Отдела внутреннего надзора (ОВН) (документ WO/PBC/34/5).</w:t>
      </w:r>
    </w:p>
    <w:p w14:paraId="1FB1025E" w14:textId="77777777" w:rsidR="00267852" w:rsidRDefault="00267852" w:rsidP="00267852">
      <w:pPr>
        <w:pStyle w:val="ListParagraph"/>
        <w:spacing w:before="240"/>
        <w:ind w:left="5529"/>
      </w:pPr>
    </w:p>
    <w:p w14:paraId="64B49681" w14:textId="77777777" w:rsidR="00267852" w:rsidRPr="00343DBD" w:rsidRDefault="00267852" w:rsidP="00267852">
      <w:pPr>
        <w:pStyle w:val="ListParagraph"/>
        <w:spacing w:before="240"/>
        <w:ind w:left="5529"/>
        <w:rPr>
          <w:i/>
        </w:rPr>
        <w:sectPr w:rsidR="00267852" w:rsidRPr="00343DBD" w:rsidSect="00E60513">
          <w:endnotePr>
            <w:numFmt w:val="decimal"/>
          </w:endnotePr>
          <w:pgSz w:w="11907" w:h="16840" w:code="9"/>
          <w:pgMar w:top="567" w:right="1134" w:bottom="1418" w:left="1418" w:header="510" w:footer="1021" w:gutter="0"/>
          <w:pgNumType w:start="2"/>
          <w:cols w:space="720"/>
          <w:titlePg/>
          <w:docGrid w:linePitch="299"/>
        </w:sectPr>
      </w:pPr>
      <w:r>
        <w:t>[Годовой отчет директора ОВН следует]</w:t>
      </w:r>
    </w:p>
    <w:p w14:paraId="7EFEC234" w14:textId="77777777" w:rsidR="00C46B12" w:rsidRDefault="00C46B12" w:rsidP="00C46B12">
      <w:r>
        <w:lastRenderedPageBreak/>
        <w:br w:type="page"/>
      </w:r>
    </w:p>
    <w:p w14:paraId="0E6D41F3" w14:textId="77777777" w:rsidR="00C46B12" w:rsidRPr="004A7813" w:rsidRDefault="00C46B12" w:rsidP="00C46B12">
      <w:pPr>
        <w:jc w:val="center"/>
        <w:rPr>
          <w:b/>
        </w:rPr>
      </w:pPr>
      <w:r>
        <w:rPr>
          <w:b/>
        </w:rPr>
        <w:lastRenderedPageBreak/>
        <w:t xml:space="preserve">ГОДОВОЙ ОТЧЕТ ДИРЕКТОРА </w:t>
      </w:r>
      <w:r>
        <w:rPr>
          <w:rStyle w:val="Heading2Char"/>
          <w:b/>
        </w:rPr>
        <w:t>ОТДЕЛА ВНУТРЕННЕГО НАДЗОРА</w:t>
      </w:r>
    </w:p>
    <w:p w14:paraId="1087C0E7" w14:textId="77777777" w:rsidR="00C46B12" w:rsidRPr="00DA5DBB" w:rsidRDefault="00C46B12" w:rsidP="00C46B12">
      <w:pPr>
        <w:keepLines/>
      </w:pPr>
    </w:p>
    <w:p w14:paraId="4300052E" w14:textId="77777777" w:rsidR="00FF1E25" w:rsidRDefault="00C46B12" w:rsidP="00FF1E25">
      <w:pPr>
        <w:spacing w:after="720"/>
        <w:jc w:val="center"/>
      </w:pPr>
      <w:r>
        <w:t>1 января 2021 г. – 31 декабря 2021 г.</w:t>
      </w:r>
    </w:p>
    <w:p w14:paraId="72D39671" w14:textId="77777777" w:rsidR="00C46B12" w:rsidRPr="001D2703" w:rsidRDefault="00C46B12" w:rsidP="00C46B12">
      <w:pPr>
        <w:jc w:val="center"/>
        <w:rPr>
          <w:b/>
        </w:rPr>
      </w:pPr>
      <w:r>
        <w:rPr>
          <w:b/>
        </w:rPr>
        <w:t>СОДЕРЖАНИЕ</w:t>
      </w:r>
    </w:p>
    <w:p w14:paraId="0E9A9553" w14:textId="63337C1B" w:rsidR="00DE394D" w:rsidRDefault="007159D2">
      <w:pPr>
        <w:pStyle w:val="TOC1"/>
        <w:rPr>
          <w:rFonts w:asciiTheme="minorHAnsi" w:eastAsiaTheme="minorEastAsia" w:hAnsiTheme="minorHAnsi" w:cstheme="minorBidi"/>
          <w:noProof/>
          <w:szCs w:val="22"/>
        </w:rPr>
      </w:pPr>
      <w:r>
        <w:fldChar w:fldCharType="begin"/>
      </w:r>
      <w:r>
        <w:instrText xml:space="preserve"> TOC \o "1-1" \h \z \u </w:instrText>
      </w:r>
      <w:r>
        <w:fldChar w:fldCharType="separate"/>
      </w:r>
      <w:hyperlink w:anchor="_Toc98252881" w:history="1">
        <w:r w:rsidR="004839B6" w:rsidRPr="004839B6">
          <w:rPr>
            <w:rStyle w:val="Hyperlink"/>
            <w:noProof/>
          </w:rPr>
          <w:t>Комитет по программе и бюджету</w:t>
        </w:r>
        <w:r w:rsidR="00DE394D">
          <w:rPr>
            <w:noProof/>
            <w:webHidden/>
          </w:rPr>
          <w:tab/>
        </w:r>
        <w:r w:rsidR="00DE394D">
          <w:rPr>
            <w:noProof/>
            <w:webHidden/>
          </w:rPr>
          <w:fldChar w:fldCharType="begin"/>
        </w:r>
        <w:r w:rsidR="00DE394D">
          <w:rPr>
            <w:noProof/>
            <w:webHidden/>
          </w:rPr>
          <w:instrText xml:space="preserve"> PAGEREF _Toc98252881 \h </w:instrText>
        </w:r>
        <w:r w:rsidR="00DE394D">
          <w:rPr>
            <w:noProof/>
            <w:webHidden/>
          </w:rPr>
        </w:r>
        <w:r w:rsidR="00DE394D">
          <w:rPr>
            <w:noProof/>
            <w:webHidden/>
          </w:rPr>
          <w:fldChar w:fldCharType="separate"/>
        </w:r>
        <w:r w:rsidR="00203782">
          <w:rPr>
            <w:noProof/>
            <w:webHidden/>
          </w:rPr>
          <w:t>2</w:t>
        </w:r>
        <w:r w:rsidR="00DE394D">
          <w:rPr>
            <w:noProof/>
            <w:webHidden/>
          </w:rPr>
          <w:fldChar w:fldCharType="end"/>
        </w:r>
      </w:hyperlink>
    </w:p>
    <w:p w14:paraId="5B5F3BA3" w14:textId="34FBC12F" w:rsidR="00DE394D" w:rsidRDefault="00F23898">
      <w:pPr>
        <w:pStyle w:val="TOC1"/>
        <w:rPr>
          <w:rFonts w:asciiTheme="minorHAnsi" w:eastAsiaTheme="minorEastAsia" w:hAnsiTheme="minorHAnsi" w:cstheme="minorBidi"/>
          <w:noProof/>
        </w:rPr>
      </w:pPr>
      <w:hyperlink w:anchor="_Toc98252882" w:history="1">
        <w:r w:rsidR="004839B6">
          <w:t>СПИСОК ИСПОЛЬЗУЕМЫХ СОКРАЩЕНИЙ</w:t>
        </w:r>
        <w:r w:rsidR="00DE394D">
          <w:rPr>
            <w:noProof/>
            <w:webHidden/>
          </w:rPr>
          <w:tab/>
        </w:r>
        <w:r w:rsidR="00DE394D">
          <w:rPr>
            <w:noProof/>
            <w:webHidden/>
          </w:rPr>
          <w:fldChar w:fldCharType="begin"/>
        </w:r>
        <w:r w:rsidR="00DE394D">
          <w:rPr>
            <w:noProof/>
            <w:webHidden/>
          </w:rPr>
          <w:instrText xml:space="preserve"> PAGEREF _Toc98252882 \h </w:instrText>
        </w:r>
        <w:r w:rsidR="00DE394D">
          <w:rPr>
            <w:noProof/>
            <w:webHidden/>
          </w:rPr>
        </w:r>
        <w:r w:rsidR="00DE394D">
          <w:rPr>
            <w:noProof/>
            <w:webHidden/>
          </w:rPr>
          <w:fldChar w:fldCharType="separate"/>
        </w:r>
        <w:r w:rsidR="00203782">
          <w:rPr>
            <w:noProof/>
            <w:webHidden/>
          </w:rPr>
          <w:t>3</w:t>
        </w:r>
        <w:r w:rsidR="00DE394D">
          <w:rPr>
            <w:noProof/>
            <w:webHidden/>
          </w:rPr>
          <w:fldChar w:fldCharType="end"/>
        </w:r>
      </w:hyperlink>
    </w:p>
    <w:p w14:paraId="6F7FB5AD" w14:textId="09F2E925" w:rsidR="00DE394D" w:rsidRDefault="00F23898">
      <w:pPr>
        <w:pStyle w:val="TOC1"/>
        <w:rPr>
          <w:rFonts w:asciiTheme="minorHAnsi" w:eastAsiaTheme="minorEastAsia" w:hAnsiTheme="minorHAnsi" w:cstheme="minorBidi"/>
          <w:noProof/>
        </w:rPr>
      </w:pPr>
      <w:hyperlink w:anchor="_Toc98252883" w:history="1">
        <w:r w:rsidR="004839B6">
          <w:t>СПРАВОЧНАЯ ИНФОРМАЦИЯ</w:t>
        </w:r>
        <w:r w:rsidR="00DE394D">
          <w:rPr>
            <w:noProof/>
            <w:webHidden/>
          </w:rPr>
          <w:tab/>
        </w:r>
        <w:r w:rsidR="00DE394D">
          <w:rPr>
            <w:noProof/>
            <w:webHidden/>
          </w:rPr>
          <w:fldChar w:fldCharType="begin"/>
        </w:r>
        <w:r w:rsidR="00DE394D">
          <w:rPr>
            <w:noProof/>
            <w:webHidden/>
          </w:rPr>
          <w:instrText xml:space="preserve"> PAGEREF _Toc98252883 \h </w:instrText>
        </w:r>
        <w:r w:rsidR="00DE394D">
          <w:rPr>
            <w:noProof/>
            <w:webHidden/>
          </w:rPr>
        </w:r>
        <w:r w:rsidR="00DE394D">
          <w:rPr>
            <w:noProof/>
            <w:webHidden/>
          </w:rPr>
          <w:fldChar w:fldCharType="separate"/>
        </w:r>
        <w:r w:rsidR="00203782">
          <w:rPr>
            <w:noProof/>
            <w:webHidden/>
          </w:rPr>
          <w:t>4</w:t>
        </w:r>
        <w:r w:rsidR="00DE394D">
          <w:rPr>
            <w:noProof/>
            <w:webHidden/>
          </w:rPr>
          <w:fldChar w:fldCharType="end"/>
        </w:r>
      </w:hyperlink>
    </w:p>
    <w:p w14:paraId="1169A968" w14:textId="7BD52BC2" w:rsidR="00DE394D" w:rsidRDefault="00F23898">
      <w:pPr>
        <w:pStyle w:val="TOC1"/>
        <w:rPr>
          <w:rFonts w:asciiTheme="minorHAnsi" w:eastAsiaTheme="minorEastAsia" w:hAnsiTheme="minorHAnsi" w:cstheme="minorBidi"/>
          <w:noProof/>
        </w:rPr>
      </w:pPr>
      <w:hyperlink w:anchor="_Toc98252884" w:history="1">
        <w:r w:rsidR="00F97374">
          <w:t>НЕКОТОРЫЕ КЛЮЧЕВЫЕ МОМЕНТЫ РАССМАТРИВАЕМОГО ПЕРИОДА</w:t>
        </w:r>
        <w:r w:rsidR="00DE394D">
          <w:rPr>
            <w:noProof/>
            <w:webHidden/>
          </w:rPr>
          <w:tab/>
        </w:r>
        <w:r w:rsidR="00DE394D">
          <w:rPr>
            <w:noProof/>
            <w:webHidden/>
          </w:rPr>
          <w:fldChar w:fldCharType="begin"/>
        </w:r>
        <w:r w:rsidR="00DE394D">
          <w:rPr>
            <w:noProof/>
            <w:webHidden/>
          </w:rPr>
          <w:instrText xml:space="preserve"> PAGEREF _Toc98252884 \h </w:instrText>
        </w:r>
        <w:r w:rsidR="00DE394D">
          <w:rPr>
            <w:noProof/>
            <w:webHidden/>
          </w:rPr>
        </w:r>
        <w:r w:rsidR="00DE394D">
          <w:rPr>
            <w:noProof/>
            <w:webHidden/>
          </w:rPr>
          <w:fldChar w:fldCharType="separate"/>
        </w:r>
        <w:r w:rsidR="00203782">
          <w:rPr>
            <w:noProof/>
            <w:webHidden/>
          </w:rPr>
          <w:t>4</w:t>
        </w:r>
        <w:r w:rsidR="00DE394D">
          <w:rPr>
            <w:noProof/>
            <w:webHidden/>
          </w:rPr>
          <w:fldChar w:fldCharType="end"/>
        </w:r>
      </w:hyperlink>
    </w:p>
    <w:p w14:paraId="1D94C27D" w14:textId="30B0898F" w:rsidR="00DE394D" w:rsidRDefault="00F23898">
      <w:pPr>
        <w:pStyle w:val="TOC1"/>
        <w:rPr>
          <w:rFonts w:asciiTheme="minorHAnsi" w:eastAsiaTheme="minorEastAsia" w:hAnsiTheme="minorHAnsi" w:cstheme="minorBidi"/>
          <w:noProof/>
        </w:rPr>
      </w:pPr>
      <w:hyperlink w:anchor="_Toc98252885" w:history="1">
        <w:r w:rsidR="00F97374">
          <w:t>ПРИНЦИПЫ ПЛАНИРОВАНИЯ</w:t>
        </w:r>
        <w:r w:rsidR="00DE394D">
          <w:rPr>
            <w:noProof/>
            <w:webHidden/>
          </w:rPr>
          <w:tab/>
        </w:r>
        <w:r w:rsidR="00DE394D">
          <w:rPr>
            <w:noProof/>
            <w:webHidden/>
          </w:rPr>
          <w:fldChar w:fldCharType="begin"/>
        </w:r>
        <w:r w:rsidR="00DE394D">
          <w:rPr>
            <w:noProof/>
            <w:webHidden/>
          </w:rPr>
          <w:instrText xml:space="preserve"> PAGEREF _Toc98252885 \h </w:instrText>
        </w:r>
        <w:r w:rsidR="00DE394D">
          <w:rPr>
            <w:noProof/>
            <w:webHidden/>
          </w:rPr>
        </w:r>
        <w:r w:rsidR="00DE394D">
          <w:rPr>
            <w:noProof/>
            <w:webHidden/>
          </w:rPr>
          <w:fldChar w:fldCharType="separate"/>
        </w:r>
        <w:r w:rsidR="00203782">
          <w:rPr>
            <w:noProof/>
            <w:webHidden/>
          </w:rPr>
          <w:t>5</w:t>
        </w:r>
        <w:r w:rsidR="00DE394D">
          <w:rPr>
            <w:noProof/>
            <w:webHidden/>
          </w:rPr>
          <w:fldChar w:fldCharType="end"/>
        </w:r>
      </w:hyperlink>
    </w:p>
    <w:p w14:paraId="6EF608BA" w14:textId="257717A7" w:rsidR="00DE394D" w:rsidRDefault="00F23898">
      <w:pPr>
        <w:pStyle w:val="TOC1"/>
        <w:rPr>
          <w:rFonts w:asciiTheme="minorHAnsi" w:eastAsiaTheme="minorEastAsia" w:hAnsiTheme="minorHAnsi" w:cstheme="minorBidi"/>
          <w:noProof/>
        </w:rPr>
      </w:pPr>
      <w:hyperlink w:anchor="_Toc98252886" w:history="1">
        <w:r w:rsidR="00504BC4">
          <w:t>ПРОФЕССИОНАЛЬНЫЕ СТАНДАРТЫ</w:t>
        </w:r>
        <w:r w:rsidR="00DE394D">
          <w:rPr>
            <w:noProof/>
            <w:webHidden/>
          </w:rPr>
          <w:tab/>
        </w:r>
        <w:r w:rsidR="00DE394D">
          <w:rPr>
            <w:noProof/>
            <w:webHidden/>
          </w:rPr>
          <w:fldChar w:fldCharType="begin"/>
        </w:r>
        <w:r w:rsidR="00DE394D">
          <w:rPr>
            <w:noProof/>
            <w:webHidden/>
          </w:rPr>
          <w:instrText xml:space="preserve"> PAGEREF _Toc98252886 \h </w:instrText>
        </w:r>
        <w:r w:rsidR="00DE394D">
          <w:rPr>
            <w:noProof/>
            <w:webHidden/>
          </w:rPr>
        </w:r>
        <w:r w:rsidR="00DE394D">
          <w:rPr>
            <w:noProof/>
            <w:webHidden/>
          </w:rPr>
          <w:fldChar w:fldCharType="separate"/>
        </w:r>
        <w:r w:rsidR="00203782">
          <w:rPr>
            <w:noProof/>
            <w:webHidden/>
          </w:rPr>
          <w:t>5</w:t>
        </w:r>
        <w:r w:rsidR="00DE394D">
          <w:rPr>
            <w:noProof/>
            <w:webHidden/>
          </w:rPr>
          <w:fldChar w:fldCharType="end"/>
        </w:r>
      </w:hyperlink>
    </w:p>
    <w:p w14:paraId="6FB9C72C" w14:textId="1C7EE744" w:rsidR="00DE394D" w:rsidRDefault="00F23898">
      <w:pPr>
        <w:pStyle w:val="TOC1"/>
        <w:rPr>
          <w:rFonts w:asciiTheme="minorHAnsi" w:eastAsiaTheme="minorEastAsia" w:hAnsiTheme="minorHAnsi" w:cstheme="minorBidi"/>
          <w:noProof/>
        </w:rPr>
      </w:pPr>
      <w:hyperlink w:anchor="_Toc98252887" w:history="1">
        <w:r w:rsidR="000568FE">
          <w:t>ПРИДАНИЕ ГЕНДЕРНОЙ ПРОБЛЕМАТИКЕ МАГИСТРАЛЬНОГО ЗНАЧЕНИЯ</w:t>
        </w:r>
        <w:r w:rsidR="00DE394D">
          <w:rPr>
            <w:noProof/>
            <w:webHidden/>
          </w:rPr>
          <w:tab/>
        </w:r>
        <w:r w:rsidR="00DE394D">
          <w:rPr>
            <w:noProof/>
            <w:webHidden/>
          </w:rPr>
          <w:fldChar w:fldCharType="begin"/>
        </w:r>
        <w:r w:rsidR="00DE394D">
          <w:rPr>
            <w:noProof/>
            <w:webHidden/>
          </w:rPr>
          <w:instrText xml:space="preserve"> PAGEREF _Toc98252887 \h </w:instrText>
        </w:r>
        <w:r w:rsidR="00DE394D">
          <w:rPr>
            <w:noProof/>
            <w:webHidden/>
          </w:rPr>
        </w:r>
        <w:r w:rsidR="00DE394D">
          <w:rPr>
            <w:noProof/>
            <w:webHidden/>
          </w:rPr>
          <w:fldChar w:fldCharType="separate"/>
        </w:r>
        <w:r w:rsidR="00203782">
          <w:rPr>
            <w:noProof/>
            <w:webHidden/>
          </w:rPr>
          <w:t>5</w:t>
        </w:r>
        <w:r w:rsidR="00DE394D">
          <w:rPr>
            <w:noProof/>
            <w:webHidden/>
          </w:rPr>
          <w:fldChar w:fldCharType="end"/>
        </w:r>
      </w:hyperlink>
    </w:p>
    <w:p w14:paraId="451AC9B6" w14:textId="75953BE9" w:rsidR="00DE394D" w:rsidRDefault="00F23898">
      <w:pPr>
        <w:pStyle w:val="TOC1"/>
        <w:rPr>
          <w:rFonts w:asciiTheme="minorHAnsi" w:eastAsiaTheme="minorEastAsia" w:hAnsiTheme="minorHAnsi" w:cstheme="minorBidi"/>
          <w:noProof/>
        </w:rPr>
      </w:pPr>
      <w:hyperlink w:anchor="_Toc98252888" w:history="1">
        <w:r w:rsidR="00D64FC7">
          <w:t>ОСНОВНЫЕ ВЫВОДЫ И ПРИОРИТЕТНЫЕ РЕКОМЕНДАЦИИ ПО ИТОГАМ НАДЗОРА</w:t>
        </w:r>
        <w:r w:rsidR="00DE394D">
          <w:rPr>
            <w:noProof/>
            <w:webHidden/>
          </w:rPr>
          <w:tab/>
        </w:r>
        <w:r w:rsidR="00DE394D">
          <w:rPr>
            <w:noProof/>
            <w:webHidden/>
          </w:rPr>
          <w:fldChar w:fldCharType="begin"/>
        </w:r>
        <w:r w:rsidR="00DE394D">
          <w:rPr>
            <w:noProof/>
            <w:webHidden/>
          </w:rPr>
          <w:instrText xml:space="preserve"> PAGEREF _Toc98252888 \h </w:instrText>
        </w:r>
        <w:r w:rsidR="00DE394D">
          <w:rPr>
            <w:noProof/>
            <w:webHidden/>
          </w:rPr>
        </w:r>
        <w:r w:rsidR="00DE394D">
          <w:rPr>
            <w:noProof/>
            <w:webHidden/>
          </w:rPr>
          <w:fldChar w:fldCharType="separate"/>
        </w:r>
        <w:r w:rsidR="00203782">
          <w:rPr>
            <w:noProof/>
            <w:webHidden/>
          </w:rPr>
          <w:t>6</w:t>
        </w:r>
        <w:r w:rsidR="00DE394D">
          <w:rPr>
            <w:noProof/>
            <w:webHidden/>
          </w:rPr>
          <w:fldChar w:fldCharType="end"/>
        </w:r>
      </w:hyperlink>
    </w:p>
    <w:p w14:paraId="2FB92628" w14:textId="68177BCD" w:rsidR="00DE394D" w:rsidRDefault="00F23898">
      <w:pPr>
        <w:pStyle w:val="TOC1"/>
        <w:rPr>
          <w:rFonts w:asciiTheme="minorHAnsi" w:eastAsiaTheme="minorEastAsia" w:hAnsiTheme="minorHAnsi" w:cstheme="minorBidi"/>
          <w:noProof/>
        </w:rPr>
      </w:pPr>
      <w:hyperlink w:anchor="_Toc98252889" w:history="1">
        <w:r w:rsidR="007A65B5">
          <w:t>ОТЧЕТНЫЕ МЕРОПРИЯТИЯ В 2021 ГОДУ</w:t>
        </w:r>
        <w:r w:rsidR="00DE394D">
          <w:rPr>
            <w:noProof/>
            <w:webHidden/>
          </w:rPr>
          <w:tab/>
        </w:r>
        <w:r w:rsidR="00DE394D">
          <w:rPr>
            <w:noProof/>
            <w:webHidden/>
          </w:rPr>
          <w:fldChar w:fldCharType="begin"/>
        </w:r>
        <w:r w:rsidR="00DE394D">
          <w:rPr>
            <w:noProof/>
            <w:webHidden/>
          </w:rPr>
          <w:instrText xml:space="preserve"> PAGEREF _Toc98252889 \h </w:instrText>
        </w:r>
        <w:r w:rsidR="00DE394D">
          <w:rPr>
            <w:noProof/>
            <w:webHidden/>
          </w:rPr>
        </w:r>
        <w:r w:rsidR="00DE394D">
          <w:rPr>
            <w:noProof/>
            <w:webHidden/>
          </w:rPr>
          <w:fldChar w:fldCharType="separate"/>
        </w:r>
        <w:r w:rsidR="00203782">
          <w:rPr>
            <w:noProof/>
            <w:webHidden/>
          </w:rPr>
          <w:t>7</w:t>
        </w:r>
        <w:r w:rsidR="00DE394D">
          <w:rPr>
            <w:noProof/>
            <w:webHidden/>
          </w:rPr>
          <w:fldChar w:fldCharType="end"/>
        </w:r>
      </w:hyperlink>
    </w:p>
    <w:p w14:paraId="6CF99A9B" w14:textId="7051CA04" w:rsidR="00DE394D" w:rsidRDefault="00F23898">
      <w:pPr>
        <w:pStyle w:val="TOC1"/>
        <w:rPr>
          <w:rFonts w:asciiTheme="minorHAnsi" w:eastAsiaTheme="minorEastAsia" w:hAnsiTheme="minorHAnsi" w:cstheme="minorBidi"/>
          <w:noProof/>
        </w:rPr>
      </w:pPr>
      <w:hyperlink w:anchor="_Toc98252890" w:history="1">
        <w:r w:rsidR="002F43F7">
          <w:t>МЕРОПРИЯТИЯ, НАЧАТЫЕ В КОНЦЕ 2021 ГОДА</w:t>
        </w:r>
        <w:r w:rsidR="00DE394D">
          <w:rPr>
            <w:noProof/>
            <w:webHidden/>
          </w:rPr>
          <w:tab/>
        </w:r>
        <w:r w:rsidR="00DE394D">
          <w:rPr>
            <w:noProof/>
            <w:webHidden/>
          </w:rPr>
          <w:fldChar w:fldCharType="begin"/>
        </w:r>
        <w:r w:rsidR="00DE394D">
          <w:rPr>
            <w:noProof/>
            <w:webHidden/>
          </w:rPr>
          <w:instrText xml:space="preserve"> PAGEREF _Toc98252890 \h </w:instrText>
        </w:r>
        <w:r w:rsidR="00DE394D">
          <w:rPr>
            <w:noProof/>
            <w:webHidden/>
          </w:rPr>
        </w:r>
        <w:r w:rsidR="00DE394D">
          <w:rPr>
            <w:noProof/>
            <w:webHidden/>
          </w:rPr>
          <w:fldChar w:fldCharType="separate"/>
        </w:r>
        <w:r w:rsidR="00203782">
          <w:rPr>
            <w:noProof/>
            <w:webHidden/>
          </w:rPr>
          <w:t>15</w:t>
        </w:r>
        <w:r w:rsidR="00DE394D">
          <w:rPr>
            <w:noProof/>
            <w:webHidden/>
          </w:rPr>
          <w:fldChar w:fldCharType="end"/>
        </w:r>
      </w:hyperlink>
    </w:p>
    <w:p w14:paraId="3EAD107D" w14:textId="0BCF01DE" w:rsidR="00DE394D" w:rsidRDefault="00F23898">
      <w:pPr>
        <w:pStyle w:val="TOC1"/>
        <w:rPr>
          <w:rFonts w:asciiTheme="minorHAnsi" w:eastAsiaTheme="minorEastAsia" w:hAnsiTheme="minorHAnsi" w:cstheme="minorBidi"/>
          <w:noProof/>
        </w:rPr>
      </w:pPr>
      <w:hyperlink w:anchor="_Toc98252891" w:history="1">
        <w:r w:rsidR="002F43F7">
          <w:t>РАССЛЕДОВАНИЯ</w:t>
        </w:r>
        <w:r w:rsidR="00DE394D">
          <w:rPr>
            <w:noProof/>
            <w:webHidden/>
          </w:rPr>
          <w:tab/>
        </w:r>
        <w:r w:rsidR="00DE394D">
          <w:rPr>
            <w:noProof/>
            <w:webHidden/>
          </w:rPr>
          <w:fldChar w:fldCharType="begin"/>
        </w:r>
        <w:r w:rsidR="00DE394D">
          <w:rPr>
            <w:noProof/>
            <w:webHidden/>
          </w:rPr>
          <w:instrText xml:space="preserve"> PAGEREF _Toc98252891 \h </w:instrText>
        </w:r>
        <w:r w:rsidR="00DE394D">
          <w:rPr>
            <w:noProof/>
            <w:webHidden/>
          </w:rPr>
        </w:r>
        <w:r w:rsidR="00DE394D">
          <w:rPr>
            <w:noProof/>
            <w:webHidden/>
          </w:rPr>
          <w:fldChar w:fldCharType="separate"/>
        </w:r>
        <w:r w:rsidR="00203782">
          <w:rPr>
            <w:noProof/>
            <w:webHidden/>
          </w:rPr>
          <w:t>18</w:t>
        </w:r>
        <w:r w:rsidR="00DE394D">
          <w:rPr>
            <w:noProof/>
            <w:webHidden/>
          </w:rPr>
          <w:fldChar w:fldCharType="end"/>
        </w:r>
      </w:hyperlink>
    </w:p>
    <w:p w14:paraId="105E5FB5" w14:textId="265679A9" w:rsidR="00DE394D" w:rsidRDefault="00F23898">
      <w:pPr>
        <w:pStyle w:val="TOC1"/>
        <w:rPr>
          <w:rFonts w:asciiTheme="minorHAnsi" w:eastAsiaTheme="minorEastAsia" w:hAnsiTheme="minorHAnsi" w:cstheme="minorBidi"/>
          <w:noProof/>
        </w:rPr>
      </w:pPr>
      <w:hyperlink w:anchor="_Toc98252892" w:history="1">
        <w:r w:rsidR="002F43F7">
          <w:t>СЛУЧАИ ОТКАЗА В ПРЕДОСТАВЛЕНИИ ИНФОРМАЦИИ ИЛИ ОКАЗАНИИ                    ПОДДЕРЖКИ</w:t>
        </w:r>
        <w:r w:rsidR="00DE394D">
          <w:rPr>
            <w:noProof/>
            <w:webHidden/>
          </w:rPr>
          <w:tab/>
        </w:r>
        <w:r w:rsidR="00DE394D">
          <w:rPr>
            <w:noProof/>
            <w:webHidden/>
          </w:rPr>
          <w:fldChar w:fldCharType="begin"/>
        </w:r>
        <w:r w:rsidR="00DE394D">
          <w:rPr>
            <w:noProof/>
            <w:webHidden/>
          </w:rPr>
          <w:instrText xml:space="preserve"> PAGEREF _Toc98252892 \h </w:instrText>
        </w:r>
        <w:r w:rsidR="00DE394D">
          <w:rPr>
            <w:noProof/>
            <w:webHidden/>
          </w:rPr>
        </w:r>
        <w:r w:rsidR="00DE394D">
          <w:rPr>
            <w:noProof/>
            <w:webHidden/>
          </w:rPr>
          <w:fldChar w:fldCharType="separate"/>
        </w:r>
        <w:r w:rsidR="00203782">
          <w:rPr>
            <w:noProof/>
            <w:webHidden/>
          </w:rPr>
          <w:t>21</w:t>
        </w:r>
        <w:r w:rsidR="00DE394D">
          <w:rPr>
            <w:noProof/>
            <w:webHidden/>
          </w:rPr>
          <w:fldChar w:fldCharType="end"/>
        </w:r>
      </w:hyperlink>
    </w:p>
    <w:p w14:paraId="0F8A637F" w14:textId="7003923B" w:rsidR="00DE394D" w:rsidRDefault="00F23898">
      <w:pPr>
        <w:pStyle w:val="TOC1"/>
        <w:rPr>
          <w:rFonts w:asciiTheme="minorHAnsi" w:eastAsiaTheme="minorEastAsia" w:hAnsiTheme="minorHAnsi" w:cstheme="minorBidi"/>
          <w:noProof/>
        </w:rPr>
      </w:pPr>
      <w:hyperlink w:anchor="_Toc98252893" w:history="1">
        <w:r w:rsidR="002F43F7">
          <w:t>ВЫПОЛНЕНИЕ РЕКОМЕНДАЦИЙ В ОБЛАСТИ ВНУТРЕННЕГО НАДЗОРА</w:t>
        </w:r>
        <w:r w:rsidR="00DE394D">
          <w:rPr>
            <w:noProof/>
            <w:webHidden/>
          </w:rPr>
          <w:tab/>
        </w:r>
        <w:r w:rsidR="00DE394D">
          <w:rPr>
            <w:noProof/>
            <w:webHidden/>
          </w:rPr>
          <w:fldChar w:fldCharType="begin"/>
        </w:r>
        <w:r w:rsidR="00DE394D">
          <w:rPr>
            <w:noProof/>
            <w:webHidden/>
          </w:rPr>
          <w:instrText xml:space="preserve"> PAGEREF _Toc98252893 \h </w:instrText>
        </w:r>
        <w:r w:rsidR="00DE394D">
          <w:rPr>
            <w:noProof/>
            <w:webHidden/>
          </w:rPr>
        </w:r>
        <w:r w:rsidR="00DE394D">
          <w:rPr>
            <w:noProof/>
            <w:webHidden/>
          </w:rPr>
          <w:fldChar w:fldCharType="separate"/>
        </w:r>
        <w:r w:rsidR="00203782">
          <w:rPr>
            <w:noProof/>
            <w:webHidden/>
          </w:rPr>
          <w:t>21</w:t>
        </w:r>
        <w:r w:rsidR="00DE394D">
          <w:rPr>
            <w:noProof/>
            <w:webHidden/>
          </w:rPr>
          <w:fldChar w:fldCharType="end"/>
        </w:r>
      </w:hyperlink>
    </w:p>
    <w:p w14:paraId="4B17B037" w14:textId="685A7D84" w:rsidR="00DE394D" w:rsidRDefault="00475EA2">
      <w:pPr>
        <w:pStyle w:val="TOC1"/>
        <w:rPr>
          <w:rFonts w:asciiTheme="minorHAnsi" w:eastAsiaTheme="minorEastAsia" w:hAnsiTheme="minorHAnsi" w:cstheme="minorBidi"/>
          <w:noProof/>
        </w:rPr>
      </w:pPr>
      <w:r>
        <w:t xml:space="preserve">КОНСУЛЬТАЦИОННАЯ И </w:t>
      </w:r>
      <w:hyperlink w:anchor="_Toc98252894" w:history="1">
        <w:r w:rsidR="002F43F7">
          <w:t>КОНСУЛЬТАТИВНАЯ РАБОТА ПО ВОПРОСАМ НАДЗОРА</w:t>
        </w:r>
        <w:r w:rsidR="00DE394D">
          <w:rPr>
            <w:noProof/>
            <w:webHidden/>
          </w:rPr>
          <w:tab/>
        </w:r>
        <w:r w:rsidR="00DE394D">
          <w:rPr>
            <w:noProof/>
            <w:webHidden/>
          </w:rPr>
          <w:fldChar w:fldCharType="begin"/>
        </w:r>
        <w:r w:rsidR="00DE394D">
          <w:rPr>
            <w:noProof/>
            <w:webHidden/>
          </w:rPr>
          <w:instrText xml:space="preserve"> PAGEREF _Toc98252894 \h </w:instrText>
        </w:r>
        <w:r w:rsidR="00DE394D">
          <w:rPr>
            <w:noProof/>
            <w:webHidden/>
          </w:rPr>
        </w:r>
        <w:r w:rsidR="00DE394D">
          <w:rPr>
            <w:noProof/>
            <w:webHidden/>
          </w:rPr>
          <w:fldChar w:fldCharType="separate"/>
        </w:r>
        <w:r w:rsidR="00203782">
          <w:rPr>
            <w:noProof/>
            <w:webHidden/>
          </w:rPr>
          <w:t>24</w:t>
        </w:r>
        <w:r w:rsidR="00DE394D">
          <w:rPr>
            <w:noProof/>
            <w:webHidden/>
          </w:rPr>
          <w:fldChar w:fldCharType="end"/>
        </w:r>
      </w:hyperlink>
    </w:p>
    <w:p w14:paraId="66D006D8" w14:textId="3D3B3AAC" w:rsidR="00DE394D" w:rsidRDefault="00F23898">
      <w:pPr>
        <w:pStyle w:val="TOC1"/>
        <w:rPr>
          <w:rFonts w:asciiTheme="minorHAnsi" w:eastAsiaTheme="minorEastAsia" w:hAnsiTheme="minorHAnsi" w:cstheme="minorBidi"/>
          <w:noProof/>
        </w:rPr>
      </w:pPr>
      <w:hyperlink w:anchor="_Toc98252895" w:history="1">
        <w:r w:rsidR="00377856">
          <w:t>СОТРУДНИЧЕСТВО С ВНЕШНИМИ НАДЗОРНЫМИ ОРГАНАМИ</w:t>
        </w:r>
        <w:r w:rsidR="00DE394D">
          <w:rPr>
            <w:noProof/>
            <w:webHidden/>
          </w:rPr>
          <w:tab/>
        </w:r>
        <w:r w:rsidR="00DE394D">
          <w:rPr>
            <w:noProof/>
            <w:webHidden/>
          </w:rPr>
          <w:fldChar w:fldCharType="begin"/>
        </w:r>
        <w:r w:rsidR="00DE394D">
          <w:rPr>
            <w:noProof/>
            <w:webHidden/>
          </w:rPr>
          <w:instrText xml:space="preserve"> PAGEREF _Toc98252895 \h </w:instrText>
        </w:r>
        <w:r w:rsidR="00DE394D">
          <w:rPr>
            <w:noProof/>
            <w:webHidden/>
          </w:rPr>
        </w:r>
        <w:r w:rsidR="00DE394D">
          <w:rPr>
            <w:noProof/>
            <w:webHidden/>
          </w:rPr>
          <w:fldChar w:fldCharType="separate"/>
        </w:r>
        <w:r w:rsidR="00203782">
          <w:rPr>
            <w:noProof/>
            <w:webHidden/>
          </w:rPr>
          <w:t>25</w:t>
        </w:r>
        <w:r w:rsidR="00DE394D">
          <w:rPr>
            <w:noProof/>
            <w:webHidden/>
          </w:rPr>
          <w:fldChar w:fldCharType="end"/>
        </w:r>
      </w:hyperlink>
    </w:p>
    <w:p w14:paraId="55A376A4" w14:textId="1F54AB2D" w:rsidR="00DE394D" w:rsidRDefault="00F23898">
      <w:pPr>
        <w:pStyle w:val="TOC1"/>
        <w:rPr>
          <w:rFonts w:asciiTheme="minorHAnsi" w:eastAsiaTheme="minorEastAsia" w:hAnsiTheme="minorHAnsi" w:cstheme="minorBidi"/>
          <w:noProof/>
        </w:rPr>
      </w:pPr>
      <w:hyperlink w:anchor="_Toc98252896" w:history="1">
        <w:r w:rsidR="009B5433">
          <w:t>ПРОЧИЕ НАПРАВЛЕНИЯ РАБОТЫ ПО ОБЕСПЕЧЕНИЮ НАДЗОРА</w:t>
        </w:r>
        <w:r w:rsidR="00DE394D">
          <w:rPr>
            <w:noProof/>
            <w:webHidden/>
          </w:rPr>
          <w:tab/>
        </w:r>
        <w:r w:rsidR="00DE394D">
          <w:rPr>
            <w:noProof/>
            <w:webHidden/>
          </w:rPr>
          <w:fldChar w:fldCharType="begin"/>
        </w:r>
        <w:r w:rsidR="00DE394D">
          <w:rPr>
            <w:noProof/>
            <w:webHidden/>
          </w:rPr>
          <w:instrText xml:space="preserve"> PAGEREF _Toc98252896 \h </w:instrText>
        </w:r>
        <w:r w:rsidR="00DE394D">
          <w:rPr>
            <w:noProof/>
            <w:webHidden/>
          </w:rPr>
        </w:r>
        <w:r w:rsidR="00DE394D">
          <w:rPr>
            <w:noProof/>
            <w:webHidden/>
          </w:rPr>
          <w:fldChar w:fldCharType="separate"/>
        </w:r>
        <w:r w:rsidR="00203782">
          <w:rPr>
            <w:noProof/>
            <w:webHidden/>
          </w:rPr>
          <w:t>25</w:t>
        </w:r>
        <w:r w:rsidR="00DE394D">
          <w:rPr>
            <w:noProof/>
            <w:webHidden/>
          </w:rPr>
          <w:fldChar w:fldCharType="end"/>
        </w:r>
      </w:hyperlink>
    </w:p>
    <w:p w14:paraId="7B0B5A2D" w14:textId="60CC72A7" w:rsidR="00DE394D" w:rsidRDefault="00F23898">
      <w:pPr>
        <w:pStyle w:val="TOC1"/>
        <w:rPr>
          <w:rFonts w:asciiTheme="minorHAnsi" w:eastAsiaTheme="minorEastAsia" w:hAnsiTheme="minorHAnsi" w:cstheme="minorBidi"/>
          <w:noProof/>
        </w:rPr>
      </w:pPr>
      <w:hyperlink w:anchor="_Toc98252897" w:history="1">
        <w:r w:rsidR="009B5433">
          <w:t>ПРОГРАММА ОБЕСПЕЧЕНИЯ И ПОВЫШЕНИЯ КАЧЕСТВА ОВН</w:t>
        </w:r>
        <w:r w:rsidR="00DE394D">
          <w:rPr>
            <w:noProof/>
            <w:webHidden/>
          </w:rPr>
          <w:tab/>
        </w:r>
        <w:r w:rsidR="00DE394D">
          <w:rPr>
            <w:noProof/>
            <w:webHidden/>
          </w:rPr>
          <w:fldChar w:fldCharType="begin"/>
        </w:r>
        <w:r w:rsidR="00DE394D">
          <w:rPr>
            <w:noProof/>
            <w:webHidden/>
          </w:rPr>
          <w:instrText xml:space="preserve"> PAGEREF _Toc98252897 \h </w:instrText>
        </w:r>
        <w:r w:rsidR="00DE394D">
          <w:rPr>
            <w:noProof/>
            <w:webHidden/>
          </w:rPr>
        </w:r>
        <w:r w:rsidR="00DE394D">
          <w:rPr>
            <w:noProof/>
            <w:webHidden/>
          </w:rPr>
          <w:fldChar w:fldCharType="separate"/>
        </w:r>
        <w:r w:rsidR="00203782">
          <w:rPr>
            <w:noProof/>
            <w:webHidden/>
          </w:rPr>
          <w:t>26</w:t>
        </w:r>
        <w:r w:rsidR="00DE394D">
          <w:rPr>
            <w:noProof/>
            <w:webHidden/>
          </w:rPr>
          <w:fldChar w:fldCharType="end"/>
        </w:r>
      </w:hyperlink>
    </w:p>
    <w:p w14:paraId="7D8F6010" w14:textId="368FA046" w:rsidR="00DE394D" w:rsidRDefault="00F23898">
      <w:pPr>
        <w:pStyle w:val="TOC1"/>
        <w:rPr>
          <w:rFonts w:asciiTheme="minorHAnsi" w:eastAsiaTheme="minorEastAsia" w:hAnsiTheme="minorHAnsi" w:cstheme="minorBidi"/>
          <w:noProof/>
        </w:rPr>
      </w:pPr>
      <w:hyperlink w:anchor="_Toc98252898" w:history="1">
        <w:r w:rsidR="00DC6A9F">
          <w:t>РЕСУРСЫ ДЛЯ НАДЗОРНОЙ ДЕЯТЕЛЬНОСТИ</w:t>
        </w:r>
        <w:r w:rsidR="00DE394D">
          <w:rPr>
            <w:noProof/>
            <w:webHidden/>
          </w:rPr>
          <w:tab/>
        </w:r>
        <w:r w:rsidR="00DE394D">
          <w:rPr>
            <w:noProof/>
            <w:webHidden/>
          </w:rPr>
          <w:fldChar w:fldCharType="begin"/>
        </w:r>
        <w:r w:rsidR="00DE394D">
          <w:rPr>
            <w:noProof/>
            <w:webHidden/>
          </w:rPr>
          <w:instrText xml:space="preserve"> PAGEREF _Toc98252898 \h </w:instrText>
        </w:r>
        <w:r w:rsidR="00DE394D">
          <w:rPr>
            <w:noProof/>
            <w:webHidden/>
          </w:rPr>
        </w:r>
        <w:r w:rsidR="00DE394D">
          <w:rPr>
            <w:noProof/>
            <w:webHidden/>
          </w:rPr>
          <w:fldChar w:fldCharType="separate"/>
        </w:r>
        <w:r w:rsidR="00203782">
          <w:rPr>
            <w:noProof/>
            <w:webHidden/>
          </w:rPr>
          <w:t>28</w:t>
        </w:r>
        <w:r w:rsidR="00DE394D">
          <w:rPr>
            <w:noProof/>
            <w:webHidden/>
          </w:rPr>
          <w:fldChar w:fldCharType="end"/>
        </w:r>
      </w:hyperlink>
    </w:p>
    <w:p w14:paraId="37F22DEE" w14:textId="16CB4173" w:rsidR="00C46B12" w:rsidRPr="00520248" w:rsidRDefault="007159D2" w:rsidP="00C46B12">
      <w:pPr>
        <w:keepLines/>
        <w:tabs>
          <w:tab w:val="left" w:leader="dot" w:pos="8910"/>
        </w:tabs>
        <w:rPr>
          <w:b/>
        </w:rPr>
      </w:pPr>
      <w:r>
        <w:fldChar w:fldCharType="end"/>
      </w:r>
    </w:p>
    <w:p w14:paraId="60D8E205" w14:textId="65D46DDC" w:rsidR="00C46B12" w:rsidRDefault="00C46B12" w:rsidP="00C46B12">
      <w:pPr>
        <w:keepLines/>
        <w:tabs>
          <w:tab w:val="left" w:pos="1134"/>
          <w:tab w:val="left" w:pos="1560"/>
        </w:tabs>
        <w:rPr>
          <w:noProof/>
        </w:rPr>
      </w:pPr>
      <w:r>
        <w:t>ПРИЛОЖЕНИЕ – Перечень отчетов</w:t>
      </w:r>
      <w:r w:rsidR="002B4981">
        <w:t xml:space="preserve"> ОВН</w:t>
      </w:r>
    </w:p>
    <w:p w14:paraId="7B63BC7E" w14:textId="77777777" w:rsidR="00C46B12" w:rsidRDefault="00C46B12" w:rsidP="00C46B12">
      <w:pPr>
        <w:rPr>
          <w:b/>
          <w:bCs/>
          <w:caps/>
          <w:kern w:val="32"/>
          <w:szCs w:val="32"/>
        </w:rPr>
      </w:pPr>
      <w:r>
        <w:br w:type="page"/>
      </w:r>
    </w:p>
    <w:p w14:paraId="3C433671" w14:textId="77777777" w:rsidR="00C46B12" w:rsidRDefault="00C46B12" w:rsidP="00C46B12">
      <w:pPr>
        <w:pStyle w:val="Heading1"/>
      </w:pPr>
      <w:bookmarkStart w:id="7" w:name="_Toc39071243"/>
      <w:bookmarkStart w:id="8" w:name="_Toc98252882"/>
      <w:r>
        <w:lastRenderedPageBreak/>
        <w:t>СПИСОК ИСПОЛЬЗУЕМЫХ СОКРАЩЕНИЙ</w:t>
      </w:r>
      <w:bookmarkEnd w:id="7"/>
      <w:bookmarkEnd w:id="8"/>
    </w:p>
    <w:p w14:paraId="798C72E0" w14:textId="77777777" w:rsidR="007159D2" w:rsidRPr="007159D2" w:rsidRDefault="007159D2" w:rsidP="007159D2"/>
    <w:tbl>
      <w:tblPr>
        <w:tblStyle w:val="TableGridLight"/>
        <w:tblW w:w="0" w:type="auto"/>
        <w:tblLook w:val="01E0" w:firstRow="1" w:lastRow="1" w:firstColumn="1" w:lastColumn="1" w:noHBand="0" w:noVBand="0"/>
        <w:tblCaption w:val="List of acronyms"/>
        <w:tblDescription w:val="List of acronyms used in the document"/>
      </w:tblPr>
      <w:tblGrid>
        <w:gridCol w:w="1701"/>
        <w:gridCol w:w="7230"/>
      </w:tblGrid>
      <w:tr w:rsidR="0066080A" w:rsidRPr="00DF27E3" w14:paraId="73F13E3C" w14:textId="77777777" w:rsidTr="00335B35">
        <w:trPr>
          <w:trHeight w:val="340"/>
          <w:tblHeader/>
        </w:trPr>
        <w:tc>
          <w:tcPr>
            <w:tcW w:w="1701" w:type="dxa"/>
            <w:shd w:val="clear" w:color="auto" w:fill="auto"/>
          </w:tcPr>
          <w:p w14:paraId="1C1FF5CF" w14:textId="77777777" w:rsidR="0066080A" w:rsidRPr="00913CE2" w:rsidRDefault="0066080A" w:rsidP="00524F64">
            <w:pPr>
              <w:tabs>
                <w:tab w:val="right" w:pos="6880"/>
              </w:tabs>
              <w:ind w:left="43"/>
              <w:rPr>
                <w:b/>
              </w:rPr>
            </w:pPr>
            <w:bookmarkStart w:id="9" w:name="_Toc392160703"/>
            <w:bookmarkStart w:id="10" w:name="_Toc392160740"/>
            <w:bookmarkStart w:id="11" w:name="_Toc423530309"/>
            <w:bookmarkStart w:id="12" w:name="_Toc423533365"/>
            <w:bookmarkStart w:id="13" w:name="_Toc423533509"/>
            <w:bookmarkStart w:id="14" w:name="_Toc452648468"/>
            <w:r>
              <w:rPr>
                <w:b/>
              </w:rPr>
              <w:t>СУАИ</w:t>
            </w:r>
          </w:p>
        </w:tc>
        <w:tc>
          <w:tcPr>
            <w:tcW w:w="7230" w:type="dxa"/>
            <w:shd w:val="clear" w:color="auto" w:fill="auto"/>
          </w:tcPr>
          <w:p w14:paraId="1125D88C" w14:textId="77777777" w:rsidR="0066080A" w:rsidRDefault="0066080A" w:rsidP="00524F64">
            <w:pPr>
              <w:tabs>
                <w:tab w:val="right" w:pos="6880"/>
              </w:tabs>
              <w:ind w:left="43"/>
            </w:pPr>
            <w:r>
              <w:t>Система управления административной информацией</w:t>
            </w:r>
          </w:p>
        </w:tc>
      </w:tr>
      <w:tr w:rsidR="003B4645" w:rsidRPr="00DF27E3" w14:paraId="37005FF3" w14:textId="77777777" w:rsidTr="00335B35">
        <w:trPr>
          <w:trHeight w:val="340"/>
          <w:tblHeader/>
        </w:trPr>
        <w:tc>
          <w:tcPr>
            <w:tcW w:w="1701" w:type="dxa"/>
            <w:shd w:val="clear" w:color="auto" w:fill="auto"/>
          </w:tcPr>
          <w:p w14:paraId="76BB9CD3" w14:textId="34877F77" w:rsidR="003B4645" w:rsidRDefault="003B4645" w:rsidP="00524F64">
            <w:pPr>
              <w:tabs>
                <w:tab w:val="right" w:pos="6880"/>
              </w:tabs>
              <w:ind w:left="43"/>
              <w:rPr>
                <w:b/>
              </w:rPr>
            </w:pPr>
            <w:r>
              <w:rPr>
                <w:b/>
              </w:rPr>
              <w:t>ПС</w:t>
            </w:r>
          </w:p>
        </w:tc>
        <w:tc>
          <w:tcPr>
            <w:tcW w:w="7230" w:type="dxa"/>
            <w:shd w:val="clear" w:color="auto" w:fill="auto"/>
          </w:tcPr>
          <w:p w14:paraId="167C3B6C" w14:textId="02FA7B4B" w:rsidR="003B4645" w:rsidRPr="00544A24" w:rsidRDefault="003B4645" w:rsidP="00524F64">
            <w:pPr>
              <w:tabs>
                <w:tab w:val="right" w:pos="6880"/>
              </w:tabs>
              <w:ind w:left="43"/>
              <w:rPr>
                <w:szCs w:val="22"/>
              </w:rPr>
            </w:pPr>
            <w:r>
              <w:t>Поведенческие соображения</w:t>
            </w:r>
          </w:p>
        </w:tc>
      </w:tr>
      <w:tr w:rsidR="0066080A" w:rsidRPr="00DF27E3" w14:paraId="3CD2FBD5" w14:textId="77777777" w:rsidTr="00335B35">
        <w:trPr>
          <w:trHeight w:val="340"/>
          <w:tblHeader/>
        </w:trPr>
        <w:tc>
          <w:tcPr>
            <w:tcW w:w="1701" w:type="dxa"/>
            <w:shd w:val="clear" w:color="auto" w:fill="auto"/>
          </w:tcPr>
          <w:p w14:paraId="08ED79AA" w14:textId="77777777" w:rsidR="0066080A" w:rsidRPr="00913CE2" w:rsidRDefault="0066080A" w:rsidP="00524F64">
            <w:pPr>
              <w:tabs>
                <w:tab w:val="right" w:pos="6880"/>
              </w:tabs>
              <w:ind w:left="43"/>
              <w:rPr>
                <w:b/>
                <w:szCs w:val="22"/>
              </w:rPr>
            </w:pPr>
            <w:r>
              <w:rPr>
                <w:b/>
              </w:rPr>
              <w:t>КРИС</w:t>
            </w:r>
          </w:p>
        </w:tc>
        <w:tc>
          <w:tcPr>
            <w:tcW w:w="7230" w:type="dxa"/>
            <w:shd w:val="clear" w:color="auto" w:fill="auto"/>
          </w:tcPr>
          <w:p w14:paraId="19611799" w14:textId="77777777" w:rsidR="0066080A" w:rsidRPr="00283923" w:rsidRDefault="0066080A" w:rsidP="00524F64">
            <w:pPr>
              <w:tabs>
                <w:tab w:val="right" w:pos="6880"/>
              </w:tabs>
              <w:ind w:left="43"/>
              <w:rPr>
                <w:szCs w:val="22"/>
              </w:rPr>
            </w:pPr>
            <w:r>
              <w:t>Комитет по развитию и интеллектуальной собственности</w:t>
            </w:r>
          </w:p>
        </w:tc>
      </w:tr>
      <w:tr w:rsidR="00C93184" w:rsidRPr="00DF27E3" w14:paraId="100E84A1" w14:textId="77777777" w:rsidTr="00335B35">
        <w:trPr>
          <w:trHeight w:val="340"/>
          <w:tblHeader/>
        </w:trPr>
        <w:tc>
          <w:tcPr>
            <w:tcW w:w="1701" w:type="dxa"/>
            <w:shd w:val="clear" w:color="auto" w:fill="auto"/>
          </w:tcPr>
          <w:p w14:paraId="6583F123" w14:textId="47BC9110" w:rsidR="00C93184" w:rsidRDefault="00C93184" w:rsidP="00524F64">
            <w:pPr>
              <w:tabs>
                <w:tab w:val="right" w:pos="6880"/>
              </w:tabs>
              <w:ind w:left="43"/>
              <w:rPr>
                <w:b/>
                <w:szCs w:val="22"/>
              </w:rPr>
            </w:pPr>
            <w:r>
              <w:rPr>
                <w:b/>
              </w:rPr>
              <w:t>COVID-19</w:t>
            </w:r>
          </w:p>
        </w:tc>
        <w:tc>
          <w:tcPr>
            <w:tcW w:w="7230" w:type="dxa"/>
            <w:shd w:val="clear" w:color="auto" w:fill="auto"/>
          </w:tcPr>
          <w:p w14:paraId="11C6BB5C" w14:textId="69F6DCDA" w:rsidR="00C93184" w:rsidRPr="00DF27E3" w:rsidRDefault="00C93184" w:rsidP="00524F64">
            <w:pPr>
              <w:tabs>
                <w:tab w:val="right" w:pos="6880"/>
              </w:tabs>
              <w:ind w:left="43"/>
              <w:rPr>
                <w:szCs w:val="22"/>
              </w:rPr>
            </w:pPr>
            <w:r>
              <w:t>коронавирусная инфекция</w:t>
            </w:r>
          </w:p>
        </w:tc>
      </w:tr>
      <w:tr w:rsidR="0030017C" w:rsidRPr="00DF27E3" w14:paraId="0CF1EA5B" w14:textId="77777777" w:rsidTr="00335B35">
        <w:trPr>
          <w:trHeight w:val="340"/>
          <w:tblHeader/>
        </w:trPr>
        <w:tc>
          <w:tcPr>
            <w:tcW w:w="1701" w:type="dxa"/>
            <w:shd w:val="clear" w:color="auto" w:fill="auto"/>
          </w:tcPr>
          <w:p w14:paraId="126340EB" w14:textId="522450D6" w:rsidR="0030017C" w:rsidRDefault="0030017C" w:rsidP="00524F64">
            <w:pPr>
              <w:tabs>
                <w:tab w:val="right" w:pos="6880"/>
              </w:tabs>
              <w:ind w:left="43"/>
              <w:rPr>
                <w:b/>
                <w:szCs w:val="22"/>
              </w:rPr>
            </w:pPr>
            <w:r>
              <w:rPr>
                <w:b/>
              </w:rPr>
              <w:t>ОАС</w:t>
            </w:r>
          </w:p>
        </w:tc>
        <w:tc>
          <w:tcPr>
            <w:tcW w:w="7230" w:type="dxa"/>
            <w:shd w:val="clear" w:color="auto" w:fill="auto"/>
          </w:tcPr>
          <w:p w14:paraId="04BE2083" w14:textId="519559B0" w:rsidR="0030017C" w:rsidRDefault="0030017C" w:rsidP="00524F64">
            <w:pPr>
              <w:tabs>
                <w:tab w:val="right" w:pos="6880"/>
              </w:tabs>
              <w:ind w:left="43"/>
              <w:rPr>
                <w:szCs w:val="22"/>
              </w:rPr>
            </w:pPr>
            <w:r>
              <w:t>Отдел арабских стран</w:t>
            </w:r>
          </w:p>
        </w:tc>
      </w:tr>
      <w:tr w:rsidR="0066080A" w:rsidRPr="00DF27E3" w14:paraId="3A89ED39" w14:textId="77777777" w:rsidTr="00335B35">
        <w:trPr>
          <w:trHeight w:val="340"/>
          <w:tblHeader/>
        </w:trPr>
        <w:tc>
          <w:tcPr>
            <w:tcW w:w="1701" w:type="dxa"/>
            <w:shd w:val="clear" w:color="auto" w:fill="auto"/>
          </w:tcPr>
          <w:p w14:paraId="03A4C513" w14:textId="77777777" w:rsidR="0066080A" w:rsidRDefault="0066080A" w:rsidP="00524F64">
            <w:pPr>
              <w:tabs>
                <w:tab w:val="right" w:pos="6880"/>
              </w:tabs>
              <w:ind w:left="43"/>
              <w:rPr>
                <w:b/>
                <w:szCs w:val="22"/>
              </w:rPr>
            </w:pPr>
            <w:r>
              <w:rPr>
                <w:b/>
              </w:rPr>
              <w:t>ОУР</w:t>
            </w:r>
          </w:p>
        </w:tc>
        <w:tc>
          <w:tcPr>
            <w:tcW w:w="7230" w:type="dxa"/>
            <w:shd w:val="clear" w:color="auto" w:fill="auto"/>
          </w:tcPr>
          <w:p w14:paraId="632917FB" w14:textId="77777777" w:rsidR="0066080A" w:rsidRPr="00920B7F" w:rsidRDefault="0066080A" w:rsidP="00524F64">
            <w:pPr>
              <w:tabs>
                <w:tab w:val="right" w:pos="6880"/>
              </w:tabs>
              <w:ind w:left="43"/>
            </w:pPr>
            <w:r>
              <w:t>общеорганизационное управление рисками</w:t>
            </w:r>
          </w:p>
        </w:tc>
      </w:tr>
      <w:tr w:rsidR="0066080A" w:rsidRPr="00DF27E3" w14:paraId="371ABF53" w14:textId="77777777" w:rsidTr="00335B35">
        <w:trPr>
          <w:trHeight w:val="340"/>
          <w:tblHeader/>
        </w:trPr>
        <w:tc>
          <w:tcPr>
            <w:tcW w:w="1701" w:type="dxa"/>
            <w:shd w:val="clear" w:color="auto" w:fill="auto"/>
          </w:tcPr>
          <w:p w14:paraId="585E72E8" w14:textId="77777777" w:rsidR="0066080A" w:rsidRPr="00913CE2" w:rsidRDefault="0066080A" w:rsidP="00524F64">
            <w:pPr>
              <w:ind w:left="43"/>
              <w:rPr>
                <w:b/>
                <w:szCs w:val="22"/>
              </w:rPr>
            </w:pPr>
            <w:r>
              <w:rPr>
                <w:b/>
              </w:rPr>
              <w:t>ДУЛР</w:t>
            </w:r>
          </w:p>
        </w:tc>
        <w:tc>
          <w:tcPr>
            <w:tcW w:w="7230" w:type="dxa"/>
            <w:shd w:val="clear" w:color="auto" w:fill="auto"/>
          </w:tcPr>
          <w:p w14:paraId="3A6B07E5" w14:textId="77777777" w:rsidR="0066080A" w:rsidRPr="00DF27E3" w:rsidRDefault="0066080A" w:rsidP="00524F64">
            <w:pPr>
              <w:ind w:left="43"/>
              <w:rPr>
                <w:szCs w:val="22"/>
              </w:rPr>
            </w:pPr>
            <w:r>
              <w:t>Департамент управления людскими ресурсами</w:t>
            </w:r>
          </w:p>
        </w:tc>
      </w:tr>
      <w:tr w:rsidR="0066080A" w:rsidRPr="00DF27E3" w14:paraId="4977E2E6" w14:textId="77777777" w:rsidTr="00335B35">
        <w:trPr>
          <w:trHeight w:val="340"/>
          <w:tblHeader/>
        </w:trPr>
        <w:tc>
          <w:tcPr>
            <w:tcW w:w="1701" w:type="dxa"/>
            <w:shd w:val="clear" w:color="auto" w:fill="auto"/>
          </w:tcPr>
          <w:p w14:paraId="182A928B" w14:textId="77777777" w:rsidR="0066080A" w:rsidRPr="00913CE2" w:rsidRDefault="0066080A" w:rsidP="00524F64">
            <w:pPr>
              <w:ind w:left="43"/>
              <w:rPr>
                <w:b/>
                <w:szCs w:val="22"/>
              </w:rPr>
            </w:pPr>
            <w:r>
              <w:rPr>
                <w:b/>
              </w:rPr>
              <w:t>НККН</w:t>
            </w:r>
          </w:p>
        </w:tc>
        <w:tc>
          <w:tcPr>
            <w:tcW w:w="7230" w:type="dxa"/>
            <w:shd w:val="clear" w:color="auto" w:fill="auto"/>
          </w:tcPr>
          <w:p w14:paraId="3444AB99" w14:textId="77777777" w:rsidR="0066080A" w:rsidRPr="00DF27E3" w:rsidRDefault="0066080A" w:rsidP="00524F64">
            <w:pPr>
              <w:ind w:left="43"/>
              <w:rPr>
                <w:szCs w:val="22"/>
              </w:rPr>
            </w:pPr>
            <w:r>
              <w:t>Независимый консультативный комитет по надзору</w:t>
            </w:r>
          </w:p>
        </w:tc>
      </w:tr>
      <w:tr w:rsidR="0066080A" w:rsidRPr="00DF27E3" w14:paraId="710D0188" w14:textId="77777777" w:rsidTr="00335B35">
        <w:trPr>
          <w:trHeight w:val="340"/>
          <w:tblHeader/>
        </w:trPr>
        <w:tc>
          <w:tcPr>
            <w:tcW w:w="1701" w:type="dxa"/>
            <w:shd w:val="clear" w:color="auto" w:fill="auto"/>
          </w:tcPr>
          <w:p w14:paraId="44E55687" w14:textId="77777777" w:rsidR="0066080A" w:rsidRPr="00913CE2" w:rsidRDefault="0066080A" w:rsidP="00524F64">
            <w:pPr>
              <w:ind w:left="43"/>
              <w:rPr>
                <w:b/>
                <w:szCs w:val="22"/>
              </w:rPr>
            </w:pPr>
            <w:r>
              <w:rPr>
                <w:b/>
              </w:rPr>
              <w:t>УВН</w:t>
            </w:r>
          </w:p>
        </w:tc>
        <w:tc>
          <w:tcPr>
            <w:tcW w:w="7230" w:type="dxa"/>
            <w:shd w:val="clear" w:color="auto" w:fill="auto"/>
          </w:tcPr>
          <w:p w14:paraId="2D354E63" w14:textId="77777777" w:rsidR="0066080A" w:rsidRPr="00DF27E3" w:rsidRDefault="0066080A" w:rsidP="00524F64">
            <w:pPr>
              <w:ind w:left="43"/>
              <w:rPr>
                <w:szCs w:val="22"/>
              </w:rPr>
            </w:pPr>
            <w:r>
              <w:t>Устав внутреннего надзора</w:t>
            </w:r>
          </w:p>
        </w:tc>
      </w:tr>
      <w:tr w:rsidR="0066080A" w:rsidRPr="00DF27E3" w14:paraId="6CC64CEF" w14:textId="77777777" w:rsidTr="00335B35">
        <w:trPr>
          <w:trHeight w:val="340"/>
          <w:tblHeader/>
        </w:trPr>
        <w:tc>
          <w:tcPr>
            <w:tcW w:w="1701" w:type="dxa"/>
            <w:shd w:val="clear" w:color="auto" w:fill="auto"/>
          </w:tcPr>
          <w:p w14:paraId="1B00A8E2" w14:textId="77777777" w:rsidR="0066080A" w:rsidRPr="00913CE2" w:rsidRDefault="0066080A" w:rsidP="00524F64">
            <w:pPr>
              <w:ind w:left="43"/>
              <w:rPr>
                <w:b/>
                <w:szCs w:val="22"/>
              </w:rPr>
            </w:pPr>
            <w:r>
              <w:rPr>
                <w:b/>
              </w:rPr>
              <w:t>ОВН</w:t>
            </w:r>
          </w:p>
        </w:tc>
        <w:tc>
          <w:tcPr>
            <w:tcW w:w="7230" w:type="dxa"/>
            <w:shd w:val="clear" w:color="auto" w:fill="auto"/>
          </w:tcPr>
          <w:p w14:paraId="035B9DED" w14:textId="77777777" w:rsidR="0066080A" w:rsidRPr="00DF27E3" w:rsidRDefault="0066080A" w:rsidP="00524F64">
            <w:pPr>
              <w:ind w:left="43"/>
              <w:rPr>
                <w:szCs w:val="22"/>
              </w:rPr>
            </w:pPr>
            <w:r>
              <w:t>Отдел внутреннего надзора</w:t>
            </w:r>
          </w:p>
        </w:tc>
      </w:tr>
      <w:tr w:rsidR="00D04C9C" w:rsidRPr="00DF27E3" w14:paraId="56C0C790" w14:textId="77777777" w:rsidTr="00335B35">
        <w:trPr>
          <w:trHeight w:val="340"/>
          <w:tblHeader/>
        </w:trPr>
        <w:tc>
          <w:tcPr>
            <w:tcW w:w="1701" w:type="dxa"/>
            <w:shd w:val="clear" w:color="auto" w:fill="auto"/>
          </w:tcPr>
          <w:p w14:paraId="227679D2" w14:textId="0680249D" w:rsidR="00D04C9C" w:rsidRDefault="00D04C9C" w:rsidP="00524F64">
            <w:pPr>
              <w:ind w:left="43"/>
              <w:rPr>
                <w:b/>
                <w:szCs w:val="22"/>
              </w:rPr>
            </w:pPr>
            <w:r>
              <w:rPr>
                <w:b/>
              </w:rPr>
              <w:t>ИС</w:t>
            </w:r>
          </w:p>
        </w:tc>
        <w:tc>
          <w:tcPr>
            <w:tcW w:w="7230" w:type="dxa"/>
            <w:shd w:val="clear" w:color="auto" w:fill="auto"/>
          </w:tcPr>
          <w:p w14:paraId="362C2629" w14:textId="006BEE8A" w:rsidR="00D04C9C" w:rsidRPr="00DF27E3" w:rsidRDefault="00D04C9C" w:rsidP="00524F64">
            <w:pPr>
              <w:ind w:left="43"/>
              <w:rPr>
                <w:szCs w:val="22"/>
              </w:rPr>
            </w:pPr>
            <w:r>
              <w:t>интеллектуальная собственность</w:t>
            </w:r>
          </w:p>
        </w:tc>
      </w:tr>
      <w:tr w:rsidR="006460F7" w:rsidRPr="00DF27E3" w14:paraId="01B5D760" w14:textId="77777777" w:rsidTr="00335B35">
        <w:trPr>
          <w:trHeight w:val="340"/>
          <w:tblHeader/>
        </w:trPr>
        <w:tc>
          <w:tcPr>
            <w:tcW w:w="1701" w:type="dxa"/>
            <w:shd w:val="clear" w:color="auto" w:fill="auto"/>
          </w:tcPr>
          <w:p w14:paraId="2DF21109" w14:textId="79CF1EDE" w:rsidR="006460F7" w:rsidRDefault="006460F7" w:rsidP="00524F64">
            <w:pPr>
              <w:ind w:left="43"/>
              <w:rPr>
                <w:b/>
                <w:szCs w:val="22"/>
              </w:rPr>
            </w:pPr>
            <w:r>
              <w:rPr>
                <w:b/>
              </w:rPr>
              <w:t>ИT</w:t>
            </w:r>
          </w:p>
        </w:tc>
        <w:tc>
          <w:tcPr>
            <w:tcW w:w="7230" w:type="dxa"/>
            <w:shd w:val="clear" w:color="auto" w:fill="auto"/>
          </w:tcPr>
          <w:p w14:paraId="3A8454CC" w14:textId="26108DD2" w:rsidR="006460F7" w:rsidRPr="00DF27E3" w:rsidRDefault="006460F7" w:rsidP="00524F64">
            <w:pPr>
              <w:ind w:left="43"/>
              <w:rPr>
                <w:szCs w:val="22"/>
              </w:rPr>
            </w:pPr>
            <w:r>
              <w:t>информационные технологии</w:t>
            </w:r>
          </w:p>
        </w:tc>
      </w:tr>
      <w:tr w:rsidR="0066080A" w:rsidRPr="00DF27E3" w14:paraId="58945BA2" w14:textId="77777777" w:rsidTr="00335B35">
        <w:trPr>
          <w:trHeight w:val="340"/>
          <w:tblHeader/>
        </w:trPr>
        <w:tc>
          <w:tcPr>
            <w:tcW w:w="1701" w:type="dxa"/>
            <w:shd w:val="clear" w:color="auto" w:fill="auto"/>
          </w:tcPr>
          <w:p w14:paraId="72218DAE" w14:textId="77777777" w:rsidR="0066080A" w:rsidRPr="00913CE2" w:rsidRDefault="0066080A" w:rsidP="00524F64">
            <w:pPr>
              <w:ind w:left="43"/>
              <w:rPr>
                <w:b/>
                <w:szCs w:val="22"/>
              </w:rPr>
            </w:pPr>
            <w:r>
              <w:rPr>
                <w:b/>
              </w:rPr>
              <w:t>ОРРР</w:t>
            </w:r>
          </w:p>
        </w:tc>
        <w:tc>
          <w:tcPr>
            <w:tcW w:w="7230" w:type="dxa"/>
            <w:shd w:val="clear" w:color="auto" w:fill="auto"/>
          </w:tcPr>
          <w:p w14:paraId="0C4545D3" w14:textId="77777777" w:rsidR="0066080A" w:rsidRPr="00DF27E3" w:rsidRDefault="0066080A" w:rsidP="00524F64">
            <w:pPr>
              <w:ind w:left="43"/>
              <w:rPr>
                <w:szCs w:val="22"/>
              </w:rPr>
            </w:pPr>
            <w:r>
              <w:t>Отчет о результатах расследования для руководства</w:t>
            </w:r>
          </w:p>
        </w:tc>
      </w:tr>
      <w:tr w:rsidR="000C4E21" w:rsidRPr="00DF27E3" w14:paraId="6CB44B06" w14:textId="77777777" w:rsidTr="00335B35">
        <w:trPr>
          <w:trHeight w:val="340"/>
          <w:tblHeader/>
        </w:trPr>
        <w:tc>
          <w:tcPr>
            <w:tcW w:w="1701" w:type="dxa"/>
            <w:shd w:val="clear" w:color="auto" w:fill="auto"/>
          </w:tcPr>
          <w:p w14:paraId="17107A93" w14:textId="7C816C8D" w:rsidR="000C4E21" w:rsidRDefault="000C4E21" w:rsidP="00524F64">
            <w:pPr>
              <w:ind w:left="43"/>
              <w:rPr>
                <w:b/>
                <w:szCs w:val="22"/>
              </w:rPr>
            </w:pPr>
            <w:r>
              <w:rPr>
                <w:b/>
              </w:rPr>
              <w:t>СССП</w:t>
            </w:r>
          </w:p>
        </w:tc>
        <w:tc>
          <w:tcPr>
            <w:tcW w:w="7230" w:type="dxa"/>
            <w:shd w:val="clear" w:color="auto" w:fill="auto"/>
          </w:tcPr>
          <w:p w14:paraId="6E3B1C29" w14:textId="5B875029" w:rsidR="000C4E21" w:rsidRPr="00DF27E3" w:rsidRDefault="000C4E21" w:rsidP="00524F64">
            <w:pPr>
              <w:ind w:left="43"/>
              <w:rPr>
                <w:szCs w:val="22"/>
              </w:rPr>
            </w:pPr>
            <w:r>
              <w:rPr>
                <w:color w:val="323232"/>
              </w:rPr>
              <w:t>Среднесрочный стратегический план</w:t>
            </w:r>
          </w:p>
        </w:tc>
      </w:tr>
      <w:tr w:rsidR="00E16FEA" w:rsidRPr="00DF27E3" w14:paraId="4CCDA8D1" w14:textId="77777777" w:rsidTr="00335B35">
        <w:trPr>
          <w:trHeight w:val="340"/>
          <w:tblHeader/>
        </w:trPr>
        <w:tc>
          <w:tcPr>
            <w:tcW w:w="1701" w:type="dxa"/>
            <w:shd w:val="clear" w:color="auto" w:fill="auto"/>
          </w:tcPr>
          <w:p w14:paraId="4F07707F" w14:textId="1C52011A" w:rsidR="00E16FEA" w:rsidRDefault="00E16FEA" w:rsidP="00524F64">
            <w:pPr>
              <w:ind w:left="43"/>
              <w:rPr>
                <w:b/>
                <w:szCs w:val="22"/>
              </w:rPr>
            </w:pPr>
            <w:r>
              <w:rPr>
                <w:b/>
                <w:bCs/>
              </w:rPr>
              <w:t>НСИС</w:t>
            </w:r>
          </w:p>
        </w:tc>
        <w:tc>
          <w:tcPr>
            <w:tcW w:w="7230" w:type="dxa"/>
            <w:shd w:val="clear" w:color="auto" w:fill="auto"/>
          </w:tcPr>
          <w:p w14:paraId="6B739951" w14:textId="7C34C2FB" w:rsidR="00E16FEA" w:rsidRPr="00DF27E3" w:rsidRDefault="00E16FEA" w:rsidP="00524F64">
            <w:pPr>
              <w:ind w:left="43"/>
              <w:rPr>
                <w:szCs w:val="22"/>
              </w:rPr>
            </w:pPr>
            <w:r>
              <w:t>национальная стратегия в области ИС</w:t>
            </w:r>
          </w:p>
        </w:tc>
      </w:tr>
      <w:tr w:rsidR="0066080A" w:rsidRPr="00DF27E3" w14:paraId="1AE856E5" w14:textId="77777777" w:rsidTr="00335B35">
        <w:trPr>
          <w:trHeight w:val="340"/>
          <w:tblHeader/>
        </w:trPr>
        <w:tc>
          <w:tcPr>
            <w:tcW w:w="1701" w:type="dxa"/>
            <w:shd w:val="clear" w:color="auto" w:fill="auto"/>
          </w:tcPr>
          <w:p w14:paraId="1B2762BE" w14:textId="77777777" w:rsidR="0066080A" w:rsidRDefault="0066080A" w:rsidP="00524F64">
            <w:pPr>
              <w:ind w:left="43"/>
              <w:rPr>
                <w:b/>
                <w:szCs w:val="22"/>
              </w:rPr>
            </w:pPr>
            <w:r>
              <w:rPr>
                <w:b/>
              </w:rPr>
              <w:t>СИ</w:t>
            </w:r>
          </w:p>
        </w:tc>
        <w:tc>
          <w:tcPr>
            <w:tcW w:w="7230" w:type="dxa"/>
            <w:shd w:val="clear" w:color="auto" w:fill="auto"/>
          </w:tcPr>
          <w:p w14:paraId="5103D3FC" w14:textId="6A2229FA" w:rsidR="0066080A" w:rsidRPr="005E4455" w:rsidRDefault="0066080A" w:rsidP="00524F64">
            <w:pPr>
              <w:ind w:left="43"/>
            </w:pPr>
            <w:r>
              <w:t>служебная инструкция</w:t>
            </w:r>
          </w:p>
        </w:tc>
      </w:tr>
      <w:tr w:rsidR="0066080A" w:rsidRPr="00DF27E3" w14:paraId="3086A312" w14:textId="77777777" w:rsidTr="00335B35">
        <w:trPr>
          <w:trHeight w:val="340"/>
          <w:tblHeader/>
        </w:trPr>
        <w:tc>
          <w:tcPr>
            <w:tcW w:w="1701" w:type="dxa"/>
            <w:shd w:val="clear" w:color="auto" w:fill="auto"/>
          </w:tcPr>
          <w:p w14:paraId="7687C4A9" w14:textId="77777777" w:rsidR="0066080A" w:rsidRPr="00913CE2" w:rsidRDefault="0066080A" w:rsidP="00524F64">
            <w:pPr>
              <w:ind w:left="43"/>
              <w:rPr>
                <w:b/>
                <w:szCs w:val="22"/>
              </w:rPr>
            </w:pPr>
            <w:r>
              <w:rPr>
                <w:b/>
              </w:rPr>
              <w:t>КПБ</w:t>
            </w:r>
          </w:p>
        </w:tc>
        <w:tc>
          <w:tcPr>
            <w:tcW w:w="7230" w:type="dxa"/>
            <w:shd w:val="clear" w:color="auto" w:fill="auto"/>
          </w:tcPr>
          <w:p w14:paraId="5190868D" w14:textId="77777777" w:rsidR="0066080A" w:rsidRPr="00DF27E3" w:rsidRDefault="0066080A" w:rsidP="00524F64">
            <w:pPr>
              <w:ind w:left="43"/>
              <w:rPr>
                <w:szCs w:val="22"/>
              </w:rPr>
            </w:pPr>
            <w:r>
              <w:t>Комитет по программе и бюджету</w:t>
            </w:r>
          </w:p>
        </w:tc>
      </w:tr>
      <w:tr w:rsidR="0066080A" w:rsidRPr="00DF27E3" w14:paraId="0D39F8B2" w14:textId="77777777" w:rsidTr="00335B35">
        <w:trPr>
          <w:trHeight w:val="340"/>
          <w:tblHeader/>
        </w:trPr>
        <w:tc>
          <w:tcPr>
            <w:tcW w:w="1701" w:type="dxa"/>
            <w:shd w:val="clear" w:color="auto" w:fill="auto"/>
          </w:tcPr>
          <w:p w14:paraId="382AA6D5" w14:textId="77777777" w:rsidR="0066080A" w:rsidRDefault="0066080A" w:rsidP="00524F64">
            <w:pPr>
              <w:ind w:left="43"/>
              <w:rPr>
                <w:b/>
                <w:szCs w:val="22"/>
              </w:rPr>
            </w:pPr>
            <w:r>
              <w:rPr>
                <w:b/>
              </w:rPr>
              <w:t>ДР</w:t>
            </w:r>
          </w:p>
        </w:tc>
        <w:tc>
          <w:tcPr>
            <w:tcW w:w="7230" w:type="dxa"/>
            <w:shd w:val="clear" w:color="auto" w:fill="auto"/>
          </w:tcPr>
          <w:p w14:paraId="574F032F" w14:textId="77777777" w:rsidR="0066080A" w:rsidRPr="00DF27E3" w:rsidRDefault="0066080A" w:rsidP="00524F64">
            <w:pPr>
              <w:ind w:left="43"/>
              <w:rPr>
                <w:szCs w:val="22"/>
              </w:rPr>
            </w:pPr>
            <w:r>
              <w:t>Данные о результативности</w:t>
            </w:r>
          </w:p>
        </w:tc>
      </w:tr>
      <w:tr w:rsidR="006460F7" w:rsidRPr="00DF27E3" w14:paraId="096A8092" w14:textId="77777777" w:rsidTr="00335B35">
        <w:trPr>
          <w:trHeight w:val="340"/>
          <w:tblHeader/>
        </w:trPr>
        <w:tc>
          <w:tcPr>
            <w:tcW w:w="1701" w:type="dxa"/>
            <w:shd w:val="clear" w:color="auto" w:fill="auto"/>
          </w:tcPr>
          <w:p w14:paraId="0C8675ED" w14:textId="31A704BB" w:rsidR="006460F7" w:rsidRDefault="006460F7" w:rsidP="00524F64">
            <w:pPr>
              <w:ind w:left="43"/>
              <w:rPr>
                <w:b/>
                <w:szCs w:val="22"/>
              </w:rPr>
            </w:pPr>
            <w:r>
              <w:rPr>
                <w:b/>
              </w:rPr>
              <w:t>ОПОК</w:t>
            </w:r>
          </w:p>
        </w:tc>
        <w:tc>
          <w:tcPr>
            <w:tcW w:w="7230" w:type="dxa"/>
            <w:shd w:val="clear" w:color="auto" w:fill="auto"/>
          </w:tcPr>
          <w:p w14:paraId="1D66BCED" w14:textId="0787B362" w:rsidR="006460F7" w:rsidRDefault="006460F7" w:rsidP="00524F64">
            <w:pPr>
              <w:ind w:left="43"/>
              <w:rPr>
                <w:szCs w:val="22"/>
              </w:rPr>
            </w:pPr>
            <w:r>
              <w:t>Программа обеспечения и повышения качества</w:t>
            </w:r>
          </w:p>
        </w:tc>
      </w:tr>
      <w:tr w:rsidR="0066080A" w:rsidRPr="00DF27E3" w14:paraId="67A3ED7D" w14:textId="77777777" w:rsidTr="00335B35">
        <w:trPr>
          <w:trHeight w:val="340"/>
          <w:tblHeader/>
        </w:trPr>
        <w:tc>
          <w:tcPr>
            <w:tcW w:w="1701" w:type="dxa"/>
            <w:shd w:val="clear" w:color="auto" w:fill="auto"/>
          </w:tcPr>
          <w:p w14:paraId="27CD01E9" w14:textId="77777777" w:rsidR="0066080A" w:rsidRDefault="0066080A" w:rsidP="00524F64">
            <w:pPr>
              <w:ind w:left="43"/>
              <w:rPr>
                <w:b/>
              </w:rPr>
            </w:pPr>
            <w:r>
              <w:rPr>
                <w:b/>
              </w:rPr>
              <w:t>SMART</w:t>
            </w:r>
          </w:p>
        </w:tc>
        <w:tc>
          <w:tcPr>
            <w:tcW w:w="7230" w:type="dxa"/>
            <w:shd w:val="clear" w:color="auto" w:fill="auto"/>
          </w:tcPr>
          <w:p w14:paraId="7ECF0947" w14:textId="5E847217" w:rsidR="0066080A" w:rsidRPr="00577D6C" w:rsidRDefault="0066080A" w:rsidP="00577D6C">
            <w:pPr>
              <w:ind w:left="43"/>
            </w:pPr>
            <w:r>
              <w:t xml:space="preserve">конкретность, измеримость, достижимость, актуальность и </w:t>
            </w:r>
            <w:r w:rsidR="00577D6C">
              <w:t>установление сроков</w:t>
            </w:r>
          </w:p>
        </w:tc>
      </w:tr>
      <w:tr w:rsidR="009E2DB6" w:rsidRPr="00DF27E3" w14:paraId="21A302DD" w14:textId="77777777" w:rsidTr="00335B35">
        <w:trPr>
          <w:trHeight w:val="340"/>
          <w:tblHeader/>
        </w:trPr>
        <w:tc>
          <w:tcPr>
            <w:tcW w:w="1701" w:type="dxa"/>
            <w:shd w:val="clear" w:color="auto" w:fill="auto"/>
          </w:tcPr>
          <w:p w14:paraId="3D8D151D" w14:textId="266B408E" w:rsidR="009E2DB6" w:rsidRDefault="009E2DB6" w:rsidP="00524F64">
            <w:pPr>
              <w:ind w:left="43"/>
              <w:rPr>
                <w:b/>
              </w:rPr>
            </w:pPr>
            <w:r>
              <w:rPr>
                <w:b/>
              </w:rPr>
              <w:t>ТС</w:t>
            </w:r>
          </w:p>
        </w:tc>
        <w:tc>
          <w:tcPr>
            <w:tcW w:w="7230" w:type="dxa"/>
            <w:shd w:val="clear" w:color="auto" w:fill="auto"/>
          </w:tcPr>
          <w:p w14:paraId="686FBC98" w14:textId="43795468" w:rsidR="009E2DB6" w:rsidRPr="006319F3" w:rsidRDefault="009E2DB6" w:rsidP="00524F64">
            <w:pPr>
              <w:ind w:left="43"/>
            </w:pPr>
            <w:r>
              <w:t>техническое содействие</w:t>
            </w:r>
          </w:p>
        </w:tc>
      </w:tr>
      <w:tr w:rsidR="0066080A" w:rsidRPr="00DF27E3" w14:paraId="24945383" w14:textId="77777777" w:rsidTr="00335B35">
        <w:trPr>
          <w:trHeight w:val="340"/>
          <w:tblHeader/>
        </w:trPr>
        <w:tc>
          <w:tcPr>
            <w:tcW w:w="1701" w:type="dxa"/>
            <w:shd w:val="clear" w:color="auto" w:fill="auto"/>
          </w:tcPr>
          <w:p w14:paraId="588A42DD" w14:textId="77777777" w:rsidR="0066080A" w:rsidRPr="00913CE2" w:rsidRDefault="0066080A" w:rsidP="00524F64">
            <w:pPr>
              <w:ind w:left="43"/>
              <w:rPr>
                <w:b/>
                <w:szCs w:val="22"/>
              </w:rPr>
            </w:pPr>
            <w:r>
              <w:rPr>
                <w:b/>
              </w:rPr>
              <w:t>ООН</w:t>
            </w:r>
          </w:p>
        </w:tc>
        <w:tc>
          <w:tcPr>
            <w:tcW w:w="7230" w:type="dxa"/>
            <w:shd w:val="clear" w:color="auto" w:fill="auto"/>
          </w:tcPr>
          <w:p w14:paraId="4B33FD96" w14:textId="77777777" w:rsidR="0066080A" w:rsidRPr="00DF27E3" w:rsidRDefault="0066080A" w:rsidP="00524F64">
            <w:pPr>
              <w:ind w:left="43"/>
              <w:rPr>
                <w:szCs w:val="22"/>
              </w:rPr>
            </w:pPr>
            <w:r>
              <w:t>Организация Объединенных Наций</w:t>
            </w:r>
          </w:p>
        </w:tc>
      </w:tr>
      <w:tr w:rsidR="0066080A" w:rsidRPr="00DF27E3" w14:paraId="36489248" w14:textId="77777777" w:rsidTr="00335B35">
        <w:trPr>
          <w:trHeight w:val="340"/>
          <w:tblHeader/>
        </w:trPr>
        <w:tc>
          <w:tcPr>
            <w:tcW w:w="1701" w:type="dxa"/>
            <w:shd w:val="clear" w:color="auto" w:fill="auto"/>
          </w:tcPr>
          <w:p w14:paraId="69549145" w14:textId="77777777" w:rsidR="0066080A" w:rsidRPr="00913CE2" w:rsidRDefault="0066080A" w:rsidP="00524F64">
            <w:pPr>
              <w:ind w:left="43"/>
              <w:rPr>
                <w:b/>
                <w:szCs w:val="22"/>
              </w:rPr>
            </w:pPr>
            <w:r>
              <w:rPr>
                <w:b/>
              </w:rPr>
              <w:t>ЮНЕГ</w:t>
            </w:r>
          </w:p>
        </w:tc>
        <w:tc>
          <w:tcPr>
            <w:tcW w:w="7230" w:type="dxa"/>
            <w:shd w:val="clear" w:color="auto" w:fill="auto"/>
          </w:tcPr>
          <w:p w14:paraId="6C55E53F" w14:textId="77777777" w:rsidR="0066080A" w:rsidRPr="00DF27E3" w:rsidRDefault="0066080A" w:rsidP="00524F64">
            <w:pPr>
              <w:ind w:left="43"/>
              <w:rPr>
                <w:szCs w:val="22"/>
              </w:rPr>
            </w:pPr>
            <w:r>
              <w:t>Группа Организации Объединенных Наций по оценке</w:t>
            </w:r>
          </w:p>
        </w:tc>
      </w:tr>
      <w:tr w:rsidR="0066080A" w:rsidRPr="00DF27E3" w14:paraId="317B6EF6" w14:textId="77777777" w:rsidTr="00335B35">
        <w:trPr>
          <w:trHeight w:val="340"/>
          <w:tblHeader/>
        </w:trPr>
        <w:tc>
          <w:tcPr>
            <w:tcW w:w="1701" w:type="dxa"/>
            <w:shd w:val="clear" w:color="auto" w:fill="auto"/>
          </w:tcPr>
          <w:p w14:paraId="3B5E29E5" w14:textId="77777777" w:rsidR="0066080A" w:rsidRPr="00913CE2" w:rsidRDefault="0066080A" w:rsidP="00524F64">
            <w:pPr>
              <w:ind w:left="43"/>
              <w:rPr>
                <w:b/>
                <w:szCs w:val="22"/>
              </w:rPr>
            </w:pPr>
            <w:r>
              <w:rPr>
                <w:b/>
              </w:rPr>
              <w:t>ВОИС</w:t>
            </w:r>
          </w:p>
        </w:tc>
        <w:tc>
          <w:tcPr>
            <w:tcW w:w="7230" w:type="dxa"/>
            <w:shd w:val="clear" w:color="auto" w:fill="auto"/>
          </w:tcPr>
          <w:p w14:paraId="267A00BF" w14:textId="77777777" w:rsidR="0066080A" w:rsidRPr="00DF27E3" w:rsidRDefault="0066080A" w:rsidP="00524F64">
            <w:pPr>
              <w:ind w:left="43"/>
              <w:rPr>
                <w:szCs w:val="22"/>
              </w:rPr>
            </w:pPr>
            <w:r>
              <w:t>Всемирная организация интеллектуальной собственности</w:t>
            </w:r>
          </w:p>
        </w:tc>
      </w:tr>
      <w:tr w:rsidR="00CC620E" w:rsidRPr="00DF27E3" w14:paraId="2342FDF5" w14:textId="77777777" w:rsidTr="00335B35">
        <w:trPr>
          <w:trHeight w:val="340"/>
          <w:tblHeader/>
        </w:trPr>
        <w:tc>
          <w:tcPr>
            <w:tcW w:w="1701" w:type="dxa"/>
            <w:shd w:val="clear" w:color="auto" w:fill="auto"/>
          </w:tcPr>
          <w:p w14:paraId="675CA975" w14:textId="77777777" w:rsidR="00CC620E" w:rsidRDefault="00CC620E" w:rsidP="00524F64">
            <w:pPr>
              <w:ind w:left="43"/>
              <w:rPr>
                <w:b/>
                <w:szCs w:val="22"/>
              </w:rPr>
            </w:pPr>
            <w:r>
              <w:rPr>
                <w:b/>
              </w:rPr>
              <w:t>ОРРВ</w:t>
            </w:r>
          </w:p>
        </w:tc>
        <w:tc>
          <w:tcPr>
            <w:tcW w:w="7230" w:type="dxa"/>
            <w:shd w:val="clear" w:color="auto" w:fill="auto"/>
          </w:tcPr>
          <w:p w14:paraId="68DDE264" w14:textId="77777777" w:rsidR="00CC620E" w:rsidRPr="00DF27E3" w:rsidRDefault="00CC620E" w:rsidP="00524F64">
            <w:pPr>
              <w:ind w:left="43"/>
              <w:rPr>
                <w:szCs w:val="22"/>
              </w:rPr>
            </w:pPr>
            <w:r>
              <w:t>Отчет о результатах работы ВОИС</w:t>
            </w:r>
          </w:p>
        </w:tc>
      </w:tr>
    </w:tbl>
    <w:p w14:paraId="5C155B7F" w14:textId="77777777" w:rsidR="00C46B12" w:rsidRDefault="00C46B12" w:rsidP="00C46B12">
      <w:pPr>
        <w:rPr>
          <w:b/>
        </w:rPr>
      </w:pPr>
      <w:r>
        <w:br w:type="page"/>
      </w:r>
    </w:p>
    <w:p w14:paraId="3A63F985" w14:textId="77777777" w:rsidR="00C46B12" w:rsidRPr="00186810" w:rsidRDefault="00C46B12" w:rsidP="00C46B12">
      <w:pPr>
        <w:pStyle w:val="Heading1"/>
      </w:pPr>
      <w:bookmarkStart w:id="15" w:name="_Toc420663565"/>
      <w:bookmarkStart w:id="16" w:name="_Toc39071244"/>
      <w:bookmarkStart w:id="17" w:name="_Toc98252883"/>
      <w:bookmarkEnd w:id="9"/>
      <w:bookmarkEnd w:id="10"/>
      <w:bookmarkEnd w:id="11"/>
      <w:bookmarkEnd w:id="12"/>
      <w:bookmarkEnd w:id="13"/>
      <w:bookmarkEnd w:id="14"/>
      <w:r>
        <w:lastRenderedPageBreak/>
        <w:t>СПРАВОЧНАЯ ИНФОРМАЦИЯ</w:t>
      </w:r>
      <w:bookmarkEnd w:id="15"/>
      <w:bookmarkEnd w:id="16"/>
      <w:bookmarkEnd w:id="17"/>
    </w:p>
    <w:p w14:paraId="286829C0" w14:textId="6DDE6402" w:rsidR="00C46B12" w:rsidRDefault="00C46B12" w:rsidP="008759ED">
      <w:pPr>
        <w:pStyle w:val="ONUME"/>
        <w:numPr>
          <w:ilvl w:val="0"/>
          <w:numId w:val="11"/>
        </w:numPr>
      </w:pPr>
      <w:r>
        <w:t>Задача Отдела внутреннего надзора (ОВН) Всемирной организации интеллектуальной собственности (ВОИС) состоит в обеспечении независимого и эффективного внутреннего надзора в ВОИС в соответствии с положениями Устава внутреннего надзора (УВН).</w:t>
      </w:r>
    </w:p>
    <w:p w14:paraId="3F167AB3" w14:textId="316C1D46" w:rsidR="00C46B12" w:rsidRDefault="00C46B12" w:rsidP="00F736B0">
      <w:pPr>
        <w:pStyle w:val="ONUME"/>
      </w:pPr>
      <w:r>
        <w:t>Согласно требованиям УВН</w:t>
      </w:r>
      <w:r>
        <w:rPr>
          <w:rStyle w:val="FootnoteReference"/>
        </w:rPr>
        <w:footnoteReference w:id="2"/>
      </w:r>
      <w:r>
        <w:t xml:space="preserve"> </w:t>
      </w:r>
      <w:r w:rsidR="004073D0">
        <w:t>д</w:t>
      </w:r>
      <w:r>
        <w:t>иректор ОВН ежегодно представляет Генеральной Ассамблее ВОИС через Комитет по программе и бюджету (КПБ) сводный отчет. В годовом отчете содержится обзор деятельности по внутреннему надзору, проведенной в течение отчетного периода, включая охват и цели такой деятельности, сроки осуществления и достигнутый прогресс в выполнении рекомендаций в области внутреннего надзора.</w:t>
      </w:r>
      <w:bookmarkStart w:id="18" w:name="_Toc420663566"/>
      <w:bookmarkStart w:id="19" w:name="_Toc328920434"/>
    </w:p>
    <w:p w14:paraId="5C6DF799" w14:textId="77777777" w:rsidR="00C46B12" w:rsidRPr="002F0DAD" w:rsidRDefault="00C46B12" w:rsidP="00F736B0">
      <w:pPr>
        <w:pStyle w:val="ONUME"/>
        <w:rPr>
          <w:b/>
          <w:bCs/>
          <w:caps/>
          <w:kern w:val="32"/>
          <w:szCs w:val="32"/>
        </w:rPr>
      </w:pPr>
      <w:r>
        <w:t xml:space="preserve">В соответствии с УВН проект годового отчета был предоставлен Генеральному директору и Независимому консультативному комитету по надзору (НККН) для комментариев, которые были приняты во внимание на завершающем этапе работы над отчетом. </w:t>
      </w:r>
    </w:p>
    <w:p w14:paraId="01C088DE" w14:textId="77777777" w:rsidR="00C46B12" w:rsidRPr="00E32ADE" w:rsidRDefault="00C46B12" w:rsidP="00C46B12">
      <w:pPr>
        <w:pStyle w:val="Heading1"/>
      </w:pPr>
      <w:bookmarkStart w:id="20" w:name="_Toc39071245"/>
      <w:bookmarkStart w:id="21" w:name="_Toc98252884"/>
      <w:r>
        <w:t>НЕКОТОРЫЕ КЛЮЧЕВЫЕ МОМЕНТЫ РАССМАТРИВАЕМОГО ПЕРИОДА</w:t>
      </w:r>
      <w:bookmarkEnd w:id="20"/>
      <w:bookmarkEnd w:id="21"/>
    </w:p>
    <w:p w14:paraId="6F5FCBD9" w14:textId="5C34BCF0" w:rsidR="00FD01E5" w:rsidRDefault="004448FF" w:rsidP="00FD01E5">
      <w:pPr>
        <w:pStyle w:val="ONUME"/>
      </w:pPr>
      <w:r>
        <w:t>2021 год унаследовал риски и неопределенность, вызванные пандемией к</w:t>
      </w:r>
      <w:r w:rsidR="00A0584E">
        <w:t>оронавирусной инфекции (COVID-</w:t>
      </w:r>
      <w:r>
        <w:t xml:space="preserve">19), которая существенно повлияла на положение в 2020 г. Ввиду этого ВОИС продолжала принимать исключительные меры для </w:t>
      </w:r>
      <w:r w:rsidR="009A4828">
        <w:t>защиты</w:t>
      </w:r>
      <w:r>
        <w:t xml:space="preserve"> жизни и здоровья людей и сведения к минимуму влияния пандемии на работу Организации. ОВН хотел бы поблагодарить всех коллег в ВОИС и внешних поставщиков услуг, принима</w:t>
      </w:r>
      <w:r w:rsidR="00A0584E">
        <w:t>вш</w:t>
      </w:r>
      <w:r>
        <w:t>их участие в обеспечении нашей безопасности и удаленной работы. Будем с надеждой и нетерпением ждать улучшения положения в 2022 году.</w:t>
      </w:r>
    </w:p>
    <w:p w14:paraId="6F7B3026" w14:textId="40C6C127" w:rsidR="00A93860" w:rsidRPr="00BB0E08" w:rsidRDefault="004448FF" w:rsidP="00FD01E5">
      <w:pPr>
        <w:pStyle w:val="ONUME"/>
      </w:pPr>
      <w:r>
        <w:t>ОВН отмечает, что 2021 г. ознаменовался пересмотром и корректировкой системы управления, ориентированной на достижение конкретных результатов, на ближайшие годы, а также разработкой нового стратегического видения. Был выпущен новый Среднесрочный стратегический план (ССCП) на 2022-2026 гг., где схематически представлены в виде здания четыре направления работы и базовая задача Организации. В поддержку этой инициативы ОВН также разработал согласованную с СССП стратегию на 2022 и 2023 годы и осуществит ряд стратегических инициатив, чтобы помочь Организации добиться намеченной стратегической направленности деятельности.</w:t>
      </w:r>
    </w:p>
    <w:p w14:paraId="7E8F795F" w14:textId="1E1A2E1A" w:rsidR="00A93860" w:rsidRPr="0035401B" w:rsidRDefault="00E5144A" w:rsidP="00F736B0">
      <w:pPr>
        <w:pStyle w:val="ONUME"/>
      </w:pPr>
      <w:r>
        <w:t xml:space="preserve">ОВН продолжает </w:t>
      </w:r>
      <w:r w:rsidR="007D0957">
        <w:t>оказывать помощь</w:t>
      </w:r>
      <w:r>
        <w:t xml:space="preserve"> ВОИС в укреплении контроля, подотчетности, прозрачности и обучения посредством внедрения инновационных и адекватных инструментов и методов, которые </w:t>
      </w:r>
      <w:r w:rsidR="005A2AE9">
        <w:t>будут помогать</w:t>
      </w:r>
      <w:r>
        <w:t xml:space="preserve"> ВОИС </w:t>
      </w:r>
      <w:r w:rsidR="005A2AE9">
        <w:t>добиваться</w:t>
      </w:r>
      <w:r>
        <w:t xml:space="preserve"> обеспечения высочайших стандартов в области управления</w:t>
      </w:r>
      <w:r w:rsidR="007D0957">
        <w:t xml:space="preserve"> рисками и реализации программ.</w:t>
      </w:r>
    </w:p>
    <w:p w14:paraId="61304053" w14:textId="17E95B89" w:rsidR="005E1266" w:rsidRPr="005E1266" w:rsidRDefault="00315E45" w:rsidP="005E1266">
      <w:pPr>
        <w:pStyle w:val="ONUME"/>
      </w:pPr>
      <w:r>
        <w:t xml:space="preserve">Как и прежде, </w:t>
      </w:r>
      <w:r w:rsidR="00A65650">
        <w:t xml:space="preserve">ОВН участвует в проведении совместных мероприятий с </w:t>
      </w:r>
      <w:r>
        <w:t>привлечением</w:t>
      </w:r>
      <w:r w:rsidR="00A65650">
        <w:t xml:space="preserve"> аудиторов и специалистов по расследованиям и/или оценке. Эти мероприятия направлены на обеспечение более комплексной и детальной проверки программ ВОИС. Одним из таких мероприятий, которое потребовало сотрудничества в рамках всех трех функций ОВН, стала подготовка обзора кризисного управлени</w:t>
      </w:r>
      <w:r w:rsidR="007D0957">
        <w:t>я во время пандемии.</w:t>
      </w:r>
    </w:p>
    <w:p w14:paraId="5078177F" w14:textId="69176AF9" w:rsidR="004448FF" w:rsidRDefault="004448FF" w:rsidP="009C7E22">
      <w:pPr>
        <w:pStyle w:val="ONUME"/>
      </w:pPr>
      <w:r>
        <w:t xml:space="preserve">ОВН расширяет спектр предоставляемых услуг, включив в них </w:t>
      </w:r>
      <w:r w:rsidR="0079740A">
        <w:t xml:space="preserve">консультативные и </w:t>
      </w:r>
      <w:r>
        <w:t>консультационные</w:t>
      </w:r>
      <w:r w:rsidR="00987391" w:rsidRPr="00987391">
        <w:rPr>
          <w:vertAlign w:val="superscript"/>
          <w:lang w:val="en-US"/>
        </w:rPr>
        <w:footnoteReference w:id="3"/>
      </w:r>
      <w:r w:rsidR="00987391" w:rsidRPr="00987391">
        <w:t xml:space="preserve"> </w:t>
      </w:r>
      <w:r>
        <w:t xml:space="preserve"> услуги. В порядке примера </w:t>
      </w:r>
      <w:r w:rsidR="00823F66">
        <w:t xml:space="preserve">таких услуг </w:t>
      </w:r>
      <w:r>
        <w:t xml:space="preserve">можно, в частности, </w:t>
      </w:r>
      <w:r w:rsidR="00D97AB6">
        <w:t xml:space="preserve">назвать </w:t>
      </w:r>
      <w:r>
        <w:lastRenderedPageBreak/>
        <w:t>предоставление консультаций по процессам</w:t>
      </w:r>
      <w:r w:rsidR="00823F66">
        <w:t xml:space="preserve"> и подтверждению качества</w:t>
      </w:r>
      <w:r>
        <w:t xml:space="preserve"> исходны</w:t>
      </w:r>
      <w:r w:rsidR="00823F66">
        <w:t>х</w:t>
      </w:r>
      <w:r>
        <w:t xml:space="preserve"> данны</w:t>
      </w:r>
      <w:r w:rsidR="00823F66">
        <w:t>х</w:t>
      </w:r>
      <w:r>
        <w:t xml:space="preserve"> для технического инструмента</w:t>
      </w:r>
      <w:r w:rsidR="00823F66">
        <w:t xml:space="preserve"> по вопросам</w:t>
      </w:r>
      <w:r>
        <w:t xml:space="preserve"> сравнительн</w:t>
      </w:r>
      <w:r w:rsidR="00823F66">
        <w:t>ого</w:t>
      </w:r>
      <w:r>
        <w:t xml:space="preserve"> анализ</w:t>
      </w:r>
      <w:r w:rsidR="00823F66">
        <w:t>а</w:t>
      </w:r>
      <w:r>
        <w:t xml:space="preserve"> и самооценк</w:t>
      </w:r>
      <w:r w:rsidR="00823F66">
        <w:t>и</w:t>
      </w:r>
      <w:r>
        <w:t xml:space="preserve"> национальных стратегий в области </w:t>
      </w:r>
      <w:r w:rsidR="00823F66">
        <w:t>интеллектуальной собственности</w:t>
      </w:r>
      <w:r>
        <w:t xml:space="preserve"> (НСИС).</w:t>
      </w:r>
    </w:p>
    <w:p w14:paraId="2A2A3376" w14:textId="414167B5" w:rsidR="004448FF" w:rsidRDefault="004448FF" w:rsidP="004448FF">
      <w:pPr>
        <w:pStyle w:val="ONUME"/>
      </w:pPr>
      <w:r>
        <w:t>ОВ</w:t>
      </w:r>
      <w:r w:rsidR="00F44660">
        <w:t>Н</w:t>
      </w:r>
      <w:r>
        <w:t xml:space="preserve"> завершил проект по обеспечению применения информационной аналитики и </w:t>
      </w:r>
      <w:r w:rsidR="002A12D7">
        <w:t>непрерывных</w:t>
      </w:r>
      <w:r>
        <w:t xml:space="preserve"> аудиторск</w:t>
      </w:r>
      <w:r w:rsidR="002A12D7">
        <w:t>их проверок</w:t>
      </w:r>
      <w:r>
        <w:t>, что повысит эффективность мероприятий Отдела по подтверждению достоверности</w:t>
      </w:r>
      <w:r w:rsidR="007424C3">
        <w:t xml:space="preserve"> данных</w:t>
      </w:r>
      <w:r>
        <w:t>. Это первый шаг для поддержки усилий ОВН по созданию надлежащи</w:t>
      </w:r>
      <w:r w:rsidR="007424C3">
        <w:t>х условий для подготовки к 2025 </w:t>
      </w:r>
      <w:r>
        <w:t>г</w:t>
      </w:r>
      <w:r w:rsidR="007424C3">
        <w:t>.</w:t>
      </w:r>
      <w:r>
        <w:t xml:space="preserve"> общего заключения по заявлению ВОИС о состоянии сис</w:t>
      </w:r>
      <w:r w:rsidR="002A12D7">
        <w:t>темы внутреннего контроля.</w:t>
      </w:r>
    </w:p>
    <w:p w14:paraId="300504EB" w14:textId="47CD4890" w:rsidR="004448FF" w:rsidRPr="00861AC2" w:rsidRDefault="004448FF" w:rsidP="004448FF">
      <w:pPr>
        <w:pStyle w:val="ONUME"/>
      </w:pPr>
      <w:r>
        <w:t>В заключение необходимо отметить, что в ОВН завершен переход на новую систему управления аудитом и контроля исполнения рекомендаций, оснащенную современными технологиями и предусматривающую новые функции для обеспечения эффективности и результативности надзорных мероприятий и ко</w:t>
      </w:r>
      <w:r w:rsidR="002A12D7">
        <w:t>нтроля исполнения рекомендаций.</w:t>
      </w:r>
    </w:p>
    <w:p w14:paraId="7FD5F2BA" w14:textId="77777777" w:rsidR="00C46B12" w:rsidRPr="00F73A5E" w:rsidRDefault="00C46B12" w:rsidP="00C46B12">
      <w:pPr>
        <w:pStyle w:val="Heading1"/>
      </w:pPr>
      <w:bookmarkStart w:id="22" w:name="_Toc39071246"/>
      <w:bookmarkStart w:id="23" w:name="_Toc98252885"/>
      <w:r>
        <w:t>ПРИНЦИПЫ ПЛАНИРОВАНИЯ</w:t>
      </w:r>
      <w:bookmarkEnd w:id="18"/>
      <w:bookmarkEnd w:id="19"/>
      <w:bookmarkEnd w:id="22"/>
      <w:bookmarkEnd w:id="23"/>
    </w:p>
    <w:p w14:paraId="4DCDD4F0" w14:textId="1A5AD6C5" w:rsidR="00C46B12" w:rsidRPr="00C0396C" w:rsidRDefault="00C46B12" w:rsidP="00F736B0">
      <w:pPr>
        <w:pStyle w:val="ONUME"/>
      </w:pPr>
      <w:r>
        <w:t>При подготовке плана надзорных мероприятий ОВН учитывал ряд факторов, включая оценку рисков, значимость, последствия для стран, цикличность надзорной деятельности и замечания, поступившие от руководства ВОИС и государств-членов, а та</w:t>
      </w:r>
      <w:r w:rsidR="002A12D7">
        <w:t xml:space="preserve">кже объем имеющихся ресурсов. </w:t>
      </w:r>
      <w:r>
        <w:t>До согласования окончательного варианта проект плана работы в области надзора был также представлен НККН для рассмотрения и вынесения рекомендаций в соответствии с пунктом 28</w:t>
      </w:r>
      <w:r w:rsidR="00DE7F55">
        <w:t xml:space="preserve"> </w:t>
      </w:r>
      <w:r>
        <w:t>(а) УВН</w:t>
      </w:r>
      <w:r w:rsidR="005602A7" w:rsidRPr="00C0396C">
        <w:rPr>
          <w:rStyle w:val="FootnoteReference"/>
        </w:rPr>
        <w:footnoteReference w:id="4"/>
      </w:r>
      <w:r>
        <w:t>.</w:t>
      </w:r>
    </w:p>
    <w:p w14:paraId="6C6ECF54" w14:textId="1D7A489D" w:rsidR="00C46B12" w:rsidRPr="00E32ADE" w:rsidRDefault="00C46B12" w:rsidP="00F736B0">
      <w:pPr>
        <w:pStyle w:val="ONUME"/>
      </w:pPr>
      <w:r>
        <w:t>Чтобы обеспечить эффективный охват надзорной деятельности наряду с рациональным использованием ограниченных ресурсов, избегая при этом потенциального дублирования усилий, ОВН также проанализировал работу внешнего аудитора и других органов по надзору, таких как Объединенная инспекционная группа (ОИГ), и результаты оценок, проведенных по поручению Комитета по развитию и интеллектуальной собственности (КРИС).</w:t>
      </w:r>
    </w:p>
    <w:p w14:paraId="7214C90A" w14:textId="77777777" w:rsidR="00C46B12" w:rsidRPr="00E32ADE" w:rsidRDefault="00C46B12" w:rsidP="00C46B12">
      <w:pPr>
        <w:pStyle w:val="Heading1"/>
      </w:pPr>
      <w:bookmarkStart w:id="24" w:name="_Toc420663567"/>
      <w:bookmarkStart w:id="25" w:name="_Toc39071247"/>
      <w:bookmarkStart w:id="26" w:name="_Toc98252886"/>
      <w:r>
        <w:t>ПРОФЕССИОНАЛЬНЫЕ СТАНДАРТЫ</w:t>
      </w:r>
      <w:bookmarkEnd w:id="24"/>
      <w:bookmarkEnd w:id="25"/>
      <w:bookmarkEnd w:id="26"/>
    </w:p>
    <w:p w14:paraId="22718AD5" w14:textId="466F654F" w:rsidR="00A93860" w:rsidRPr="00FF6721" w:rsidRDefault="00A93860" w:rsidP="00500D6F">
      <w:pPr>
        <w:pStyle w:val="ONUME"/>
      </w:pPr>
      <w:r>
        <w:t xml:space="preserve">ОВН осуществляет надзорную деятельность в соответствии с обязательными требованиями Международного регламента профессиональной практики, опубликованного Институтом внутренних аудиторов, включая его Международные стандарты профессиональной практики внутреннего аудита, Основные принципы профессиональной практики внутреннего аудита, Определение внутреннего </w:t>
      </w:r>
      <w:r w:rsidR="002A12D7">
        <w:t>аудита и Кодекс этических норм.</w:t>
      </w:r>
    </w:p>
    <w:p w14:paraId="78E7CD24" w14:textId="44307796" w:rsidR="00ED3A15" w:rsidRPr="00AF1399" w:rsidRDefault="00C46B12" w:rsidP="00F736B0">
      <w:pPr>
        <w:pStyle w:val="ONUME"/>
      </w:pPr>
      <w:r>
        <w:t>Аналогичным образом, следственная работа ОВН проводится в соответствии с Едиными принципами и руководящими указаниями в отношении проведения расследований, одобренными Конференцией международных следователей.</w:t>
      </w:r>
    </w:p>
    <w:p w14:paraId="6FB5CE05" w14:textId="77777777" w:rsidR="00C46B12" w:rsidRPr="00AF1399" w:rsidRDefault="00C46B12" w:rsidP="00F736B0">
      <w:pPr>
        <w:pStyle w:val="ONUME"/>
      </w:pPr>
      <w:r>
        <w:t>При проведении оценки ОВН опирается на международные стандарты оценочной практики, установленные Группой Организации Объединенных Наций по оценке (ЮНЕГ).</w:t>
      </w:r>
    </w:p>
    <w:p w14:paraId="2CAD7E0B" w14:textId="77777777" w:rsidR="001B2E69" w:rsidRDefault="001B2E69" w:rsidP="00342383">
      <w:pPr>
        <w:pStyle w:val="Heading1"/>
      </w:pPr>
      <w:bookmarkStart w:id="27" w:name="_Toc98252887"/>
      <w:r>
        <w:lastRenderedPageBreak/>
        <w:t>ПРИДАНИЕ ГЕНДЕРНОЙ ПРОБЛЕМАТИКЕ МАГИСТРАЛЬНОГО ЗНАЧЕНИЯ</w:t>
      </w:r>
      <w:bookmarkEnd w:id="27"/>
    </w:p>
    <w:p w14:paraId="16C938F3" w14:textId="44853123" w:rsidR="001B2E69" w:rsidRDefault="001B2E69" w:rsidP="00342383">
      <w:pPr>
        <w:pStyle w:val="ONUME"/>
        <w:rPr>
          <w:rFonts w:eastAsiaTheme="minorHAnsi"/>
        </w:rPr>
      </w:pPr>
      <w:r>
        <w:t>В контексте доклада о результатах осуществления Об</w:t>
      </w:r>
      <w:r w:rsidR="00DB4B9F">
        <w:t>щесистемного плана действий ООН</w:t>
      </w:r>
      <w:r w:rsidR="00DB4B9F" w:rsidRPr="00DB4B9F">
        <w:rPr>
          <w:vertAlign w:val="superscript"/>
          <w:lang w:val="en-US"/>
        </w:rPr>
        <w:footnoteReference w:id="5"/>
      </w:r>
      <w:r>
        <w:t xml:space="preserve"> и в связи с обеспечением гендерного равенства и приданием ему магистрального значения в деятельности ОВН отдел сообщает о создании следующих условий и прове</w:t>
      </w:r>
      <w:r w:rsidR="002A12D7">
        <w:t>дении следующих мероприятий:</w:t>
      </w:r>
    </w:p>
    <w:p w14:paraId="409A8AA9" w14:textId="77777777" w:rsidR="001B2E69" w:rsidRDefault="001B2E69" w:rsidP="001B2E69">
      <w:pPr>
        <w:pStyle w:val="ONUME"/>
        <w:numPr>
          <w:ilvl w:val="1"/>
          <w:numId w:val="2"/>
        </w:numPr>
        <w:rPr>
          <w:rFonts w:eastAsiaTheme="minorHAnsi"/>
        </w:rPr>
      </w:pPr>
      <w:r>
        <w:t>в ходе ежегодных мероприятий по планированию и оценке рисков ОВН проводит консультации со специалистом по вопросам гендерного равенства и культурно-личностного многообразия;</w:t>
      </w:r>
    </w:p>
    <w:p w14:paraId="03C63AB5" w14:textId="2E12C51E" w:rsidR="001B2E69" w:rsidRDefault="001B2E69" w:rsidP="001B2E69">
      <w:pPr>
        <w:pStyle w:val="ONUME"/>
        <w:numPr>
          <w:ilvl w:val="1"/>
          <w:numId w:val="2"/>
        </w:numPr>
      </w:pPr>
      <w:r>
        <w:t>применительно к соответствующим аудиторским мероприятиям ОВН включил вопрос о придании гендерной проблематике магистрального значения в свою программу работы в качестве постоянного пункта. В 2021 г. некоторые гендерные аспекты были отражены в отчете об обзоре кризисного управления ВОИС во время пандемии;</w:t>
      </w:r>
    </w:p>
    <w:p w14:paraId="66C6E5E7" w14:textId="77777777" w:rsidR="001B2E69" w:rsidRDefault="00BE1D92" w:rsidP="001B2E69">
      <w:pPr>
        <w:pStyle w:val="ONUME"/>
        <w:numPr>
          <w:ilvl w:val="1"/>
          <w:numId w:val="2"/>
        </w:numPr>
      </w:pPr>
      <w:r>
        <w:t>в соответствующих случаях Секция оценки применяет на всех этапах оценки разработанные ЮНЕГ Руководящие принципы учета вопросов прав человека и гендерной проблематики при проведении оценки;</w:t>
      </w:r>
    </w:p>
    <w:p w14:paraId="776EB8F0" w14:textId="3A45DD51" w:rsidR="001B2E69" w:rsidRDefault="001B2E69" w:rsidP="001B2E69">
      <w:pPr>
        <w:pStyle w:val="ONUME"/>
        <w:numPr>
          <w:ilvl w:val="1"/>
          <w:numId w:val="2"/>
        </w:numPr>
      </w:pPr>
      <w:r>
        <w:t>назначен координатор по гендерным вопросам для поддержания контактов со специалистом ВОИС по вопросам гендерного равенства и культурно-личностного многообразия; и</w:t>
      </w:r>
    </w:p>
    <w:p w14:paraId="6DB9D036" w14:textId="12AB08AB" w:rsidR="00A93860" w:rsidRPr="001B2E69" w:rsidRDefault="0021563A" w:rsidP="00A93860">
      <w:pPr>
        <w:pStyle w:val="ONUME"/>
        <w:numPr>
          <w:ilvl w:val="1"/>
          <w:numId w:val="2"/>
        </w:numPr>
      </w:pPr>
      <w:r>
        <w:t xml:space="preserve">ОВН отслеживает ход реализации рекомендаций, вынесенных по итогам аудиторской проверки и оценки </w:t>
      </w:r>
      <w:r w:rsidR="00EC4BA4">
        <w:t>п</w:t>
      </w:r>
      <w:r>
        <w:t xml:space="preserve">олитики ВОИС в области гендерного равенства. </w:t>
      </w:r>
    </w:p>
    <w:p w14:paraId="0C759FBB" w14:textId="77777777" w:rsidR="00C46B12" w:rsidRPr="00E32ADE" w:rsidRDefault="007159D2" w:rsidP="00C46B12">
      <w:pPr>
        <w:pStyle w:val="Heading1"/>
      </w:pPr>
      <w:bookmarkStart w:id="28" w:name="_Toc420663568"/>
      <w:bookmarkStart w:id="29" w:name="_Toc39071248"/>
      <w:bookmarkStart w:id="30" w:name="_Toc98252888"/>
      <w:r>
        <w:rPr>
          <w:caps w:val="0"/>
        </w:rPr>
        <w:t xml:space="preserve">ОСНОВНЫЕ ВЫВОДЫ </w:t>
      </w:r>
      <w:r>
        <w:t>И ПРИОРИТЕТНЫЕ РЕКОМЕНДАЦИИ ПО ИТОГАМ НАДЗОРА</w:t>
      </w:r>
      <w:bookmarkEnd w:id="28"/>
      <w:bookmarkEnd w:id="29"/>
      <w:bookmarkEnd w:id="30"/>
    </w:p>
    <w:p w14:paraId="177D8301" w14:textId="6AE382B2" w:rsidR="00D9184E" w:rsidRPr="00D9184E" w:rsidRDefault="00C46B12" w:rsidP="00D9184E">
      <w:pPr>
        <w:pStyle w:val="ONUME"/>
      </w:pPr>
      <w:r>
        <w:t xml:space="preserve">В настоящем разделе приводится информация об основных выводах и рекомендациях по устранению высокоприоритетных рисков, которые были сформулированы в отчетах о внутреннем </w:t>
      </w:r>
      <w:r w:rsidR="0013109F">
        <w:t>надзоре: отчетах</w:t>
      </w:r>
      <w:r>
        <w:t xml:space="preserve"> об аудиторских проверках, оценках и результатах расследования для руководства (ОРРР), опубликованных в отчетный период.</w:t>
      </w:r>
    </w:p>
    <w:p w14:paraId="45178E70" w14:textId="2F104E61" w:rsidR="00F736B0" w:rsidRPr="00F812A1" w:rsidRDefault="00C46B12" w:rsidP="003652CE">
      <w:pPr>
        <w:pStyle w:val="ONUME"/>
      </w:pPr>
      <w:r>
        <w:t>Основные выводы и рекомендации касаются следующих отчетов, опубликованных в течение рассматриваемого периода</w:t>
      </w:r>
      <w:r w:rsidRPr="00E04B15">
        <w:rPr>
          <w:rStyle w:val="FootnoteReference"/>
        </w:rPr>
        <w:footnoteReference w:id="6"/>
      </w:r>
      <w:r>
        <w:t>:</w:t>
      </w:r>
    </w:p>
    <w:p w14:paraId="33C026B2" w14:textId="77777777" w:rsidR="00EF4A05" w:rsidRPr="00EF4A05" w:rsidRDefault="00EF4A05" w:rsidP="00EF4A05">
      <w:pPr>
        <w:pStyle w:val="ONUME"/>
        <w:numPr>
          <w:ilvl w:val="1"/>
          <w:numId w:val="2"/>
        </w:numPr>
        <w:rPr>
          <w:rFonts w:eastAsia="Times New Roman"/>
          <w:szCs w:val="22"/>
        </w:rPr>
      </w:pPr>
      <w:r>
        <w:t>аудит и оценка соблюдения принципов профессиональной этики в вопросе об отсутствии сотрудников на рабочих местах;</w:t>
      </w:r>
    </w:p>
    <w:p w14:paraId="6D99437E" w14:textId="77777777" w:rsidR="00EF4A05" w:rsidRPr="00EF4A05" w:rsidRDefault="00EF4A05" w:rsidP="00EF4A05">
      <w:pPr>
        <w:pStyle w:val="ONUME"/>
        <w:numPr>
          <w:ilvl w:val="1"/>
          <w:numId w:val="2"/>
        </w:numPr>
        <w:rPr>
          <w:rFonts w:eastAsia="Times New Roman"/>
          <w:szCs w:val="22"/>
        </w:rPr>
      </w:pPr>
      <w:r>
        <w:t>проверка ситуации в области кибербезопасности в ВОИС;</w:t>
      </w:r>
    </w:p>
    <w:p w14:paraId="2BBF27E5" w14:textId="77777777" w:rsidR="00EF4A05" w:rsidRPr="00EF4A05" w:rsidRDefault="00C4224C" w:rsidP="00C4224C">
      <w:pPr>
        <w:pStyle w:val="ONUME"/>
        <w:numPr>
          <w:ilvl w:val="1"/>
          <w:numId w:val="2"/>
        </w:numPr>
        <w:rPr>
          <w:rFonts w:eastAsia="Times New Roman"/>
          <w:szCs w:val="22"/>
        </w:rPr>
      </w:pPr>
      <w:r>
        <w:t>обзор кризисного управления ВОИС во время пандемии;</w:t>
      </w:r>
    </w:p>
    <w:p w14:paraId="5F6A3E0D" w14:textId="77777777" w:rsidR="00EF4A05" w:rsidRPr="00EF4A05" w:rsidRDefault="00EF4A05" w:rsidP="00EF4A05">
      <w:pPr>
        <w:pStyle w:val="ONUME"/>
        <w:numPr>
          <w:ilvl w:val="1"/>
          <w:numId w:val="2"/>
        </w:numPr>
        <w:rPr>
          <w:rFonts w:eastAsia="Times New Roman"/>
          <w:szCs w:val="22"/>
        </w:rPr>
      </w:pPr>
      <w:r>
        <w:t>обзор системы управления служебной деятельностью и повышения квалификации сотрудников ВОИС;</w:t>
      </w:r>
    </w:p>
    <w:p w14:paraId="09DB6BF7" w14:textId="77777777" w:rsidR="00EF4A05" w:rsidRPr="00EF4A05" w:rsidRDefault="00EF4A05" w:rsidP="00EF4A05">
      <w:pPr>
        <w:pStyle w:val="ONUME"/>
        <w:numPr>
          <w:ilvl w:val="1"/>
          <w:numId w:val="2"/>
        </w:numPr>
        <w:rPr>
          <w:rFonts w:eastAsia="Times New Roman"/>
          <w:szCs w:val="22"/>
        </w:rPr>
      </w:pPr>
      <w:r>
        <w:t>оценка деятельности Регионального отдела арабских стран;</w:t>
      </w:r>
    </w:p>
    <w:p w14:paraId="41C9A425" w14:textId="77777777" w:rsidR="00EF4A05" w:rsidRPr="00EF4A05" w:rsidRDefault="00EF4A05" w:rsidP="00EF4A05">
      <w:pPr>
        <w:pStyle w:val="ONUME"/>
        <w:numPr>
          <w:ilvl w:val="1"/>
          <w:numId w:val="2"/>
        </w:numPr>
        <w:rPr>
          <w:rFonts w:eastAsia="Times New Roman"/>
          <w:szCs w:val="22"/>
        </w:rPr>
      </w:pPr>
      <w:r>
        <w:lastRenderedPageBreak/>
        <w:t>оценка WIPO Match;</w:t>
      </w:r>
    </w:p>
    <w:p w14:paraId="6FAAE8DE" w14:textId="3B78B3B5" w:rsidR="00EF4A05" w:rsidRPr="00EF4A05" w:rsidRDefault="00EF4A05" w:rsidP="00EF4A05">
      <w:pPr>
        <w:pStyle w:val="ONUME"/>
        <w:numPr>
          <w:ilvl w:val="1"/>
          <w:numId w:val="2"/>
        </w:numPr>
        <w:rPr>
          <w:rFonts w:eastAsia="Times New Roman"/>
          <w:szCs w:val="22"/>
        </w:rPr>
      </w:pPr>
      <w:r>
        <w:t>оценка использования и эффекта рекомендаций Секции оценки ОВН;</w:t>
      </w:r>
    </w:p>
    <w:p w14:paraId="0AB48D27" w14:textId="7FFF2853" w:rsidR="00EF4A05" w:rsidRPr="00EF4A05" w:rsidRDefault="00EF4A05" w:rsidP="00EF4A05">
      <w:pPr>
        <w:pStyle w:val="ONUME"/>
        <w:numPr>
          <w:ilvl w:val="1"/>
          <w:numId w:val="2"/>
        </w:numPr>
        <w:rPr>
          <w:rFonts w:eastAsia="Times New Roman"/>
          <w:szCs w:val="22"/>
        </w:rPr>
      </w:pPr>
      <w:r>
        <w:t>консультативная помощь в рамках самооценок национальных стратегий в области интеллектуальной собственности (ИС);</w:t>
      </w:r>
    </w:p>
    <w:p w14:paraId="4B97D86D" w14:textId="77777777" w:rsidR="00EF4A05" w:rsidRPr="00EF4A05" w:rsidRDefault="00EF4A05" w:rsidP="00EF4A05">
      <w:pPr>
        <w:pStyle w:val="ONUME"/>
        <w:numPr>
          <w:ilvl w:val="1"/>
          <w:numId w:val="2"/>
        </w:numPr>
        <w:rPr>
          <w:rFonts w:eastAsia="Times New Roman"/>
          <w:szCs w:val="22"/>
        </w:rPr>
      </w:pPr>
      <w:r>
        <w:t>ОРРР по вопросам персональных данных и конфиденциальности в отношении электронной корреспонденции между ВОИС и сторонними пользователями; и</w:t>
      </w:r>
    </w:p>
    <w:p w14:paraId="1B569D79" w14:textId="77777777" w:rsidR="00EF4A05" w:rsidRPr="00EF4A05" w:rsidRDefault="00EF4A05" w:rsidP="00EF4A05">
      <w:pPr>
        <w:pStyle w:val="ONUME"/>
        <w:numPr>
          <w:ilvl w:val="1"/>
          <w:numId w:val="2"/>
        </w:numPr>
      </w:pPr>
      <w:r>
        <w:t>ОРРР по вопросам информации, имеющейся на веб-сайте Patentscope.</w:t>
      </w:r>
    </w:p>
    <w:p w14:paraId="64E3F68F" w14:textId="26E7DCCB" w:rsidR="00C46B12" w:rsidRDefault="00C46B12" w:rsidP="00EF4A05">
      <w:pPr>
        <w:pStyle w:val="ONUME"/>
      </w:pPr>
      <w:r>
        <w:t xml:space="preserve">ОВН продолжает диалог с руководством на предмет регулярного обзора и обновления данных о ходе осуществления невыполненных рекомендаций. Работа по выполнению всех рекомендаций ведется руководством в рамках плана действий, в котором указаны предлагаемые мероприятия, лица, ответственные за их выполнение, и сроки реализации. Надзорные рекомендации отражены в системе </w:t>
      </w:r>
      <w:r w:rsidR="00E559A4" w:rsidRPr="004B2173">
        <w:t>Team</w:t>
      </w:r>
      <w:r w:rsidR="00E559A4">
        <w:t>Mate+</w:t>
      </w:r>
      <w:r w:rsidR="00E559A4" w:rsidRPr="000B53FC">
        <w:rPr>
          <w:vertAlign w:val="superscript"/>
        </w:rPr>
        <w:t>TM</w:t>
      </w:r>
      <w:r w:rsidR="00873B4F" w:rsidRPr="00873B4F">
        <w:rPr>
          <w:vertAlign w:val="superscript"/>
          <w:lang w:val="en-US"/>
        </w:rPr>
        <w:footnoteReference w:id="7"/>
      </w:r>
      <w:r>
        <w:t>, доступ к которой имеют ОВН и руководство ВОИС.</w:t>
      </w:r>
    </w:p>
    <w:p w14:paraId="1876B05B" w14:textId="5DB80F49" w:rsidR="0022519E" w:rsidRDefault="0022519E" w:rsidP="00500A24">
      <w:pPr>
        <w:pStyle w:val="Heading1"/>
      </w:pPr>
      <w:bookmarkStart w:id="31" w:name="_Toc98252889"/>
      <w:r>
        <w:t>ОТЧЕТНЫЕ МЕРОПРИЯТИЯ В 2021 Г</w:t>
      </w:r>
      <w:bookmarkEnd w:id="31"/>
      <w:r w:rsidR="000C2BC1">
        <w:t>ОДУ</w:t>
      </w:r>
    </w:p>
    <w:p w14:paraId="1C5855D2" w14:textId="77777777" w:rsidR="008053D2" w:rsidRPr="00500A24" w:rsidRDefault="0022519E" w:rsidP="00315F3C">
      <w:pPr>
        <w:pStyle w:val="Heading2"/>
      </w:pPr>
      <w:bookmarkStart w:id="32" w:name="_Toc476745977"/>
      <w:r>
        <w:t>АУДИТ И ОЦЕНКА СОБЛЮДЕНИЯ ПРИНЦИПОВ ПРОФЕССИОНАЛЬНОЙ ЭТИКИ В ВОПРОСЕ ОБ ОТСУТСТВИИ СОТРУДНИКОВ НА РАБОЧИХ МЕСТАХ</w:t>
      </w:r>
    </w:p>
    <w:p w14:paraId="03E12D10" w14:textId="06FCC513" w:rsidR="004854FF" w:rsidRPr="00EB5AF7" w:rsidRDefault="004854FF" w:rsidP="004854FF">
      <w:pPr>
        <w:pStyle w:val="ONUME"/>
      </w:pPr>
      <w:bookmarkStart w:id="33" w:name="_Toc476745979"/>
      <w:bookmarkEnd w:id="32"/>
      <w:r>
        <w:t>ОВН отметил ряд положительных изменений в вопросах управления и административного руководства в связи с отсутствием сотрудни</w:t>
      </w:r>
      <w:r w:rsidR="0082472C">
        <w:t>ков на рабочих местах, включая</w:t>
      </w:r>
      <w:r w:rsidR="009A6529">
        <w:t>:</w:t>
      </w:r>
    </w:p>
    <w:p w14:paraId="708A7522" w14:textId="71011BA3" w:rsidR="004854FF" w:rsidRPr="00EB5AF7" w:rsidRDefault="004854FF" w:rsidP="004854FF">
      <w:pPr>
        <w:pStyle w:val="ONUME"/>
        <w:numPr>
          <w:ilvl w:val="1"/>
          <w:numId w:val="2"/>
        </w:numPr>
      </w:pPr>
      <w:r>
        <w:t>обучение сотрудников получению удаленного доступа к системе управления административной информацией (СУАИ) системы людских ресур</w:t>
      </w:r>
      <w:r w:rsidR="0082472C">
        <w:t>сов (ЛР);</w:t>
      </w:r>
    </w:p>
    <w:p w14:paraId="0ABC8DA5" w14:textId="532178DD" w:rsidR="004854FF" w:rsidRPr="00EB5AF7" w:rsidRDefault="004854FF" w:rsidP="004854FF">
      <w:pPr>
        <w:pStyle w:val="ONUME"/>
        <w:numPr>
          <w:ilvl w:val="1"/>
          <w:numId w:val="2"/>
        </w:numPr>
      </w:pPr>
      <w:r>
        <w:t>внедрение инструмента проверки платежных ведомостей для автоматизации выверки выплат сотрудникам и вычетов из заработно</w:t>
      </w:r>
      <w:r w:rsidR="0082472C">
        <w:t>й платы за отпуск по болезни; и</w:t>
      </w:r>
    </w:p>
    <w:p w14:paraId="7E92A2D1" w14:textId="48AE8E0A" w:rsidR="004854FF" w:rsidRPr="00EB5AF7" w:rsidRDefault="00E16FEA" w:rsidP="004854FF">
      <w:pPr>
        <w:pStyle w:val="ONUME"/>
        <w:numPr>
          <w:ilvl w:val="1"/>
          <w:numId w:val="2"/>
        </w:numPr>
      </w:pPr>
      <w:r>
        <w:t>выполнение рекомендаций по возвращению на работу</w:t>
      </w:r>
      <w:r w:rsidR="0082472C">
        <w:t xml:space="preserve"> после длительного больничного.</w:t>
      </w:r>
    </w:p>
    <w:p w14:paraId="5A7D2EC0" w14:textId="0CDD7415" w:rsidR="004854FF" w:rsidRPr="00EB5AF7" w:rsidRDefault="004854FF" w:rsidP="004854FF">
      <w:pPr>
        <w:pStyle w:val="ONUME"/>
      </w:pPr>
      <w:r>
        <w:t>Эти изменения помогли повысить эффективность и результативность управления в связи с различными случаями отсутствия на рабочих местах, включая, в частности, отпуск по болезни (при наличии оправдательного документа и без него)</w:t>
      </w:r>
      <w:r w:rsidR="00B51E48">
        <w:t xml:space="preserve"> и</w:t>
      </w:r>
      <w:r>
        <w:t xml:space="preserve"> с</w:t>
      </w:r>
      <w:r w:rsidR="0082472C">
        <w:t>пециальные и ежегодные отпуска.</w:t>
      </w:r>
    </w:p>
    <w:p w14:paraId="0F775B49" w14:textId="1FCA9875" w:rsidR="004854FF" w:rsidRPr="00EB5AF7" w:rsidRDefault="004854FF" w:rsidP="004854FF">
      <w:pPr>
        <w:pStyle w:val="ONUME"/>
      </w:pPr>
      <w:r>
        <w:t xml:space="preserve">В Организации имеются возможности для улучшения управления в связи с различными случаями отсутствия </w:t>
      </w:r>
      <w:r w:rsidR="0082472C">
        <w:t xml:space="preserve">сотрудников на рабочих местах. </w:t>
      </w:r>
      <w:r>
        <w:t>Например, Департаменту управления людскими ресурсами (ДУЛР) следует во взаимодействии с заинтересованными сторонами в Организации проанализировать соответствующую служебную инструкцию (СИ) об отпусках по болезни, предоставляемых при наличии оправдательного документа, а также текущие рабочие процессы и практику управления отпусками по болезни с целью выявления и внесения необходимых изменений д</w:t>
      </w:r>
      <w:r w:rsidR="0082472C">
        <w:t>ля обеспечения согласованности.</w:t>
      </w:r>
      <w:r>
        <w:t xml:space="preserve"> Более конкретно, ДУЛР следует усилить внутренний контроль записей на прием к врачу путем случайного выбора сотрудников и проверки </w:t>
      </w:r>
      <w:r>
        <w:lastRenderedPageBreak/>
        <w:t>того, что в их случае запись на прием к врачу произведена согласно требованиям соотв</w:t>
      </w:r>
      <w:r w:rsidR="0082472C">
        <w:t>етствующей СИ.</w:t>
      </w:r>
    </w:p>
    <w:p w14:paraId="70F5C9B2" w14:textId="0A07B649" w:rsidR="004854FF" w:rsidRPr="00EB5AF7" w:rsidRDefault="004854FF" w:rsidP="00D74DAA">
      <w:pPr>
        <w:pStyle w:val="ONUME"/>
      </w:pPr>
      <w:r>
        <w:t>Управление отпусками по болезни можно дополнительно улучшить путем разработки плана переноса данных для более полного, достоверного и точного определения результатов, достигнутых в процессе переноса данных об отпусках по болезни в EarthMed. Кроме того, создание механизма, облегчающего ведение полноценной отчетности о затратах на отпуска по болезни и учитывающего как качественные, так и количественные элементы затрат, в сочетании с целевыми информационными сессиями и инициативным обменом информацией между ДУЛР (включая Медицинский пункт) и соответствующими руководителями программ и начальниками подразделений</w:t>
      </w:r>
      <w:r w:rsidR="00D74DAA">
        <w:t xml:space="preserve"> (с </w:t>
      </w:r>
      <w:r w:rsidR="00D74DAA" w:rsidRPr="00D74DAA">
        <w:t>соблюдение</w:t>
      </w:r>
      <w:r w:rsidR="00D74DAA">
        <w:t>м</w:t>
      </w:r>
      <w:r w:rsidR="00D74DAA" w:rsidRPr="00D74DAA">
        <w:t xml:space="preserve"> врачебной тайны</w:t>
      </w:r>
      <w:r w:rsidR="00D74DAA">
        <w:t>)</w:t>
      </w:r>
      <w:r>
        <w:t>, поможет улучшить обратную связь и принимать обоснованные оперативные решения (например, заполнение вакантных должностей).</w:t>
      </w:r>
    </w:p>
    <w:p w14:paraId="2047AB20" w14:textId="3C1A2769" w:rsidR="004854FF" w:rsidRPr="00EB5AF7" w:rsidRDefault="004854FF" w:rsidP="004854FF">
      <w:pPr>
        <w:pStyle w:val="ONUME"/>
      </w:pPr>
      <w:r>
        <w:t>Кроме того, для Организации было бы полезно внести соответствующие изменения в EarthMed для сбора актуальных и подробных медицинских данных, которые могут анализироваться для выявления полезных тенденций и накопления статистических данных, проведения анализа основных причин и подготовки конкретизированных отчетов. В рамках других улучшений следует назвать завершение разработки интерфейса между СУАИ ЛР и EarthMed</w:t>
      </w:r>
      <w:r w:rsidR="00D74DAA">
        <w:t xml:space="preserve"> </w:t>
      </w:r>
      <w:r w:rsidR="00D74DAA" w:rsidRPr="00D74DAA">
        <w:t>(с соблюдением врачебной тайны)</w:t>
      </w:r>
      <w:r>
        <w:t>, который повысит эффективность и результативность управления в связи с отсутствием сотрудников на рабочих местах.</w:t>
      </w:r>
    </w:p>
    <w:p w14:paraId="787CAF08" w14:textId="282C0E0E" w:rsidR="004854FF" w:rsidRPr="00EB5AF7" w:rsidRDefault="004854FF" w:rsidP="004854FF">
      <w:pPr>
        <w:pStyle w:val="ONUME"/>
      </w:pPr>
      <w:r>
        <w:t xml:space="preserve">Наконец, добавление в предусмотренном в </w:t>
      </w:r>
      <w:r w:rsidR="004D0B57">
        <w:t xml:space="preserve">СУАИ ЛР </w:t>
      </w:r>
      <w:r>
        <w:t>бланке заявления на отпуск по семейным обстоятельствам, графы для галочки в качестве подтверждения информации под честное слово позволит повысить подотчетность, соблюдение требований соответствующей СИ и согласованность с ними.</w:t>
      </w:r>
    </w:p>
    <w:p w14:paraId="6253BFE3" w14:textId="77777777" w:rsidR="008053D2" w:rsidRPr="00C0396C" w:rsidRDefault="00C4224C" w:rsidP="00315F3C">
      <w:pPr>
        <w:pStyle w:val="Heading2"/>
      </w:pPr>
      <w:r>
        <w:t>ПРОВЕРКА СИТУАЦИИ В ОБЛАСТИ КИБЕРБЕЗОПАСНОСТИ В ВОИС</w:t>
      </w:r>
    </w:p>
    <w:p w14:paraId="76C4F6C9" w14:textId="53EB1A37" w:rsidR="00F52CE2" w:rsidRPr="00C0396C" w:rsidRDefault="004854FF" w:rsidP="00D173B8">
      <w:pPr>
        <w:pStyle w:val="ONUME"/>
      </w:pPr>
      <w:r>
        <w:t>Как показал обзор, в ВОИС разработана вполне зрелая программа обеспечения кибербезопасности, которая соответствует заявленным ВОИС параметрам приемлемого риска и глобально согласована с передовой практикой организаций и частных компаний с аналогичными целями в области информационной безопасности, включая соответствующую целевому назначению структуру управления и архитектуру безопасности. Был сделан вывод, что бюджет Отдела обеспечения безопасности и достоверности информации соответствует целям информационной безопасности.</w:t>
      </w:r>
    </w:p>
    <w:p w14:paraId="7D3C6A7D" w14:textId="00355C6A" w:rsidR="00F52CE2" w:rsidRPr="00C0396C" w:rsidRDefault="00F52CE2" w:rsidP="00F52CE2">
      <w:pPr>
        <w:pStyle w:val="ONUME"/>
      </w:pPr>
      <w:r>
        <w:t>Обеспечение кибербезопасности было признано в целом эффективным. При этом был выявлен ряд отдельных некритических элементов уязвимости, которые в настоящее время устраняются.</w:t>
      </w:r>
    </w:p>
    <w:p w14:paraId="3BEBF951" w14:textId="7581AEDB" w:rsidR="004854FF" w:rsidRPr="00C0396C" w:rsidRDefault="001E2BD8" w:rsidP="004854FF">
      <w:pPr>
        <w:pStyle w:val="ONUME"/>
      </w:pPr>
      <w:r>
        <w:t>ОВН вынес рекомендации по дальнейшему укреплению кибербезопасности Организации, в частности путем согласования Стратегии в области информационно-коммуникационных технологий и Стратегии информационной безопасности, увеличения числа учений и военных игр в киберпространстве, совершенствования базы данных управления конфигурацией на предмет инвентаризации критически важных активов и продолжения взаимодействия с независимыми поставщиками услуг для обеспечения принятия ими мер по у</w:t>
      </w:r>
      <w:r w:rsidR="004D0B57">
        <w:t>креплению их кибербезопасности.</w:t>
      </w:r>
    </w:p>
    <w:p w14:paraId="66C87C01" w14:textId="77777777" w:rsidR="008053D2" w:rsidRPr="00C0396C" w:rsidRDefault="00C4224C" w:rsidP="004854FF">
      <w:pPr>
        <w:pStyle w:val="Heading2"/>
      </w:pPr>
      <w:r>
        <w:t>Обзор кризисного управления ВОИС во время пандемии</w:t>
      </w:r>
    </w:p>
    <w:p w14:paraId="344A1B90" w14:textId="1D0946E3" w:rsidR="009D772F" w:rsidRPr="00C0396C" w:rsidRDefault="009D772F" w:rsidP="009D772F">
      <w:pPr>
        <w:pStyle w:val="ONUME"/>
      </w:pPr>
      <w:r>
        <w:t xml:space="preserve">Эпидемия COVID-19, которая была объявлена пандемией Всемирной организацией здравоохранения 11 марта 2020 г., стала серьезной угрозой для людей, предприятий и организаций во всем мире. Ввиду возможности возникновения подобных кризисов в будущем, а также масштабов и продолжительности связанных с ними нарушений деятельности, необходимо, чтобы ВОИС принимала эффективные и устойчивые </w:t>
      </w:r>
      <w:r>
        <w:lastRenderedPageBreak/>
        <w:t>ответные меры, позволяющие Организации продолжать выполнять свои стратегические задачи.</w:t>
      </w:r>
    </w:p>
    <w:p w14:paraId="7C295149" w14:textId="34C425D4" w:rsidR="009D772F" w:rsidRPr="00C0396C" w:rsidRDefault="009D772F" w:rsidP="008A4807">
      <w:pPr>
        <w:pStyle w:val="ONUME"/>
      </w:pPr>
      <w:r>
        <w:t>Обзор показал, что в ВОИС создана нормально функционирующая структура руководства для управления кризисами. Отвечающие за соответствующие направления группы обеспечивали принятие оперативных, тактических и стратегических решений и были полностью интегрированы в повседневную деятельность Организации. Кроме того, ОВН пришел к выводу, что существующие стратегии и процедуры адекватны для целей управления кризисом и что руководство по мере необходимости вносит тре</w:t>
      </w:r>
      <w:r w:rsidR="004D0B57">
        <w:t>бующиеся уточнения и изменения.</w:t>
      </w:r>
      <w:r>
        <w:t xml:space="preserve"> Организация успешно применяла механизм организационной устойчивости ВОИС на основе своих планов кризисного управления и других </w:t>
      </w:r>
      <w:r w:rsidR="004D0B57">
        <w:t>соответствующих мероприятий.</w:t>
      </w:r>
      <w:r>
        <w:t xml:space="preserve"> Организация выполняла свои стратегии и процедуры кризисного управления и с учетом ситуации пандемии вносила коррективы в системы управления рисками и внутреннего контроля. На будущее ВОИС необходимо определить координаторов по обеспечению бесперебойного функционирования на уровне секторов для дальнейшего расширения практического применения механизма организационной устойчивости ВОИС.</w:t>
      </w:r>
    </w:p>
    <w:p w14:paraId="5820522F" w14:textId="376FF02D" w:rsidR="009D772F" w:rsidRPr="00C0396C" w:rsidRDefault="009D772F" w:rsidP="009D772F">
      <w:pPr>
        <w:pStyle w:val="ONUME"/>
      </w:pPr>
      <w:r>
        <w:t>В дополнение к своей основной работе ОВН провел три опроса с охватом сотрудников ВОИС, руководителей подразделений и государств-членов, чтобы получить ценную информацию</w:t>
      </w:r>
      <w:r w:rsidR="00D74DAA">
        <w:t xml:space="preserve"> о том</w:t>
      </w:r>
      <w:r>
        <w:t>, как воспринимается осуществляемое Организацией кризисное управле</w:t>
      </w:r>
      <w:r w:rsidR="004D0B57">
        <w:t>ние, и учесть извлеченные уроки.</w:t>
      </w:r>
      <w:r>
        <w:t xml:space="preserve"> Судя по полученным результатам, одной из доминирующих тем для сотрудников ВОИС выступали вопросы гибкого режима и баланса служебных и внеслужебных интересов, в то время как большинство руководителей отметили, что кризис помог им по-новому посмотреть на организацию работы и сделать ее более эффективной, экономичной и результативной без ущерба для к</w:t>
      </w:r>
      <w:r w:rsidR="004D0B57">
        <w:t>ачества получаемых результатов.</w:t>
      </w:r>
      <w:r>
        <w:t xml:space="preserve"> В своих комментариях участвовавшие государства-члены подчеркивали важность виртуальных совещаний (в частности, гибридных сессий, вебинаров и онлайнового обучения), а также необходимость по возможности продолжать использовать так</w:t>
      </w:r>
      <w:r w:rsidR="00D74DAA">
        <w:t>ие</w:t>
      </w:r>
      <w:r>
        <w:t xml:space="preserve"> формат</w:t>
      </w:r>
      <w:r w:rsidR="00D74DAA">
        <w:t>ы</w:t>
      </w:r>
      <w:r>
        <w:t xml:space="preserve"> </w:t>
      </w:r>
      <w:r w:rsidR="00D74DAA">
        <w:t>работы</w:t>
      </w:r>
      <w:r>
        <w:t>, поскольку он</w:t>
      </w:r>
      <w:r w:rsidR="00D74DAA">
        <w:t>и</w:t>
      </w:r>
      <w:r>
        <w:t xml:space="preserve"> оказал</w:t>
      </w:r>
      <w:r w:rsidR="00D74DAA">
        <w:t>ись</w:t>
      </w:r>
      <w:r>
        <w:t xml:space="preserve"> </w:t>
      </w:r>
      <w:r w:rsidR="002D3B44">
        <w:t>в числе</w:t>
      </w:r>
      <w:r>
        <w:t xml:space="preserve"> ценных изменений, прои</w:t>
      </w:r>
      <w:r w:rsidR="004D0B57">
        <w:t>зошедших в результате пандемии.</w:t>
      </w:r>
      <w:r>
        <w:t xml:space="preserve"> Организация может вносить дальнейшие усовершенствования, анализируя потребности внешних заинтересованных сторон в области дополнительных платформ для поддержан</w:t>
      </w:r>
      <w:r w:rsidR="004D0B57">
        <w:t>ия контактов и сотрудничества.</w:t>
      </w:r>
    </w:p>
    <w:p w14:paraId="51E474A0" w14:textId="380E5C6B" w:rsidR="00D173B8" w:rsidRPr="00582879" w:rsidRDefault="00D173B8" w:rsidP="008A4807">
      <w:pPr>
        <w:pStyle w:val="ONUME"/>
      </w:pPr>
      <w:r>
        <w:t>ОВН выявил извлеченные уроки и вынес рекомендации в области кризисного управления и поддержания контактов, управления людскими ресурсами, реализации соответствующих стратегий и процедур и соблюдения их требований, а также в области внутреннего контроля, которые будут способствовать дальнейшему совершенствованию процессов кризисного управления и пойдут на пользу механизм</w:t>
      </w:r>
      <w:r w:rsidR="004D0B57">
        <w:t>у организационной устойчивости.</w:t>
      </w:r>
    </w:p>
    <w:p w14:paraId="6AFDA7DE" w14:textId="77777777" w:rsidR="00775974" w:rsidRPr="00500A24" w:rsidRDefault="00C4224C" w:rsidP="00315F3C">
      <w:pPr>
        <w:pStyle w:val="Heading2"/>
      </w:pPr>
      <w:r>
        <w:t>ОБЗОР СИСТЕМЫ УПРАВЛЕНИЯ СЛУЖЕБНОЙ ДЕЯТЕЛЬНОСТЬЮ И ПОВЫШЕНИЯ КВАЛИФИКАЦИИ СОТРУДНИКОВ ВОИС</w:t>
      </w:r>
    </w:p>
    <w:p w14:paraId="201DE4D7" w14:textId="1A050383" w:rsidR="009D772F" w:rsidRDefault="009D772F" w:rsidP="009D772F">
      <w:pPr>
        <w:pStyle w:val="ONUME"/>
      </w:pPr>
      <w:r>
        <w:t>Обзор показал, что существующий процесс управления служебной деятельностью в ВОИС основан на традиционных принципах такого управления. Кроме того, в рамках действующей модели были выделены такие ключевые вопросы, как:</w:t>
      </w:r>
    </w:p>
    <w:p w14:paraId="35E0C2E1" w14:textId="77777777" w:rsidR="009D772F" w:rsidRPr="00556D54" w:rsidRDefault="009D772F" w:rsidP="009D772F">
      <w:pPr>
        <w:pStyle w:val="ONUME"/>
        <w:numPr>
          <w:ilvl w:val="1"/>
          <w:numId w:val="2"/>
        </w:numPr>
      </w:pPr>
      <w:r>
        <w:t>недостаточное доверие к данному процессу;</w:t>
      </w:r>
    </w:p>
    <w:p w14:paraId="0AA1031D" w14:textId="207C9545" w:rsidR="009D772F" w:rsidRPr="00556D54" w:rsidRDefault="009D772F" w:rsidP="009D772F">
      <w:pPr>
        <w:pStyle w:val="ONUME"/>
        <w:numPr>
          <w:ilvl w:val="1"/>
          <w:numId w:val="2"/>
        </w:numPr>
      </w:pPr>
      <w:r>
        <w:t>отсутствие культуры постоянной обратной свя</w:t>
      </w:r>
      <w:r w:rsidR="00E7405F">
        <w:t>зи и боязнь трудных разговоров;</w:t>
      </w:r>
    </w:p>
    <w:p w14:paraId="5E012D0D" w14:textId="77777777" w:rsidR="009D772F" w:rsidRPr="00556D54" w:rsidRDefault="009D772F" w:rsidP="009D772F">
      <w:pPr>
        <w:pStyle w:val="ONUME"/>
        <w:numPr>
          <w:ilvl w:val="1"/>
          <w:numId w:val="2"/>
        </w:numPr>
      </w:pPr>
      <w:r>
        <w:t>большая административная нагрузка на руководителей, так как система сложна и не удобна для пользователя;</w:t>
      </w:r>
    </w:p>
    <w:p w14:paraId="6E2A2A6E" w14:textId="77777777" w:rsidR="009D772F" w:rsidRPr="00556D54" w:rsidRDefault="009D772F" w:rsidP="009D772F">
      <w:pPr>
        <w:pStyle w:val="ONUME"/>
        <w:numPr>
          <w:ilvl w:val="1"/>
          <w:numId w:val="2"/>
        </w:numPr>
      </w:pPr>
      <w:r>
        <w:t>ощущение бесполезности «работы для галочки»;</w:t>
      </w:r>
    </w:p>
    <w:p w14:paraId="62AAAE94" w14:textId="13B7F1F0" w:rsidR="009D772F" w:rsidRPr="00556D54" w:rsidRDefault="009D772F" w:rsidP="0030017C">
      <w:pPr>
        <w:pStyle w:val="ONUME"/>
        <w:numPr>
          <w:ilvl w:val="1"/>
          <w:numId w:val="2"/>
        </w:numPr>
      </w:pPr>
      <w:r>
        <w:lastRenderedPageBreak/>
        <w:t>с организационной точки зрения, хотя система управления служебной деятельностью и повышения квалификации сотрудников эффективна в обеспечении согласования целей, связанных с выполнением ставящихся задач, она пока не функционирует как комплексный инструмент, способствующий развитию и формированию стремления к росту, необходимого для реализации стратегических замыслов ВОИС; и</w:t>
      </w:r>
    </w:p>
    <w:p w14:paraId="48F83DE7" w14:textId="77777777" w:rsidR="009D772F" w:rsidRPr="00556D54" w:rsidRDefault="009D772F" w:rsidP="009D772F">
      <w:pPr>
        <w:pStyle w:val="ONUME"/>
        <w:numPr>
          <w:ilvl w:val="1"/>
          <w:numId w:val="2"/>
        </w:numPr>
      </w:pPr>
      <w:r>
        <w:t>из-за недостаточной мобильности некоторые сотрудники могут "застревать" на должностях, не позволяющих реализовать их возможности.</w:t>
      </w:r>
    </w:p>
    <w:p w14:paraId="766BB476" w14:textId="22BF2E2D" w:rsidR="009D772F" w:rsidRDefault="009D772F" w:rsidP="000E10F4">
      <w:pPr>
        <w:pStyle w:val="ONUME"/>
      </w:pPr>
      <w:r>
        <w:t>Кроме того, руководителям необходимо совершенствовать навыки управления служебной деятельностью, в частности сталкиваясь со случая</w:t>
      </w:r>
      <w:r w:rsidR="00565D01">
        <w:t>ми неудовлетворительной работы.</w:t>
      </w:r>
      <w:r>
        <w:t xml:space="preserve"> </w:t>
      </w:r>
      <w:r w:rsidR="000E10F4">
        <w:t>Как правило, о</w:t>
      </w:r>
      <w:r>
        <w:t xml:space="preserve">ни неохотно занимаются </w:t>
      </w:r>
      <w:r w:rsidR="0087751A">
        <w:t>этим</w:t>
      </w:r>
      <w:r>
        <w:t xml:space="preserve"> и </w:t>
      </w:r>
      <w:r w:rsidR="000E10F4">
        <w:t>в результате могут завышать оценки</w:t>
      </w:r>
      <w:r>
        <w:t xml:space="preserve"> своих сотрудников, </w:t>
      </w:r>
      <w:r w:rsidR="000E10F4" w:rsidRPr="000E10F4">
        <w:t>чтобы избежать, в частности,</w:t>
      </w:r>
      <w:r w:rsidR="000E10F4">
        <w:t xml:space="preserve"> дополнительной</w:t>
      </w:r>
      <w:r w:rsidR="000E10F4" w:rsidRPr="000E10F4">
        <w:t xml:space="preserve"> административно</w:t>
      </w:r>
      <w:r w:rsidR="000E10F4">
        <w:t>й</w:t>
      </w:r>
      <w:r w:rsidR="000E10F4" w:rsidRPr="000E10F4">
        <w:t xml:space="preserve"> </w:t>
      </w:r>
      <w:r w:rsidR="000E10F4">
        <w:t>работы</w:t>
      </w:r>
      <w:r w:rsidR="000E10F4" w:rsidRPr="000E10F4">
        <w:t xml:space="preserve">, </w:t>
      </w:r>
      <w:r w:rsidR="000E10F4">
        <w:t xml:space="preserve">возникающей в случае </w:t>
      </w:r>
      <w:r w:rsidR="000E10F4" w:rsidRPr="000E10F4">
        <w:t xml:space="preserve">неудовлетворительной </w:t>
      </w:r>
      <w:r w:rsidRPr="000E10F4">
        <w:t>служебной деятельност</w:t>
      </w:r>
      <w:r w:rsidR="000E10F4">
        <w:t>и</w:t>
      </w:r>
      <w:r w:rsidR="000E10F4" w:rsidRPr="000E10F4">
        <w:t>.</w:t>
      </w:r>
    </w:p>
    <w:p w14:paraId="1CF70223" w14:textId="0C914972" w:rsidR="009D772F" w:rsidRDefault="0087751A" w:rsidP="009D772F">
      <w:pPr>
        <w:pStyle w:val="ONUME"/>
      </w:pPr>
      <w:r>
        <w:t>Наконец,</w:t>
      </w:r>
      <w:r w:rsidR="009D772F">
        <w:t xml:space="preserve"> </w:t>
      </w:r>
      <w:r>
        <w:t>уровень</w:t>
      </w:r>
      <w:r w:rsidR="009D772F">
        <w:t xml:space="preserve"> зрелости </w:t>
      </w:r>
      <w:r w:rsidR="000A75FA">
        <w:t xml:space="preserve">текущего </w:t>
      </w:r>
      <w:r w:rsidR="009D772F">
        <w:t xml:space="preserve">управления служебной деятельностью ВОИС </w:t>
      </w:r>
      <w:r>
        <w:t>оценива</w:t>
      </w:r>
      <w:r w:rsidR="000A75FA">
        <w:t>л</w:t>
      </w:r>
      <w:r>
        <w:t xml:space="preserve">ся </w:t>
      </w:r>
      <w:r w:rsidR="009D772F">
        <w:t>по семи основным параметрам (цель, культура, люди, процесс, система информационных технологий (ИТ), вознаграждение и признание, служебный рост)</w:t>
      </w:r>
      <w:r w:rsidR="000A75FA">
        <w:t>.</w:t>
      </w:r>
      <w:r w:rsidR="009D772F">
        <w:t xml:space="preserve"> </w:t>
      </w:r>
      <w:r w:rsidR="000A75FA">
        <w:t>Был сделан вывод, что по большинству параметров работа</w:t>
      </w:r>
      <w:r w:rsidR="009D772F">
        <w:t xml:space="preserve"> находится на начальной стадии, другими словами необходимо продолж</w:t>
      </w:r>
      <w:r w:rsidR="000A75FA">
        <w:t>а</w:t>
      </w:r>
      <w:r w:rsidR="009D772F">
        <w:t xml:space="preserve">ть </w:t>
      </w:r>
      <w:r w:rsidR="000A75FA">
        <w:t>прилагать усилия</w:t>
      </w:r>
      <w:r w:rsidR="009D772F">
        <w:t xml:space="preserve"> по развитию зрелой культуры управления служебной деятельностью, в частности в интересах эффективного достижения стратегич</w:t>
      </w:r>
      <w:r w:rsidR="00565D01">
        <w:t>еских целей Организации.</w:t>
      </w:r>
    </w:p>
    <w:p w14:paraId="4B19C883" w14:textId="72A005EE" w:rsidR="009D772F" w:rsidRDefault="009D772F" w:rsidP="009D772F">
      <w:pPr>
        <w:pStyle w:val="ONUME"/>
      </w:pPr>
      <w:r>
        <w:t>На будущее и руководители, и сотрудники указ</w:t>
      </w:r>
      <w:r w:rsidR="00565D01">
        <w:t>ыв</w:t>
      </w:r>
      <w:r>
        <w:t>али на необходимость перемен, включая:</w:t>
      </w:r>
    </w:p>
    <w:p w14:paraId="372E3497" w14:textId="77777777" w:rsidR="009D772F" w:rsidRPr="00556D54" w:rsidRDefault="009D772F" w:rsidP="009D772F">
      <w:pPr>
        <w:pStyle w:val="ONUME"/>
        <w:numPr>
          <w:ilvl w:val="1"/>
          <w:numId w:val="2"/>
        </w:numPr>
      </w:pPr>
      <w:r>
        <w:t>обеспечение большей объективности, признания и возможностей повышения квалификации на основе более ориентированных на пользователя и более простых процедур;</w:t>
      </w:r>
    </w:p>
    <w:p w14:paraId="02A44705" w14:textId="69C1F1DB" w:rsidR="009D772F" w:rsidRPr="00556D54" w:rsidRDefault="009D772F" w:rsidP="009D772F">
      <w:pPr>
        <w:pStyle w:val="ONUME"/>
        <w:numPr>
          <w:ilvl w:val="1"/>
          <w:numId w:val="2"/>
        </w:numPr>
      </w:pPr>
      <w:r>
        <w:t>оказание дополнительной поддержки со стороны Организации для эффективного решения проблем в связи с неудовлетворительными результатами работы; и</w:t>
      </w:r>
    </w:p>
    <w:p w14:paraId="73454D33" w14:textId="77777777" w:rsidR="009D772F" w:rsidRPr="00556D54" w:rsidRDefault="009D772F" w:rsidP="009D772F">
      <w:pPr>
        <w:pStyle w:val="ONUME"/>
        <w:numPr>
          <w:ilvl w:val="1"/>
          <w:numId w:val="2"/>
        </w:numPr>
      </w:pPr>
      <w:r>
        <w:t>необходимость кардинальной культурной эволюции мышления и поведения в вопросах результатов служебной деятельности.</w:t>
      </w:r>
    </w:p>
    <w:p w14:paraId="44AF9B2F" w14:textId="562E26C1" w:rsidR="009D772F" w:rsidRDefault="009D772F" w:rsidP="009D772F">
      <w:pPr>
        <w:pStyle w:val="ONUME"/>
      </w:pPr>
      <w:r>
        <w:t xml:space="preserve">Кроме того, для решения основных задач в области управления служебной деятельностью Организации </w:t>
      </w:r>
      <w:r w:rsidR="002B4981">
        <w:t>необходимо, в частности:</w:t>
      </w:r>
    </w:p>
    <w:p w14:paraId="1FE13C02" w14:textId="77777777" w:rsidR="009D772F" w:rsidRPr="00556D54" w:rsidRDefault="009D772F" w:rsidP="009D772F">
      <w:pPr>
        <w:pStyle w:val="ONUME"/>
        <w:numPr>
          <w:ilvl w:val="1"/>
          <w:numId w:val="2"/>
        </w:numPr>
      </w:pPr>
      <w:r>
        <w:t xml:space="preserve">обеспечить стратегический переход к большей клиентоориентированности; </w:t>
      </w:r>
    </w:p>
    <w:p w14:paraId="1EC7DBB7" w14:textId="48216371" w:rsidR="009D772F" w:rsidRPr="00556D54" w:rsidRDefault="009D772F" w:rsidP="009D772F">
      <w:pPr>
        <w:pStyle w:val="ONUME"/>
        <w:numPr>
          <w:ilvl w:val="1"/>
          <w:numId w:val="2"/>
        </w:numPr>
      </w:pPr>
      <w:r>
        <w:t xml:space="preserve">внедрять установки на повышение профессиональной компетенции на основе </w:t>
      </w:r>
      <w:r w:rsidR="00DE1002">
        <w:t>культуры эффективности</w:t>
      </w:r>
      <w:r w:rsidR="00565D01">
        <w:t xml:space="preserve"> работы и обратной связи;</w:t>
      </w:r>
    </w:p>
    <w:p w14:paraId="7444BDCA" w14:textId="456B44FD" w:rsidR="009D772F" w:rsidRPr="00556D54" w:rsidRDefault="009D772F" w:rsidP="009D772F">
      <w:pPr>
        <w:pStyle w:val="ONUME"/>
        <w:numPr>
          <w:ilvl w:val="1"/>
          <w:numId w:val="2"/>
        </w:numPr>
      </w:pPr>
      <w:r>
        <w:t>проявлять больше гибкости и искать новые пути, чему в настоящее время препятствует недостаточная гибкость существующих процедур управл</w:t>
      </w:r>
      <w:r w:rsidR="002B4981">
        <w:t>ения служебной деятельностью; и</w:t>
      </w:r>
    </w:p>
    <w:p w14:paraId="0C31E513" w14:textId="4A571914" w:rsidR="009D772F" w:rsidRPr="00556D54" w:rsidRDefault="009D772F" w:rsidP="009D772F">
      <w:pPr>
        <w:pStyle w:val="ONUME"/>
        <w:numPr>
          <w:ilvl w:val="1"/>
          <w:numId w:val="2"/>
        </w:numPr>
      </w:pPr>
      <w:r>
        <w:t xml:space="preserve">принимать меры по повышению квалификации руководства и бороться с </w:t>
      </w:r>
      <w:r w:rsidR="0008140C">
        <w:t>имеющим место нежеланием отходить</w:t>
      </w:r>
      <w:r>
        <w:t xml:space="preserve"> от традици</w:t>
      </w:r>
      <w:r w:rsidR="00565D01">
        <w:t>онных профессиональных методов.</w:t>
      </w:r>
    </w:p>
    <w:p w14:paraId="0129168A" w14:textId="149A152E" w:rsidR="009D772F" w:rsidRDefault="009D772F" w:rsidP="00423823">
      <w:pPr>
        <w:pStyle w:val="ONUME"/>
      </w:pPr>
      <w:r>
        <w:t xml:space="preserve">Наконец, крайне важно создать новую адаптированную к условиям ВОИС упрощенную и гибкую модель управления служебной деятельностью на основе четких </w:t>
      </w:r>
      <w:r>
        <w:lastRenderedPageBreak/>
        <w:t>механизмов</w:t>
      </w:r>
      <w:r w:rsidR="00684DC4">
        <w:t xml:space="preserve"> коммуникации и обратной связи.</w:t>
      </w:r>
      <w:r>
        <w:t xml:space="preserve"> Ключевую роль будут играть руководители среднего звена, внедряя новую модель в коллективах своих сотрудников и </w:t>
      </w:r>
      <w:r w:rsidR="00DE1002">
        <w:t>примен</w:t>
      </w:r>
      <w:r w:rsidR="00FC684F">
        <w:t>я</w:t>
      </w:r>
      <w:r w:rsidR="00DE1002">
        <w:t>я</w:t>
      </w:r>
      <w:r>
        <w:t xml:space="preserve"> эти принци</w:t>
      </w:r>
      <w:r w:rsidR="00565D01">
        <w:t>пы в повседневной работе.</w:t>
      </w:r>
    </w:p>
    <w:p w14:paraId="20524AEE" w14:textId="56F85A43" w:rsidR="00B70223" w:rsidRPr="00315F3C" w:rsidRDefault="00C4224C" w:rsidP="00315F3C">
      <w:pPr>
        <w:pStyle w:val="Heading2"/>
      </w:pPr>
      <w:r>
        <w:t>Оценка деятельности Регионального отдела арабских стран</w:t>
      </w:r>
      <w:r w:rsidR="00684DC4">
        <w:t xml:space="preserve"> </w:t>
      </w:r>
      <w:r>
        <w:t>(ОАС)</w:t>
      </w:r>
    </w:p>
    <w:p w14:paraId="1011590B" w14:textId="20E1DCCB" w:rsidR="004854FF" w:rsidRPr="002060B3" w:rsidRDefault="004854FF" w:rsidP="004854FF">
      <w:pPr>
        <w:pStyle w:val="ONUME"/>
      </w:pPr>
      <w:r>
        <w:t xml:space="preserve">ОАС входит в Сектор регионального и национального развития ВОИС. Основной задачей ОАС является координация ориентированной на развитие и оказываемой по запросам технической помощи в сотрудничестве со всеми соответствующими операционными подразделениями ВОИС с учетом различий и приоритетов государств-членов, специфики региона и соображений </w:t>
      </w:r>
      <w:r w:rsidR="00DE1002">
        <w:t>придания магистрального</w:t>
      </w:r>
      <w:r>
        <w:t xml:space="preserve"> значения гендерной </w:t>
      </w:r>
      <w:r w:rsidR="00565D01">
        <w:t>проблематике.</w:t>
      </w:r>
      <w:r>
        <w:t xml:space="preserve"> Кроме того, ОАС отвечает за предоставление ТС 22 арабским странам, чтобы они получили возможность модернизировать свои службы регистрации и эффективнее использовать активы ИС для реализации преимуществ системы ИС.</w:t>
      </w:r>
    </w:p>
    <w:p w14:paraId="0491AC0A" w14:textId="1D8C3B5D" w:rsidR="004854FF" w:rsidRDefault="004854FF" w:rsidP="004854FF">
      <w:pPr>
        <w:pStyle w:val="ONUME"/>
      </w:pPr>
      <w:r>
        <w:t>Данная оценка преследовала формативные цели с ориентацией на аспекты обучения и совершенствования программы.</w:t>
      </w:r>
    </w:p>
    <w:p w14:paraId="6381BDD5" w14:textId="3A993ED3" w:rsidR="004854FF" w:rsidRPr="002060B3" w:rsidRDefault="004854FF" w:rsidP="004854FF">
      <w:pPr>
        <w:pStyle w:val="ONUME"/>
      </w:pPr>
      <w:r>
        <w:t>Основные выводы отчета:</w:t>
      </w:r>
    </w:p>
    <w:p w14:paraId="035C6D6F" w14:textId="272BDF9F" w:rsidR="004854FF" w:rsidRPr="002060B3" w:rsidRDefault="008966F1" w:rsidP="004854FF">
      <w:pPr>
        <w:pStyle w:val="ONUME"/>
        <w:numPr>
          <w:ilvl w:val="1"/>
          <w:numId w:val="2"/>
        </w:numPr>
      </w:pPr>
      <w:r>
        <w:t>п</w:t>
      </w:r>
      <w:r w:rsidR="004854FF">
        <w:t>оддержка, оказываемая Отделом государствам-членам арабского региона, соответствовала национальным приоритетам и предоставлялась в соответствии с потребностями стран;</w:t>
      </w:r>
    </w:p>
    <w:p w14:paraId="0BDEFD6A" w14:textId="105669BF" w:rsidR="004854FF" w:rsidRPr="002060B3" w:rsidRDefault="008966F1" w:rsidP="002327F8">
      <w:pPr>
        <w:pStyle w:val="ONUME"/>
        <w:numPr>
          <w:ilvl w:val="1"/>
          <w:numId w:val="2"/>
        </w:numPr>
      </w:pPr>
      <w:r>
        <w:t>п</w:t>
      </w:r>
      <w:r w:rsidR="009E2DB6">
        <w:t>о большей части ТС оказывалось по линии отдельных мероприятий, разработанных в соответствии с приоритетами государств-членов при ограниченной интеграции стратегического видения планируемых результатов в каждой стране. Некоторые заинтересованные стороны отмечали</w:t>
      </w:r>
      <w:r w:rsidR="008F1AE1">
        <w:t xml:space="preserve"> нечеткость</w:t>
      </w:r>
      <w:r w:rsidR="009E2DB6">
        <w:t xml:space="preserve"> критери</w:t>
      </w:r>
      <w:r w:rsidR="008F1AE1">
        <w:t>ев</w:t>
      </w:r>
      <w:r w:rsidR="009E2DB6">
        <w:t xml:space="preserve"> отбора, установленны</w:t>
      </w:r>
      <w:r w:rsidR="008F1AE1">
        <w:t>х</w:t>
      </w:r>
      <w:r w:rsidR="009E2DB6">
        <w:t xml:space="preserve"> ОАС для деятельности по оказанию ТС;</w:t>
      </w:r>
    </w:p>
    <w:p w14:paraId="2F7AB183" w14:textId="0424E8CA" w:rsidR="000E3787" w:rsidRPr="000E3787" w:rsidRDefault="004854FF" w:rsidP="002327F8">
      <w:pPr>
        <w:pStyle w:val="ONUME"/>
        <w:numPr>
          <w:ilvl w:val="1"/>
          <w:numId w:val="2"/>
        </w:numPr>
      </w:pPr>
      <w:r>
        <w:t xml:space="preserve">большинство заинтересованных сторон обращаются в первую очередь в Отдел по </w:t>
      </w:r>
      <w:r w:rsidR="00BB07F2">
        <w:t>любым вопросам, связанным с ИС.</w:t>
      </w:r>
      <w:r>
        <w:t xml:space="preserve"> Вместе с тем</w:t>
      </w:r>
      <w:r w:rsidR="008F1AE1">
        <w:t>, как правило,</w:t>
      </w:r>
      <w:r>
        <w:t xml:space="preserve"> Отдел </w:t>
      </w:r>
      <w:r w:rsidR="008F1AE1">
        <w:t xml:space="preserve">в целом уделяет основное внимание </w:t>
      </w:r>
      <w:r>
        <w:t>диплома</w:t>
      </w:r>
      <w:r w:rsidR="00BB07F2">
        <w:t>тически</w:t>
      </w:r>
      <w:r w:rsidR="008F1AE1">
        <w:t>м</w:t>
      </w:r>
      <w:r w:rsidR="00BB07F2">
        <w:t xml:space="preserve"> аспект</w:t>
      </w:r>
      <w:r w:rsidR="008F1AE1">
        <w:t>ам</w:t>
      </w:r>
      <w:r w:rsidR="00BB07F2">
        <w:t xml:space="preserve"> своих функций</w:t>
      </w:r>
      <w:r w:rsidR="005079F8">
        <w:t>, а не</w:t>
      </w:r>
      <w:r>
        <w:t xml:space="preserve"> управлени</w:t>
      </w:r>
      <w:r w:rsidR="005079F8">
        <w:t>ю</w:t>
      </w:r>
      <w:r>
        <w:t xml:space="preserve"> п</w:t>
      </w:r>
      <w:r w:rsidR="001D4318">
        <w:t>роектами и технической сторон</w:t>
      </w:r>
      <w:r w:rsidR="005079F8">
        <w:t>е работы</w:t>
      </w:r>
      <w:r w:rsidR="001D4318">
        <w:t>;</w:t>
      </w:r>
    </w:p>
    <w:p w14:paraId="69C10D82" w14:textId="418EC65A" w:rsidR="004854FF" w:rsidRPr="002060B3" w:rsidRDefault="005079F8" w:rsidP="002327F8">
      <w:pPr>
        <w:pStyle w:val="ONUME"/>
        <w:numPr>
          <w:ilvl w:val="1"/>
          <w:numId w:val="2"/>
        </w:numPr>
      </w:pPr>
      <w:r>
        <w:t>в выводах</w:t>
      </w:r>
      <w:r w:rsidR="004854FF">
        <w:t xml:space="preserve"> оценки отмечалось, что в Отделе используются показатели самооценки, в случае которых порой нет достаточно четкой методологии сбора и анализа данных;</w:t>
      </w:r>
    </w:p>
    <w:p w14:paraId="1F70E0A2" w14:textId="00A093B6" w:rsidR="000E3787" w:rsidRDefault="005079F8" w:rsidP="002327F8">
      <w:pPr>
        <w:pStyle w:val="ONUME"/>
        <w:numPr>
          <w:ilvl w:val="1"/>
          <w:numId w:val="2"/>
        </w:numPr>
      </w:pPr>
      <w:r>
        <w:t>в</w:t>
      </w:r>
      <w:r w:rsidR="004854FF">
        <w:t xml:space="preserve"> ходе оценки были выявлены некоторые направления работы, требующие большего внимания со стороны Отдела и его сотрудников, такие как мониторинг и оценка, где больше внимания уделяется оценке проведенных мероприятий, а не полученных результатов; и</w:t>
      </w:r>
    </w:p>
    <w:p w14:paraId="4FC983FE" w14:textId="4F2D046B" w:rsidR="001A6CA0" w:rsidRDefault="005079F8" w:rsidP="002327F8">
      <w:pPr>
        <w:pStyle w:val="ONUME"/>
        <w:numPr>
          <w:ilvl w:val="1"/>
          <w:numId w:val="2"/>
        </w:numPr>
      </w:pPr>
      <w:r>
        <w:t xml:space="preserve">результаты усилий Отдела по обеспечению устойчивого эффекта осуществляемых мероприятий прослеживаются только </w:t>
      </w:r>
      <w:r w:rsidR="008966F1">
        <w:t>в</w:t>
      </w:r>
      <w:r w:rsidR="001A6CA0">
        <w:t xml:space="preserve"> некоторых арабских странах</w:t>
      </w:r>
      <w:r w:rsidR="00BB07F2">
        <w:t>.</w:t>
      </w:r>
      <w:r w:rsidR="001A6CA0">
        <w:t xml:space="preserve"> </w:t>
      </w:r>
      <w:r>
        <w:t>Т</w:t>
      </w:r>
      <w:r w:rsidR="001A6CA0">
        <w:t>акие усилия не обеспечили широкого одобрения национальных стратегий и изменений в политике. В Отделе еще не разработаны ориентированные на конкретные результаты среднесрочный и долгосрочный планы и дорожная карта с участием национальных партнеров в сфере ИС и при широком использовании партнерств в интересах содействия таким изменениям.</w:t>
      </w:r>
    </w:p>
    <w:p w14:paraId="14588B8C" w14:textId="4E3C70A1" w:rsidR="004854FF" w:rsidRPr="002060B3" w:rsidRDefault="004854FF" w:rsidP="004854FF">
      <w:pPr>
        <w:pStyle w:val="ONUME"/>
      </w:pPr>
      <w:r>
        <w:t>С учетом заключений и выводов, сделанных по итогам оценки, в отчете приводятся с</w:t>
      </w:r>
      <w:r w:rsidR="00BB07F2">
        <w:t>ледующие основные рекомендации:</w:t>
      </w:r>
    </w:p>
    <w:p w14:paraId="23EE4863" w14:textId="48D8D87F" w:rsidR="004854FF" w:rsidRPr="002060B3" w:rsidRDefault="004854FF" w:rsidP="004854FF">
      <w:pPr>
        <w:pStyle w:val="ONUME"/>
        <w:numPr>
          <w:ilvl w:val="1"/>
          <w:numId w:val="11"/>
        </w:numPr>
      </w:pPr>
      <w:r>
        <w:t xml:space="preserve">разработать ориентированную на конкретные результаты совместную средне- и долгосрочную программу/план (на три-пять лет) работы ОАС и стран-членов с </w:t>
      </w:r>
      <w:r>
        <w:lastRenderedPageBreak/>
        <w:t>обеспечением согласованности мероприятий</w:t>
      </w:r>
      <w:r w:rsidR="005079F8">
        <w:t xml:space="preserve"> при</w:t>
      </w:r>
      <w:r>
        <w:t xml:space="preserve"> сохранени</w:t>
      </w:r>
      <w:r w:rsidR="005079F8">
        <w:t>и</w:t>
      </w:r>
      <w:r>
        <w:t xml:space="preserve"> гибкости </w:t>
      </w:r>
      <w:r w:rsidR="005079F8">
        <w:t>с учетом</w:t>
      </w:r>
      <w:r>
        <w:t xml:space="preserve"> возникающих потребностей;</w:t>
      </w:r>
    </w:p>
    <w:p w14:paraId="075BBF3B" w14:textId="7B2817C9" w:rsidR="004854FF" w:rsidRPr="002060B3" w:rsidRDefault="004854FF" w:rsidP="004854FF">
      <w:pPr>
        <w:pStyle w:val="ONUME"/>
        <w:numPr>
          <w:ilvl w:val="1"/>
          <w:numId w:val="2"/>
        </w:numPr>
      </w:pPr>
      <w:r>
        <w:t>пересмотреть систему показателей деятельности Отдела с целью определения средств оценки результатов, обеспечения согласованности и недопущения несоответствий;</w:t>
      </w:r>
    </w:p>
    <w:p w14:paraId="65C3F5ED" w14:textId="6AB696F6" w:rsidR="004854FF" w:rsidRPr="002060B3" w:rsidRDefault="004854FF" w:rsidP="004854FF">
      <w:pPr>
        <w:pStyle w:val="ONUME"/>
        <w:numPr>
          <w:ilvl w:val="1"/>
          <w:numId w:val="2"/>
        </w:numPr>
      </w:pPr>
      <w:r>
        <w:t>укреплять партнерские отношения с национальными и региональными партнерами и постоянными представительствами соответствующих стран, повышая осведомленность о проводимой деятельности и разрабатывая среднесрочные и долгосрочные программы/планы действий; и</w:t>
      </w:r>
    </w:p>
    <w:p w14:paraId="29BE677B" w14:textId="17BC2E7E" w:rsidR="004854FF" w:rsidRPr="002060B3" w:rsidRDefault="004854FF" w:rsidP="00345023">
      <w:pPr>
        <w:pStyle w:val="ONUME"/>
        <w:numPr>
          <w:ilvl w:val="1"/>
          <w:numId w:val="2"/>
        </w:numPr>
      </w:pPr>
      <w:r>
        <w:t>содействовать тесному сотрудничеству с другими международными организациями (Конференцией ООН по торговле и развитию, Всемирной торговой организаци</w:t>
      </w:r>
      <w:r w:rsidR="00310B73">
        <w:t>ей</w:t>
      </w:r>
      <w:r>
        <w:t xml:space="preserve"> и другими) для </w:t>
      </w:r>
      <w:r w:rsidR="000A0A8F">
        <w:t>объединения</w:t>
      </w:r>
      <w:r>
        <w:t xml:space="preserve"> ресурсов и обеспечени</w:t>
      </w:r>
      <w:r w:rsidR="001D4318">
        <w:t>я</w:t>
      </w:r>
      <w:r>
        <w:t xml:space="preserve"> максимального воздействия и устойчивости в рамках (i) разработки и реализации </w:t>
      </w:r>
      <w:r w:rsidR="00345023" w:rsidRPr="00345023">
        <w:t>НСИС</w:t>
      </w:r>
      <w:r>
        <w:t>; (ii) оказания влияния на инновационные стратегии; и (iii) оказания дополнительной поддержки для удовлетворения возникающих в регионе потребностей.</w:t>
      </w:r>
    </w:p>
    <w:p w14:paraId="0894A01F" w14:textId="77777777" w:rsidR="00B70223" w:rsidRPr="00315F3C" w:rsidRDefault="00C4224C" w:rsidP="00315F3C">
      <w:pPr>
        <w:pStyle w:val="Heading2"/>
      </w:pPr>
      <w:r>
        <w:t>Оценка WIPO Match</w:t>
      </w:r>
    </w:p>
    <w:p w14:paraId="48CF6ED9" w14:textId="242BA2D5" w:rsidR="004854FF" w:rsidRPr="002060B3" w:rsidRDefault="004854FF" w:rsidP="004854FF">
      <w:pPr>
        <w:pStyle w:val="ONUME"/>
      </w:pPr>
      <w:r>
        <w:t xml:space="preserve">WIPO Match — это глобальное сообщество заинтересованных сторон, созданное для того, чтобы использовать возможности индустрии и частного сектора для содействия экономическому, социальному и культурному развитию в </w:t>
      </w:r>
      <w:r w:rsidR="00DE1002">
        <w:t>развивающихся и</w:t>
      </w:r>
      <w:r>
        <w:t xml:space="preserve"> наименее развитых странах, а также странах с переходной экономикой. Для достижения этой цели оно помогает нуждающимся в технической помощи в области ИС найти поставщиков таких услуг для осуществления пр</w:t>
      </w:r>
      <w:r w:rsidR="004B7010">
        <w:t>оектов и мероприятий на местах.</w:t>
      </w:r>
    </w:p>
    <w:p w14:paraId="58DC4D67" w14:textId="29C78C06" w:rsidR="0033685D" w:rsidRDefault="004854FF" w:rsidP="004854FF">
      <w:pPr>
        <w:pStyle w:val="ONUME"/>
      </w:pPr>
      <w:r>
        <w:t xml:space="preserve">Данная оценка преследовала формативные цели с ориентацией на изыскание возможностей для </w:t>
      </w:r>
      <w:r w:rsidR="00DE1002">
        <w:t>обучения и</w:t>
      </w:r>
      <w:r w:rsidR="000A0A8F">
        <w:t xml:space="preserve"> совершенствования программы.</w:t>
      </w:r>
    </w:p>
    <w:p w14:paraId="169248B4" w14:textId="128EC5A1" w:rsidR="004854FF" w:rsidRDefault="004854FF" w:rsidP="004854FF">
      <w:pPr>
        <w:pStyle w:val="ONUME"/>
        <w:rPr>
          <w:rFonts w:eastAsia="Times New Roman" w:cs="Times New Roman"/>
        </w:rPr>
      </w:pPr>
      <w:r>
        <w:t>Основные выводы отчета:</w:t>
      </w:r>
    </w:p>
    <w:p w14:paraId="04FBE488" w14:textId="08D6FBF8" w:rsidR="004854FF" w:rsidRPr="00C74B4E" w:rsidRDefault="004854FF" w:rsidP="007E6F3C">
      <w:pPr>
        <w:pStyle w:val="ONUME"/>
        <w:numPr>
          <w:ilvl w:val="1"/>
          <w:numId w:val="2"/>
        </w:numPr>
        <w:rPr>
          <w:rFonts w:eastAsia="Times New Roman" w:cs="Times New Roman"/>
        </w:rPr>
      </w:pPr>
      <w:r>
        <w:t xml:space="preserve">платформа WIPO Match была разработана по просьбе КРИС в соответствии с рекомендацией 9 Повестки дня в области развития. </w:t>
      </w:r>
    </w:p>
    <w:p w14:paraId="5AD50853" w14:textId="118944C2" w:rsidR="004854FF" w:rsidRPr="002060B3" w:rsidRDefault="00310B73" w:rsidP="004854FF">
      <w:pPr>
        <w:pStyle w:val="ONUME"/>
        <w:numPr>
          <w:ilvl w:val="1"/>
          <w:numId w:val="2"/>
        </w:numPr>
        <w:rPr>
          <w:rFonts w:eastAsia="Times New Roman"/>
        </w:rPr>
      </w:pPr>
      <w:r>
        <w:t>с</w:t>
      </w:r>
      <w:r w:rsidR="004854FF">
        <w:t xml:space="preserve">пектр возможностей WIPO Match меняется с течением времени и включает в себя целый комплекс услуг и предложений, предоставление которых всем членам платформы в рамках данного проекта не всегда реально. В настоящее время услуги и отзывы о программе доступны не для всех обратившихся, что ограничивает потенциал </w:t>
      </w:r>
      <w:r w:rsidR="00EA541E">
        <w:t>масштабного прогресса</w:t>
      </w:r>
      <w:r w:rsidR="004854FF">
        <w:t xml:space="preserve"> проекта;</w:t>
      </w:r>
    </w:p>
    <w:p w14:paraId="22C088A1" w14:textId="397B5928" w:rsidR="001F7A20" w:rsidRPr="00EA541E" w:rsidRDefault="00EA541E" w:rsidP="004155AC">
      <w:pPr>
        <w:pStyle w:val="ONUME"/>
        <w:numPr>
          <w:ilvl w:val="1"/>
          <w:numId w:val="2"/>
        </w:numPr>
        <w:rPr>
          <w:rFonts w:eastAsia="Times New Roman"/>
        </w:rPr>
      </w:pPr>
      <w:r w:rsidRPr="00EA541E">
        <w:rPr>
          <w:rFonts w:eastAsia="Times New Roman"/>
        </w:rPr>
        <w:t>тем не менее Организации нужно решать серьезные проблемы эффективности, связанные с общим контекстом функционирования WIPO Match</w:t>
      </w:r>
      <w:r>
        <w:rPr>
          <w:rFonts w:eastAsia="Times New Roman"/>
        </w:rPr>
        <w:t>;</w:t>
      </w:r>
      <w:r w:rsidR="001F7A20" w:rsidRPr="00EA541E">
        <w:rPr>
          <w:rFonts w:eastAsia="Times New Roman"/>
        </w:rPr>
        <w:t xml:space="preserve">  </w:t>
      </w:r>
    </w:p>
    <w:p w14:paraId="67EB1528" w14:textId="77777777" w:rsidR="00EA541E" w:rsidRDefault="001F7A20" w:rsidP="00EA541E">
      <w:pPr>
        <w:pStyle w:val="ONUME"/>
        <w:numPr>
          <w:ilvl w:val="1"/>
          <w:numId w:val="2"/>
        </w:numPr>
        <w:rPr>
          <w:rFonts w:eastAsia="Times New Roman"/>
        </w:rPr>
      </w:pPr>
      <w:r>
        <w:rPr>
          <w:rFonts w:eastAsia="Times New Roman"/>
        </w:rPr>
        <w:t xml:space="preserve"> </w:t>
      </w:r>
      <w:r w:rsidR="00EA541E">
        <w:rPr>
          <w:rFonts w:eastAsia="Times New Roman"/>
        </w:rPr>
        <w:t>по мнению о</w:t>
      </w:r>
      <w:r w:rsidR="00EA541E" w:rsidRPr="00EA541E">
        <w:rPr>
          <w:rFonts w:eastAsia="Times New Roman"/>
        </w:rPr>
        <w:t>прошенны</w:t>
      </w:r>
      <w:r w:rsidR="00EA541E">
        <w:rPr>
          <w:rFonts w:eastAsia="Times New Roman"/>
        </w:rPr>
        <w:t>х</w:t>
      </w:r>
      <w:r w:rsidR="00EA541E" w:rsidRPr="00EA541E">
        <w:rPr>
          <w:rFonts w:eastAsia="Times New Roman"/>
        </w:rPr>
        <w:t xml:space="preserve"> заинтересованны</w:t>
      </w:r>
      <w:r w:rsidR="00EA541E">
        <w:rPr>
          <w:rFonts w:eastAsia="Times New Roman"/>
        </w:rPr>
        <w:t>х</w:t>
      </w:r>
      <w:r w:rsidR="00EA541E" w:rsidRPr="00EA541E">
        <w:rPr>
          <w:rFonts w:eastAsia="Times New Roman"/>
        </w:rPr>
        <w:t xml:space="preserve"> сторон</w:t>
      </w:r>
      <w:r w:rsidR="00EA541E">
        <w:rPr>
          <w:rFonts w:eastAsia="Times New Roman"/>
        </w:rPr>
        <w:t>,</w:t>
      </w:r>
      <w:r w:rsidR="00EA541E" w:rsidRPr="00EA541E">
        <w:rPr>
          <w:rFonts w:eastAsia="Times New Roman"/>
        </w:rPr>
        <w:t xml:space="preserve"> </w:t>
      </w:r>
      <w:r w:rsidR="00EA541E">
        <w:rPr>
          <w:rFonts w:eastAsia="Times New Roman"/>
        </w:rPr>
        <w:t>существуют</w:t>
      </w:r>
      <w:r w:rsidR="00EA541E" w:rsidRPr="00EA541E">
        <w:rPr>
          <w:rFonts w:eastAsia="Times New Roman"/>
        </w:rPr>
        <w:t xml:space="preserve"> возможности улучшения</w:t>
      </w:r>
      <w:r w:rsidR="00EA541E">
        <w:rPr>
          <w:rFonts w:eastAsia="Times New Roman"/>
        </w:rPr>
        <w:t xml:space="preserve"> работы </w:t>
      </w:r>
      <w:r w:rsidR="00EA541E" w:rsidRPr="00EA541E">
        <w:rPr>
          <w:rFonts w:eastAsia="Times New Roman"/>
        </w:rPr>
        <w:t>WIPO Match</w:t>
      </w:r>
      <w:r w:rsidR="00EA541E">
        <w:rPr>
          <w:rFonts w:eastAsia="Times New Roman"/>
        </w:rPr>
        <w:t>;</w:t>
      </w:r>
    </w:p>
    <w:p w14:paraId="6F95A12B" w14:textId="50E5DD48" w:rsidR="001F7A20" w:rsidRDefault="001F7A20" w:rsidP="00EA541E">
      <w:pPr>
        <w:pStyle w:val="ONUME"/>
        <w:numPr>
          <w:ilvl w:val="1"/>
          <w:numId w:val="2"/>
        </w:numPr>
        <w:rPr>
          <w:rFonts w:eastAsia="Times New Roman"/>
        </w:rPr>
      </w:pPr>
      <w:r>
        <w:rPr>
          <w:rFonts w:eastAsia="Times New Roman"/>
        </w:rPr>
        <w:t xml:space="preserve"> </w:t>
      </w:r>
      <w:r w:rsidR="00EA541E" w:rsidRPr="00EA541E">
        <w:rPr>
          <w:rFonts w:eastAsia="Times New Roman"/>
        </w:rPr>
        <w:t xml:space="preserve">за десять лет </w:t>
      </w:r>
      <w:r w:rsidR="00EA541E">
        <w:rPr>
          <w:rFonts w:eastAsia="Times New Roman"/>
        </w:rPr>
        <w:t>с</w:t>
      </w:r>
      <w:r w:rsidR="00EA541E" w:rsidRPr="00EA541E">
        <w:rPr>
          <w:rFonts w:eastAsia="Times New Roman"/>
        </w:rPr>
        <w:t xml:space="preserve"> момента создания </w:t>
      </w:r>
      <w:r w:rsidR="009E04A3">
        <w:rPr>
          <w:rFonts w:eastAsia="Times New Roman"/>
        </w:rPr>
        <w:t xml:space="preserve">и </w:t>
      </w:r>
      <w:r w:rsidR="00EA541E" w:rsidRPr="00EA541E">
        <w:rPr>
          <w:rFonts w:eastAsia="Times New Roman"/>
        </w:rPr>
        <w:t>до 2019 г</w:t>
      </w:r>
      <w:r w:rsidR="009E04A3">
        <w:rPr>
          <w:rFonts w:eastAsia="Times New Roman"/>
        </w:rPr>
        <w:t>.</w:t>
      </w:r>
      <w:r w:rsidR="00EA541E" w:rsidRPr="00EA541E">
        <w:rPr>
          <w:rFonts w:eastAsia="Times New Roman"/>
        </w:rPr>
        <w:t xml:space="preserve"> </w:t>
      </w:r>
      <w:r w:rsidR="006B5547">
        <w:rPr>
          <w:rFonts w:eastAsia="Times New Roman"/>
        </w:rPr>
        <w:t xml:space="preserve">с помощью платформы </w:t>
      </w:r>
      <w:r w:rsidR="006B5547">
        <w:rPr>
          <w:rFonts w:eastAsia="Times New Roman"/>
          <w:lang w:val="en-US"/>
        </w:rPr>
        <w:t>WIPO</w:t>
      </w:r>
      <w:r w:rsidR="006B5547" w:rsidRPr="006B5547">
        <w:rPr>
          <w:rFonts w:eastAsia="Times New Roman"/>
        </w:rPr>
        <w:t xml:space="preserve"> </w:t>
      </w:r>
      <w:r w:rsidR="006B5547">
        <w:rPr>
          <w:rFonts w:eastAsia="Times New Roman"/>
          <w:lang w:val="en-US"/>
        </w:rPr>
        <w:t>Match</w:t>
      </w:r>
      <w:r w:rsidR="00EA541E" w:rsidRPr="00EA541E">
        <w:rPr>
          <w:rFonts w:eastAsia="Times New Roman"/>
        </w:rPr>
        <w:t xml:space="preserve"> </w:t>
      </w:r>
      <w:r w:rsidR="006B5547">
        <w:rPr>
          <w:rFonts w:eastAsia="Times New Roman"/>
        </w:rPr>
        <w:t xml:space="preserve">удалось заключить </w:t>
      </w:r>
      <w:r w:rsidR="00EA541E" w:rsidRPr="00EA541E">
        <w:rPr>
          <w:rFonts w:eastAsia="Times New Roman"/>
        </w:rPr>
        <w:t>только шест</w:t>
      </w:r>
      <w:r w:rsidR="006B5547">
        <w:rPr>
          <w:rFonts w:eastAsia="Times New Roman"/>
        </w:rPr>
        <w:t>ь партнерских союзов;</w:t>
      </w:r>
    </w:p>
    <w:p w14:paraId="2267DA0C" w14:textId="444E248F" w:rsidR="001F7A20" w:rsidRPr="002060B3" w:rsidRDefault="001F7A20" w:rsidP="004854FF">
      <w:pPr>
        <w:pStyle w:val="ONUME"/>
        <w:numPr>
          <w:ilvl w:val="1"/>
          <w:numId w:val="2"/>
        </w:numPr>
        <w:rPr>
          <w:rFonts w:eastAsia="Times New Roman"/>
        </w:rPr>
      </w:pPr>
      <w:r w:rsidRPr="001F7A20">
        <w:rPr>
          <w:rFonts w:eastAsia="Times New Roman"/>
        </w:rPr>
        <w:t>оценка также показала, что критерии, используемые для того, чтобы стать членом платформы, недостаточно ясны</w:t>
      </w:r>
      <w:r w:rsidR="00724E72">
        <w:rPr>
          <w:rFonts w:eastAsia="Times New Roman"/>
        </w:rPr>
        <w:t xml:space="preserve"> для полного раскрытия</w:t>
      </w:r>
      <w:r w:rsidRPr="001F7A20">
        <w:rPr>
          <w:rFonts w:eastAsia="Times New Roman"/>
        </w:rPr>
        <w:t xml:space="preserve"> </w:t>
      </w:r>
      <w:r w:rsidR="009E04A3">
        <w:rPr>
          <w:rFonts w:eastAsia="Times New Roman"/>
        </w:rPr>
        <w:t>ее потенциал</w:t>
      </w:r>
      <w:r w:rsidR="00724E72">
        <w:rPr>
          <w:rFonts w:eastAsia="Times New Roman"/>
        </w:rPr>
        <w:t>а</w:t>
      </w:r>
      <w:r w:rsidRPr="001F7A20">
        <w:rPr>
          <w:rFonts w:eastAsia="Times New Roman"/>
        </w:rPr>
        <w:t>;</w:t>
      </w:r>
    </w:p>
    <w:p w14:paraId="48A23E0F" w14:textId="5EA4E840" w:rsidR="004854FF" w:rsidRPr="001F7A20" w:rsidRDefault="004854FF" w:rsidP="004854FF">
      <w:pPr>
        <w:pStyle w:val="ONUME"/>
        <w:numPr>
          <w:ilvl w:val="1"/>
          <w:numId w:val="2"/>
        </w:numPr>
        <w:rPr>
          <w:rFonts w:eastAsia="Times New Roman"/>
        </w:rPr>
      </w:pPr>
      <w:r>
        <w:t xml:space="preserve">технология веб-платформы WIPO Match устарела и не соответствует современным стандартам платформ. Существующая веб-платформа ограничивает </w:t>
      </w:r>
      <w:r>
        <w:lastRenderedPageBreak/>
        <w:t>эффективность работы коллектива проекта, поскольку некоторые задачи приходится выполнять вручную.</w:t>
      </w:r>
    </w:p>
    <w:p w14:paraId="1333ADFA" w14:textId="77777777" w:rsidR="004854FF" w:rsidRPr="00C74B4E" w:rsidRDefault="004854FF" w:rsidP="004854FF">
      <w:pPr>
        <w:pStyle w:val="ONUME"/>
      </w:pPr>
      <w:r>
        <w:t xml:space="preserve">С учетом выводов, сделанных по итогам оценки, в отчете приводятся следующие основные рекомендации: </w:t>
      </w:r>
    </w:p>
    <w:p w14:paraId="40A61235" w14:textId="4316B097" w:rsidR="004854FF" w:rsidRPr="002060B3" w:rsidRDefault="004B7641" w:rsidP="004854FF">
      <w:pPr>
        <w:pStyle w:val="ONUME"/>
        <w:numPr>
          <w:ilvl w:val="1"/>
          <w:numId w:val="2"/>
        </w:numPr>
        <w:rPr>
          <w:rFonts w:cs="Times New Roman"/>
        </w:rPr>
      </w:pPr>
      <w:r>
        <w:t>в</w:t>
      </w:r>
      <w:r w:rsidR="000C4E9C">
        <w:t>ысшему руководству совместно с руководителем проекта следует усилить звено управления путем создания структуры управления для принятия решений и официального оформления механизмов отчетности о промежуточных результатах, проблемах и извлеченных уроках;</w:t>
      </w:r>
    </w:p>
    <w:p w14:paraId="3E15528C" w14:textId="30281C66" w:rsidR="004854FF" w:rsidRPr="002060B3" w:rsidRDefault="004B7641" w:rsidP="004854FF">
      <w:pPr>
        <w:pStyle w:val="ONUME"/>
        <w:numPr>
          <w:ilvl w:val="1"/>
          <w:numId w:val="2"/>
        </w:numPr>
        <w:rPr>
          <w:rFonts w:cs="Times New Roman"/>
        </w:rPr>
      </w:pPr>
      <w:r>
        <w:t>р</w:t>
      </w:r>
      <w:r w:rsidR="004854FF">
        <w:t>уководителю проекта под руководством высшего руководства и в консультации с соответствующими заинтересованными сторонами следует разработать стратегию эффективного и действенного управления и обеспечения устойчивости WIPO Match; и</w:t>
      </w:r>
    </w:p>
    <w:p w14:paraId="530C8FC9" w14:textId="1253CA2F" w:rsidR="004854FF" w:rsidRPr="00C74B4E" w:rsidRDefault="004B7641" w:rsidP="004854FF">
      <w:pPr>
        <w:pStyle w:val="ONUME"/>
        <w:numPr>
          <w:ilvl w:val="1"/>
          <w:numId w:val="2"/>
        </w:numPr>
        <w:rPr>
          <w:rFonts w:cs="Times New Roman"/>
        </w:rPr>
      </w:pPr>
      <w:r>
        <w:t>в</w:t>
      </w:r>
      <w:r w:rsidR="009A1B3C">
        <w:t xml:space="preserve">ысшему руководству совместно с руководителем проекта </w:t>
      </w:r>
      <w:r w:rsidR="00D27127">
        <w:t xml:space="preserve">и </w:t>
      </w:r>
      <w:r w:rsidR="009A1B3C">
        <w:t>во взаимодействии с ДУЛР следует пересмотреть должностные инструкции всех сотрудников WIPO Match, чтобы отразить фактические обязанности и функции. Кроме того, они должны выделить в достаточном объеме ресурсы для реализации концепц</w:t>
      </w:r>
      <w:r w:rsidR="00DE1002">
        <w:t>ии</w:t>
      </w:r>
      <w:r w:rsidR="009A1B3C">
        <w:t>, сформулированн</w:t>
      </w:r>
      <w:r w:rsidR="00E7405F">
        <w:t xml:space="preserve">ой в стратегическом документе. </w:t>
      </w:r>
      <w:r w:rsidR="009A1B3C">
        <w:t>Также может потребоваться модернизация базы данных, чтобы обеспечить ее соответствие своему назначению.</w:t>
      </w:r>
    </w:p>
    <w:p w14:paraId="23F50470" w14:textId="5679D8ED" w:rsidR="00B70223" w:rsidRPr="00315F3C" w:rsidRDefault="00C4224C" w:rsidP="00315F3C">
      <w:pPr>
        <w:pStyle w:val="Heading2"/>
      </w:pPr>
      <w:r>
        <w:t>Оценка использования и влияния рекомендаций Секции оценки ОВН</w:t>
      </w:r>
    </w:p>
    <w:p w14:paraId="09B7FE2E" w14:textId="5A26825B" w:rsidR="009D772F" w:rsidRPr="002060B3" w:rsidRDefault="009D772F" w:rsidP="009D772F">
      <w:pPr>
        <w:pStyle w:val="ONUME"/>
      </w:pPr>
      <w:r>
        <w:t>Для оказания ВОИС поддержки в обеспечении максимального воздействия ее услуг Секция оценки ОВН разработала концепцию оценки с использованием новейших методов исследовани</w:t>
      </w:r>
      <w:r w:rsidR="00E7405F">
        <w:t>й в области поведенческих наук.</w:t>
      </w:r>
    </w:p>
    <w:p w14:paraId="729ED4BE" w14:textId="4A4AFB1A" w:rsidR="009D772F" w:rsidRPr="002060B3" w:rsidRDefault="009D772F" w:rsidP="009D772F">
      <w:pPr>
        <w:pStyle w:val="ONUME"/>
      </w:pPr>
      <w:r>
        <w:t>Поведенческие соображения (ПС) – это уроки, извлеченные на основе поведенческих и социальных наук, включая принятие решений, психологию, когнитивную науку, нейронауку, организационное и групповое поведение. Во всем мире государственные органы все чаще используют ПС для разработки и реализации более эффективной государственной политики, основанной на данных о фактическом поведении и предп</w:t>
      </w:r>
      <w:r w:rsidR="00E7405F">
        <w:t>очтениях граждан и предприятий.</w:t>
      </w:r>
    </w:p>
    <w:p w14:paraId="52547967" w14:textId="31304092" w:rsidR="009D772F" w:rsidRPr="002060B3" w:rsidRDefault="009D772F" w:rsidP="009D772F">
      <w:pPr>
        <w:pStyle w:val="ONUME"/>
      </w:pPr>
      <w:r>
        <w:t xml:space="preserve">ПС помогают понять, как общий контекст и другие факторы могут влиять на принятие решений и определять фактическое </w:t>
      </w:r>
      <w:r w:rsidR="00E7405F">
        <w:t xml:space="preserve">поведение людей и организаций. </w:t>
      </w:r>
      <w:r>
        <w:t>Концепция ПС ориентирована прежде всего на понимание того, что движет решениями и поведением граждан, не полагаясь на допущения о т</w:t>
      </w:r>
      <w:r w:rsidR="00E7405F">
        <w:t>ом, как они должны действовать.</w:t>
      </w:r>
      <w:r>
        <w:t xml:space="preserve"> Таким образом, она помогает добиться, чтобы политика отражала реальные потребности и реальное поведение для обеспечения большей результативности и эффективности.</w:t>
      </w:r>
    </w:p>
    <w:p w14:paraId="0DC25257" w14:textId="4452DC49" w:rsidR="009D772F" w:rsidRDefault="009C7E22" w:rsidP="009D772F">
      <w:pPr>
        <w:pStyle w:val="ONUME"/>
      </w:pPr>
      <w:r>
        <w:t>Коллектив специалистов в области ПС провел поведенческий анализ процесса оценки, определяемого как разрыв между ожидаемым поведением, которое должны демонстрировать заинтересованные стороны, и реальным поведением</w:t>
      </w:r>
      <w:r w:rsidR="00E7405F">
        <w:t>, которое в итоге имеет место.</w:t>
      </w:r>
    </w:p>
    <w:p w14:paraId="72DD98FC" w14:textId="033642B9" w:rsidR="009D772F" w:rsidRDefault="009D772F" w:rsidP="009D772F">
      <w:pPr>
        <w:pStyle w:val="ONUME"/>
      </w:pPr>
      <w:r>
        <w:t>Этот документ был подготовлен с целью подтверждения, выявления и устранения элементов человеческой предвзятости при проведении оценки путем использования знаний, полученных с помощью ПС и "подталкивания", для повышен</w:t>
      </w:r>
      <w:r w:rsidR="00E7405F">
        <w:t>ия полезности и эффекта оценок.</w:t>
      </w:r>
    </w:p>
    <w:p w14:paraId="779C1A01" w14:textId="010EDA37" w:rsidR="002327F8" w:rsidRDefault="00446ABF" w:rsidP="002327F8">
      <w:pPr>
        <w:pStyle w:val="ONUME"/>
        <w:rPr>
          <w:bCs/>
          <w:iCs/>
          <w:caps/>
        </w:rPr>
      </w:pPr>
      <w:r>
        <w:t>Практическая польза данного руководства для Секции оценки заключается в том, что оно позволит снизить предвзятость заинтересованных сторон, участвующих в процессе оценки (на этапах разработк</w:t>
      </w:r>
      <w:r w:rsidR="00310B73">
        <w:t>и</w:t>
      </w:r>
      <w:r>
        <w:t xml:space="preserve"> проект</w:t>
      </w:r>
      <w:r w:rsidR="00E7405F">
        <w:t xml:space="preserve">а, сбора данных и отчетности). </w:t>
      </w:r>
      <w:r>
        <w:t xml:space="preserve">Кроме </w:t>
      </w:r>
      <w:r w:rsidR="00E114AC">
        <w:t xml:space="preserve">того, </w:t>
      </w:r>
      <w:r w:rsidR="00E114AC">
        <w:lastRenderedPageBreak/>
        <w:t>оценки</w:t>
      </w:r>
      <w:r>
        <w:t xml:space="preserve"> имеют своими последствиями повышение качества всего процесса и продуктов, получаемых в результате оценок, а также полезности рекомендаций; сюда же относится повышение показателей выполнения рекомендаций и эффективности работы по внедрению улучш</w:t>
      </w:r>
      <w:r w:rsidR="002B4981">
        <w:t>ений в рамках всей Организации.</w:t>
      </w:r>
    </w:p>
    <w:p w14:paraId="23B0364A" w14:textId="1A11807C" w:rsidR="00B70223" w:rsidRPr="00C4224C" w:rsidRDefault="00C4224C" w:rsidP="00315F3C">
      <w:pPr>
        <w:pStyle w:val="Heading2"/>
      </w:pPr>
      <w:r>
        <w:t>Консультативная помощь в рамках самооценок национальных стратегий в области ИС (НСИС)</w:t>
      </w:r>
    </w:p>
    <w:p w14:paraId="3A1F8595" w14:textId="60E415A6" w:rsidR="009D772F" w:rsidRPr="002060B3" w:rsidRDefault="009D772F" w:rsidP="00345023">
      <w:pPr>
        <w:pStyle w:val="ONUME"/>
      </w:pPr>
      <w:r>
        <w:t xml:space="preserve">Данное поручение было дано с целью обновления Инструмента </w:t>
      </w:r>
      <w:r w:rsidR="00E114AC">
        <w:t>3: “</w:t>
      </w:r>
      <w:r>
        <w:t>контрольные показатели</w:t>
      </w:r>
      <w:r w:rsidR="00E7405F">
        <w:t xml:space="preserve">" методологии разработки </w:t>
      </w:r>
      <w:r w:rsidR="00345023" w:rsidRPr="00345023">
        <w:t>НСИС</w:t>
      </w:r>
      <w:r w:rsidR="00E7405F">
        <w:t xml:space="preserve">. </w:t>
      </w:r>
      <w:r w:rsidR="007D2A23">
        <w:t>Была поставлена задача</w:t>
      </w:r>
      <w:r>
        <w:t xml:space="preserve"> оказания поддержки и вынесения рекомендаций государствам-членам, заинтересованным в</w:t>
      </w:r>
      <w:r w:rsidR="00E7405F">
        <w:t xml:space="preserve"> разработке и реализации НСИС.</w:t>
      </w:r>
    </w:p>
    <w:p w14:paraId="665470A8" w14:textId="1DE6FF2E" w:rsidR="009D772F" w:rsidRDefault="00F40A16" w:rsidP="009D772F">
      <w:pPr>
        <w:pStyle w:val="ONUME"/>
      </w:pPr>
      <w:r>
        <w:t>Этот дополнительный документ</w:t>
      </w:r>
      <w:r w:rsidR="009D772F">
        <w:t xml:space="preserve"> следует структуре "Методологии разработки национальных стратегий в области ИС" и дополняет ее, подробно описывая ключевые моменты и вопросы, которые нужно учитывать при реализации и мониторинге национальных п</w:t>
      </w:r>
      <w:r w:rsidR="00E7405F">
        <w:t>ланов и стратегий в области ИС.</w:t>
      </w:r>
      <w:r w:rsidR="007D2A23">
        <w:t xml:space="preserve"> Приведенные в данном допол</w:t>
      </w:r>
      <w:r w:rsidR="009D772F">
        <w:t>ни</w:t>
      </w:r>
      <w:r w:rsidR="007D2A23">
        <w:t>тельном документе</w:t>
      </w:r>
      <w:r w:rsidR="009D772F">
        <w:t xml:space="preserve"> разъяснения, пояснения и примеры призваны помочь сотрудникам национальных проектов в понимании имеющихся вариантов при постановке задач на всех этапах разработки стратегии – с самого начала разработки до реализации стратегии и контроля ее осуществления,</w:t>
      </w:r>
    </w:p>
    <w:p w14:paraId="5072BA77" w14:textId="743B5BCE" w:rsidR="009D772F" w:rsidRDefault="009D772F" w:rsidP="009D772F">
      <w:pPr>
        <w:pStyle w:val="ONUME"/>
      </w:pPr>
      <w:r>
        <w:t>Дополн</w:t>
      </w:r>
      <w:r w:rsidR="007D2A23">
        <w:t>ительный документ разделен на</w:t>
      </w:r>
      <w:r>
        <w:t xml:space="preserve"> </w:t>
      </w:r>
      <w:r w:rsidR="00BF0E83">
        <w:t>две</w:t>
      </w:r>
      <w:r w:rsidR="00E7405F">
        <w:t xml:space="preserve"> части</w:t>
      </w:r>
      <w:r w:rsidR="00BF0E83">
        <w:t>:</w:t>
      </w:r>
    </w:p>
    <w:p w14:paraId="5C685479" w14:textId="0E6557B2" w:rsidR="009D772F" w:rsidRDefault="00BF0E83" w:rsidP="009D772F">
      <w:pPr>
        <w:pStyle w:val="ONUME"/>
        <w:numPr>
          <w:ilvl w:val="1"/>
          <w:numId w:val="2"/>
        </w:numPr>
      </w:pPr>
      <w:r>
        <w:t>ч</w:t>
      </w:r>
      <w:r w:rsidR="009D772F">
        <w:t xml:space="preserve">асть </w:t>
      </w:r>
      <w:r w:rsidR="00E114AC">
        <w:t>I: в ней</w:t>
      </w:r>
      <w:r w:rsidR="009D772F">
        <w:t xml:space="preserve"> содержатся рекомендации по оперативным аспектам мониторинга и сам</w:t>
      </w:r>
      <w:r w:rsidR="00E7405F">
        <w:t>ооценки с упором на показатели.</w:t>
      </w:r>
      <w:r w:rsidR="009D772F">
        <w:t xml:space="preserve"> Здесь представлены ключевые концептуальные элементы, в частности разъясняется, что представляет собой система мониторинга и самооценки, каковы требования к хорошим показателям и контрольным ориентирам, а также как разработать подход для систематического определения, классификации и сортировки соответствующих показателей; и</w:t>
      </w:r>
    </w:p>
    <w:p w14:paraId="297D9FB8" w14:textId="3FAF816A" w:rsidR="009D772F" w:rsidRDefault="00BF0E83" w:rsidP="009D772F">
      <w:pPr>
        <w:pStyle w:val="ONUME"/>
        <w:numPr>
          <w:ilvl w:val="1"/>
          <w:numId w:val="2"/>
        </w:numPr>
      </w:pPr>
      <w:r>
        <w:t>ч</w:t>
      </w:r>
      <w:r w:rsidR="009D772F">
        <w:t xml:space="preserve">асть </w:t>
      </w:r>
      <w:r w:rsidR="00E114AC">
        <w:t>II: в</w:t>
      </w:r>
      <w:r w:rsidR="009D772F">
        <w:t xml:space="preserve"> ней развиваются общие концепции и показывается их применение на всех этапах жизненного цикла НСИС.</w:t>
      </w:r>
    </w:p>
    <w:p w14:paraId="303D1BFF" w14:textId="071E7761" w:rsidR="00423823" w:rsidRDefault="009D772F" w:rsidP="00C871E5">
      <w:pPr>
        <w:pStyle w:val="ONUME"/>
      </w:pPr>
      <w:r>
        <w:t xml:space="preserve">В </w:t>
      </w:r>
      <w:r w:rsidR="00CB5064">
        <w:t>рамках консультативной помощи</w:t>
      </w:r>
      <w:r>
        <w:t xml:space="preserve"> Секция оценки внесла вклад в разработку технического задания для оказания консультационных услуг, приняла участие в работе группы по выбору консультанта, </w:t>
      </w:r>
      <w:r w:rsidR="00012902">
        <w:t xml:space="preserve">и </w:t>
      </w:r>
      <w:r>
        <w:t xml:space="preserve">представила список литературы для обзора и справочные документы для составления первых двух частей документа. </w:t>
      </w:r>
    </w:p>
    <w:p w14:paraId="139990F7" w14:textId="3375A1C6" w:rsidR="005925C7" w:rsidRPr="004F5E6B" w:rsidRDefault="005925C7" w:rsidP="00423823">
      <w:pPr>
        <w:pStyle w:val="Heading2"/>
      </w:pPr>
      <w:r>
        <w:t>Отчет о результатах расследования для руководства (</w:t>
      </w:r>
      <w:r w:rsidR="00E114AC">
        <w:t>ОРРР)</w:t>
      </w:r>
      <w:r>
        <w:t xml:space="preserve"> по вопросам персональных данных и конфиденциальности в отношении электронной корреспонденции между ВОИС и сторонними пользователями</w:t>
      </w:r>
    </w:p>
    <w:p w14:paraId="055B1B71" w14:textId="77777777" w:rsidR="00C965B7" w:rsidRPr="004F5E6B" w:rsidRDefault="00C965B7" w:rsidP="005E1266">
      <w:pPr>
        <w:pStyle w:val="ONUME"/>
      </w:pPr>
      <w:r>
        <w:t xml:space="preserve">ОВН выявил ряд областей, где требуются улучшения в отношении эффективности и целостности персональных данных и соображений конфиденциальности, связанных с </w:t>
      </w:r>
      <w:r>
        <w:rPr>
          <w:rFonts w:ascii="CIDFont+F1" w:hAnsi="CIDFont+F1"/>
          <w:sz w:val="21"/>
        </w:rPr>
        <w:t>массовой рассылкой электронной почты ВОИС внешним пользователям</w:t>
      </w:r>
      <w:r>
        <w:t>.</w:t>
      </w:r>
    </w:p>
    <w:p w14:paraId="13386B03" w14:textId="49C95857" w:rsidR="005925C7" w:rsidRPr="004F5E6B" w:rsidRDefault="00C01E21" w:rsidP="00C965B7">
      <w:pPr>
        <w:pStyle w:val="Heading2"/>
      </w:pPr>
      <w:r>
        <w:t>Отчет о результатах расследования для руководства (</w:t>
      </w:r>
      <w:r w:rsidR="00E114AC">
        <w:t>ОРРР)</w:t>
      </w:r>
      <w:r>
        <w:t xml:space="preserve"> по вопросам информации, имеющейся на веб-сайте Patentscope</w:t>
      </w:r>
    </w:p>
    <w:p w14:paraId="766E04F7" w14:textId="3E7225C3" w:rsidR="005925C7" w:rsidRPr="004F5E6B" w:rsidRDefault="00C965B7" w:rsidP="00C965B7">
      <w:pPr>
        <w:pStyle w:val="ONUME"/>
      </w:pPr>
      <w:r>
        <w:t>ОВН выявил возможность внесения улучшений в части терминологии, используемой на веб-сайте Patentscope.</w:t>
      </w:r>
    </w:p>
    <w:p w14:paraId="75C15E61" w14:textId="1AA5826D" w:rsidR="00882193" w:rsidRPr="002327F8" w:rsidRDefault="00882193" w:rsidP="00315F3C">
      <w:pPr>
        <w:pStyle w:val="Heading1"/>
      </w:pPr>
      <w:bookmarkStart w:id="34" w:name="_Toc98252890"/>
      <w:r>
        <w:t>МЕРОПРИЯТИЯ, НАЧАТЫЕ В КОНЦЕ 2021 ГОДА</w:t>
      </w:r>
      <w:bookmarkEnd w:id="34"/>
      <w:r>
        <w:t xml:space="preserve"> </w:t>
      </w:r>
    </w:p>
    <w:p w14:paraId="164EA9C0" w14:textId="71B3DD29" w:rsidR="00055464" w:rsidRPr="00315F3C" w:rsidRDefault="00055464" w:rsidP="00A64E8D">
      <w:pPr>
        <w:pStyle w:val="ONUME"/>
        <w:rPr>
          <w:caps/>
        </w:rPr>
      </w:pPr>
      <w:r>
        <w:t>Указанные ниже мероприятия были начаты в 2021 г., и отчет о них будет представлен в течение 2022 г.</w:t>
      </w:r>
    </w:p>
    <w:p w14:paraId="62D2DDA0" w14:textId="77777777" w:rsidR="00775974" w:rsidRPr="00882193" w:rsidRDefault="00C4224C" w:rsidP="002327F8">
      <w:pPr>
        <w:pStyle w:val="Heading2"/>
      </w:pPr>
      <w:r>
        <w:lastRenderedPageBreak/>
        <w:t>Аудит проекта создания платформы Гаагской системы</w:t>
      </w:r>
    </w:p>
    <w:p w14:paraId="4E8D29C7" w14:textId="00A2AAC7" w:rsidR="00C965B7" w:rsidRPr="002060B3" w:rsidRDefault="001A7272" w:rsidP="00C965B7">
      <w:pPr>
        <w:pStyle w:val="ONUME"/>
        <w:rPr>
          <w:b/>
        </w:rPr>
      </w:pPr>
      <w:bookmarkStart w:id="35" w:name="_Toc39071249"/>
      <w:bookmarkStart w:id="36" w:name="_Toc328920437"/>
      <w:bookmarkEnd w:id="33"/>
      <w:r>
        <w:t>Проект создания платформы Гаагской системы был начат с целью обеспечения соответствия с изменениями работы и стратегии Гаагского реестра на основе создания клиентоориентированной современной глобальной платформы ИС, специально разработанной с учетом конкретных потреб</w:t>
      </w:r>
      <w:r w:rsidR="00E7405F">
        <w:t>ностей именно Гаагской системы.</w:t>
      </w:r>
      <w:r>
        <w:t xml:space="preserve"> В частности, разрабатывались стабильные, надежные, удобные в сопровождении, устойчивые, масштабируемые, безопасные, многоязычные, адаптивные и доступные приложения и системы для удовлетворения потребностей как основных внутренних клиентов, так и разнообразной (и рас</w:t>
      </w:r>
      <w:r w:rsidR="00E7405F">
        <w:t xml:space="preserve">ширяющейся) внешней клиентуры. </w:t>
      </w:r>
      <w:r>
        <w:t xml:space="preserve">Ввиду этого целью проекта создания платформы Гаагской системы являлось внедрение ИТ-системы, ориентированной на </w:t>
      </w:r>
      <w:r w:rsidR="00E7405F">
        <w:t>решение профессиональных задач.</w:t>
      </w:r>
      <w:r>
        <w:t xml:space="preserve"> В рамках ауд</w:t>
      </w:r>
      <w:r w:rsidR="00E7405F">
        <w:t>ита ставились следующие задачи:</w:t>
      </w:r>
    </w:p>
    <w:p w14:paraId="18888B4A" w14:textId="2684C97C" w:rsidR="00C965B7" w:rsidRPr="002060B3" w:rsidRDefault="00C965B7" w:rsidP="00C965B7">
      <w:pPr>
        <w:pStyle w:val="ONUME"/>
        <w:numPr>
          <w:ilvl w:val="1"/>
          <w:numId w:val="2"/>
        </w:numPr>
      </w:pPr>
      <w:r>
        <w:t>проанализировать реализацию проекта создания платформы Гаагской системы для оценки эффективности и результативности руководства и управления проектом, включая оценку того, насколько эффективно достигались цели/ожидаемые выгоды, предусмотренные в проектных документах, в том числе с учетом затрат ресурсов и времени;</w:t>
      </w:r>
    </w:p>
    <w:p w14:paraId="4954611C" w14:textId="3DF30E41" w:rsidR="00C965B7" w:rsidRPr="002060B3" w:rsidRDefault="00C965B7" w:rsidP="00C965B7">
      <w:pPr>
        <w:pStyle w:val="ONUME"/>
        <w:numPr>
          <w:ilvl w:val="1"/>
          <w:numId w:val="2"/>
        </w:numPr>
      </w:pPr>
      <w:r>
        <w:t xml:space="preserve">проверить соответствие доработанным в Организации принципам и практике управления проектами </w:t>
      </w:r>
      <w:r w:rsidR="00EC7AE4" w:rsidRPr="002060B3">
        <w:t>PRINCE2</w:t>
      </w:r>
      <w:r w:rsidR="00EC7AE4" w:rsidRPr="002060B3">
        <w:rPr>
          <w:vertAlign w:val="superscript"/>
        </w:rPr>
        <w:t>®</w:t>
      </w:r>
      <w:r>
        <w:t xml:space="preserve">, а также положениям, правилам и режиму </w:t>
      </w:r>
      <w:r w:rsidR="00E7405F">
        <w:t>работы ВОИС, где это применимо;</w:t>
      </w:r>
    </w:p>
    <w:p w14:paraId="451E5719" w14:textId="1C44393C" w:rsidR="00C965B7" w:rsidRPr="002060B3" w:rsidRDefault="00C965B7" w:rsidP="00C965B7">
      <w:pPr>
        <w:pStyle w:val="ONUME"/>
        <w:numPr>
          <w:ilvl w:val="1"/>
          <w:numId w:val="2"/>
        </w:numPr>
      </w:pPr>
      <w:r>
        <w:t>установить степень соответствия архитектуры и технического эксплуатационного состояния платформы общеор</w:t>
      </w:r>
      <w:r w:rsidR="00E7405F">
        <w:t>ганизационным требованиям ВОИС;</w:t>
      </w:r>
    </w:p>
    <w:p w14:paraId="38003173" w14:textId="471EF049" w:rsidR="00C965B7" w:rsidRPr="002060B3" w:rsidRDefault="00C965B7" w:rsidP="00C965B7">
      <w:pPr>
        <w:pStyle w:val="ONUME"/>
        <w:numPr>
          <w:ilvl w:val="1"/>
          <w:numId w:val="2"/>
        </w:numPr>
      </w:pPr>
      <w:r>
        <w:t xml:space="preserve">проанализировать, соответствуют </w:t>
      </w:r>
      <w:r w:rsidR="00E114AC">
        <w:t>ли дизайн</w:t>
      </w:r>
      <w:r>
        <w:t xml:space="preserve"> платформы и выбранные технологии поставленным </w:t>
      </w:r>
      <w:r w:rsidR="00E114AC">
        <w:t>целям и</w:t>
      </w:r>
      <w:r>
        <w:t xml:space="preserve"> позволяют ли они устойчиво удовлетворять меняющиеся потребности Гаагского реестра;</w:t>
      </w:r>
    </w:p>
    <w:p w14:paraId="7A75DAAC" w14:textId="77777777" w:rsidR="00C965B7" w:rsidRPr="002060B3" w:rsidRDefault="00C965B7" w:rsidP="00C965B7">
      <w:pPr>
        <w:pStyle w:val="ONUME"/>
        <w:numPr>
          <w:ilvl w:val="1"/>
          <w:numId w:val="2"/>
        </w:numPr>
      </w:pPr>
      <w:r>
        <w:t>проверить, были ли на основе данного проекта извлечены уроки, которые могут оказаться полезными для последующих проектов, например для проекта экстернализации Гаагской системы и других проектов ВОИС; и</w:t>
      </w:r>
    </w:p>
    <w:p w14:paraId="1652E6C8" w14:textId="5292EFB3" w:rsidR="00C965B7" w:rsidRPr="002060B3" w:rsidRDefault="00C965B7" w:rsidP="00C965B7">
      <w:pPr>
        <w:pStyle w:val="ONUME"/>
        <w:numPr>
          <w:ilvl w:val="1"/>
          <w:numId w:val="2"/>
        </w:numPr>
      </w:pPr>
      <w:r>
        <w:t>проверить наличие в Отделе информационных систем Гаагской системы достаточных ресурсов и специалистов соответствующей квалификации для устойчивой и эффективной эксплуатации платформы и управления ею в будущем.</w:t>
      </w:r>
    </w:p>
    <w:p w14:paraId="056C4886" w14:textId="581FC4E8" w:rsidR="00C965B7" w:rsidRDefault="00C965B7" w:rsidP="00C965B7">
      <w:pPr>
        <w:pStyle w:val="ONUME"/>
      </w:pPr>
      <w:r>
        <w:t>Рамки аудита охватывали весь жизненный цикл проекта, период после его заверше</w:t>
      </w:r>
      <w:r w:rsidR="00E7405F">
        <w:t>ния и достигнутые преимущества.</w:t>
      </w:r>
      <w:r>
        <w:t xml:space="preserve"> Аудит проводится при поддержке внешних консультантов, специализирующихся </w:t>
      </w:r>
      <w:r w:rsidR="00745CFA">
        <w:t>в области</w:t>
      </w:r>
      <w:r>
        <w:t xml:space="preserve"> проверк</w:t>
      </w:r>
      <w:r w:rsidR="00745CFA">
        <w:t>и</w:t>
      </w:r>
      <w:r>
        <w:t xml:space="preserve"> проектов И</w:t>
      </w:r>
      <w:r w:rsidR="00E114AC">
        <w:t>Т</w:t>
      </w:r>
      <w:r>
        <w:t>-платформ и их создания.</w:t>
      </w:r>
    </w:p>
    <w:p w14:paraId="2626E332" w14:textId="77777777" w:rsidR="006905B2" w:rsidRPr="006905B2" w:rsidRDefault="006905B2" w:rsidP="006905B2">
      <w:pPr>
        <w:pStyle w:val="Heading2"/>
        <w:rPr>
          <w:rFonts w:eastAsia="Times New Roman"/>
          <w:color w:val="000000"/>
          <w:sz w:val="24"/>
          <w:szCs w:val="24"/>
        </w:rPr>
      </w:pPr>
      <w:r>
        <w:rPr>
          <w:color w:val="000000"/>
          <w:sz w:val="24"/>
        </w:rPr>
        <w:t xml:space="preserve">Аудиторская проверка в области общеорганизационного управления рисками </w:t>
      </w:r>
    </w:p>
    <w:p w14:paraId="3CE6B694" w14:textId="7305748D" w:rsidR="001D59E1" w:rsidRPr="000A0B7A" w:rsidRDefault="001D59E1" w:rsidP="001D59E1">
      <w:pPr>
        <w:pStyle w:val="ONUME"/>
      </w:pPr>
      <w:r>
        <w:t>Структура управления рисками ВОИС определяется параметрами риска,  отмеченным государствами-членами в Заявлении ВОИС о готовности к риску</w:t>
      </w:r>
      <w:r w:rsidRPr="001F5174">
        <w:rPr>
          <w:vertAlign w:val="superscript"/>
          <w:lang w:val="en"/>
        </w:rPr>
        <w:footnoteReference w:id="8"/>
      </w:r>
      <w:r>
        <w:t xml:space="preserve"> , первоначально выпущенном в 2014 г.</w:t>
      </w:r>
      <w:r w:rsidR="00E7405F">
        <w:t>, а затем обновленном в 2019 г.</w:t>
      </w:r>
      <w:r>
        <w:t xml:space="preserve"> Разработанная ВОИС политика управления рисками</w:t>
      </w:r>
      <w:r w:rsidRPr="001F5174">
        <w:rPr>
          <w:vertAlign w:val="superscript"/>
          <w:lang w:val="en"/>
        </w:rPr>
        <w:footnoteReference w:id="9"/>
      </w:r>
      <w:r>
        <w:t xml:space="preserve"> определяет подход Организации к управлению рисками и применению средств внутреннего контроля, который должен быть последовательным и обеспечивать решение операционных задач в интересах достижения стратегических целей и ожидаемых результатов ВОИС.  Дополн</w:t>
      </w:r>
      <w:r w:rsidR="0037428E">
        <w:t>яет</w:t>
      </w:r>
      <w:r>
        <w:t xml:space="preserve"> эт</w:t>
      </w:r>
      <w:r w:rsidR="0037428E">
        <w:t>у</w:t>
      </w:r>
      <w:r>
        <w:t xml:space="preserve"> </w:t>
      </w:r>
      <w:r>
        <w:lastRenderedPageBreak/>
        <w:t>политик</w:t>
      </w:r>
      <w:r w:rsidR="0037428E">
        <w:t>у</w:t>
      </w:r>
      <w:r>
        <w:t xml:space="preserve"> Справочник ВОИС по вопросам управления рисками и организации внутреннего контроля, детально описывающий повседневную организацию процессов управления </w:t>
      </w:r>
      <w:r w:rsidR="00C94965">
        <w:t>рисками и внутреннего контроля</w:t>
      </w:r>
      <w:r w:rsidR="00E7405F">
        <w:t>.</w:t>
      </w:r>
    </w:p>
    <w:p w14:paraId="79F71531" w14:textId="14D56BB1" w:rsidR="006905B2" w:rsidRDefault="006905B2" w:rsidP="006905B2">
      <w:pPr>
        <w:pStyle w:val="ONUME"/>
      </w:pPr>
      <w:r>
        <w:t>Цель данного аудита, в рамках которого ОВН второй раз проводил обзор системы ОУР</w:t>
      </w:r>
      <w:r>
        <w:rPr>
          <w:rStyle w:val="FootnoteReference"/>
        </w:rPr>
        <w:footnoteReference w:id="10"/>
      </w:r>
      <w:r w:rsidR="00E7405F">
        <w:t>,</w:t>
      </w:r>
      <w:r>
        <w:t xml:space="preserve"> заключалась, в частности, в том, чтобы проанализировать развитие системы управления рисками в ВОИС </w:t>
      </w:r>
      <w:r w:rsidR="00E7405F">
        <w:t>на основе оценки:</w:t>
      </w:r>
    </w:p>
    <w:p w14:paraId="16F4F94E" w14:textId="4C6DF29F" w:rsidR="006905B2" w:rsidRDefault="006905B2" w:rsidP="006905B2">
      <w:pPr>
        <w:pStyle w:val="ONUME"/>
        <w:numPr>
          <w:ilvl w:val="1"/>
          <w:numId w:val="2"/>
        </w:numPr>
      </w:pPr>
      <w:r>
        <w:t>адекватности уп</w:t>
      </w:r>
      <w:r w:rsidR="00E7405F">
        <w:t>равления в вопросах ОУР в ВОИС;</w:t>
      </w:r>
    </w:p>
    <w:p w14:paraId="4F0CEC98" w14:textId="77777777" w:rsidR="006905B2" w:rsidRPr="00C40738" w:rsidRDefault="006905B2" w:rsidP="006905B2">
      <w:pPr>
        <w:pStyle w:val="ONUME"/>
        <w:numPr>
          <w:ilvl w:val="1"/>
          <w:numId w:val="2"/>
        </w:numPr>
      </w:pPr>
      <w:r>
        <w:t>процедур ОУР ВОИС в плане их рациональности и операционной эффективности;</w:t>
      </w:r>
    </w:p>
    <w:p w14:paraId="3DDD5318" w14:textId="77777777" w:rsidR="006905B2" w:rsidRPr="00C40738" w:rsidRDefault="006905B2" w:rsidP="006905B2">
      <w:pPr>
        <w:pStyle w:val="ONUME"/>
        <w:numPr>
          <w:ilvl w:val="1"/>
          <w:numId w:val="2"/>
        </w:numPr>
      </w:pPr>
      <w:r>
        <w:t>соответствия систем и инструментов осуществления ОУР ВОИС своему назначению; и</w:t>
      </w:r>
    </w:p>
    <w:p w14:paraId="6EC98B52" w14:textId="77777777" w:rsidR="006905B2" w:rsidRPr="00C40738" w:rsidRDefault="006905B2" w:rsidP="006905B2">
      <w:pPr>
        <w:pStyle w:val="ONUME"/>
        <w:numPr>
          <w:ilvl w:val="1"/>
          <w:numId w:val="2"/>
        </w:numPr>
      </w:pPr>
      <w:r>
        <w:t>эволюции культуры, зрелости и потенциала управления рисками в ВОИС.</w:t>
      </w:r>
    </w:p>
    <w:p w14:paraId="44F2AD31" w14:textId="023EDE97" w:rsidR="006905B2" w:rsidRDefault="006905B2" w:rsidP="006905B2">
      <w:pPr>
        <w:pStyle w:val="ONUME"/>
      </w:pPr>
      <w:r>
        <w:t>Объем задания охватывал процедуры управления рисками в ВОИС с учетом предыдущих аудиторских проверок,</w:t>
      </w:r>
      <w:r w:rsidR="00E7405F">
        <w:t xml:space="preserve"> проведенные по смежным темам.</w:t>
      </w:r>
    </w:p>
    <w:p w14:paraId="2CEB19ED" w14:textId="77777777" w:rsidR="006905B2" w:rsidRPr="006905B2" w:rsidRDefault="006905B2" w:rsidP="006905B2">
      <w:pPr>
        <w:pStyle w:val="Heading2"/>
        <w:rPr>
          <w:rFonts w:eastAsia="Times New Roman"/>
          <w:color w:val="000000"/>
          <w:sz w:val="24"/>
          <w:szCs w:val="24"/>
        </w:rPr>
      </w:pPr>
      <w:r>
        <w:rPr>
          <w:color w:val="000000"/>
          <w:sz w:val="24"/>
        </w:rPr>
        <w:t xml:space="preserve">Аудит управления активами, принадлежностями и материалами </w:t>
      </w:r>
    </w:p>
    <w:p w14:paraId="524E6CDE" w14:textId="429919DD" w:rsidR="006905B2" w:rsidRDefault="006905B2" w:rsidP="006905B2">
      <w:pPr>
        <w:pStyle w:val="ONUME"/>
      </w:pPr>
      <w:r>
        <w:t xml:space="preserve">Управление активами и запасами – важные процедуры мониторинга и отслеживания имущества организации (здания, транспортные средства, оборудование, принадлежности, материалы или другие </w:t>
      </w:r>
      <w:r w:rsidR="00E7405F">
        <w:t>товарно-материальные ценности).</w:t>
      </w:r>
      <w:r>
        <w:t xml:space="preserve"> Модуль управления активами СУАИ используется для регистрации всех финансовых и материальных характеристик активов согласно соответствующими инструкциям и руководствам и для управления жизненным циклом имущества Организации, включая суммы оприходования </w:t>
      </w:r>
      <w:r w:rsidR="00E7405F">
        <w:t>и остаточную стоимость активов.</w:t>
      </w:r>
    </w:p>
    <w:p w14:paraId="25B35D56" w14:textId="6B94B471" w:rsidR="006905B2" w:rsidRDefault="006905B2" w:rsidP="006905B2">
      <w:pPr>
        <w:pStyle w:val="ONUME"/>
      </w:pPr>
      <w:r>
        <w:t>В рамках аудита ставились следующие задачи:</w:t>
      </w:r>
    </w:p>
    <w:p w14:paraId="6D107A2A" w14:textId="77777777" w:rsidR="006905B2" w:rsidRDefault="006905B2" w:rsidP="006905B2">
      <w:pPr>
        <w:pStyle w:val="ONUME"/>
        <w:numPr>
          <w:ilvl w:val="1"/>
          <w:numId w:val="2"/>
        </w:numPr>
      </w:pPr>
      <w:r>
        <w:t>анализ механизма управления, управления рисками и эффективности внутреннего контроля в управлении отдельными категориями активов, принадлежностей и материалов;</w:t>
      </w:r>
    </w:p>
    <w:p w14:paraId="2C2B99DD" w14:textId="77777777" w:rsidR="006905B2" w:rsidRDefault="006905B2" w:rsidP="006905B2">
      <w:pPr>
        <w:pStyle w:val="ONUME"/>
        <w:numPr>
          <w:ilvl w:val="1"/>
          <w:numId w:val="2"/>
        </w:numPr>
      </w:pPr>
      <w:r>
        <w:t>проверка соблюдения соответствующих применимых положений и правил ВОИС, служебных инструкций, информационных циркуляров и процедур управления отдельными категориями активов, принадлежностей и материалов; и</w:t>
      </w:r>
    </w:p>
    <w:p w14:paraId="1FBA8FD3" w14:textId="77777777" w:rsidR="006905B2" w:rsidRDefault="006905B2" w:rsidP="006905B2">
      <w:pPr>
        <w:pStyle w:val="ONUME"/>
        <w:numPr>
          <w:ilvl w:val="1"/>
          <w:numId w:val="2"/>
        </w:numPr>
      </w:pPr>
      <w:r>
        <w:t>оценка адекватности, эффективности и результативности инструментов и систем, используемых для управления активами, принадлежностями и материалами.</w:t>
      </w:r>
    </w:p>
    <w:p w14:paraId="6644DF10" w14:textId="02C9D196" w:rsidR="006905B2" w:rsidRDefault="006905B2" w:rsidP="00423823">
      <w:pPr>
        <w:pStyle w:val="ONUME"/>
      </w:pPr>
      <w:r>
        <w:t xml:space="preserve">Аудит охватывал 2020 и 2021 годы и не включал проверку активов программного обеспечения и </w:t>
      </w:r>
      <w:r w:rsidR="00E7405F">
        <w:t>других нематериальных активов.</w:t>
      </w:r>
    </w:p>
    <w:p w14:paraId="7B2E4485" w14:textId="041661D3" w:rsidR="00055464" w:rsidRPr="00C965B7" w:rsidRDefault="00BC0925" w:rsidP="00C965B7">
      <w:pPr>
        <w:pStyle w:val="Heading2"/>
      </w:pPr>
      <w:r>
        <w:t>Оценка деятельности постоянных комитетов ВОИС</w:t>
      </w:r>
    </w:p>
    <w:p w14:paraId="37A90A36" w14:textId="14F91501" w:rsidR="003B06F4" w:rsidRDefault="00C965B7" w:rsidP="002327F8">
      <w:pPr>
        <w:pStyle w:val="ONUME"/>
      </w:pPr>
      <w:r>
        <w:t>Данная оценка преследовала формативные цели и в первую очередь предполагала определение эффективности деятельности ВОИС в организации и регулировании работы различных постоянных комитетов и оценку того, достаточно ли оказываемой поддержка и ресурсов, имеющиеся в распоряжении Секретариата, для достижения ожидаемых результатов и насколько эффективно они используются для удовлетворения потр</w:t>
      </w:r>
      <w:r w:rsidR="00E7405F">
        <w:t xml:space="preserve">ебностей постоянных комитетов. </w:t>
      </w:r>
      <w:r>
        <w:t xml:space="preserve">Кроме того, оценка служит для сотрудников ВОИС и </w:t>
      </w:r>
      <w:r>
        <w:lastRenderedPageBreak/>
        <w:t>заинтересованных сторон платформой для изучения накопленного опыта с целью внедрения передовой практики других родственн</w:t>
      </w:r>
      <w:r w:rsidR="00E7405F">
        <w:t>ых организаций ООН.</w:t>
      </w:r>
    </w:p>
    <w:p w14:paraId="2EEEAD64" w14:textId="6A77DC2E" w:rsidR="004E566A" w:rsidRPr="00055464" w:rsidRDefault="004C6FCB" w:rsidP="004C6FCB">
      <w:pPr>
        <w:pStyle w:val="Heading2"/>
      </w:pPr>
      <w:r>
        <w:t>Метасинтез оценок региональных отделов</w:t>
      </w:r>
    </w:p>
    <w:p w14:paraId="157E95C5" w14:textId="4D8B62A9" w:rsidR="00C965B7" w:rsidRDefault="003B06F4" w:rsidP="00C965B7">
      <w:pPr>
        <w:pStyle w:val="ONUME"/>
      </w:pPr>
      <w:r>
        <w:t xml:space="preserve">Главными целями метасинтеза оценок региональных отделов было рассмотрение, анализ и обобщение результатов, выводов и рекомендаций пяти завершенных оценок региональных отделов ВОИС с целью предоставления сквозных системных рекомендаций, способствующих улучшению работы ВОИС на региональном уровне.  </w:t>
      </w:r>
      <w:r w:rsidR="00E114AC">
        <w:t>Кроме того,</w:t>
      </w:r>
      <w:r>
        <w:t xml:space="preserve"> ставилась задача предоставления информации и оказания поддержки лицам, принимающи</w:t>
      </w:r>
      <w:r w:rsidR="0016216B">
        <w:t>м</w:t>
      </w:r>
      <w:r>
        <w:t xml:space="preserve"> решения, в проходящей реорганизации региональных отделов в</w:t>
      </w:r>
      <w:r w:rsidR="00E7405F">
        <w:t xml:space="preserve"> рамках СССП ВОИС</w:t>
      </w:r>
      <w:r w:rsidR="00D711F2">
        <w:t xml:space="preserve"> на период 2016–2021 гг.</w:t>
      </w:r>
    </w:p>
    <w:p w14:paraId="34446223" w14:textId="6B18661A" w:rsidR="002F69AD" w:rsidRDefault="00E114AC" w:rsidP="002F69AD">
      <w:pPr>
        <w:pStyle w:val="ONUME"/>
      </w:pPr>
      <w:r>
        <w:t>В процессе</w:t>
      </w:r>
      <w:r w:rsidR="002F69AD">
        <w:t xml:space="preserve"> метасинтеза были рассмотрены и проанализированы пять оценок региональных отделов ВОИС, проведенных в период 2015–2020 гг.: Регионального отдела Африки, Регионального отдела арабских стран, Регионального отдела Азиатско-Тихоокеанского региона, Регионального отдела Латинской Америки и Карибского бассейна и Регионального </w:t>
      </w:r>
      <w:r w:rsidR="00E7405F">
        <w:t>отдела наименее развитых стран.</w:t>
      </w:r>
      <w:r w:rsidR="002F69AD">
        <w:t xml:space="preserve"> В совокупности они охватывают период с 2010 по 2020 год.</w:t>
      </w:r>
    </w:p>
    <w:p w14:paraId="3E759BB3" w14:textId="6B647C0A" w:rsidR="003B06F4" w:rsidRPr="004C6FCB" w:rsidRDefault="004C6FCB" w:rsidP="004C6FCB">
      <w:pPr>
        <w:pStyle w:val="Heading2"/>
      </w:pPr>
      <w:r>
        <w:t xml:space="preserve">Обзор методологии ОВН </w:t>
      </w:r>
      <w:r w:rsidR="00C73E18">
        <w:t>П</w:t>
      </w:r>
      <w:r>
        <w:t>о проверке достоверности отчетов о р</w:t>
      </w:r>
      <w:r w:rsidR="00E7405F">
        <w:t>езультатах работы</w:t>
      </w:r>
    </w:p>
    <w:p w14:paraId="40E30AB4" w14:textId="4698CD87" w:rsidR="002F69AD" w:rsidRDefault="00AA1ADA" w:rsidP="005C7795">
      <w:pPr>
        <w:pStyle w:val="ONUME"/>
      </w:pPr>
      <w:r>
        <w:t>Данные о результативности (ДР) в Отчете о результатах работы ВОИС (ОРРВ) имеют ключевое значение с учетом стремления ВОИС демонстрировать достигну</w:t>
      </w:r>
      <w:r w:rsidR="00E7405F">
        <w:t>тые результаты своим партнерам.</w:t>
      </w:r>
      <w:r>
        <w:t xml:space="preserve"> Они также необходимы для принятия решений и постоянного ул</w:t>
      </w:r>
      <w:r w:rsidR="00E7405F">
        <w:t>учшения работы.</w:t>
      </w:r>
      <w:r>
        <w:t xml:space="preserve"> Поскольку ДР будут использоваться только в случае достоверности и надлежащего качества, в ВОИС десять лет назад был создан механизм проверки достоверности данных для обеспечения их качества и подлинности.</w:t>
      </w:r>
    </w:p>
    <w:p w14:paraId="611E6BB6" w14:textId="0C19540B" w:rsidR="002F69AD" w:rsidRDefault="002F69AD" w:rsidP="005C7795">
      <w:pPr>
        <w:pStyle w:val="ONUME"/>
      </w:pPr>
      <w:r>
        <w:t>Спустя десять лет после первой проверки достоверности данных, ОВН провел пересмотр концепции проверки достоверности ОРРВ.</w:t>
      </w:r>
    </w:p>
    <w:p w14:paraId="043638D4" w14:textId="3F5FE57A" w:rsidR="005C7795" w:rsidRDefault="002F69AD" w:rsidP="005C7795">
      <w:pPr>
        <w:pStyle w:val="ONUME"/>
      </w:pPr>
      <w:r>
        <w:t>В рамках пересмотра в период с декабря 2021 г</w:t>
      </w:r>
      <w:r w:rsidR="00C73E18">
        <w:t>.</w:t>
      </w:r>
      <w:r>
        <w:t xml:space="preserve"> по январь 2022 г</w:t>
      </w:r>
      <w:r w:rsidR="00C73E18">
        <w:t>.</w:t>
      </w:r>
      <w:r>
        <w:t xml:space="preserve"> прохо</w:t>
      </w:r>
      <w:r w:rsidR="00E7405F">
        <w:t>дили консультации с персоналом.</w:t>
      </w:r>
      <w:r>
        <w:t xml:space="preserve"> Сотрудники поднимали ряд вопросов, вносили предложения и под разными углами зрения освещали свои потребности и рассказывали, чего они ждут от</w:t>
      </w:r>
      <w:r w:rsidR="00E7405F">
        <w:t xml:space="preserve"> проверки достоверности данных.</w:t>
      </w:r>
      <w:r>
        <w:t xml:space="preserve"> В целом, был сделан вывод, что Организация рассчитывает, что проверка достоверности будет способствовать повышению согласованности, убед</w:t>
      </w:r>
      <w:r w:rsidR="00E7405F">
        <w:t>ительности и полезности ДР.</w:t>
      </w:r>
    </w:p>
    <w:p w14:paraId="34B63E6A" w14:textId="7C97388C" w:rsidR="005C7795" w:rsidRDefault="002F69AD" w:rsidP="00DD14F5">
      <w:pPr>
        <w:pStyle w:val="ONUME"/>
      </w:pPr>
      <w:r>
        <w:t xml:space="preserve">В процессе пересмотра были учтены текущие потребности и ожидания Организации в отношении концепции проверки достоверности данных. Намечен путь </w:t>
      </w:r>
      <w:r w:rsidR="00E114AC">
        <w:t>для повышения</w:t>
      </w:r>
      <w:r>
        <w:t xml:space="preserve"> степени </w:t>
      </w:r>
      <w:r w:rsidR="00E114AC">
        <w:t>убедительности при</w:t>
      </w:r>
      <w:r>
        <w:t xml:space="preserve"> обеспечении условий для обучения персонала. Это имеет ключевое значение для того, чтобы у сотрудников было больше возможностей </w:t>
      </w:r>
      <w:r w:rsidR="00DD14F5">
        <w:t>получать и использовать</w:t>
      </w:r>
      <w:r>
        <w:t xml:space="preserve"> </w:t>
      </w:r>
      <w:r w:rsidR="00DD14F5">
        <w:t xml:space="preserve">количественные и </w:t>
      </w:r>
      <w:r>
        <w:t xml:space="preserve">качественные </w:t>
      </w:r>
      <w:r w:rsidR="00DD14F5">
        <w:t>данные</w:t>
      </w:r>
      <w:r>
        <w:t xml:space="preserve">, </w:t>
      </w:r>
      <w:r w:rsidR="00DD14F5">
        <w:t>служащие основой</w:t>
      </w:r>
      <w:r>
        <w:t xml:space="preserve"> для принятия реше</w:t>
      </w:r>
      <w:r w:rsidR="00E7405F">
        <w:t>ний</w:t>
      </w:r>
      <w:r w:rsidR="00DD14F5">
        <w:t xml:space="preserve"> </w:t>
      </w:r>
      <w:r w:rsidR="00DD14F5" w:rsidRPr="00DD14F5">
        <w:t xml:space="preserve">на основе фактических </w:t>
      </w:r>
      <w:r w:rsidR="00DD14F5">
        <w:t>материалов</w:t>
      </w:r>
      <w:r w:rsidR="00E7405F">
        <w:t xml:space="preserve"> и </w:t>
      </w:r>
      <w:r w:rsidR="00DD14F5">
        <w:t xml:space="preserve">наглядно </w:t>
      </w:r>
      <w:r w:rsidR="00E7405F">
        <w:t>демонстр</w:t>
      </w:r>
      <w:r w:rsidR="00DD14F5">
        <w:t>ирующие п</w:t>
      </w:r>
      <w:r w:rsidR="00DD14F5" w:rsidRPr="00DD14F5">
        <w:t>риверженность ВОИС достижению значимых результатов</w:t>
      </w:r>
      <w:r w:rsidR="00E7405F">
        <w:t>.</w:t>
      </w:r>
    </w:p>
    <w:p w14:paraId="4820D400" w14:textId="6E61B052" w:rsidR="00C46B12" w:rsidRPr="00DA5DBB" w:rsidRDefault="00C46B12" w:rsidP="005C7795">
      <w:pPr>
        <w:pStyle w:val="Heading1"/>
      </w:pPr>
      <w:bookmarkStart w:id="37" w:name="_Toc98252891"/>
      <w:r>
        <w:t>РАССЛЕДОВАНИЯ</w:t>
      </w:r>
      <w:bookmarkEnd w:id="35"/>
      <w:bookmarkEnd w:id="37"/>
    </w:p>
    <w:p w14:paraId="2E71E914" w14:textId="4ACC71F0" w:rsidR="00C46B12" w:rsidRPr="00315F3C" w:rsidRDefault="00C46B12" w:rsidP="00315F3C">
      <w:pPr>
        <w:pStyle w:val="Heading2"/>
      </w:pPr>
      <w:r>
        <w:t xml:space="preserve">Обзор </w:t>
      </w:r>
      <w:r w:rsidR="00C20633">
        <w:t>ДЕЛ</w:t>
      </w:r>
    </w:p>
    <w:p w14:paraId="63077F60" w14:textId="00888120" w:rsidR="00C46B12" w:rsidRPr="0031505E" w:rsidRDefault="00C46B12" w:rsidP="00AC38B6">
      <w:pPr>
        <w:pStyle w:val="ONUME"/>
      </w:pPr>
      <w:r>
        <w:t>В течение отчетного периода было зарегистрировано 25 новых дел (т.е. на 19 процентов больше, че</w:t>
      </w:r>
      <w:r w:rsidR="00E7405F">
        <w:t>м в 2020 г.) и закрыто 23 дела.</w:t>
      </w:r>
      <w:r>
        <w:t xml:space="preserve"> По состоянию на 31 декабря 2021 г. в разработке находились 13 дел, в том числе одно на этапе предварительной оценки, восемь — в процессе полномасштабного расследования и еще три были приостановлены в ожи</w:t>
      </w:r>
      <w:r w:rsidR="00E7405F">
        <w:t>дании решения другой структуры.</w:t>
      </w:r>
      <w:r>
        <w:t xml:space="preserve"> Из незавершенных дел 11 были открыты в 2021 г. и два в 2020 г. По состоянию на 31 декабря 2021 г. средний срок расследования дел </w:t>
      </w:r>
      <w:r>
        <w:lastRenderedPageBreak/>
        <w:t xml:space="preserve">составляет 127 календарных дней </w:t>
      </w:r>
      <w:r w:rsidR="00E93A06">
        <w:rPr>
          <w:rStyle w:val="FootnoteReference"/>
        </w:rPr>
        <w:footnoteReference w:id="11"/>
      </w:r>
      <w:r>
        <w:t>, что вполне укладывается в целевые сроки в размере шести месяцев</w:t>
      </w:r>
      <w:r w:rsidR="00846DDE" w:rsidRPr="00846DDE">
        <w:rPr>
          <w:vertAlign w:val="superscript"/>
          <w:lang w:val="en-US"/>
        </w:rPr>
        <w:footnoteReference w:id="12"/>
      </w:r>
      <w:r>
        <w:t>.</w:t>
      </w:r>
    </w:p>
    <w:p w14:paraId="31AE8148" w14:textId="263924CE" w:rsidR="00C46B12" w:rsidRDefault="00C46B12" w:rsidP="00C43CB4">
      <w:pPr>
        <w:pStyle w:val="ONUME"/>
        <w:keepNext/>
        <w:numPr>
          <w:ilvl w:val="0"/>
          <w:numId w:val="0"/>
        </w:numPr>
        <w:spacing w:after="120"/>
        <w:jc w:val="center"/>
        <w:rPr>
          <w:b/>
          <w:sz w:val="18"/>
          <w:szCs w:val="18"/>
        </w:rPr>
      </w:pPr>
      <w:r>
        <w:rPr>
          <w:b/>
          <w:sz w:val="18"/>
        </w:rPr>
        <w:t>Диаграмма 1 – Сравнительный анализ количества расследований в 2020 и 2021 гг.</w:t>
      </w:r>
    </w:p>
    <w:p w14:paraId="7A3642EC" w14:textId="1907BDFB" w:rsidR="00CE642C" w:rsidRDefault="00C54CF5" w:rsidP="00C46B12">
      <w:pPr>
        <w:pStyle w:val="ONUME"/>
        <w:numPr>
          <w:ilvl w:val="0"/>
          <w:numId w:val="0"/>
        </w:numPr>
        <w:jc w:val="center"/>
        <w:rPr>
          <w:b/>
          <w:sz w:val="18"/>
          <w:szCs w:val="18"/>
        </w:rPr>
      </w:pPr>
      <w:r>
        <w:rPr>
          <w:noProof/>
          <w:lang w:val="en-US" w:eastAsia="en-US"/>
        </w:rPr>
        <w:drawing>
          <wp:inline distT="0" distB="0" distL="0" distR="0" wp14:anchorId="59101827" wp14:editId="6126C0AE">
            <wp:extent cx="5940425" cy="4096385"/>
            <wp:effectExtent l="0" t="0" r="3175" b="18415"/>
            <wp:docPr id="1" name="Chart 1" descr="Сравнительный анализ количества расследований в 2020 и 2021 гг." titl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2A1D94" w14:textId="489AB7DD" w:rsidR="00C46B12" w:rsidRDefault="00C46B12" w:rsidP="00AC38B6">
      <w:pPr>
        <w:pStyle w:val="ONUME"/>
      </w:pPr>
      <w:r>
        <w:t>Из 25 дел, открытых в течение отчетного периода, три согласно соответствующим положениям УВН</w:t>
      </w:r>
      <w:r>
        <w:rPr>
          <w:rStyle w:val="FootnoteReference"/>
        </w:rPr>
        <w:footnoteReference w:id="13"/>
      </w:r>
      <w:r>
        <w:t xml:space="preserve"> были переданы НККН на предмет консультативного заключения.</w:t>
      </w:r>
    </w:p>
    <w:p w14:paraId="46BD6D03" w14:textId="77777777" w:rsidR="00C46B12" w:rsidRDefault="00C46B12" w:rsidP="00315F3C">
      <w:pPr>
        <w:pStyle w:val="Heading2"/>
      </w:pPr>
      <w:r>
        <w:t>Результаты проведенных расследований</w:t>
      </w:r>
    </w:p>
    <w:p w14:paraId="6C0BF968" w14:textId="6D76BF24" w:rsidR="00CB362E" w:rsidRDefault="00C46B12" w:rsidP="002C23BF">
      <w:pPr>
        <w:pStyle w:val="ONUME"/>
      </w:pPr>
      <w:r>
        <w:t>Согласно УВН</w:t>
      </w:r>
      <w:r w:rsidR="005D7B90" w:rsidRPr="005D7B90">
        <w:rPr>
          <w:vertAlign w:val="superscript"/>
          <w:lang w:val="en-US"/>
        </w:rPr>
        <w:footnoteReference w:id="14"/>
      </w:r>
      <w:r>
        <w:t xml:space="preserve"> годовой отчет должен включать описание расследованных нарушений, факт совершения которых подтвердился,</w:t>
      </w:r>
      <w:r w:rsidR="00E7405F">
        <w:t xml:space="preserve"> и принятых в связи с ними мер.</w:t>
      </w:r>
      <w:r>
        <w:t xml:space="preserve"> В 2021 г. было проведено девять расследований, в ходе которых представленная инф</w:t>
      </w:r>
      <w:r w:rsidR="00E7405F">
        <w:t>ормация получила подтверждение.</w:t>
      </w:r>
      <w:r>
        <w:t xml:space="preserve"> В частности:</w:t>
      </w:r>
    </w:p>
    <w:p w14:paraId="1C85C255" w14:textId="1CAC344D" w:rsidR="00E47E02" w:rsidRDefault="00B40C15" w:rsidP="00B0338B">
      <w:pPr>
        <w:pStyle w:val="ONUME"/>
        <w:numPr>
          <w:ilvl w:val="1"/>
          <w:numId w:val="2"/>
        </w:numPr>
      </w:pPr>
      <w:r>
        <w:t>в</w:t>
      </w:r>
      <w:r w:rsidR="00F93086">
        <w:t xml:space="preserve"> четырех случаях были затронуты сотрудники ВОИС, в отношении которых ОВН рекомендовал </w:t>
      </w:r>
      <w:r w:rsidR="00846DDE">
        <w:t>начать процедуру</w:t>
      </w:r>
      <w:r w:rsidR="00E7405F">
        <w:t xml:space="preserve"> приняти</w:t>
      </w:r>
      <w:r w:rsidR="00846DDE">
        <w:t>я</w:t>
      </w:r>
      <w:r w:rsidR="00E7405F">
        <w:t xml:space="preserve"> дисциплинарных мер.</w:t>
      </w:r>
      <w:r w:rsidR="00F93086">
        <w:t xml:space="preserve"> Рекомендации были выполнены во всех случаях, кроме одного, когда директор ДУЛР счел, что в случае установленных фактов целесообразнее другие меры, например организация учебных мероприятий для повышен</w:t>
      </w:r>
      <w:r w:rsidR="00E7405F">
        <w:t>ия осведомленности сотрудников;</w:t>
      </w:r>
    </w:p>
    <w:p w14:paraId="767587EA" w14:textId="496584BB" w:rsidR="00F93086" w:rsidRDefault="00F93086" w:rsidP="00B0338B">
      <w:pPr>
        <w:pStyle w:val="ONUME"/>
        <w:numPr>
          <w:ilvl w:val="1"/>
          <w:numId w:val="2"/>
        </w:numPr>
      </w:pPr>
      <w:r>
        <w:t>в одном случае сотрудник не был подвергнут дисциплинарному взысканию, но в соответствии с рекомендацией ОВН получил предупреждение от директора ДУЛР;</w:t>
      </w:r>
    </w:p>
    <w:p w14:paraId="56A1CF93" w14:textId="6660F492" w:rsidR="00F93086" w:rsidRDefault="0098489C" w:rsidP="00B0338B">
      <w:pPr>
        <w:pStyle w:val="ONUME"/>
        <w:numPr>
          <w:ilvl w:val="1"/>
          <w:numId w:val="2"/>
        </w:numPr>
      </w:pPr>
      <w:r>
        <w:lastRenderedPageBreak/>
        <w:t>в одном случае был замешан сотрудник, который уволился из ВОИС до принятия рекомендованных ОВН мер;</w:t>
      </w:r>
    </w:p>
    <w:p w14:paraId="3A887C7E" w14:textId="66A0FD33" w:rsidR="00B0338B" w:rsidRDefault="00B0338B" w:rsidP="00B0338B">
      <w:pPr>
        <w:pStyle w:val="ONUME"/>
        <w:numPr>
          <w:ilvl w:val="1"/>
          <w:numId w:val="2"/>
        </w:numPr>
      </w:pPr>
      <w:r>
        <w:t>одно дело, касающееся внешнего подрядчика, было передано в Комитет по санкциям в отношении поставщиков, где процедура разбирательства еще не завершена;</w:t>
      </w:r>
    </w:p>
    <w:p w14:paraId="05E3F224" w14:textId="46BDB602" w:rsidR="00B0338B" w:rsidRDefault="00B0338B" w:rsidP="00B0338B">
      <w:pPr>
        <w:pStyle w:val="ONUME"/>
        <w:numPr>
          <w:ilvl w:val="1"/>
          <w:numId w:val="2"/>
        </w:numPr>
      </w:pPr>
      <w:r>
        <w:t>в одном случае речь шла о работнике внешнего агентства, который был немедленно уволен агентством-работодателем; и</w:t>
      </w:r>
    </w:p>
    <w:p w14:paraId="6F984493" w14:textId="4514E4F8" w:rsidR="00B0338B" w:rsidRDefault="00B0338B" w:rsidP="00B0338B">
      <w:pPr>
        <w:pStyle w:val="ONUME"/>
        <w:numPr>
          <w:ilvl w:val="1"/>
          <w:numId w:val="2"/>
        </w:numPr>
      </w:pPr>
      <w:r>
        <w:t>в одном случае имело место мошенничество третьей стороны, и дело должно быть передано в компетентные национальные органы.</w:t>
      </w:r>
    </w:p>
    <w:p w14:paraId="22AE6289" w14:textId="4381BCDA" w:rsidR="00C668ED" w:rsidRDefault="00C668ED" w:rsidP="00C668ED">
      <w:pPr>
        <w:pStyle w:val="ONUME"/>
      </w:pPr>
      <w:r>
        <w:t>Ни в одном из вышеупомянутых случаев не было выявлено существенных финансовых последствий для Организации.</w:t>
      </w:r>
    </w:p>
    <w:p w14:paraId="6B1582FD" w14:textId="3380BFF1" w:rsidR="00957033" w:rsidRDefault="00957033" w:rsidP="00957033">
      <w:pPr>
        <w:pStyle w:val="Heading2"/>
      </w:pPr>
      <w:r>
        <w:t>Отчеты о результатах расследования для руководства (ОРРР)</w:t>
      </w:r>
    </w:p>
    <w:p w14:paraId="3D2960D6" w14:textId="593662FE" w:rsidR="00957033" w:rsidRDefault="00957033" w:rsidP="00957033">
      <w:pPr>
        <w:pStyle w:val="ONUME"/>
      </w:pPr>
      <w:r>
        <w:t xml:space="preserve">ОВН выпустил два ОРРР, где освещаются системные вопросы, выявленные в ходе расследований, и высказываются рекомендации по </w:t>
      </w:r>
      <w:r w:rsidR="00E7405F">
        <w:t>улучшению внутреннего контроля.</w:t>
      </w:r>
      <w:r>
        <w:t xml:space="preserve"> Эти рекомендации касались:</w:t>
      </w:r>
    </w:p>
    <w:p w14:paraId="57EF1693" w14:textId="3B46C020" w:rsidR="00957033" w:rsidRDefault="00957033" w:rsidP="0041494C">
      <w:pPr>
        <w:pStyle w:val="ONUME"/>
        <w:numPr>
          <w:ilvl w:val="1"/>
          <w:numId w:val="2"/>
        </w:numPr>
      </w:pPr>
      <w:r>
        <w:t>управления персональными данными пользователей веб-сайта ВОИС и процедур массовой рассылки корреспонденции; и</w:t>
      </w:r>
    </w:p>
    <w:p w14:paraId="226C0B83" w14:textId="777CCD4F" w:rsidR="00CB362E" w:rsidRDefault="00957033" w:rsidP="005C7795">
      <w:pPr>
        <w:pStyle w:val="ONUME"/>
        <w:numPr>
          <w:ilvl w:val="1"/>
          <w:numId w:val="2"/>
        </w:numPr>
      </w:pPr>
      <w:r>
        <w:t xml:space="preserve">информации, публикуемой на веб-сайте </w:t>
      </w:r>
      <w:r w:rsidR="00EE0ADC" w:rsidRPr="00EE0ADC">
        <w:rPr>
          <w:lang w:val="en-US"/>
        </w:rPr>
        <w:t>PATENTSCOPE</w:t>
      </w:r>
      <w:r>
        <w:t>.</w:t>
      </w:r>
    </w:p>
    <w:p w14:paraId="42BBDDB6" w14:textId="00739FCE" w:rsidR="00C46B12" w:rsidRPr="00AC3480" w:rsidRDefault="00C46B12" w:rsidP="00AC3480">
      <w:pPr>
        <w:pStyle w:val="ONUME"/>
        <w:keepNext/>
        <w:numPr>
          <w:ilvl w:val="0"/>
          <w:numId w:val="0"/>
        </w:numPr>
        <w:jc w:val="center"/>
        <w:rPr>
          <w:b/>
          <w:sz w:val="18"/>
          <w:szCs w:val="18"/>
        </w:rPr>
      </w:pPr>
      <w:r>
        <w:rPr>
          <w:b/>
          <w:sz w:val="18"/>
        </w:rPr>
        <w:t>Таблица 1 – Анализ жалоб, полученных в 2020 и 2021 гг.</w:t>
      </w:r>
    </w:p>
    <w:tbl>
      <w:tblPr>
        <w:tblW w:w="9580" w:type="dxa"/>
        <w:tblLook w:val="04A0" w:firstRow="1" w:lastRow="0" w:firstColumn="1" w:lastColumn="0" w:noHBand="0" w:noVBand="1"/>
        <w:tblCaption w:val="Таблица 1"/>
        <w:tblDescription w:val="Анализ жалоб полученных в 2020 и 2021 гг."/>
      </w:tblPr>
      <w:tblGrid>
        <w:gridCol w:w="7660"/>
        <w:gridCol w:w="960"/>
        <w:gridCol w:w="960"/>
      </w:tblGrid>
      <w:tr w:rsidR="00EE2EAB" w:rsidRPr="00EE2EAB" w14:paraId="4603F359" w14:textId="77777777" w:rsidTr="00EE2EAB">
        <w:trPr>
          <w:trHeight w:val="300"/>
        </w:trPr>
        <w:tc>
          <w:tcPr>
            <w:tcW w:w="7660" w:type="dxa"/>
            <w:vMerge w:val="restart"/>
            <w:tcBorders>
              <w:top w:val="nil"/>
              <w:left w:val="nil"/>
              <w:bottom w:val="single" w:sz="4" w:space="0" w:color="auto"/>
              <w:right w:val="single" w:sz="4" w:space="0" w:color="auto"/>
            </w:tcBorders>
            <w:shd w:val="clear" w:color="auto" w:fill="auto"/>
            <w:noWrap/>
            <w:vAlign w:val="center"/>
            <w:hideMark/>
          </w:tcPr>
          <w:p w14:paraId="4E092B08" w14:textId="77777777" w:rsidR="00EE2EAB" w:rsidRPr="00157B3D" w:rsidRDefault="00EE2EAB" w:rsidP="00EE2EAB">
            <w:pPr>
              <w:jc w:val="center"/>
              <w:rPr>
                <w:rFonts w:eastAsia="Times New Roman"/>
                <w:b/>
                <w:bCs/>
                <w:color w:val="000000"/>
                <w:szCs w:val="22"/>
                <w:lang w:eastAsia="en-US"/>
              </w:rPr>
            </w:pPr>
            <w:r w:rsidRPr="00EE2EAB">
              <w:rPr>
                <w:rFonts w:eastAsia="Times New Roman"/>
                <w:b/>
                <w:bCs/>
                <w:color w:val="000000"/>
                <w:szCs w:val="22"/>
                <w:lang w:val="en-US" w:eastAsia="en-US"/>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4A06E" w14:textId="77777777" w:rsidR="00EE2EAB" w:rsidRPr="00EE2EAB" w:rsidRDefault="00EE2EAB" w:rsidP="00EE2EAB">
            <w:pPr>
              <w:jc w:val="center"/>
              <w:rPr>
                <w:rFonts w:eastAsia="Times New Roman"/>
                <w:b/>
                <w:bCs/>
                <w:color w:val="000000"/>
                <w:szCs w:val="22"/>
                <w:lang w:val="en-US" w:eastAsia="en-US"/>
              </w:rPr>
            </w:pPr>
            <w:r w:rsidRPr="00EE2EAB">
              <w:rPr>
                <w:rFonts w:eastAsia="Times New Roman"/>
                <w:b/>
                <w:bCs/>
                <w:color w:val="000000"/>
                <w:szCs w:val="22"/>
                <w:lang w:val="en-US" w:eastAsia="en-US"/>
              </w:rPr>
              <w:t>2020 г.</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4B8397" w14:textId="77777777" w:rsidR="00EE2EAB" w:rsidRPr="00EE2EAB" w:rsidRDefault="00EE2EAB" w:rsidP="00EE2EAB">
            <w:pPr>
              <w:jc w:val="center"/>
              <w:rPr>
                <w:rFonts w:eastAsia="Times New Roman"/>
                <w:b/>
                <w:bCs/>
                <w:color w:val="000000"/>
                <w:szCs w:val="22"/>
                <w:lang w:val="en-US" w:eastAsia="en-US"/>
              </w:rPr>
            </w:pPr>
            <w:r w:rsidRPr="00EE2EAB">
              <w:rPr>
                <w:rFonts w:eastAsia="Times New Roman"/>
                <w:b/>
                <w:bCs/>
                <w:color w:val="000000"/>
                <w:szCs w:val="22"/>
                <w:lang w:val="en-US" w:eastAsia="en-US"/>
              </w:rPr>
              <w:t>2021 г.</w:t>
            </w:r>
          </w:p>
        </w:tc>
      </w:tr>
      <w:tr w:rsidR="00EE2EAB" w:rsidRPr="00EE2EAB" w14:paraId="2F90A694" w14:textId="77777777" w:rsidTr="00EE2EAB">
        <w:trPr>
          <w:trHeight w:val="300"/>
        </w:trPr>
        <w:tc>
          <w:tcPr>
            <w:tcW w:w="7660" w:type="dxa"/>
            <w:vMerge/>
            <w:tcBorders>
              <w:top w:val="nil"/>
              <w:left w:val="nil"/>
              <w:bottom w:val="single" w:sz="4" w:space="0" w:color="auto"/>
              <w:right w:val="single" w:sz="4" w:space="0" w:color="auto"/>
            </w:tcBorders>
            <w:vAlign w:val="center"/>
            <w:hideMark/>
          </w:tcPr>
          <w:p w14:paraId="209B7FB7" w14:textId="77777777" w:rsidR="00EE2EAB" w:rsidRPr="00EE2EAB" w:rsidRDefault="00EE2EAB" w:rsidP="00EE2EAB">
            <w:pPr>
              <w:rPr>
                <w:rFonts w:eastAsia="Times New Roman"/>
                <w:b/>
                <w:bCs/>
                <w:color w:val="000000"/>
                <w:szCs w:val="22"/>
                <w:lang w:val="en-US" w:eastAsia="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87F55EB" w14:textId="77777777" w:rsidR="00EE2EAB" w:rsidRPr="00EE2EAB" w:rsidRDefault="00EE2EAB" w:rsidP="00EE2EAB">
            <w:pPr>
              <w:rPr>
                <w:rFonts w:eastAsia="Times New Roman"/>
                <w:b/>
                <w:bCs/>
                <w:color w:val="000000"/>
                <w:szCs w:val="22"/>
                <w:lang w:val="en-US" w:eastAsia="en-US"/>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180FC1F6" w14:textId="77777777" w:rsidR="00EE2EAB" w:rsidRPr="00EE2EAB" w:rsidRDefault="00EE2EAB" w:rsidP="00EE2EAB">
            <w:pPr>
              <w:rPr>
                <w:rFonts w:eastAsia="Times New Roman"/>
                <w:b/>
                <w:bCs/>
                <w:color w:val="000000"/>
                <w:szCs w:val="22"/>
                <w:lang w:val="en-US" w:eastAsia="en-US"/>
              </w:rPr>
            </w:pPr>
          </w:p>
        </w:tc>
      </w:tr>
      <w:tr w:rsidR="00EE2EAB" w:rsidRPr="00EE2EAB" w14:paraId="0F728941"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5B5335AF"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Неправомерное использование рабочего времени</w:t>
            </w:r>
          </w:p>
        </w:tc>
        <w:tc>
          <w:tcPr>
            <w:tcW w:w="960" w:type="dxa"/>
            <w:tcBorders>
              <w:top w:val="nil"/>
              <w:left w:val="nil"/>
              <w:bottom w:val="single" w:sz="4" w:space="0" w:color="auto"/>
              <w:right w:val="single" w:sz="4" w:space="0" w:color="auto"/>
            </w:tcBorders>
            <w:shd w:val="clear" w:color="auto" w:fill="auto"/>
            <w:noWrap/>
            <w:vAlign w:val="center"/>
            <w:hideMark/>
          </w:tcPr>
          <w:p w14:paraId="223F6413"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0</w:t>
            </w:r>
          </w:p>
        </w:tc>
        <w:tc>
          <w:tcPr>
            <w:tcW w:w="960" w:type="dxa"/>
            <w:tcBorders>
              <w:top w:val="nil"/>
              <w:left w:val="nil"/>
              <w:bottom w:val="single" w:sz="4" w:space="0" w:color="auto"/>
              <w:right w:val="single" w:sz="4" w:space="0" w:color="auto"/>
            </w:tcBorders>
            <w:shd w:val="clear" w:color="auto" w:fill="auto"/>
            <w:noWrap/>
            <w:vAlign w:val="center"/>
            <w:hideMark/>
          </w:tcPr>
          <w:p w14:paraId="74EEFD26"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6</w:t>
            </w:r>
          </w:p>
        </w:tc>
      </w:tr>
      <w:tr w:rsidR="00EE2EAB" w:rsidRPr="00EE2EAB" w14:paraId="4E33E749"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38082C33"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Мошенническое или неправомерное получение льгот и пособий</w:t>
            </w:r>
          </w:p>
        </w:tc>
        <w:tc>
          <w:tcPr>
            <w:tcW w:w="960" w:type="dxa"/>
            <w:tcBorders>
              <w:top w:val="nil"/>
              <w:left w:val="nil"/>
              <w:bottom w:val="single" w:sz="4" w:space="0" w:color="auto"/>
              <w:right w:val="single" w:sz="4" w:space="0" w:color="auto"/>
            </w:tcBorders>
            <w:shd w:val="clear" w:color="auto" w:fill="auto"/>
            <w:noWrap/>
            <w:vAlign w:val="center"/>
            <w:hideMark/>
          </w:tcPr>
          <w:p w14:paraId="2C94731A"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4</w:t>
            </w:r>
          </w:p>
        </w:tc>
        <w:tc>
          <w:tcPr>
            <w:tcW w:w="960" w:type="dxa"/>
            <w:tcBorders>
              <w:top w:val="nil"/>
              <w:left w:val="nil"/>
              <w:bottom w:val="single" w:sz="4" w:space="0" w:color="auto"/>
              <w:right w:val="single" w:sz="4" w:space="0" w:color="auto"/>
            </w:tcBorders>
            <w:shd w:val="clear" w:color="auto" w:fill="auto"/>
            <w:noWrap/>
            <w:vAlign w:val="center"/>
            <w:hideMark/>
          </w:tcPr>
          <w:p w14:paraId="5610665D"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0</w:t>
            </w:r>
          </w:p>
        </w:tc>
      </w:tr>
      <w:tr w:rsidR="00EE2EAB" w:rsidRPr="00EE2EAB" w14:paraId="01B88C72"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383CABC5"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Нарушение конфиденциальности</w:t>
            </w:r>
          </w:p>
        </w:tc>
        <w:tc>
          <w:tcPr>
            <w:tcW w:w="960" w:type="dxa"/>
            <w:tcBorders>
              <w:top w:val="nil"/>
              <w:left w:val="nil"/>
              <w:bottom w:val="single" w:sz="4" w:space="0" w:color="auto"/>
              <w:right w:val="single" w:sz="4" w:space="0" w:color="auto"/>
            </w:tcBorders>
            <w:shd w:val="clear" w:color="auto" w:fill="auto"/>
            <w:noWrap/>
            <w:vAlign w:val="center"/>
            <w:hideMark/>
          </w:tcPr>
          <w:p w14:paraId="0A966CA7"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0</w:t>
            </w:r>
          </w:p>
        </w:tc>
        <w:tc>
          <w:tcPr>
            <w:tcW w:w="960" w:type="dxa"/>
            <w:tcBorders>
              <w:top w:val="nil"/>
              <w:left w:val="nil"/>
              <w:bottom w:val="single" w:sz="4" w:space="0" w:color="auto"/>
              <w:right w:val="single" w:sz="4" w:space="0" w:color="auto"/>
            </w:tcBorders>
            <w:shd w:val="clear" w:color="auto" w:fill="auto"/>
            <w:noWrap/>
            <w:vAlign w:val="center"/>
            <w:hideMark/>
          </w:tcPr>
          <w:p w14:paraId="47D2EC1A"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2</w:t>
            </w:r>
          </w:p>
        </w:tc>
      </w:tr>
      <w:tr w:rsidR="00EE2EAB" w:rsidRPr="00EE2EAB" w14:paraId="187E7418"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1FF0B394"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Коррупция</w:t>
            </w:r>
          </w:p>
        </w:tc>
        <w:tc>
          <w:tcPr>
            <w:tcW w:w="960" w:type="dxa"/>
            <w:tcBorders>
              <w:top w:val="nil"/>
              <w:left w:val="nil"/>
              <w:bottom w:val="single" w:sz="4" w:space="0" w:color="auto"/>
              <w:right w:val="single" w:sz="4" w:space="0" w:color="auto"/>
            </w:tcBorders>
            <w:shd w:val="clear" w:color="auto" w:fill="auto"/>
            <w:noWrap/>
            <w:vAlign w:val="center"/>
            <w:hideMark/>
          </w:tcPr>
          <w:p w14:paraId="7025F727"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1</w:t>
            </w:r>
          </w:p>
        </w:tc>
        <w:tc>
          <w:tcPr>
            <w:tcW w:w="960" w:type="dxa"/>
            <w:tcBorders>
              <w:top w:val="nil"/>
              <w:left w:val="nil"/>
              <w:bottom w:val="single" w:sz="4" w:space="0" w:color="auto"/>
              <w:right w:val="single" w:sz="4" w:space="0" w:color="auto"/>
            </w:tcBorders>
            <w:shd w:val="clear" w:color="auto" w:fill="auto"/>
            <w:noWrap/>
            <w:vAlign w:val="center"/>
            <w:hideMark/>
          </w:tcPr>
          <w:p w14:paraId="7B878176"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0</w:t>
            </w:r>
          </w:p>
        </w:tc>
      </w:tr>
      <w:tr w:rsidR="00EE2EAB" w:rsidRPr="00EE2EAB" w14:paraId="7F7F0184"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463889AC"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Третирование (не на сексуальной почве), дискриминация</w:t>
            </w:r>
          </w:p>
        </w:tc>
        <w:tc>
          <w:tcPr>
            <w:tcW w:w="960" w:type="dxa"/>
            <w:tcBorders>
              <w:top w:val="nil"/>
              <w:left w:val="nil"/>
              <w:bottom w:val="single" w:sz="4" w:space="0" w:color="auto"/>
              <w:right w:val="single" w:sz="4" w:space="0" w:color="auto"/>
            </w:tcBorders>
            <w:shd w:val="clear" w:color="auto" w:fill="auto"/>
            <w:noWrap/>
            <w:vAlign w:val="center"/>
            <w:hideMark/>
          </w:tcPr>
          <w:p w14:paraId="020653DF"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2</w:t>
            </w:r>
          </w:p>
        </w:tc>
        <w:tc>
          <w:tcPr>
            <w:tcW w:w="960" w:type="dxa"/>
            <w:tcBorders>
              <w:top w:val="nil"/>
              <w:left w:val="nil"/>
              <w:bottom w:val="single" w:sz="4" w:space="0" w:color="auto"/>
              <w:right w:val="single" w:sz="4" w:space="0" w:color="auto"/>
            </w:tcBorders>
            <w:shd w:val="clear" w:color="auto" w:fill="auto"/>
            <w:noWrap/>
            <w:vAlign w:val="center"/>
            <w:hideMark/>
          </w:tcPr>
          <w:p w14:paraId="47CC30F5"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3</w:t>
            </w:r>
          </w:p>
        </w:tc>
      </w:tr>
      <w:tr w:rsidR="00EE2EAB" w:rsidRPr="00EE2EAB" w14:paraId="24137B8C"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466A25FB"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Неподчинение и другое неподобающее поведение</w:t>
            </w:r>
          </w:p>
        </w:tc>
        <w:tc>
          <w:tcPr>
            <w:tcW w:w="960" w:type="dxa"/>
            <w:tcBorders>
              <w:top w:val="nil"/>
              <w:left w:val="nil"/>
              <w:bottom w:val="single" w:sz="4" w:space="0" w:color="auto"/>
              <w:right w:val="single" w:sz="4" w:space="0" w:color="auto"/>
            </w:tcBorders>
            <w:shd w:val="clear" w:color="auto" w:fill="auto"/>
            <w:noWrap/>
            <w:vAlign w:val="center"/>
            <w:hideMark/>
          </w:tcPr>
          <w:p w14:paraId="713FDFED"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0</w:t>
            </w:r>
          </w:p>
        </w:tc>
        <w:tc>
          <w:tcPr>
            <w:tcW w:w="960" w:type="dxa"/>
            <w:tcBorders>
              <w:top w:val="nil"/>
              <w:left w:val="nil"/>
              <w:bottom w:val="single" w:sz="4" w:space="0" w:color="auto"/>
              <w:right w:val="single" w:sz="4" w:space="0" w:color="auto"/>
            </w:tcBorders>
            <w:shd w:val="clear" w:color="auto" w:fill="auto"/>
            <w:noWrap/>
            <w:vAlign w:val="center"/>
            <w:hideMark/>
          </w:tcPr>
          <w:p w14:paraId="3A7E8DD2"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2</w:t>
            </w:r>
          </w:p>
        </w:tc>
      </w:tr>
      <w:tr w:rsidR="00EE2EAB" w:rsidRPr="00EE2EAB" w14:paraId="1B342EE4"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1A775D90"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Неправомерное использование средств или активов ВОИС</w:t>
            </w:r>
          </w:p>
        </w:tc>
        <w:tc>
          <w:tcPr>
            <w:tcW w:w="960" w:type="dxa"/>
            <w:tcBorders>
              <w:top w:val="nil"/>
              <w:left w:val="nil"/>
              <w:bottom w:val="single" w:sz="4" w:space="0" w:color="auto"/>
              <w:right w:val="single" w:sz="4" w:space="0" w:color="auto"/>
            </w:tcBorders>
            <w:shd w:val="clear" w:color="auto" w:fill="auto"/>
            <w:noWrap/>
            <w:vAlign w:val="center"/>
            <w:hideMark/>
          </w:tcPr>
          <w:p w14:paraId="704D1D86"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4</w:t>
            </w:r>
          </w:p>
        </w:tc>
        <w:tc>
          <w:tcPr>
            <w:tcW w:w="960" w:type="dxa"/>
            <w:tcBorders>
              <w:top w:val="nil"/>
              <w:left w:val="nil"/>
              <w:bottom w:val="single" w:sz="4" w:space="0" w:color="auto"/>
              <w:right w:val="single" w:sz="4" w:space="0" w:color="auto"/>
            </w:tcBorders>
            <w:shd w:val="clear" w:color="auto" w:fill="auto"/>
            <w:noWrap/>
            <w:vAlign w:val="center"/>
            <w:hideMark/>
          </w:tcPr>
          <w:p w14:paraId="59729111"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2</w:t>
            </w:r>
          </w:p>
        </w:tc>
      </w:tr>
      <w:tr w:rsidR="00EE2EAB" w:rsidRPr="00EE2EAB" w14:paraId="2DB7663B" w14:textId="77777777" w:rsidTr="00EE2EAB">
        <w:trPr>
          <w:trHeight w:val="57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3BF7A204"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Халатное отношение к работе или создание препятствий для деятельности ВОИС</w:t>
            </w:r>
          </w:p>
        </w:tc>
        <w:tc>
          <w:tcPr>
            <w:tcW w:w="960" w:type="dxa"/>
            <w:tcBorders>
              <w:top w:val="nil"/>
              <w:left w:val="nil"/>
              <w:bottom w:val="single" w:sz="4" w:space="0" w:color="auto"/>
              <w:right w:val="single" w:sz="4" w:space="0" w:color="auto"/>
            </w:tcBorders>
            <w:shd w:val="clear" w:color="auto" w:fill="auto"/>
            <w:noWrap/>
            <w:vAlign w:val="center"/>
            <w:hideMark/>
          </w:tcPr>
          <w:p w14:paraId="260F4E58"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1</w:t>
            </w:r>
          </w:p>
        </w:tc>
        <w:tc>
          <w:tcPr>
            <w:tcW w:w="960" w:type="dxa"/>
            <w:tcBorders>
              <w:top w:val="nil"/>
              <w:left w:val="nil"/>
              <w:bottom w:val="single" w:sz="4" w:space="0" w:color="auto"/>
              <w:right w:val="single" w:sz="4" w:space="0" w:color="auto"/>
            </w:tcBorders>
            <w:shd w:val="clear" w:color="auto" w:fill="auto"/>
            <w:noWrap/>
            <w:vAlign w:val="center"/>
            <w:hideMark/>
          </w:tcPr>
          <w:p w14:paraId="343D461C"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2</w:t>
            </w:r>
          </w:p>
        </w:tc>
      </w:tr>
      <w:tr w:rsidR="00EE2EAB" w:rsidRPr="00EE2EAB" w14:paraId="793AE69A" w14:textId="77777777" w:rsidTr="00EE2EAB">
        <w:trPr>
          <w:trHeight w:val="57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6FD9B8E7"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Другие случаи несоблюдения стандартов поведения международных гражданских служащих</w:t>
            </w:r>
          </w:p>
        </w:tc>
        <w:tc>
          <w:tcPr>
            <w:tcW w:w="960" w:type="dxa"/>
            <w:tcBorders>
              <w:top w:val="nil"/>
              <w:left w:val="nil"/>
              <w:bottom w:val="single" w:sz="4" w:space="0" w:color="auto"/>
              <w:right w:val="single" w:sz="4" w:space="0" w:color="auto"/>
            </w:tcBorders>
            <w:shd w:val="clear" w:color="auto" w:fill="auto"/>
            <w:noWrap/>
            <w:vAlign w:val="center"/>
            <w:hideMark/>
          </w:tcPr>
          <w:p w14:paraId="0E975D19"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3</w:t>
            </w:r>
          </w:p>
        </w:tc>
        <w:tc>
          <w:tcPr>
            <w:tcW w:w="960" w:type="dxa"/>
            <w:tcBorders>
              <w:top w:val="nil"/>
              <w:left w:val="nil"/>
              <w:bottom w:val="single" w:sz="4" w:space="0" w:color="auto"/>
              <w:right w:val="single" w:sz="4" w:space="0" w:color="auto"/>
            </w:tcBorders>
            <w:shd w:val="clear" w:color="auto" w:fill="auto"/>
            <w:noWrap/>
            <w:vAlign w:val="center"/>
            <w:hideMark/>
          </w:tcPr>
          <w:p w14:paraId="5FDB4034"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1</w:t>
            </w:r>
          </w:p>
        </w:tc>
      </w:tr>
      <w:tr w:rsidR="00EE2EAB" w:rsidRPr="00EE2EAB" w14:paraId="5C4BBA7B"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63AD885F"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Нарушения правил осуществления закупок</w:t>
            </w:r>
          </w:p>
        </w:tc>
        <w:tc>
          <w:tcPr>
            <w:tcW w:w="960" w:type="dxa"/>
            <w:tcBorders>
              <w:top w:val="nil"/>
              <w:left w:val="nil"/>
              <w:bottom w:val="single" w:sz="4" w:space="0" w:color="auto"/>
              <w:right w:val="single" w:sz="4" w:space="0" w:color="auto"/>
            </w:tcBorders>
            <w:shd w:val="clear" w:color="auto" w:fill="auto"/>
            <w:noWrap/>
            <w:vAlign w:val="center"/>
            <w:hideMark/>
          </w:tcPr>
          <w:p w14:paraId="13558A0B"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1</w:t>
            </w:r>
          </w:p>
        </w:tc>
        <w:tc>
          <w:tcPr>
            <w:tcW w:w="960" w:type="dxa"/>
            <w:tcBorders>
              <w:top w:val="nil"/>
              <w:left w:val="nil"/>
              <w:bottom w:val="single" w:sz="4" w:space="0" w:color="auto"/>
              <w:right w:val="single" w:sz="4" w:space="0" w:color="auto"/>
            </w:tcBorders>
            <w:shd w:val="clear" w:color="auto" w:fill="auto"/>
            <w:noWrap/>
            <w:vAlign w:val="center"/>
            <w:hideMark/>
          </w:tcPr>
          <w:p w14:paraId="539D8031"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3</w:t>
            </w:r>
          </w:p>
        </w:tc>
      </w:tr>
      <w:tr w:rsidR="00EE2EAB" w:rsidRPr="00EE2EAB" w14:paraId="633C9721"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603DE2FD"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Нарушения при наборе на работу</w:t>
            </w:r>
          </w:p>
        </w:tc>
        <w:tc>
          <w:tcPr>
            <w:tcW w:w="960" w:type="dxa"/>
            <w:tcBorders>
              <w:top w:val="nil"/>
              <w:left w:val="nil"/>
              <w:bottom w:val="single" w:sz="4" w:space="0" w:color="auto"/>
              <w:right w:val="single" w:sz="4" w:space="0" w:color="auto"/>
            </w:tcBorders>
            <w:shd w:val="clear" w:color="auto" w:fill="auto"/>
            <w:noWrap/>
            <w:vAlign w:val="center"/>
            <w:hideMark/>
          </w:tcPr>
          <w:p w14:paraId="4139E9BD"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2</w:t>
            </w:r>
          </w:p>
        </w:tc>
        <w:tc>
          <w:tcPr>
            <w:tcW w:w="960" w:type="dxa"/>
            <w:tcBorders>
              <w:top w:val="nil"/>
              <w:left w:val="nil"/>
              <w:bottom w:val="single" w:sz="4" w:space="0" w:color="auto"/>
              <w:right w:val="single" w:sz="4" w:space="0" w:color="auto"/>
            </w:tcBorders>
            <w:shd w:val="clear" w:color="auto" w:fill="auto"/>
            <w:noWrap/>
            <w:vAlign w:val="center"/>
            <w:hideMark/>
          </w:tcPr>
          <w:p w14:paraId="65C8CBBA"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1</w:t>
            </w:r>
          </w:p>
        </w:tc>
      </w:tr>
      <w:tr w:rsidR="00EE2EAB" w:rsidRPr="00EE2EAB" w14:paraId="305DC8B6"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267EB0CB"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Месть</w:t>
            </w:r>
          </w:p>
        </w:tc>
        <w:tc>
          <w:tcPr>
            <w:tcW w:w="960" w:type="dxa"/>
            <w:tcBorders>
              <w:top w:val="nil"/>
              <w:left w:val="nil"/>
              <w:bottom w:val="single" w:sz="4" w:space="0" w:color="auto"/>
              <w:right w:val="single" w:sz="4" w:space="0" w:color="auto"/>
            </w:tcBorders>
            <w:shd w:val="clear" w:color="auto" w:fill="auto"/>
            <w:noWrap/>
            <w:vAlign w:val="center"/>
            <w:hideMark/>
          </w:tcPr>
          <w:p w14:paraId="6551337C"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1</w:t>
            </w:r>
          </w:p>
        </w:tc>
        <w:tc>
          <w:tcPr>
            <w:tcW w:w="960" w:type="dxa"/>
            <w:tcBorders>
              <w:top w:val="nil"/>
              <w:left w:val="nil"/>
              <w:bottom w:val="single" w:sz="4" w:space="0" w:color="auto"/>
              <w:right w:val="single" w:sz="4" w:space="0" w:color="auto"/>
            </w:tcBorders>
            <w:shd w:val="clear" w:color="auto" w:fill="auto"/>
            <w:noWrap/>
            <w:vAlign w:val="center"/>
            <w:hideMark/>
          </w:tcPr>
          <w:p w14:paraId="773110C8"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1</w:t>
            </w:r>
          </w:p>
        </w:tc>
      </w:tr>
      <w:tr w:rsidR="00EE2EAB" w:rsidRPr="00EE2EAB" w14:paraId="78406FC5"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18E9B1EE"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Сексуальные домогательства</w:t>
            </w:r>
          </w:p>
        </w:tc>
        <w:tc>
          <w:tcPr>
            <w:tcW w:w="960" w:type="dxa"/>
            <w:tcBorders>
              <w:top w:val="nil"/>
              <w:left w:val="nil"/>
              <w:bottom w:val="single" w:sz="4" w:space="0" w:color="auto"/>
              <w:right w:val="single" w:sz="4" w:space="0" w:color="auto"/>
            </w:tcBorders>
            <w:shd w:val="clear" w:color="auto" w:fill="auto"/>
            <w:noWrap/>
            <w:vAlign w:val="center"/>
            <w:hideMark/>
          </w:tcPr>
          <w:p w14:paraId="585BB9B2"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1</w:t>
            </w:r>
          </w:p>
        </w:tc>
        <w:tc>
          <w:tcPr>
            <w:tcW w:w="960" w:type="dxa"/>
            <w:tcBorders>
              <w:top w:val="nil"/>
              <w:left w:val="nil"/>
              <w:bottom w:val="single" w:sz="4" w:space="0" w:color="auto"/>
              <w:right w:val="single" w:sz="4" w:space="0" w:color="auto"/>
            </w:tcBorders>
            <w:shd w:val="clear" w:color="auto" w:fill="auto"/>
            <w:noWrap/>
            <w:vAlign w:val="center"/>
            <w:hideMark/>
          </w:tcPr>
          <w:p w14:paraId="51EFD162"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0</w:t>
            </w:r>
          </w:p>
        </w:tc>
      </w:tr>
      <w:tr w:rsidR="00EE2EAB" w:rsidRPr="00EE2EAB" w14:paraId="7B980200"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5B0CCA3B" w14:textId="77777777" w:rsidR="00EE2EAB" w:rsidRPr="00EE2EAB" w:rsidRDefault="00EE2EAB" w:rsidP="00EE2EAB">
            <w:pPr>
              <w:rPr>
                <w:rFonts w:eastAsia="Times New Roman"/>
                <w:color w:val="000000"/>
                <w:szCs w:val="22"/>
                <w:lang w:eastAsia="en-US"/>
              </w:rPr>
            </w:pPr>
            <w:r w:rsidRPr="00EE2EAB">
              <w:rPr>
                <w:rFonts w:eastAsia="Times New Roman"/>
                <w:color w:val="000000"/>
                <w:szCs w:val="22"/>
                <w:lang w:eastAsia="en-US"/>
              </w:rPr>
              <w:t>Правонарушения поставщиков или других сторонних организаций</w:t>
            </w:r>
          </w:p>
        </w:tc>
        <w:tc>
          <w:tcPr>
            <w:tcW w:w="960" w:type="dxa"/>
            <w:tcBorders>
              <w:top w:val="nil"/>
              <w:left w:val="nil"/>
              <w:bottom w:val="single" w:sz="4" w:space="0" w:color="auto"/>
              <w:right w:val="single" w:sz="4" w:space="0" w:color="auto"/>
            </w:tcBorders>
            <w:shd w:val="clear" w:color="auto" w:fill="auto"/>
            <w:noWrap/>
            <w:vAlign w:val="center"/>
            <w:hideMark/>
          </w:tcPr>
          <w:p w14:paraId="14B72868"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1</w:t>
            </w:r>
          </w:p>
        </w:tc>
        <w:tc>
          <w:tcPr>
            <w:tcW w:w="960" w:type="dxa"/>
            <w:tcBorders>
              <w:top w:val="nil"/>
              <w:left w:val="nil"/>
              <w:bottom w:val="single" w:sz="4" w:space="0" w:color="auto"/>
              <w:right w:val="single" w:sz="4" w:space="0" w:color="auto"/>
            </w:tcBorders>
            <w:shd w:val="clear" w:color="auto" w:fill="auto"/>
            <w:noWrap/>
            <w:vAlign w:val="center"/>
            <w:hideMark/>
          </w:tcPr>
          <w:p w14:paraId="5195D1A2" w14:textId="77777777" w:rsidR="00EE2EAB" w:rsidRPr="00EE2EAB" w:rsidRDefault="00EE2EAB" w:rsidP="00EE2EAB">
            <w:pPr>
              <w:jc w:val="right"/>
              <w:rPr>
                <w:rFonts w:eastAsia="Times New Roman"/>
                <w:color w:val="000000"/>
                <w:szCs w:val="22"/>
                <w:lang w:val="en-US" w:eastAsia="en-US"/>
              </w:rPr>
            </w:pPr>
            <w:r w:rsidRPr="00EE2EAB">
              <w:rPr>
                <w:rFonts w:eastAsia="Times New Roman"/>
                <w:color w:val="000000"/>
                <w:szCs w:val="22"/>
                <w:lang w:val="en-US" w:eastAsia="en-US"/>
              </w:rPr>
              <w:t>2</w:t>
            </w:r>
          </w:p>
        </w:tc>
      </w:tr>
      <w:tr w:rsidR="00EE2EAB" w:rsidRPr="00EE2EAB" w14:paraId="2E23496C" w14:textId="77777777" w:rsidTr="00EE2EAB">
        <w:trPr>
          <w:trHeight w:val="300"/>
        </w:trPr>
        <w:tc>
          <w:tcPr>
            <w:tcW w:w="7660" w:type="dxa"/>
            <w:tcBorders>
              <w:top w:val="nil"/>
              <w:left w:val="single" w:sz="4" w:space="0" w:color="auto"/>
              <w:bottom w:val="single" w:sz="4" w:space="0" w:color="auto"/>
              <w:right w:val="single" w:sz="4" w:space="0" w:color="auto"/>
            </w:tcBorders>
            <w:shd w:val="clear" w:color="auto" w:fill="auto"/>
            <w:noWrap/>
            <w:vAlign w:val="center"/>
            <w:hideMark/>
          </w:tcPr>
          <w:p w14:paraId="1191A527" w14:textId="77777777" w:rsidR="00EE2EAB" w:rsidRPr="00EE2EAB" w:rsidRDefault="00EE2EAB" w:rsidP="00EE2EAB">
            <w:pPr>
              <w:rPr>
                <w:rFonts w:eastAsia="Times New Roman"/>
                <w:b/>
                <w:bCs/>
                <w:color w:val="000000"/>
                <w:szCs w:val="22"/>
                <w:lang w:eastAsia="en-US"/>
              </w:rPr>
            </w:pPr>
            <w:r w:rsidRPr="00EE2EAB">
              <w:rPr>
                <w:rFonts w:eastAsia="Times New Roman"/>
                <w:b/>
                <w:bCs/>
                <w:color w:val="000000"/>
                <w:szCs w:val="22"/>
                <w:lang w:eastAsia="en-US"/>
              </w:rPr>
              <w:t>Итого</w:t>
            </w:r>
          </w:p>
        </w:tc>
        <w:tc>
          <w:tcPr>
            <w:tcW w:w="960" w:type="dxa"/>
            <w:tcBorders>
              <w:top w:val="nil"/>
              <w:left w:val="nil"/>
              <w:bottom w:val="single" w:sz="4" w:space="0" w:color="auto"/>
              <w:right w:val="single" w:sz="4" w:space="0" w:color="auto"/>
            </w:tcBorders>
            <w:shd w:val="clear" w:color="auto" w:fill="auto"/>
            <w:noWrap/>
            <w:vAlign w:val="center"/>
            <w:hideMark/>
          </w:tcPr>
          <w:p w14:paraId="1B79730E" w14:textId="77777777" w:rsidR="00EE2EAB" w:rsidRPr="00EE2EAB" w:rsidRDefault="00EE2EAB" w:rsidP="00EE2EAB">
            <w:pPr>
              <w:jc w:val="right"/>
              <w:rPr>
                <w:rFonts w:eastAsia="Times New Roman"/>
                <w:b/>
                <w:bCs/>
                <w:color w:val="000000"/>
                <w:szCs w:val="22"/>
                <w:lang w:val="en-US" w:eastAsia="en-US"/>
              </w:rPr>
            </w:pPr>
            <w:r w:rsidRPr="00EE2EAB">
              <w:rPr>
                <w:rFonts w:eastAsia="Times New Roman"/>
                <w:b/>
                <w:bCs/>
                <w:color w:val="000000"/>
                <w:szCs w:val="22"/>
                <w:lang w:val="en-US" w:eastAsia="en-US"/>
              </w:rPr>
              <w:t>21</w:t>
            </w:r>
          </w:p>
        </w:tc>
        <w:tc>
          <w:tcPr>
            <w:tcW w:w="960" w:type="dxa"/>
            <w:tcBorders>
              <w:top w:val="nil"/>
              <w:left w:val="nil"/>
              <w:bottom w:val="single" w:sz="4" w:space="0" w:color="auto"/>
              <w:right w:val="single" w:sz="4" w:space="0" w:color="auto"/>
            </w:tcBorders>
            <w:shd w:val="clear" w:color="auto" w:fill="auto"/>
            <w:noWrap/>
            <w:vAlign w:val="center"/>
            <w:hideMark/>
          </w:tcPr>
          <w:p w14:paraId="1D3FA82B" w14:textId="77777777" w:rsidR="00EE2EAB" w:rsidRPr="00EE2EAB" w:rsidRDefault="00EE2EAB" w:rsidP="00EE2EAB">
            <w:pPr>
              <w:jc w:val="right"/>
              <w:rPr>
                <w:rFonts w:eastAsia="Times New Roman"/>
                <w:b/>
                <w:bCs/>
                <w:color w:val="000000"/>
                <w:szCs w:val="22"/>
                <w:lang w:val="en-US" w:eastAsia="en-US"/>
              </w:rPr>
            </w:pPr>
            <w:r w:rsidRPr="00EE2EAB">
              <w:rPr>
                <w:rFonts w:eastAsia="Times New Roman"/>
                <w:b/>
                <w:bCs/>
                <w:color w:val="000000"/>
                <w:szCs w:val="22"/>
                <w:lang w:val="en-US" w:eastAsia="en-US"/>
              </w:rPr>
              <w:t>25</w:t>
            </w:r>
          </w:p>
        </w:tc>
      </w:tr>
    </w:tbl>
    <w:p w14:paraId="4B4D0EF5" w14:textId="2E0B4564" w:rsidR="00B0338B" w:rsidRPr="00C61062" w:rsidRDefault="00B0338B" w:rsidP="002C4C35">
      <w:pPr>
        <w:tabs>
          <w:tab w:val="left" w:pos="2820"/>
        </w:tabs>
        <w:jc w:val="center"/>
      </w:pPr>
    </w:p>
    <w:p w14:paraId="65732E6B" w14:textId="77777777" w:rsidR="003038D9" w:rsidRDefault="003038D9" w:rsidP="00C46B12">
      <w:pPr>
        <w:pStyle w:val="ONUME"/>
        <w:keepNext/>
        <w:numPr>
          <w:ilvl w:val="0"/>
          <w:numId w:val="0"/>
        </w:numPr>
        <w:jc w:val="center"/>
        <w:rPr>
          <w:b/>
          <w:sz w:val="18"/>
          <w:szCs w:val="18"/>
        </w:rPr>
      </w:pPr>
    </w:p>
    <w:p w14:paraId="0EC8B363" w14:textId="75A1F0D5" w:rsidR="00C43CB4" w:rsidRDefault="00C46B12" w:rsidP="00C43CB4">
      <w:pPr>
        <w:pStyle w:val="ONUME"/>
        <w:keepNext/>
        <w:numPr>
          <w:ilvl w:val="0"/>
          <w:numId w:val="0"/>
        </w:numPr>
        <w:jc w:val="center"/>
        <w:rPr>
          <w:b/>
          <w:sz w:val="18"/>
          <w:szCs w:val="18"/>
        </w:rPr>
      </w:pPr>
      <w:r>
        <w:rPr>
          <w:b/>
          <w:sz w:val="18"/>
        </w:rPr>
        <w:t>Диаграмма 2. Дела, закрытые в 2020 и 2021 гг.</w:t>
      </w:r>
    </w:p>
    <w:p w14:paraId="5347EE03" w14:textId="5E20586C" w:rsidR="00B0338B" w:rsidRDefault="00E111F1" w:rsidP="00C43CB4">
      <w:pPr>
        <w:pStyle w:val="ONUME"/>
        <w:keepNext/>
        <w:numPr>
          <w:ilvl w:val="0"/>
          <w:numId w:val="0"/>
        </w:numPr>
        <w:jc w:val="center"/>
        <w:rPr>
          <w:b/>
          <w:sz w:val="18"/>
          <w:szCs w:val="18"/>
        </w:rPr>
      </w:pPr>
      <w:r>
        <w:rPr>
          <w:noProof/>
          <w:lang w:val="en-US" w:eastAsia="en-US"/>
        </w:rPr>
        <w:drawing>
          <wp:inline distT="0" distB="0" distL="0" distR="0" wp14:anchorId="19ED1E73" wp14:editId="2A23DD70">
            <wp:extent cx="4876800" cy="2743200"/>
            <wp:effectExtent l="0" t="0" r="0" b="0"/>
            <wp:docPr id="16" name="Chart 16" descr="Дела, закрытые в 2020 и 2021 гг." titl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96A1C0" w14:textId="38682AB9" w:rsidR="003038D9" w:rsidRDefault="003038D9" w:rsidP="00C43CB4">
      <w:pPr>
        <w:pStyle w:val="ONUME"/>
        <w:keepNext/>
        <w:numPr>
          <w:ilvl w:val="0"/>
          <w:numId w:val="0"/>
        </w:numPr>
        <w:jc w:val="center"/>
      </w:pPr>
    </w:p>
    <w:p w14:paraId="61C812D9" w14:textId="77777777" w:rsidR="00C46B12" w:rsidRPr="00DA5DBB" w:rsidRDefault="00C46B12" w:rsidP="00C46B12">
      <w:pPr>
        <w:pStyle w:val="Heading1"/>
      </w:pPr>
      <w:bookmarkStart w:id="38" w:name="_Toc39071250"/>
      <w:bookmarkStart w:id="39" w:name="_Toc98252892"/>
      <w:r>
        <w:t>СЛУЧАИ ОТКАЗА В ПРЕДОСТАВЛЕНИИ ИНФОРМАЦИИ ИЛИ ОКАЗАНИИ ПОДДЕРЖКИ</w:t>
      </w:r>
      <w:bookmarkEnd w:id="38"/>
      <w:bookmarkEnd w:id="39"/>
    </w:p>
    <w:p w14:paraId="5387EF57" w14:textId="2B80D347" w:rsidR="00C46B12" w:rsidRDefault="00C46B12" w:rsidP="002C23BF">
      <w:pPr>
        <w:pStyle w:val="ONUME"/>
      </w:pPr>
      <w:r>
        <w:t>Согласно пункту 48 (g) УВН директор ОВН должен сообщать о всех имевших место в отчетный период случаях,</w:t>
      </w:r>
      <w:r w:rsidR="009302F2">
        <w:t xml:space="preserve"> </w:t>
      </w:r>
      <w:r>
        <w:t>когда доступ ОВН к архивам, сотрудникам и помещениям был ограничен.</w:t>
      </w:r>
    </w:p>
    <w:p w14:paraId="20F5B4A6" w14:textId="3E6B68E9" w:rsidR="00C84D33" w:rsidRDefault="00C46B12" w:rsidP="002C23BF">
      <w:pPr>
        <w:pStyle w:val="ONUME"/>
      </w:pPr>
      <w:r>
        <w:t xml:space="preserve">ОВН уведомляет, что в течение отчетного периода </w:t>
      </w:r>
      <w:r w:rsidR="002D2DA5">
        <w:t>не отмечалось случаев, предусмотренных в пункте 48(</w:t>
      </w:r>
      <w:r w:rsidR="002D2DA5">
        <w:rPr>
          <w:lang w:val="en-US"/>
        </w:rPr>
        <w:t>g</w:t>
      </w:r>
      <w:r w:rsidR="002D2DA5">
        <w:t xml:space="preserve">) УВН. </w:t>
      </w:r>
    </w:p>
    <w:p w14:paraId="0D200831" w14:textId="77777777" w:rsidR="00C46B12" w:rsidRPr="00EF631C" w:rsidRDefault="00C46B12" w:rsidP="00C46B12">
      <w:pPr>
        <w:pStyle w:val="Heading1"/>
      </w:pPr>
      <w:bookmarkStart w:id="40" w:name="_Toc39071251"/>
      <w:bookmarkStart w:id="41" w:name="_Toc98252893"/>
      <w:r>
        <w:t>ВЫПОЛНЕНИЕ РЕКОМЕНДАЦИЙ В ОБЛАСТИ ВНУТРЕННЕГО НАДЗОРА</w:t>
      </w:r>
      <w:bookmarkEnd w:id="36"/>
      <w:bookmarkEnd w:id="40"/>
      <w:bookmarkEnd w:id="41"/>
    </w:p>
    <w:p w14:paraId="20E70902" w14:textId="73A6FC34" w:rsidR="00C46B12" w:rsidRPr="004B2173" w:rsidRDefault="00C46B12" w:rsidP="002C23BF">
      <w:pPr>
        <w:pStyle w:val="ONUME"/>
      </w:pPr>
      <w:r>
        <w:t>Генеральный директор несет ответственность за обеспечение оперативного выполнения всех рекомендаций, представленных директором ОВН и другими надзорными органами, с указанием мер, принятых руководством в связи с конкретными выводами и рекомендациями</w:t>
      </w:r>
      <w:r w:rsidRPr="00E04B15">
        <w:rPr>
          <w:rStyle w:val="FootnoteReference"/>
        </w:rPr>
        <w:footnoteReference w:id="15"/>
      </w:r>
      <w:r w:rsidR="00E7405F">
        <w:t>.</w:t>
      </w:r>
      <w:r>
        <w:t xml:space="preserve"> Генеральный директор выполняет эту обязанность через руководителей программ, которые отвечают за конкретные направления оперативной деятельности Организации</w:t>
      </w:r>
      <w:r w:rsidRPr="00E04B15">
        <w:rPr>
          <w:rStyle w:val="FootnoteReference"/>
        </w:rPr>
        <w:footnoteReference w:id="16"/>
      </w:r>
      <w:r w:rsidR="00E7405F">
        <w:t>.</w:t>
      </w:r>
      <w:r>
        <w:t xml:space="preserve"> ОВН регулярно проверяет ход выполнения всех</w:t>
      </w:r>
      <w:r w:rsidR="002F43F7">
        <w:t xml:space="preserve"> рекомендаций надзорных органов</w:t>
      </w:r>
      <w:r w:rsidRPr="00E04B15">
        <w:rPr>
          <w:rStyle w:val="FootnoteReference"/>
        </w:rPr>
        <w:footnoteReference w:id="17"/>
      </w:r>
      <w:r>
        <w:t>.</w:t>
      </w:r>
    </w:p>
    <w:p w14:paraId="5A5156F6" w14:textId="5268AD11" w:rsidR="00C46B12" w:rsidRDefault="00C46B12" w:rsidP="002C23BF">
      <w:pPr>
        <w:pStyle w:val="ONUME"/>
      </w:pPr>
      <w:r>
        <w:t xml:space="preserve">ОВН контролирует выполнение рекомендаций и отчитывается о проделанной работе с помощью системы </w:t>
      </w:r>
      <w:r w:rsidR="00E559A4" w:rsidRPr="004B2173">
        <w:t>Team</w:t>
      </w:r>
      <w:r w:rsidR="00E559A4">
        <w:t>Mate+</w:t>
      </w:r>
      <w:r w:rsidR="00E559A4" w:rsidRPr="000B53FC">
        <w:rPr>
          <w:vertAlign w:val="superscript"/>
        </w:rPr>
        <w:t>TM</w:t>
      </w:r>
      <w:r>
        <w:t>, которая позволяет вести интерактивный диалог с руководством для обеспечения эффективного контроля осуществле</w:t>
      </w:r>
      <w:r w:rsidR="00E7405F">
        <w:t>ния невыполненных рекомендаций.</w:t>
      </w:r>
    </w:p>
    <w:p w14:paraId="7D81EEE9" w14:textId="7C64A1EE" w:rsidR="008460BA" w:rsidRDefault="00C46B12" w:rsidP="002C23BF">
      <w:pPr>
        <w:pStyle w:val="ONUME"/>
      </w:pPr>
      <w:r>
        <w:t>На дату составления настоящего отчета насчитывается 125 невыполненных рекомендаций, в том числе 40 рекомендаций с высокой степенью пр</w:t>
      </w:r>
      <w:r w:rsidR="00E7405F">
        <w:t>иоритетности и 85 — со средней.</w:t>
      </w:r>
      <w:r>
        <w:t xml:space="preserve"> Рекомендации ОВН составляют 82 процента всех невыполненных рекомендаций надзорных органов.</w:t>
      </w:r>
    </w:p>
    <w:p w14:paraId="5D6BBEC6" w14:textId="77777777" w:rsidR="00784854" w:rsidRDefault="00784854" w:rsidP="00C43CB4">
      <w:pPr>
        <w:jc w:val="center"/>
        <w:rPr>
          <w:b/>
          <w:sz w:val="18"/>
        </w:rPr>
      </w:pPr>
    </w:p>
    <w:p w14:paraId="5E216C05" w14:textId="77777777" w:rsidR="006625D8" w:rsidRDefault="006625D8" w:rsidP="00C43CB4">
      <w:pPr>
        <w:jc w:val="center"/>
        <w:rPr>
          <w:b/>
          <w:sz w:val="18"/>
        </w:rPr>
      </w:pPr>
    </w:p>
    <w:p w14:paraId="7CB74EC9" w14:textId="75266C9B" w:rsidR="00C46B12" w:rsidRDefault="00C46B12" w:rsidP="00C43CB4">
      <w:pPr>
        <w:jc w:val="center"/>
        <w:rPr>
          <w:b/>
          <w:sz w:val="18"/>
          <w:szCs w:val="18"/>
        </w:rPr>
      </w:pPr>
      <w:r>
        <w:rPr>
          <w:b/>
          <w:sz w:val="18"/>
        </w:rPr>
        <w:lastRenderedPageBreak/>
        <w:t>Диаграмма 3. Невыполненные рекомендации в разбивке по источникам и приоритетности (125)</w:t>
      </w:r>
    </w:p>
    <w:p w14:paraId="1F5675D3" w14:textId="77777777" w:rsidR="000C5D71" w:rsidRDefault="000C5D71" w:rsidP="00C43CB4">
      <w:pPr>
        <w:jc w:val="center"/>
        <w:rPr>
          <w:b/>
          <w:sz w:val="18"/>
          <w:szCs w:val="18"/>
        </w:rPr>
      </w:pPr>
    </w:p>
    <w:p w14:paraId="52F2DC6B" w14:textId="47303C93" w:rsidR="000C5D71" w:rsidRPr="001D1177" w:rsidRDefault="000C5D71" w:rsidP="00C43CB4">
      <w:pPr>
        <w:jc w:val="center"/>
        <w:rPr>
          <w:b/>
          <w:sz w:val="18"/>
        </w:rPr>
      </w:pPr>
    </w:p>
    <w:p w14:paraId="49FEDAA0" w14:textId="6BD812E1" w:rsidR="00690ABA" w:rsidRPr="00E957EC" w:rsidRDefault="00012F14" w:rsidP="00690ABA">
      <w:pPr>
        <w:jc w:val="center"/>
      </w:pPr>
      <w:r>
        <w:rPr>
          <w:noProof/>
          <w:lang w:val="en-US" w:eastAsia="en-US"/>
        </w:rPr>
        <w:drawing>
          <wp:inline distT="0" distB="0" distL="0" distR="0" wp14:anchorId="5B594144" wp14:editId="450D5368">
            <wp:extent cx="4619625" cy="3286125"/>
            <wp:effectExtent l="0" t="0" r="9525" b="9525"/>
            <wp:docPr id="3" name="Chart 3" descr="Невыполненные рекомендации по источникам и приоритетности " titl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115F93A" w14:textId="77777777" w:rsidR="00C46B12" w:rsidRDefault="00A94048" w:rsidP="009D5455">
      <w:pPr>
        <w:pStyle w:val="ONUME"/>
        <w:numPr>
          <w:ilvl w:val="0"/>
          <w:numId w:val="0"/>
        </w:numPr>
        <w:jc w:val="center"/>
      </w:pPr>
      <w:r>
        <w:t xml:space="preserve"> </w:t>
      </w:r>
    </w:p>
    <w:p w14:paraId="5306FC63" w14:textId="5F1838CE" w:rsidR="009D5455" w:rsidRDefault="001952B7" w:rsidP="00C84D33">
      <w:pPr>
        <w:pStyle w:val="ONUME"/>
      </w:pPr>
      <w:r>
        <w:t>В период с января по декабрь 2021 г. было добавлено 38 новых рекомендации ОВН на основании четырех отчетов об аудиторских проверках, четырех отчето</w:t>
      </w:r>
      <w:r w:rsidR="00E7405F">
        <w:t>в по итогам оценки и двух ОРРР.</w:t>
      </w:r>
      <w:r>
        <w:t xml:space="preserve"> По состоянию на конец отчетного периода оставалась невыполненной одна рекомендация</w:t>
      </w:r>
      <w:r w:rsidR="0039651E" w:rsidRPr="00CA33F3">
        <w:rPr>
          <w:rStyle w:val="FootnoteReference"/>
        </w:rPr>
        <w:footnoteReference w:id="18"/>
      </w:r>
      <w:r>
        <w:t>, направленн</w:t>
      </w:r>
      <w:r w:rsidR="00E7405F">
        <w:t>ая НККН Бюро по вопросам этики.</w:t>
      </w:r>
      <w:r>
        <w:t xml:space="preserve"> Эта рекомендация будет рассмотрена главным</w:t>
      </w:r>
      <w:r w:rsidR="00E7405F">
        <w:t xml:space="preserve"> сотрудником по вопросам этики.</w:t>
      </w:r>
    </w:p>
    <w:p w14:paraId="4E0D4565" w14:textId="548434E5" w:rsidR="00C84D33" w:rsidRPr="0031505E" w:rsidRDefault="000C5D71" w:rsidP="00C84D33">
      <w:pPr>
        <w:pStyle w:val="ONUME"/>
      </w:pPr>
      <w:r>
        <w:t>В течение 2021 г. в систему управления рекомендациями были добавлены одиннадцать рекомендац</w:t>
      </w:r>
      <w:r w:rsidR="00E7405F">
        <w:t>ий из отчета внешн</w:t>
      </w:r>
      <w:r w:rsidR="000D7CF0">
        <w:t>его</w:t>
      </w:r>
      <w:r w:rsidR="00E7405F">
        <w:t xml:space="preserve"> аудитор</w:t>
      </w:r>
      <w:r w:rsidR="000D7CF0">
        <w:t>а</w:t>
      </w:r>
      <w:r w:rsidR="00E7405F">
        <w:t>.</w:t>
      </w:r>
      <w:r>
        <w:t xml:space="preserve"> За отчетный период были закрыты девять рекомендаций внешнег</w:t>
      </w:r>
      <w:r w:rsidR="00E7405F">
        <w:t>о аудита и 18 рекомендаций ОВН.</w:t>
      </w:r>
      <w:r>
        <w:t xml:space="preserve"> В таблице 2 ниже показана динамика рекомендаций в разбивке по источникам за пер</w:t>
      </w:r>
      <w:r w:rsidR="00E7405F">
        <w:t>иод с января по декабрь 2020 г.</w:t>
      </w:r>
    </w:p>
    <w:p w14:paraId="6E2C0EF4" w14:textId="2ED5BF86" w:rsidR="00C46B12" w:rsidRDefault="00C46B12" w:rsidP="00C46B12">
      <w:pPr>
        <w:pStyle w:val="ONUME"/>
        <w:keepNext/>
        <w:numPr>
          <w:ilvl w:val="0"/>
          <w:numId w:val="0"/>
        </w:numPr>
        <w:jc w:val="center"/>
        <w:rPr>
          <w:b/>
          <w:sz w:val="18"/>
          <w:szCs w:val="18"/>
        </w:rPr>
      </w:pPr>
      <w:r>
        <w:rPr>
          <w:b/>
          <w:sz w:val="18"/>
        </w:rPr>
        <w:t>Таблица 2 – Динамика рекомендаций в период с 1 января 2021 г. по 31 декабря 2021 г.</w:t>
      </w:r>
    </w:p>
    <w:tbl>
      <w:tblPr>
        <w:tblStyle w:val="GridTable4-Accent1"/>
        <w:tblW w:w="9440" w:type="dxa"/>
        <w:tblLook w:val="04A0" w:firstRow="1" w:lastRow="0" w:firstColumn="1" w:lastColumn="0" w:noHBand="0" w:noVBand="1"/>
        <w:tblCaption w:val="Таблица 2"/>
        <w:tblDescription w:val="Динамика рекомендций с 1 января по 31 декабря 2021 г."/>
      </w:tblPr>
      <w:tblGrid>
        <w:gridCol w:w="3522"/>
        <w:gridCol w:w="1592"/>
        <w:gridCol w:w="1517"/>
        <w:gridCol w:w="1461"/>
        <w:gridCol w:w="1348"/>
      </w:tblGrid>
      <w:tr w:rsidR="007E72F5" w:rsidRPr="00F620D5" w14:paraId="49F1F4FB" w14:textId="77777777" w:rsidTr="00335B35">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B46899F" w14:textId="77777777" w:rsidR="00F620D5" w:rsidRPr="00F620D5" w:rsidRDefault="00F620D5" w:rsidP="00F620D5">
            <w:pPr>
              <w:rPr>
                <w:rFonts w:eastAsia="Times New Roman"/>
                <w:b w:val="0"/>
                <w:bCs w:val="0"/>
                <w:color w:val="000000"/>
                <w:sz w:val="20"/>
              </w:rPr>
            </w:pPr>
            <w:r>
              <w:rPr>
                <w:color w:val="000000"/>
                <w:sz w:val="20"/>
              </w:rPr>
              <w:t>Источник</w:t>
            </w:r>
          </w:p>
        </w:tc>
        <w:tc>
          <w:tcPr>
            <w:tcW w:w="1592" w:type="dxa"/>
            <w:hideMark/>
          </w:tcPr>
          <w:p w14:paraId="4C1A70A7" w14:textId="77777777" w:rsidR="00F620D5" w:rsidRPr="00F620D5" w:rsidRDefault="00F620D5" w:rsidP="005C514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Pr>
            </w:pPr>
            <w:r>
              <w:rPr>
                <w:color w:val="000000"/>
                <w:sz w:val="20"/>
              </w:rPr>
              <w:t>Открыты по состоянию на 1 января 2021 г.</w:t>
            </w:r>
          </w:p>
        </w:tc>
        <w:tc>
          <w:tcPr>
            <w:tcW w:w="1517" w:type="dxa"/>
            <w:hideMark/>
          </w:tcPr>
          <w:p w14:paraId="2D6092FB" w14:textId="77777777" w:rsidR="00F620D5" w:rsidRPr="00F620D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Pr>
            </w:pPr>
            <w:r>
              <w:rPr>
                <w:color w:val="000000"/>
                <w:sz w:val="20"/>
              </w:rPr>
              <w:t>Добавлены в течение отчетного периода</w:t>
            </w:r>
          </w:p>
        </w:tc>
        <w:tc>
          <w:tcPr>
            <w:tcW w:w="1461" w:type="dxa"/>
            <w:hideMark/>
          </w:tcPr>
          <w:p w14:paraId="6CF378A1" w14:textId="77777777" w:rsidR="00F620D5" w:rsidRPr="00F620D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Pr>
            </w:pPr>
            <w:r>
              <w:rPr>
                <w:color w:val="000000"/>
                <w:sz w:val="20"/>
              </w:rPr>
              <w:t>Закрыты в течение отчетного периода</w:t>
            </w:r>
          </w:p>
        </w:tc>
        <w:tc>
          <w:tcPr>
            <w:tcW w:w="1348" w:type="dxa"/>
            <w:hideMark/>
          </w:tcPr>
          <w:p w14:paraId="5367A356" w14:textId="77777777" w:rsidR="00F620D5" w:rsidRPr="00F620D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Pr>
            </w:pPr>
            <w:r>
              <w:rPr>
                <w:color w:val="000000"/>
                <w:sz w:val="20"/>
              </w:rPr>
              <w:t>Открыты по состоянию на 31 декабря 2021 г.</w:t>
            </w:r>
          </w:p>
        </w:tc>
      </w:tr>
      <w:tr w:rsidR="00F620D5" w:rsidRPr="00F620D5" w14:paraId="4AA6F026"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25019BF" w14:textId="77777777" w:rsidR="00F620D5" w:rsidRPr="00F620D5" w:rsidRDefault="00F620D5" w:rsidP="00F620D5">
            <w:pPr>
              <w:rPr>
                <w:rFonts w:eastAsia="Times New Roman"/>
                <w:b w:val="0"/>
                <w:bCs w:val="0"/>
                <w:color w:val="000000"/>
                <w:sz w:val="20"/>
              </w:rPr>
            </w:pPr>
            <w:r>
              <w:rPr>
                <w:color w:val="000000"/>
                <w:sz w:val="20"/>
              </w:rPr>
              <w:t>ОВН</w:t>
            </w:r>
          </w:p>
        </w:tc>
        <w:tc>
          <w:tcPr>
            <w:tcW w:w="1592" w:type="dxa"/>
            <w:noWrap/>
            <w:hideMark/>
          </w:tcPr>
          <w:p w14:paraId="35F8A90D" w14:textId="77777777" w:rsidR="00F620D5" w:rsidRPr="00F620D5" w:rsidRDefault="00637E5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82</w:t>
            </w:r>
          </w:p>
        </w:tc>
        <w:tc>
          <w:tcPr>
            <w:tcW w:w="1517" w:type="dxa"/>
            <w:noWrap/>
            <w:hideMark/>
          </w:tcPr>
          <w:p w14:paraId="1F7A2A72" w14:textId="77777777" w:rsidR="00F620D5" w:rsidRPr="00F620D5" w:rsidRDefault="00637E5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38</w:t>
            </w:r>
          </w:p>
        </w:tc>
        <w:tc>
          <w:tcPr>
            <w:tcW w:w="1461" w:type="dxa"/>
            <w:noWrap/>
            <w:hideMark/>
          </w:tcPr>
          <w:p w14:paraId="2CBB1F46" w14:textId="77777777" w:rsidR="00F620D5" w:rsidRPr="00F620D5" w:rsidRDefault="00637E5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18</w:t>
            </w:r>
          </w:p>
        </w:tc>
        <w:tc>
          <w:tcPr>
            <w:tcW w:w="1348" w:type="dxa"/>
            <w:noWrap/>
            <w:hideMark/>
          </w:tcPr>
          <w:p w14:paraId="21AB7B53" w14:textId="77777777" w:rsidR="00F620D5" w:rsidRPr="00F620D5" w:rsidRDefault="00637E5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102</w:t>
            </w:r>
          </w:p>
        </w:tc>
      </w:tr>
      <w:tr w:rsidR="00F620D5" w:rsidRPr="00F620D5" w14:paraId="480F14FA"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0157C936" w14:textId="77777777" w:rsidR="00F620D5" w:rsidRPr="00F620D5" w:rsidRDefault="00F620D5" w:rsidP="00F620D5">
            <w:pPr>
              <w:rPr>
                <w:rFonts w:eastAsia="Times New Roman"/>
                <w:b w:val="0"/>
                <w:bCs w:val="0"/>
                <w:color w:val="000000"/>
                <w:sz w:val="20"/>
              </w:rPr>
            </w:pPr>
            <w:r>
              <w:rPr>
                <w:color w:val="000000"/>
                <w:sz w:val="20"/>
              </w:rPr>
              <w:t>Внешний аудитор (ВА)</w:t>
            </w:r>
          </w:p>
        </w:tc>
        <w:tc>
          <w:tcPr>
            <w:tcW w:w="1592" w:type="dxa"/>
            <w:noWrap/>
            <w:hideMark/>
          </w:tcPr>
          <w:p w14:paraId="1FCEC335" w14:textId="77777777" w:rsidR="00F620D5" w:rsidRPr="00F620D5" w:rsidRDefault="00637E5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20</w:t>
            </w:r>
          </w:p>
        </w:tc>
        <w:tc>
          <w:tcPr>
            <w:tcW w:w="1517" w:type="dxa"/>
            <w:noWrap/>
            <w:hideMark/>
          </w:tcPr>
          <w:p w14:paraId="5A2390A2" w14:textId="77777777" w:rsidR="00F620D5" w:rsidRPr="00F620D5" w:rsidRDefault="00637E5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11</w:t>
            </w:r>
          </w:p>
        </w:tc>
        <w:tc>
          <w:tcPr>
            <w:tcW w:w="1461" w:type="dxa"/>
            <w:noWrap/>
            <w:hideMark/>
          </w:tcPr>
          <w:p w14:paraId="21708E07" w14:textId="77777777" w:rsidR="00F620D5" w:rsidRPr="00F620D5" w:rsidRDefault="005C514B"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9</w:t>
            </w:r>
          </w:p>
        </w:tc>
        <w:tc>
          <w:tcPr>
            <w:tcW w:w="1348" w:type="dxa"/>
            <w:noWrap/>
            <w:hideMark/>
          </w:tcPr>
          <w:p w14:paraId="76056560" w14:textId="77777777" w:rsidR="00F620D5" w:rsidRPr="00F620D5" w:rsidRDefault="00637E5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22</w:t>
            </w:r>
          </w:p>
        </w:tc>
      </w:tr>
      <w:tr w:rsidR="00F620D5" w:rsidRPr="00F620D5" w14:paraId="615F82F5"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05A49377" w14:textId="77777777" w:rsidR="00F620D5" w:rsidRPr="00F620D5" w:rsidRDefault="00F620D5" w:rsidP="00F620D5">
            <w:pPr>
              <w:rPr>
                <w:rFonts w:eastAsia="Times New Roman"/>
                <w:b w:val="0"/>
                <w:bCs w:val="0"/>
                <w:color w:val="000000"/>
                <w:sz w:val="20"/>
              </w:rPr>
            </w:pPr>
            <w:r>
              <w:rPr>
                <w:color w:val="000000"/>
                <w:sz w:val="20"/>
              </w:rPr>
              <w:t>НККН</w:t>
            </w:r>
          </w:p>
        </w:tc>
        <w:tc>
          <w:tcPr>
            <w:tcW w:w="1592" w:type="dxa"/>
            <w:noWrap/>
            <w:hideMark/>
          </w:tcPr>
          <w:p w14:paraId="15B9EB23" w14:textId="77777777"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w:t>
            </w:r>
          </w:p>
        </w:tc>
        <w:tc>
          <w:tcPr>
            <w:tcW w:w="1517" w:type="dxa"/>
            <w:noWrap/>
            <w:hideMark/>
          </w:tcPr>
          <w:p w14:paraId="187E6C51" w14:textId="77777777" w:rsidR="00F620D5" w:rsidRPr="00F620D5" w:rsidRDefault="00F620D5"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0</w:t>
            </w:r>
          </w:p>
        </w:tc>
        <w:tc>
          <w:tcPr>
            <w:tcW w:w="1461" w:type="dxa"/>
            <w:noWrap/>
            <w:hideMark/>
          </w:tcPr>
          <w:p w14:paraId="450E27A8" w14:textId="77777777" w:rsidR="00F620D5" w:rsidRPr="00F620D5" w:rsidRDefault="00ED0F4C"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0</w:t>
            </w:r>
          </w:p>
        </w:tc>
        <w:tc>
          <w:tcPr>
            <w:tcW w:w="1348" w:type="dxa"/>
            <w:noWrap/>
            <w:hideMark/>
          </w:tcPr>
          <w:p w14:paraId="4B1435C4" w14:textId="77777777" w:rsidR="00F620D5" w:rsidRPr="00F620D5" w:rsidRDefault="00F620D5"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w:t>
            </w:r>
          </w:p>
        </w:tc>
      </w:tr>
      <w:tr w:rsidR="00F620D5" w:rsidRPr="00F620D5" w14:paraId="23B0F585"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82FDA48" w14:textId="77777777" w:rsidR="00F620D5" w:rsidRPr="00F620D5" w:rsidRDefault="00F620D5" w:rsidP="00F620D5">
            <w:pPr>
              <w:rPr>
                <w:rFonts w:eastAsia="Times New Roman"/>
                <w:b w:val="0"/>
                <w:bCs w:val="0"/>
                <w:color w:val="000000"/>
                <w:sz w:val="20"/>
              </w:rPr>
            </w:pPr>
            <w:r>
              <w:rPr>
                <w:color w:val="000000"/>
                <w:sz w:val="20"/>
              </w:rPr>
              <w:t>Итого</w:t>
            </w:r>
          </w:p>
        </w:tc>
        <w:tc>
          <w:tcPr>
            <w:tcW w:w="1592" w:type="dxa"/>
            <w:noWrap/>
            <w:hideMark/>
          </w:tcPr>
          <w:p w14:paraId="4ED5B780" w14:textId="77777777" w:rsidR="00F620D5" w:rsidRPr="00F620D5" w:rsidRDefault="00637E5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Pr>
            </w:pPr>
            <w:r>
              <w:rPr>
                <w:b/>
                <w:color w:val="000000"/>
                <w:sz w:val="20"/>
              </w:rPr>
              <w:t>103</w:t>
            </w:r>
          </w:p>
        </w:tc>
        <w:tc>
          <w:tcPr>
            <w:tcW w:w="1517" w:type="dxa"/>
            <w:noWrap/>
            <w:hideMark/>
          </w:tcPr>
          <w:p w14:paraId="77ED7DF1" w14:textId="77777777" w:rsidR="00F620D5" w:rsidRPr="00F620D5" w:rsidRDefault="00637E5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Pr>
            </w:pPr>
            <w:r>
              <w:rPr>
                <w:b/>
                <w:color w:val="000000"/>
                <w:sz w:val="20"/>
              </w:rPr>
              <w:t>49</w:t>
            </w:r>
          </w:p>
        </w:tc>
        <w:tc>
          <w:tcPr>
            <w:tcW w:w="1461" w:type="dxa"/>
            <w:noWrap/>
            <w:hideMark/>
          </w:tcPr>
          <w:p w14:paraId="6D057B96" w14:textId="77777777" w:rsidR="00F620D5" w:rsidRPr="00F620D5" w:rsidRDefault="00637E53"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Pr>
            </w:pPr>
            <w:r>
              <w:rPr>
                <w:b/>
                <w:color w:val="000000"/>
                <w:sz w:val="20"/>
              </w:rPr>
              <w:t>27</w:t>
            </w:r>
          </w:p>
        </w:tc>
        <w:tc>
          <w:tcPr>
            <w:tcW w:w="1348" w:type="dxa"/>
            <w:noWrap/>
            <w:hideMark/>
          </w:tcPr>
          <w:p w14:paraId="06631F35" w14:textId="21047F0F" w:rsidR="00F620D5" w:rsidRPr="00F620D5" w:rsidRDefault="00ED0F4C" w:rsidP="004B3A9F">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rPr>
            </w:pPr>
            <w:r>
              <w:rPr>
                <w:b/>
                <w:color w:val="000000"/>
                <w:sz w:val="20"/>
              </w:rPr>
              <w:t>1</w:t>
            </w:r>
            <w:r w:rsidR="004B3A9F">
              <w:rPr>
                <w:b/>
                <w:color w:val="000000"/>
                <w:sz w:val="20"/>
              </w:rPr>
              <w:t>25</w:t>
            </w:r>
          </w:p>
        </w:tc>
      </w:tr>
    </w:tbl>
    <w:p w14:paraId="56C7AACF" w14:textId="77777777" w:rsidR="008460BA" w:rsidRDefault="008460BA"/>
    <w:p w14:paraId="44F0A995" w14:textId="1C3B220F" w:rsidR="00C46B12" w:rsidRPr="0031505E" w:rsidRDefault="00C46B12" w:rsidP="002C23BF">
      <w:pPr>
        <w:pStyle w:val="ONUME"/>
      </w:pPr>
      <w:r>
        <w:t>На приводимой ниже диаграмме обобщены данные по состоянию на 31 декабря 2021 г. о том, как д</w:t>
      </w:r>
      <w:r w:rsidR="002B4981">
        <w:t>авно были открыты рекомендации.</w:t>
      </w:r>
    </w:p>
    <w:p w14:paraId="5FA67F8F" w14:textId="77777777" w:rsidR="00C46B12" w:rsidRDefault="00C46B12" w:rsidP="00C46B12">
      <w:pPr>
        <w:pStyle w:val="ONUME"/>
        <w:keepNext/>
        <w:numPr>
          <w:ilvl w:val="0"/>
          <w:numId w:val="0"/>
        </w:numPr>
        <w:spacing w:after="0"/>
        <w:jc w:val="center"/>
        <w:rPr>
          <w:b/>
          <w:sz w:val="18"/>
        </w:rPr>
      </w:pPr>
      <w:r>
        <w:rPr>
          <w:b/>
          <w:sz w:val="18"/>
        </w:rPr>
        <w:lastRenderedPageBreak/>
        <w:t>Диаграмма 4 – Давность открытых рекомендаций надзорных органов в разбивке по приоритетности (125)</w:t>
      </w:r>
    </w:p>
    <w:p w14:paraId="11788744" w14:textId="77777777" w:rsidR="00637E53" w:rsidRDefault="00637E53" w:rsidP="00C46B12">
      <w:pPr>
        <w:pStyle w:val="ONUME"/>
        <w:keepNext/>
        <w:numPr>
          <w:ilvl w:val="0"/>
          <w:numId w:val="0"/>
        </w:numPr>
        <w:spacing w:after="0"/>
        <w:jc w:val="center"/>
        <w:rPr>
          <w:b/>
          <w:sz w:val="18"/>
        </w:rPr>
      </w:pPr>
    </w:p>
    <w:p w14:paraId="57E9E7E9" w14:textId="1D0FBE26" w:rsidR="00C46B12" w:rsidRDefault="00012F14" w:rsidP="001E225B">
      <w:pPr>
        <w:pStyle w:val="ONUME"/>
        <w:keepNext/>
        <w:numPr>
          <w:ilvl w:val="0"/>
          <w:numId w:val="0"/>
        </w:numPr>
        <w:spacing w:after="0"/>
        <w:jc w:val="center"/>
        <w:rPr>
          <w:b/>
          <w:sz w:val="18"/>
          <w:szCs w:val="18"/>
        </w:rPr>
      </w:pPr>
      <w:r>
        <w:rPr>
          <w:noProof/>
          <w:lang w:val="en-US" w:eastAsia="en-US"/>
        </w:rPr>
        <w:drawing>
          <wp:inline distT="0" distB="0" distL="0" distR="0" wp14:anchorId="7FFE783D" wp14:editId="6A6780DE">
            <wp:extent cx="4572000" cy="3114675"/>
            <wp:effectExtent l="0" t="0" r="0" b="9525"/>
            <wp:docPr id="4" name="Chart 4" descr="Давность открытых рекомендаций надзорных оргнов в разбивке по приоритетности (125)" titl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72B5ED" w14:textId="77777777" w:rsidR="00AE3A27" w:rsidRPr="001E225B" w:rsidRDefault="00AE3A27" w:rsidP="001E225B">
      <w:pPr>
        <w:pStyle w:val="ONUME"/>
        <w:keepNext/>
        <w:numPr>
          <w:ilvl w:val="0"/>
          <w:numId w:val="0"/>
        </w:numPr>
        <w:spacing w:after="0"/>
        <w:jc w:val="center"/>
        <w:rPr>
          <w:b/>
          <w:sz w:val="18"/>
          <w:szCs w:val="18"/>
        </w:rPr>
      </w:pPr>
    </w:p>
    <w:p w14:paraId="22BA2E99" w14:textId="5CE6EC5C" w:rsidR="00B23737" w:rsidRDefault="00620FF9" w:rsidP="009D5455">
      <w:pPr>
        <w:pStyle w:val="ONUME"/>
      </w:pPr>
      <w:r>
        <w:t>За отчетный период количество незакрытых рекомендаций, вынесенных с 2013 по 2</w:t>
      </w:r>
      <w:r w:rsidR="00E7405F">
        <w:t>016 гг., уменьшилось с 12 до 6.</w:t>
      </w:r>
      <w:r>
        <w:t xml:space="preserve"> Кроме того, на отчетную дату нет открытых реко</w:t>
      </w:r>
      <w:r w:rsidR="00E7405F">
        <w:t>мендаций, вынесенных до 2015 г.</w:t>
      </w:r>
      <w:r>
        <w:t xml:space="preserve"> ОВН, как и прежде, взаимодействует с руководством в целях дальнейшего сокращ</w:t>
      </w:r>
      <w:r w:rsidR="004C2326">
        <w:t>ения числа давних рекомендаций.</w:t>
      </w:r>
    </w:p>
    <w:p w14:paraId="4F5A7A76" w14:textId="56E59105" w:rsidR="00C84D33" w:rsidRDefault="00C84D33" w:rsidP="00C84D33">
      <w:pPr>
        <w:pStyle w:val="ONUME"/>
      </w:pPr>
      <w:r>
        <w:t>Ниже показано число открытых рекомендаций в разбивке по программам ВОИС</w:t>
      </w:r>
      <w:r w:rsidRPr="0031505E">
        <w:rPr>
          <w:vertAlign w:val="superscript"/>
        </w:rPr>
        <w:footnoteReference w:id="19"/>
      </w:r>
      <w:r>
        <w:t xml:space="preserve"> и по приоритетности по состоянию на 3</w:t>
      </w:r>
      <w:r w:rsidR="004C2326">
        <w:t>1 декабря 2021 г.:</w:t>
      </w:r>
    </w:p>
    <w:p w14:paraId="7D9AB901" w14:textId="77777777" w:rsidR="00D55C51" w:rsidRDefault="00C46B12" w:rsidP="001E225B">
      <w:pPr>
        <w:pStyle w:val="ONUME"/>
        <w:keepNext/>
        <w:numPr>
          <w:ilvl w:val="0"/>
          <w:numId w:val="0"/>
        </w:numPr>
        <w:spacing w:after="0"/>
        <w:jc w:val="center"/>
        <w:rPr>
          <w:b/>
          <w:sz w:val="18"/>
        </w:rPr>
      </w:pPr>
      <w:r>
        <w:rPr>
          <w:b/>
          <w:sz w:val="18"/>
        </w:rPr>
        <w:lastRenderedPageBreak/>
        <w:t>Диаграмма 5. – Рекомендации в разбивке по программам и приоритетности (125)</w:t>
      </w:r>
    </w:p>
    <w:p w14:paraId="1C09F4C2" w14:textId="3B2B0CE6" w:rsidR="00C46B12" w:rsidRDefault="00C46B12" w:rsidP="001E225B">
      <w:pPr>
        <w:pStyle w:val="ONUME"/>
        <w:keepNext/>
        <w:numPr>
          <w:ilvl w:val="0"/>
          <w:numId w:val="0"/>
        </w:numPr>
        <w:spacing w:after="0"/>
        <w:jc w:val="center"/>
        <w:rPr>
          <w:noProof/>
        </w:rPr>
      </w:pPr>
      <w:r>
        <w:t xml:space="preserve"> </w:t>
      </w:r>
    </w:p>
    <w:p w14:paraId="44FF78A3" w14:textId="78E2EE4E" w:rsidR="00097EB8" w:rsidRPr="00940A2D" w:rsidRDefault="00D55C51" w:rsidP="00C46B12">
      <w:pPr>
        <w:pStyle w:val="ONUME"/>
        <w:keepLines/>
        <w:numPr>
          <w:ilvl w:val="0"/>
          <w:numId w:val="0"/>
        </w:numPr>
        <w:spacing w:after="360"/>
        <w:jc w:val="center"/>
      </w:pPr>
      <w:r>
        <w:rPr>
          <w:noProof/>
          <w:lang w:val="en-US" w:eastAsia="en-US"/>
        </w:rPr>
        <w:drawing>
          <wp:inline distT="0" distB="0" distL="0" distR="0" wp14:anchorId="34DD2929" wp14:editId="664BAC46">
            <wp:extent cx="5940425" cy="3245485"/>
            <wp:effectExtent l="0" t="0" r="3175" b="12065"/>
            <wp:docPr id="7" name="Chart 7" descr="Рекомендации в разбивке по программам и приоритетности (125) " titl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C3EDF8" w14:textId="01CBB43D" w:rsidR="00C46B12" w:rsidRPr="0031505E" w:rsidRDefault="00A70901" w:rsidP="002C23BF">
      <w:pPr>
        <w:pStyle w:val="ONUME"/>
      </w:pPr>
      <w:r>
        <w:t>На вопросы управления людскими ресурсами и их развития (Программа 23) и управлени</w:t>
      </w:r>
      <w:r w:rsidR="00A10F7B">
        <w:t>я</w:t>
      </w:r>
      <w:r>
        <w:t xml:space="preserve"> программами и ресурсами (Программа </w:t>
      </w:r>
      <w:r w:rsidR="009302F2">
        <w:t xml:space="preserve">22) </w:t>
      </w:r>
      <w:r w:rsidR="00DD5B9E">
        <w:t xml:space="preserve">на отчетную дату в общей сложности </w:t>
      </w:r>
      <w:r w:rsidR="009302F2">
        <w:t>приходится</w:t>
      </w:r>
      <w:r>
        <w:t xml:space="preserve"> 52,5 процента от 40 высокоприоритетных рекомендаций.</w:t>
      </w:r>
    </w:p>
    <w:p w14:paraId="528CF405" w14:textId="52751B32" w:rsidR="00C46B12" w:rsidRPr="00E32ADE" w:rsidRDefault="00185F50" w:rsidP="00C46B12">
      <w:pPr>
        <w:pStyle w:val="Heading1"/>
      </w:pPr>
      <w:bookmarkStart w:id="42" w:name="_Toc39071252"/>
      <w:bookmarkStart w:id="43" w:name="_Toc98252894"/>
      <w:r>
        <w:t xml:space="preserve">КОНСУЛЬТАЦИОННАЯ И </w:t>
      </w:r>
      <w:r w:rsidR="00C46B12">
        <w:t>КОНСУЛЬТАТИВНАЯ РАБОТА ПО ВОПРОСАМ НАДЗОРА</w:t>
      </w:r>
      <w:bookmarkEnd w:id="42"/>
      <w:bookmarkEnd w:id="43"/>
    </w:p>
    <w:p w14:paraId="047A551D" w14:textId="77777777" w:rsidR="00C84D33" w:rsidRDefault="00C84D33" w:rsidP="00252695">
      <w:pPr>
        <w:pStyle w:val="ONUME"/>
      </w:pPr>
      <w:r>
        <w:t>В рамках своей работы по оказанию консультативных услуг ОВН продолжал оказывать требуемую консультативную помощь по вопросам, связанным с программными документами, проведением оценки, организационными процессами и нормативными механизмами.</w:t>
      </w:r>
    </w:p>
    <w:p w14:paraId="641FDF39" w14:textId="6AFB1C9D" w:rsidR="00AE3A27" w:rsidRDefault="00AE3A27" w:rsidP="00252695">
      <w:pPr>
        <w:pStyle w:val="ONUME"/>
      </w:pPr>
      <w:r>
        <w:t>Секции внутреннего аудита и расследований консультировали рабочую группу, созданную для пересмотра и обновления нормативной базы административных инструкций ВОИС с целью ее рационализации и приведения в соответствие, в частности, с развивающейся коммуник</w:t>
      </w:r>
      <w:r w:rsidR="00E7405F">
        <w:t>ационной культурой Организации.</w:t>
      </w:r>
    </w:p>
    <w:p w14:paraId="2681BF59" w14:textId="2675A0A0" w:rsidR="00E55C84" w:rsidRPr="00E55C84" w:rsidRDefault="00CF4270" w:rsidP="00E55C84">
      <w:pPr>
        <w:pStyle w:val="ONUME"/>
      </w:pPr>
      <w:r>
        <w:t>Секция оценки предоставляла консульт</w:t>
      </w:r>
      <w:r w:rsidR="00A10F7B">
        <w:t>ации</w:t>
      </w:r>
      <w:r>
        <w:t xml:space="preserve"> на этапе разработки </w:t>
      </w:r>
      <w:r w:rsidR="004E2876">
        <w:t xml:space="preserve">порядка внешней оценки </w:t>
      </w:r>
      <w:r w:rsidR="004E2876">
        <w:rPr>
          <w:lang w:val="en-US"/>
        </w:rPr>
        <w:t>WIPO</w:t>
      </w:r>
      <w:r w:rsidR="004E2876">
        <w:t xml:space="preserve"> Re: </w:t>
      </w:r>
      <w:r w:rsidR="00E7405F">
        <w:t>Search.</w:t>
      </w:r>
      <w:r>
        <w:t xml:space="preserve"> Это консультативное задание предусматривало обеспечени</w:t>
      </w:r>
      <w:r w:rsidR="000F1F5D">
        <w:t>е</w:t>
      </w:r>
      <w:r>
        <w:t xml:space="preserve"> технического контроля качества технического зада</w:t>
      </w:r>
      <w:r w:rsidR="004E2876">
        <w:t xml:space="preserve">ния на внешнюю оценку WIPO Re: </w:t>
      </w:r>
      <w:r>
        <w:t>Search</w:t>
      </w:r>
      <w:r w:rsidR="004E2876">
        <w:t>.</w:t>
      </w:r>
    </w:p>
    <w:p w14:paraId="5A968F59" w14:textId="37960803" w:rsidR="00CF4270" w:rsidRDefault="00CF4270" w:rsidP="009E7402">
      <w:pPr>
        <w:pStyle w:val="ONUME"/>
      </w:pPr>
      <w:r>
        <w:t xml:space="preserve">В рамках оценки в 2021 г. было выполнено два консультативных </w:t>
      </w:r>
      <w:r w:rsidR="004E2876">
        <w:t>задания.</w:t>
      </w:r>
      <w:r>
        <w:t xml:space="preserve"> Перв</w:t>
      </w:r>
      <w:r w:rsidR="00B976A9">
        <w:t>ое</w:t>
      </w:r>
      <w:r>
        <w:t xml:space="preserve"> предусматривает предоставление консультаций по процессам, качеству и исходным данным для технического инструмента, которые касаются деятельности сектора развития, связанной со сравнительным анализом и с самооценкой национальных стратегий в области ИС</w:t>
      </w:r>
      <w:r w:rsidR="00E7405F">
        <w:t>.</w:t>
      </w:r>
      <w:r>
        <w:t xml:space="preserve"> Второе призвано обеспечить оптимизацию и пересмотр существующих элементов самооценки Отдела стран Латинской Америки с целью повышения ее эффективности, расширения ее использования для принятия решений и представления результатов.</w:t>
      </w:r>
    </w:p>
    <w:p w14:paraId="5D063740" w14:textId="77777777" w:rsidR="00C46B12" w:rsidRPr="00E32ADE" w:rsidRDefault="00C46B12" w:rsidP="00AC38B6">
      <w:pPr>
        <w:pStyle w:val="Heading1"/>
      </w:pPr>
      <w:bookmarkStart w:id="44" w:name="_Toc39071253"/>
      <w:bookmarkStart w:id="45" w:name="_Toc98252895"/>
      <w:r>
        <w:lastRenderedPageBreak/>
        <w:t>СОТРУДНИЧЕСТВО С ВНЕШНИМИ НАДЗОРНЫМИ ОРГАНАМИ</w:t>
      </w:r>
      <w:bookmarkEnd w:id="44"/>
      <w:bookmarkEnd w:id="45"/>
      <w:r>
        <w:t xml:space="preserve"> </w:t>
      </w:r>
    </w:p>
    <w:p w14:paraId="52827DFF" w14:textId="5C339838" w:rsidR="00C46B12" w:rsidRPr="00E32ADE" w:rsidRDefault="00C46B12" w:rsidP="00315F3C">
      <w:pPr>
        <w:pStyle w:val="Heading2"/>
      </w:pPr>
      <w:r>
        <w:t>Независимый консультативный комитет по надзору (НККН)</w:t>
      </w:r>
    </w:p>
    <w:p w14:paraId="7328811E" w14:textId="761BD5F0" w:rsidR="00B129CD" w:rsidRPr="00E32ADE" w:rsidRDefault="00C46B12" w:rsidP="00B129CD">
      <w:pPr>
        <w:pStyle w:val="ONUME"/>
      </w:pPr>
      <w:r>
        <w:t>ОВН регулярно принимает участие в сессиях НККН, докладывая об осуществлении плана внутреннего надзора и обсуждая результаты деятельности по надзору и другие аспекты, касающиеся работы и функционирования отдела, и запрашив</w:t>
      </w:r>
      <w:r w:rsidR="00E7405F">
        <w:t>ая консультативные мнения НККН.</w:t>
      </w:r>
      <w:r>
        <w:t xml:space="preserve"> В период, охватываемый настоящим отчетом, НККН провел четыре сессии (с 60-й по 63-ю).</w:t>
      </w:r>
    </w:p>
    <w:p w14:paraId="73EE41CC" w14:textId="77777777" w:rsidR="00C46B12" w:rsidRPr="00E32ADE" w:rsidRDefault="00C46B12" w:rsidP="00252695">
      <w:pPr>
        <w:pStyle w:val="Heading2"/>
      </w:pPr>
      <w:r>
        <w:t>ВНЕШНИЙ АУДИТОР</w:t>
      </w:r>
    </w:p>
    <w:p w14:paraId="165F3083" w14:textId="726FA544" w:rsidR="00C46B12" w:rsidRDefault="00C46B12" w:rsidP="002C23BF">
      <w:pPr>
        <w:pStyle w:val="ONUME"/>
      </w:pPr>
      <w:r>
        <w:t>ОВН поддерживал хорошие рабочие контакты с внешним аудитором и проводил регулярные встречи по вопросам аудита, внутреннего</w:t>
      </w:r>
      <w:r w:rsidR="00E7405F">
        <w:t xml:space="preserve"> контроля и управления рисками.</w:t>
      </w:r>
      <w:r>
        <w:t xml:space="preserve"> В интересах обеспечения эффективного охвата надзорной деятельности и во избежание потенциального дублирования функций и чрезмерного контроля внешний аудитор и ОВН обменивались информацией о своих стратегиях, годовых планах и</w:t>
      </w:r>
      <w:r w:rsidR="00E7405F">
        <w:t xml:space="preserve"> содержании конкретных отчетов.</w:t>
      </w:r>
      <w:r>
        <w:t xml:space="preserve"> ОВН активно взаимодействовал с внешним аудитором в ходе планирования и последующего осуществления мероприятий в 2021 г</w:t>
      </w:r>
      <w:r w:rsidR="00613025">
        <w:t>.</w:t>
      </w:r>
      <w:r>
        <w:t xml:space="preserve"> и предоставлял внешнему ау</w:t>
      </w:r>
      <w:r w:rsidR="00E7405F">
        <w:t>дитору необходимую информацию.</w:t>
      </w:r>
    </w:p>
    <w:p w14:paraId="5CD4DFBD" w14:textId="77777777" w:rsidR="00C46B12" w:rsidRPr="00AC38B6" w:rsidRDefault="00C46B12" w:rsidP="00315F3C">
      <w:pPr>
        <w:pStyle w:val="Heading2"/>
      </w:pPr>
      <w:r>
        <w:t>СОТРУДНИЧЕСТВО С ОМБУДСМЕНОМ И БЮРО ПО ВОПРОСАМ ЭТИКИ</w:t>
      </w:r>
    </w:p>
    <w:p w14:paraId="6D9840CE" w14:textId="77777777" w:rsidR="00C46B12" w:rsidRPr="00E32ADE" w:rsidRDefault="00C46B12" w:rsidP="002C23BF">
      <w:pPr>
        <w:pStyle w:val="ONUME"/>
      </w:pPr>
      <w:r>
        <w:t>В течение отчетного периода директор ОВН регулярно встречался с Омбудсменом и главным сотрудником по вопросам этики для обеспечения надлежащей координации и взаимодополняемости усилий.</w:t>
      </w:r>
    </w:p>
    <w:p w14:paraId="04FB154D" w14:textId="77777777" w:rsidR="00C46B12" w:rsidRPr="00E32ADE" w:rsidRDefault="00C46B12" w:rsidP="00C46B12">
      <w:pPr>
        <w:pStyle w:val="Heading1"/>
      </w:pPr>
      <w:bookmarkStart w:id="46" w:name="_Toc39071254"/>
      <w:bookmarkStart w:id="47" w:name="_Toc98252896"/>
      <w:r>
        <w:t>ПРОЧИЕ НАПРАВЛЕНИЯ РАБОТЫ ПО ОБЕСПЕЧЕНИЮ НАДЗОРА</w:t>
      </w:r>
      <w:bookmarkEnd w:id="46"/>
      <w:bookmarkEnd w:id="47"/>
    </w:p>
    <w:p w14:paraId="6E185653" w14:textId="6315032B" w:rsidR="00935002" w:rsidRPr="00E559A4" w:rsidRDefault="00935002" w:rsidP="005F7359">
      <w:pPr>
        <w:pStyle w:val="Heading2"/>
        <w:rPr>
          <w:lang w:val="en-US"/>
        </w:rPr>
      </w:pPr>
      <w:r>
        <w:t>Переход</w:t>
      </w:r>
      <w:r w:rsidRPr="00E559A4">
        <w:rPr>
          <w:lang w:val="en-US"/>
        </w:rPr>
        <w:t xml:space="preserve"> </w:t>
      </w:r>
      <w:r>
        <w:t>на</w:t>
      </w:r>
      <w:r w:rsidR="00E559A4">
        <w:rPr>
          <w:lang w:val="en-US"/>
        </w:rPr>
        <w:t xml:space="preserve"> </w:t>
      </w:r>
      <w:r w:rsidR="00E559A4" w:rsidRPr="00E559A4">
        <w:rPr>
          <w:lang w:val="en-US"/>
        </w:rPr>
        <w:t>TeamMate+</w:t>
      </w:r>
    </w:p>
    <w:p w14:paraId="36B49E2C" w14:textId="1303EF85" w:rsidR="00935002" w:rsidRPr="00935002" w:rsidRDefault="00935002" w:rsidP="00935002">
      <w:pPr>
        <w:pStyle w:val="ONUME"/>
      </w:pPr>
      <w:r>
        <w:t xml:space="preserve">ОВН завершил переход на обновленную систему управления аудитом </w:t>
      </w:r>
      <w:r w:rsidR="00E559A4" w:rsidRPr="004B2173">
        <w:t>Team</w:t>
      </w:r>
      <w:r w:rsidR="00E559A4">
        <w:t>Mate+</w:t>
      </w:r>
      <w:r>
        <w:t>, которая, в частности, используется для контроля выполнения рекомендаций и предста</w:t>
      </w:r>
      <w:r w:rsidR="00E7405F">
        <w:t>вления соответствующих отчетов.</w:t>
      </w:r>
      <w:r>
        <w:t xml:space="preserve"> Технически новая система является более современной и предусматривает новые функции, позволяющие эффективнее оценивать риски, осуществлять мероприяти</w:t>
      </w:r>
      <w:r w:rsidR="002B4981">
        <w:t>я и работать с рекомендациями.</w:t>
      </w:r>
    </w:p>
    <w:p w14:paraId="4A24C6BD" w14:textId="77777777" w:rsidR="005C40A8" w:rsidRDefault="005C40A8" w:rsidP="005C40A8">
      <w:pPr>
        <w:pStyle w:val="Heading2"/>
      </w:pPr>
      <w:r>
        <w:t xml:space="preserve">Проект в области анализа данных </w:t>
      </w:r>
    </w:p>
    <w:p w14:paraId="7FE928CF" w14:textId="4DFC13AF" w:rsidR="00935002" w:rsidRDefault="005C40A8" w:rsidP="00A64E8D">
      <w:pPr>
        <w:pStyle w:val="ONUME"/>
      </w:pPr>
      <w:r>
        <w:t>ОВН завершил проект по анализу данных, расширив имеющиеся возможности для проведения не</w:t>
      </w:r>
      <w:r w:rsidR="00E7405F">
        <w:t>прерывных аудиторских проверок.</w:t>
      </w:r>
      <w:r>
        <w:t xml:space="preserve"> В первом квартале 2022 г. </w:t>
      </w:r>
      <w:r w:rsidR="003374FB">
        <w:t>п</w:t>
      </w:r>
      <w:r>
        <w:t>роходит экспериментальный этап, впоследствии ОВ</w:t>
      </w:r>
      <w:r w:rsidR="00F44660">
        <w:t>Н</w:t>
      </w:r>
      <w:r>
        <w:t xml:space="preserve"> будет регулярно предоставлять руководству информацию о соответствии и операционной эффективности ключевых механизмов контроля, апробированных с помощью средств информационной аналитики.</w:t>
      </w:r>
    </w:p>
    <w:p w14:paraId="2ECF7979" w14:textId="77777777" w:rsidR="00C46B12" w:rsidRPr="002150AF" w:rsidRDefault="002150AF" w:rsidP="002150AF">
      <w:pPr>
        <w:pStyle w:val="Heading2"/>
      </w:pPr>
      <w:r>
        <w:t>Информационно-разъяснительная работа в рамках Организации</w:t>
      </w:r>
    </w:p>
    <w:p w14:paraId="6873DC90" w14:textId="788BFF8C" w:rsidR="00C46B12" w:rsidRPr="00891DF0" w:rsidRDefault="00C46B12" w:rsidP="002C23BF">
      <w:pPr>
        <w:pStyle w:val="ONUME"/>
        <w:rPr>
          <w:bCs/>
          <w:iCs/>
          <w:caps/>
          <w:szCs w:val="28"/>
        </w:rPr>
      </w:pPr>
      <w:r>
        <w:t xml:space="preserve">В рамках своих постоянных усилий, направленных на формирование более полного представления о функциях внутреннего надзора и разъяснение его задач, ОВН продолжал по мере необходимости проводить информационно-разъяснительную работу среди коллег по ВОИС с использованием презентаций, </w:t>
      </w:r>
      <w:r w:rsidR="004E2876">
        <w:t>организуемых для</w:t>
      </w:r>
      <w:r>
        <w:t xml:space="preserve"> новых сотрудников в рамках вводного инструктажа, бюллетеня ОВН, информационной панели ОВН и презентаций для всего руково</w:t>
      </w:r>
      <w:r w:rsidR="002B4981">
        <w:t>дства и руководителей секторов.</w:t>
      </w:r>
    </w:p>
    <w:p w14:paraId="3FE176B3" w14:textId="77777777" w:rsidR="00C46B12" w:rsidRPr="002150AF" w:rsidRDefault="002150AF" w:rsidP="002150AF">
      <w:pPr>
        <w:pStyle w:val="Heading2"/>
      </w:pPr>
      <w:r>
        <w:t>Поддержание контактов с другими надзорными органами</w:t>
      </w:r>
    </w:p>
    <w:p w14:paraId="47938A91" w14:textId="7B38649E" w:rsidR="00C46B12" w:rsidRPr="00E32ADE" w:rsidRDefault="00C46B12" w:rsidP="002C23BF">
      <w:pPr>
        <w:pStyle w:val="ONUME"/>
      </w:pPr>
      <w:r>
        <w:t>В УВН предусмотрены конкретные положения</w:t>
      </w:r>
      <w:r>
        <w:rPr>
          <w:rStyle w:val="FootnoteReference"/>
        </w:rPr>
        <w:footnoteReference w:id="20"/>
      </w:r>
      <w:r>
        <w:t xml:space="preserve"> о поддержании связи и сотрудничестве со службами внутреннего надзора других организаций системы ООН и </w:t>
      </w:r>
      <w:r>
        <w:lastRenderedPageBreak/>
        <w:t>многосторонних финансовых учреждений. ОВН сознает ценность и значимость развития отношений с другими надзорными органами. В отчетный период ОВН продолжал активно и конструктивно сотрудничать и развивать связи с другими организациями и структурами системы ООН. В частности, ОВН принимал активное участие в перечисленных ниже мероприя</w:t>
      </w:r>
      <w:r w:rsidR="002B4981">
        <w:t>тиях и провел следующую работу:</w:t>
      </w:r>
    </w:p>
    <w:p w14:paraId="0237B8D7" w14:textId="02EAE833" w:rsidR="001A7272" w:rsidRPr="00EB5AF7" w:rsidRDefault="000D6590" w:rsidP="001A7272">
      <w:pPr>
        <w:pStyle w:val="ONUME"/>
        <w:numPr>
          <w:ilvl w:val="1"/>
          <w:numId w:val="2"/>
        </w:numPr>
      </w:pPr>
      <w:r>
        <w:t>д</w:t>
      </w:r>
      <w:r w:rsidR="002C3215">
        <w:t>иректор ОВ</w:t>
      </w:r>
      <w:r>
        <w:t>Н</w:t>
      </w:r>
      <w:r w:rsidR="002C3215">
        <w:t>, руководитель Секции оценки и старший сотрудник по оценке активно участвовали в работе ежегодного общего собрания ЮНЕГ 2020 г., которое состоялось в виртуальном режиме 21 и 22 января 2021 г.;</w:t>
      </w:r>
    </w:p>
    <w:p w14:paraId="6BBAEB42" w14:textId="29529A68" w:rsidR="005F7359" w:rsidRDefault="001A7272" w:rsidP="00F116F1">
      <w:pPr>
        <w:pStyle w:val="ONUME"/>
        <w:numPr>
          <w:ilvl w:val="1"/>
          <w:numId w:val="2"/>
        </w:numPr>
      </w:pPr>
      <w:r>
        <w:t xml:space="preserve">руководитель </w:t>
      </w:r>
      <w:r w:rsidR="006A3DB9">
        <w:t>С</w:t>
      </w:r>
      <w:r>
        <w:t>екции оценки в течение двух лет выполняет функции заместителя председателя и казначея ЮНЕГ, оказывая помощь в принятии решений и контролируя выполнение третьей стратегической цели стратегии ЮНЕГ;</w:t>
      </w:r>
    </w:p>
    <w:p w14:paraId="50552120" w14:textId="49F764D3" w:rsidR="001A7272" w:rsidRDefault="00E7423D" w:rsidP="00F116F1">
      <w:pPr>
        <w:pStyle w:val="ONUME"/>
        <w:numPr>
          <w:ilvl w:val="1"/>
          <w:numId w:val="2"/>
        </w:numPr>
      </w:pPr>
      <w:r>
        <w:t>р</w:t>
      </w:r>
      <w:r w:rsidR="001A7272">
        <w:t>уководители секций расследований и внутреннего аудита проводили учебные занятия по вопросам управления рисками и предотвращения мошенничества и коррупции для слушателей программ бакалавриата и магистратуры бизнес-школ в Женеве;</w:t>
      </w:r>
    </w:p>
    <w:p w14:paraId="6CE4B977" w14:textId="3145BCFD" w:rsidR="001A7272" w:rsidRDefault="005F7359" w:rsidP="001A7272">
      <w:pPr>
        <w:pStyle w:val="ONUME"/>
        <w:numPr>
          <w:ilvl w:val="1"/>
          <w:numId w:val="2"/>
        </w:numPr>
      </w:pPr>
      <w:r>
        <w:t>ОВН и Управление служб внутреннего надзора ООН в начале марта 2021 </w:t>
      </w:r>
      <w:r w:rsidR="004E2876">
        <w:t xml:space="preserve">г. </w:t>
      </w:r>
      <w:r w:rsidR="00E7423D">
        <w:t>с</w:t>
      </w:r>
      <w:r w:rsidR="004E2876">
        <w:t>овместно</w:t>
      </w:r>
      <w:r>
        <w:t xml:space="preserve"> провели учебно-практический курс по вопросам подделки платежных </w:t>
      </w:r>
      <w:r w:rsidR="004E2876">
        <w:t>документов;</w:t>
      </w:r>
    </w:p>
    <w:p w14:paraId="1DABF934" w14:textId="76D1E963" w:rsidR="00950C25" w:rsidRPr="00950C25" w:rsidRDefault="001A7272" w:rsidP="006460F7">
      <w:pPr>
        <w:pStyle w:val="ONUME"/>
        <w:numPr>
          <w:ilvl w:val="1"/>
          <w:numId w:val="2"/>
        </w:numPr>
      </w:pPr>
      <w:r>
        <w:t>24 июня 2021 г. ОВН принял участие в виртуальной встрече представителей служб внутреннего аудита Организации Объединенных Наций, которая была посвящена презентации службы внутреннего аудита Европейской комиссии с обзором ее оценки основных компонентов;</w:t>
      </w:r>
    </w:p>
    <w:p w14:paraId="6983F3D0" w14:textId="137E1F29" w:rsidR="00950C25" w:rsidRPr="00950C25" w:rsidRDefault="004E2876" w:rsidP="00950C25">
      <w:pPr>
        <w:pStyle w:val="ONUME"/>
        <w:numPr>
          <w:ilvl w:val="1"/>
          <w:numId w:val="2"/>
        </w:numPr>
      </w:pPr>
      <w:r>
        <w:t>на состоявшейся</w:t>
      </w:r>
      <w:r w:rsidR="00950C25">
        <w:t xml:space="preserve"> в июне 2021 г. Глобальной конференции по мошенничеству, </w:t>
      </w:r>
      <w:r>
        <w:t>организованной Ассоциацией</w:t>
      </w:r>
      <w:r w:rsidR="00950C25">
        <w:t xml:space="preserve"> дипломированных специалистов по расследованию мошенничества, ОВН выступил с лекцией о мошенничестве в сфере международных закупок; и</w:t>
      </w:r>
    </w:p>
    <w:p w14:paraId="062D6E0C" w14:textId="04EA9715" w:rsidR="00950C25" w:rsidRPr="00950C25" w:rsidRDefault="002C3215" w:rsidP="00950C25">
      <w:pPr>
        <w:pStyle w:val="ONUME"/>
        <w:numPr>
          <w:ilvl w:val="1"/>
          <w:numId w:val="2"/>
        </w:numPr>
      </w:pPr>
      <w:r>
        <w:t>ОВН принял участие в ежегодной конференции руководителей служб внутреннего аудита в Европе, которая проходила 2</w:t>
      </w:r>
      <w:r w:rsidR="00E7405F">
        <w:t>8–30 сентября 2021 г. в Женеве.</w:t>
      </w:r>
      <w:r>
        <w:t xml:space="preserve"> Совещание, проходившее в гибридном формате, было организовано совместно Международной организацией труда и Международным комитетом Красного Креста.</w:t>
      </w:r>
    </w:p>
    <w:p w14:paraId="17E38306" w14:textId="77777777" w:rsidR="00550057" w:rsidRDefault="00550057" w:rsidP="00B129CD">
      <w:pPr>
        <w:pStyle w:val="Heading1"/>
      </w:pPr>
      <w:bookmarkStart w:id="48" w:name="_Toc98252897"/>
      <w:bookmarkStart w:id="49" w:name="_Toc39071255"/>
      <w:r>
        <w:t>ПРОГРАММА ОБЕСПЕЧЕНИЯ И ПОВЫШЕНИЯ КАЧЕСТВА ОВН</w:t>
      </w:r>
      <w:bookmarkEnd w:id="48"/>
    </w:p>
    <w:p w14:paraId="0E264DA8" w14:textId="2C13FB14" w:rsidR="00EA028E" w:rsidRDefault="00550057" w:rsidP="00252695">
      <w:pPr>
        <w:pStyle w:val="ONUME"/>
      </w:pPr>
      <w:r>
        <w:t>Программа обеспечения и повышения качества (ОПОК) ОВН призвана обеспечить разумную уверенность различных заинтересованных сторон</w:t>
      </w:r>
      <w:r w:rsidRPr="00B129CD">
        <w:rPr>
          <w:vertAlign w:val="superscript"/>
        </w:rPr>
        <w:footnoteReference w:id="21"/>
      </w:r>
      <w:r>
        <w:rPr>
          <w:vertAlign w:val="superscript"/>
        </w:rPr>
        <w:t xml:space="preserve"> </w:t>
      </w:r>
      <w:r>
        <w:t>в том, что надзорная деятельность осуществляется в соответствии с УВН и стандартами и профессиональной практикой каждого подразделения, эффективна и, по мнению заинтересованных сторон, полезн</w:t>
      </w:r>
      <w:r w:rsidR="00E7405F">
        <w:t>а и постоянно совершенствуется.</w:t>
      </w:r>
      <w:r>
        <w:t xml:space="preserve"> В О</w:t>
      </w:r>
      <w:r w:rsidR="00E7405F">
        <w:t>ПОК охвачены следующие области:</w:t>
      </w:r>
    </w:p>
    <w:p w14:paraId="6E7DDCA7" w14:textId="77777777" w:rsidR="00C46B12" w:rsidRPr="002150AF" w:rsidRDefault="002150AF" w:rsidP="002150AF">
      <w:pPr>
        <w:pStyle w:val="Heading2"/>
      </w:pPr>
      <w:r>
        <w:t>Оперативная независимость ОВН</w:t>
      </w:r>
      <w:bookmarkEnd w:id="49"/>
    </w:p>
    <w:p w14:paraId="6D86DC77" w14:textId="7AFEE82B" w:rsidR="00C46B12" w:rsidRDefault="00C46B12" w:rsidP="00FC1072">
      <w:pPr>
        <w:pStyle w:val="ONUME"/>
      </w:pPr>
      <w:r>
        <w:t>В соответствии с УВН</w:t>
      </w:r>
      <w:r>
        <w:rPr>
          <w:rStyle w:val="FootnoteReference"/>
        </w:rPr>
        <w:footnoteReference w:id="22"/>
      </w:r>
      <w:r>
        <w:t xml:space="preserve"> директор ОВН обязан подтверждать организационную независимость функции внутреннего надзора и представлять информацию относительно охвата деятельности по внутреннему надзору и достаточности ресурсов, выделяемых для соответствующих </w:t>
      </w:r>
      <w:r w:rsidR="00E7405F">
        <w:t>целей.</w:t>
      </w:r>
    </w:p>
    <w:p w14:paraId="69C4AD5A" w14:textId="571B38B6" w:rsidR="00C46B12" w:rsidRDefault="00C46B12" w:rsidP="002C23BF">
      <w:pPr>
        <w:pStyle w:val="ONUME"/>
      </w:pPr>
      <w:r>
        <w:lastRenderedPageBreak/>
        <w:t>В течение отчетного периода не произошло никаких случаев/действий, которые можно было бы рассматривать как ставящие под угрозу</w:t>
      </w:r>
      <w:r w:rsidR="00E7405F">
        <w:t xml:space="preserve"> оперативную независимость ОВН.</w:t>
      </w:r>
      <w:r>
        <w:t xml:space="preserve"> Каких-либо фактических или предполагаемых вмешатель</w:t>
      </w:r>
      <w:r w:rsidR="00E7405F">
        <w:t>ств в работу ОВН не отмечалось.</w:t>
      </w:r>
      <w:r>
        <w:t xml:space="preserve"> Решение об охвате надзорной деятельности было принято ОВН с учетом оценки рисков, а также комментариев и отзывов, полученных от руководства ВОИС, НККН и государств-членов, в зависимости от обстоятельств.</w:t>
      </w:r>
      <w:bookmarkStart w:id="50" w:name="_Toc420663573"/>
    </w:p>
    <w:p w14:paraId="393B33BB" w14:textId="77777777" w:rsidR="00044A42" w:rsidRDefault="002150AF" w:rsidP="002150AF">
      <w:pPr>
        <w:pStyle w:val="Heading2"/>
      </w:pPr>
      <w:r>
        <w:t>Постоянный контроль и ключевые показатели результативности</w:t>
      </w:r>
    </w:p>
    <w:p w14:paraId="2F3C6533" w14:textId="267AA711" w:rsidR="00044A42" w:rsidRDefault="00044A42">
      <w:pPr>
        <w:pStyle w:val="ONUME"/>
      </w:pPr>
      <w:r>
        <w:t>Постоянный контроль эффективности деятельности по надзору — это повседневное руководство, анализ и измерение показателей деятельности по внутреннему аудиту, встроенные в регламенты, руково</w:t>
      </w:r>
      <w:r w:rsidR="00E7405F">
        <w:t>дства и рутинные процедуры ОВН.</w:t>
      </w:r>
      <w:r>
        <w:t xml:space="preserve"> Кроме того, для выполнения руководств и процедур, в том числе для поддержки подачи документов, проведения проверок и утверждений, контроля выполнения рекомендаций и подготовки отчетности, используется система управления аудитом (TeamMate+</w:t>
      </w:r>
      <w:r>
        <w:rPr>
          <w:vertAlign w:val="superscript"/>
        </w:rPr>
        <w:t>TM</w:t>
      </w:r>
      <w:r w:rsidR="00E7405F">
        <w:t>).</w:t>
      </w:r>
    </w:p>
    <w:p w14:paraId="3B032E51" w14:textId="1AB991D8" w:rsidR="0066080A" w:rsidRDefault="00044A42" w:rsidP="00C53813">
      <w:pPr>
        <w:pStyle w:val="ONUME"/>
      </w:pPr>
      <w:r>
        <w:t>ОВН также ввел показатели результативности для измерения эффективности, результативности и актуал</w:t>
      </w:r>
      <w:r w:rsidR="00E7405F">
        <w:t>ьности деятельности по надзору.</w:t>
      </w:r>
      <w:r>
        <w:t xml:space="preserve"> К их числу относятся, в частности, своевременное завершение надзорных мероприятий и представление отчетов по ним, восприятие руководством работы ОВН, уровень </w:t>
      </w:r>
      <w:r w:rsidR="004E2876">
        <w:t>принятия рекомендаций</w:t>
      </w:r>
      <w:r w:rsidR="00E7405F">
        <w:t xml:space="preserve"> ОВН и их актуальност</w:t>
      </w:r>
      <w:r w:rsidR="00063E3F">
        <w:t>ь</w:t>
      </w:r>
      <w:r w:rsidR="00E7405F">
        <w:t>.</w:t>
      </w:r>
      <w:r>
        <w:t xml:space="preserve"> В приведенной ниже таблице обобщены </w:t>
      </w:r>
      <w:r w:rsidR="00063E3F">
        <w:t xml:space="preserve">полученные </w:t>
      </w:r>
      <w:r>
        <w:t>результаты.</w:t>
      </w:r>
    </w:p>
    <w:p w14:paraId="17EA59EC" w14:textId="37256CDE" w:rsidR="003E5E33" w:rsidRDefault="00585D10" w:rsidP="00B23737">
      <w:pPr>
        <w:pStyle w:val="ONUME"/>
        <w:numPr>
          <w:ilvl w:val="0"/>
          <w:numId w:val="0"/>
        </w:numPr>
        <w:spacing w:after="0"/>
        <w:ind w:left="1701" w:firstLine="567"/>
        <w:rPr>
          <w:rFonts w:eastAsia="Times New Roman"/>
          <w:b/>
          <w:bCs/>
          <w:sz w:val="18"/>
          <w:szCs w:val="18"/>
        </w:rPr>
      </w:pPr>
      <w:r>
        <w:rPr>
          <w:b/>
          <w:sz w:val="18"/>
        </w:rPr>
        <w:t>Таблица 3 – Показатели результативности ОВН</w:t>
      </w:r>
    </w:p>
    <w:tbl>
      <w:tblPr>
        <w:tblW w:w="9220" w:type="dxa"/>
        <w:tblInd w:w="-5" w:type="dxa"/>
        <w:tblLook w:val="04A0" w:firstRow="1" w:lastRow="0" w:firstColumn="1" w:lastColumn="0" w:noHBand="0" w:noVBand="1"/>
        <w:tblCaption w:val="Таблица 3"/>
        <w:tblDescription w:val="Показатели результативности ОВН"/>
      </w:tblPr>
      <w:tblGrid>
        <w:gridCol w:w="3100"/>
        <w:gridCol w:w="6120"/>
      </w:tblGrid>
      <w:tr w:rsidR="00585D10" w:rsidRPr="00585D10" w14:paraId="43EAB67E" w14:textId="77777777" w:rsidTr="00585D10">
        <w:trPr>
          <w:trHeight w:val="315"/>
        </w:trPr>
        <w:tc>
          <w:tcPr>
            <w:tcW w:w="3100" w:type="dxa"/>
            <w:tcBorders>
              <w:top w:val="single" w:sz="4" w:space="0" w:color="auto"/>
              <w:left w:val="single" w:sz="4" w:space="0" w:color="auto"/>
              <w:bottom w:val="single" w:sz="4" w:space="0" w:color="auto"/>
              <w:right w:val="single" w:sz="4" w:space="0" w:color="auto"/>
            </w:tcBorders>
            <w:shd w:val="clear" w:color="000000" w:fill="DDEBF7"/>
            <w:noWrap/>
            <w:hideMark/>
          </w:tcPr>
          <w:p w14:paraId="5EB8823B" w14:textId="77777777" w:rsidR="00585D10" w:rsidRPr="00585D10" w:rsidRDefault="00585D10" w:rsidP="00585D10">
            <w:pPr>
              <w:rPr>
                <w:rFonts w:eastAsia="Times New Roman"/>
                <w:b/>
                <w:bCs/>
                <w:color w:val="000000"/>
                <w:sz w:val="20"/>
              </w:rPr>
            </w:pPr>
            <w:r>
              <w:rPr>
                <w:b/>
                <w:color w:val="000000"/>
                <w:sz w:val="20"/>
              </w:rPr>
              <w:t>Показатель результативности</w:t>
            </w:r>
          </w:p>
        </w:tc>
        <w:tc>
          <w:tcPr>
            <w:tcW w:w="6120" w:type="dxa"/>
            <w:tcBorders>
              <w:top w:val="single" w:sz="4" w:space="0" w:color="auto"/>
              <w:left w:val="nil"/>
              <w:bottom w:val="single" w:sz="4" w:space="0" w:color="auto"/>
              <w:right w:val="single" w:sz="4" w:space="0" w:color="auto"/>
            </w:tcBorders>
            <w:shd w:val="clear" w:color="000000" w:fill="DDEBF7"/>
            <w:noWrap/>
            <w:hideMark/>
          </w:tcPr>
          <w:p w14:paraId="67690B7D" w14:textId="77777777" w:rsidR="00585D10" w:rsidRPr="00585D10" w:rsidRDefault="00585D10" w:rsidP="00585D10">
            <w:pPr>
              <w:jc w:val="center"/>
              <w:rPr>
                <w:rFonts w:eastAsia="Times New Roman"/>
                <w:b/>
                <w:bCs/>
                <w:color w:val="000000"/>
                <w:sz w:val="20"/>
              </w:rPr>
            </w:pPr>
            <w:r>
              <w:rPr>
                <w:b/>
                <w:color w:val="000000"/>
                <w:sz w:val="20"/>
              </w:rPr>
              <w:t>Результаты</w:t>
            </w:r>
          </w:p>
        </w:tc>
      </w:tr>
      <w:tr w:rsidR="00585D10" w:rsidRPr="00585D10" w14:paraId="018F4D85" w14:textId="77777777" w:rsidTr="00585D10">
        <w:trPr>
          <w:trHeight w:val="765"/>
        </w:trPr>
        <w:tc>
          <w:tcPr>
            <w:tcW w:w="3100" w:type="dxa"/>
            <w:tcBorders>
              <w:top w:val="nil"/>
              <w:left w:val="single" w:sz="4" w:space="0" w:color="auto"/>
              <w:bottom w:val="single" w:sz="4" w:space="0" w:color="auto"/>
              <w:right w:val="single" w:sz="4" w:space="0" w:color="auto"/>
            </w:tcBorders>
            <w:shd w:val="clear" w:color="auto" w:fill="auto"/>
            <w:hideMark/>
          </w:tcPr>
          <w:p w14:paraId="1E67D1D3" w14:textId="77777777" w:rsidR="00585D10" w:rsidRPr="00585D10" w:rsidRDefault="00585D10" w:rsidP="00585D10">
            <w:pPr>
              <w:rPr>
                <w:rFonts w:eastAsia="Times New Roman"/>
                <w:color w:val="000000"/>
                <w:sz w:val="20"/>
              </w:rPr>
            </w:pPr>
            <w:r>
              <w:rPr>
                <w:color w:val="000000"/>
                <w:sz w:val="20"/>
              </w:rPr>
              <w:t>Отсутствие вмешательства и независимость по мнению ключевых заинтересованных сторон</w:t>
            </w:r>
          </w:p>
        </w:tc>
        <w:tc>
          <w:tcPr>
            <w:tcW w:w="6120" w:type="dxa"/>
            <w:tcBorders>
              <w:top w:val="nil"/>
              <w:left w:val="nil"/>
              <w:bottom w:val="single" w:sz="4" w:space="0" w:color="auto"/>
              <w:right w:val="single" w:sz="4" w:space="0" w:color="auto"/>
            </w:tcBorders>
            <w:shd w:val="clear" w:color="auto" w:fill="auto"/>
            <w:noWrap/>
            <w:vAlign w:val="center"/>
            <w:hideMark/>
          </w:tcPr>
          <w:p w14:paraId="0FE93B29" w14:textId="77777777" w:rsidR="00585D10" w:rsidRPr="00585D10" w:rsidRDefault="00585D10" w:rsidP="00585D10">
            <w:pPr>
              <w:rPr>
                <w:rFonts w:eastAsia="Times New Roman"/>
                <w:color w:val="000000"/>
                <w:sz w:val="20"/>
              </w:rPr>
            </w:pPr>
            <w:r>
              <w:rPr>
                <w:color w:val="000000"/>
                <w:sz w:val="20"/>
              </w:rPr>
              <w:t>Отсутствие фактов вмешательства в рассматриваемый период</w:t>
            </w:r>
          </w:p>
        </w:tc>
      </w:tr>
      <w:tr w:rsidR="00585D10" w:rsidRPr="00585D10" w14:paraId="237A94B3" w14:textId="77777777" w:rsidTr="006D40D5">
        <w:trPr>
          <w:trHeight w:val="287"/>
        </w:trPr>
        <w:tc>
          <w:tcPr>
            <w:tcW w:w="3100" w:type="dxa"/>
            <w:vMerge w:val="restart"/>
            <w:tcBorders>
              <w:top w:val="nil"/>
              <w:left w:val="single" w:sz="4" w:space="0" w:color="auto"/>
              <w:bottom w:val="single" w:sz="4" w:space="0" w:color="auto"/>
              <w:right w:val="single" w:sz="4" w:space="0" w:color="auto"/>
            </w:tcBorders>
            <w:shd w:val="clear" w:color="auto" w:fill="auto"/>
            <w:hideMark/>
          </w:tcPr>
          <w:p w14:paraId="719D8E93" w14:textId="77777777" w:rsidR="00585D10" w:rsidRPr="00585D10" w:rsidRDefault="00585D10" w:rsidP="00585D10">
            <w:pPr>
              <w:rPr>
                <w:rFonts w:eastAsia="Times New Roman"/>
                <w:color w:val="000000"/>
                <w:sz w:val="20"/>
              </w:rPr>
            </w:pPr>
            <w:r>
              <w:rPr>
                <w:color w:val="000000"/>
                <w:sz w:val="20"/>
              </w:rPr>
              <w:t>Доля (%) работы по надзору, которая была своевременно выполнена с представлением соответствующей отчетности в надлежащий срок</w:t>
            </w:r>
          </w:p>
        </w:tc>
        <w:tc>
          <w:tcPr>
            <w:tcW w:w="6120" w:type="dxa"/>
            <w:tcBorders>
              <w:top w:val="nil"/>
              <w:left w:val="nil"/>
              <w:bottom w:val="single" w:sz="4" w:space="0" w:color="auto"/>
              <w:right w:val="single" w:sz="4" w:space="0" w:color="auto"/>
            </w:tcBorders>
            <w:shd w:val="clear" w:color="auto" w:fill="auto"/>
            <w:noWrap/>
            <w:hideMark/>
          </w:tcPr>
          <w:p w14:paraId="4473A480" w14:textId="20AE21BF" w:rsidR="00585D10" w:rsidRPr="00585D10" w:rsidRDefault="00585D10" w:rsidP="00313912">
            <w:pPr>
              <w:rPr>
                <w:rFonts w:eastAsia="Times New Roman"/>
                <w:sz w:val="20"/>
              </w:rPr>
            </w:pPr>
            <w:r>
              <w:rPr>
                <w:sz w:val="20"/>
              </w:rPr>
              <w:t>67% отчетов об аудиторских проверках выпу</w:t>
            </w:r>
            <w:r w:rsidR="00313912">
              <w:rPr>
                <w:sz w:val="20"/>
              </w:rPr>
              <w:t>щено</w:t>
            </w:r>
            <w:r>
              <w:rPr>
                <w:sz w:val="20"/>
              </w:rPr>
              <w:t xml:space="preserve"> в течение 4 месяцев</w:t>
            </w:r>
          </w:p>
        </w:tc>
      </w:tr>
      <w:tr w:rsidR="00585D10" w:rsidRPr="00585D10" w14:paraId="71034C9D" w14:textId="77777777" w:rsidTr="00585D10">
        <w:trPr>
          <w:trHeight w:val="255"/>
        </w:trPr>
        <w:tc>
          <w:tcPr>
            <w:tcW w:w="3100" w:type="dxa"/>
            <w:vMerge/>
            <w:tcBorders>
              <w:top w:val="nil"/>
              <w:left w:val="single" w:sz="4" w:space="0" w:color="auto"/>
              <w:bottom w:val="single" w:sz="4" w:space="0" w:color="auto"/>
              <w:right w:val="single" w:sz="4" w:space="0" w:color="auto"/>
            </w:tcBorders>
            <w:vAlign w:val="center"/>
            <w:hideMark/>
          </w:tcPr>
          <w:p w14:paraId="30A75478" w14:textId="77777777" w:rsidR="00585D10" w:rsidRPr="00585D10" w:rsidRDefault="00585D10" w:rsidP="00585D10">
            <w:pPr>
              <w:rPr>
                <w:rFonts w:eastAsia="Times New Roman"/>
                <w:color w:val="000000"/>
                <w:sz w:val="20"/>
                <w:lang w:eastAsia="en-US"/>
              </w:rPr>
            </w:pPr>
          </w:p>
        </w:tc>
        <w:tc>
          <w:tcPr>
            <w:tcW w:w="6120" w:type="dxa"/>
            <w:tcBorders>
              <w:top w:val="nil"/>
              <w:left w:val="nil"/>
              <w:bottom w:val="single" w:sz="4" w:space="0" w:color="auto"/>
              <w:right w:val="single" w:sz="4" w:space="0" w:color="auto"/>
            </w:tcBorders>
            <w:shd w:val="clear" w:color="auto" w:fill="auto"/>
            <w:noWrap/>
            <w:hideMark/>
          </w:tcPr>
          <w:p w14:paraId="1E605756" w14:textId="134B47F3" w:rsidR="00585D10" w:rsidRPr="00585D10" w:rsidRDefault="00585D10" w:rsidP="00313912">
            <w:pPr>
              <w:rPr>
                <w:rFonts w:eastAsia="Times New Roman"/>
                <w:sz w:val="20"/>
              </w:rPr>
            </w:pPr>
            <w:r>
              <w:rPr>
                <w:sz w:val="20"/>
              </w:rPr>
              <w:t xml:space="preserve">71% отчетов об оценке </w:t>
            </w:r>
            <w:r w:rsidR="00313912">
              <w:rPr>
                <w:sz w:val="20"/>
              </w:rPr>
              <w:t>опубликовано</w:t>
            </w:r>
            <w:r>
              <w:rPr>
                <w:sz w:val="20"/>
              </w:rPr>
              <w:t xml:space="preserve"> в течение 6 месяцев</w:t>
            </w:r>
          </w:p>
        </w:tc>
      </w:tr>
      <w:tr w:rsidR="00585D10" w:rsidRPr="00585D10" w14:paraId="44C44CDC" w14:textId="77777777" w:rsidTr="00585D10">
        <w:trPr>
          <w:trHeight w:val="255"/>
        </w:trPr>
        <w:tc>
          <w:tcPr>
            <w:tcW w:w="3100" w:type="dxa"/>
            <w:vMerge/>
            <w:tcBorders>
              <w:top w:val="nil"/>
              <w:left w:val="single" w:sz="4" w:space="0" w:color="auto"/>
              <w:bottom w:val="single" w:sz="4" w:space="0" w:color="auto"/>
              <w:right w:val="single" w:sz="4" w:space="0" w:color="auto"/>
            </w:tcBorders>
            <w:vAlign w:val="center"/>
            <w:hideMark/>
          </w:tcPr>
          <w:p w14:paraId="269F2317" w14:textId="77777777" w:rsidR="00585D10" w:rsidRPr="00585D10" w:rsidRDefault="00585D10" w:rsidP="00585D10">
            <w:pPr>
              <w:rPr>
                <w:rFonts w:eastAsia="Times New Roman"/>
                <w:color w:val="000000"/>
                <w:sz w:val="20"/>
                <w:lang w:eastAsia="en-US"/>
              </w:rPr>
            </w:pPr>
          </w:p>
        </w:tc>
        <w:tc>
          <w:tcPr>
            <w:tcW w:w="6120" w:type="dxa"/>
            <w:tcBorders>
              <w:top w:val="nil"/>
              <w:left w:val="nil"/>
              <w:bottom w:val="single" w:sz="4" w:space="0" w:color="auto"/>
              <w:right w:val="single" w:sz="4" w:space="0" w:color="auto"/>
            </w:tcBorders>
            <w:shd w:val="clear" w:color="auto" w:fill="auto"/>
            <w:noWrap/>
            <w:hideMark/>
          </w:tcPr>
          <w:p w14:paraId="4211ED2A" w14:textId="242EC723" w:rsidR="00585D10" w:rsidRPr="00585D10" w:rsidRDefault="00585D10" w:rsidP="00313912">
            <w:pPr>
              <w:rPr>
                <w:rFonts w:eastAsia="Times New Roman"/>
                <w:sz w:val="20"/>
              </w:rPr>
            </w:pPr>
            <w:r>
              <w:rPr>
                <w:sz w:val="20"/>
              </w:rPr>
              <w:t>80% расследований заверш</w:t>
            </w:r>
            <w:r w:rsidR="00313912">
              <w:rPr>
                <w:sz w:val="20"/>
              </w:rPr>
              <w:t>ено</w:t>
            </w:r>
            <w:r>
              <w:rPr>
                <w:sz w:val="20"/>
              </w:rPr>
              <w:t xml:space="preserve"> и отчеты о них </w:t>
            </w:r>
            <w:r w:rsidR="00313912">
              <w:rPr>
                <w:sz w:val="20"/>
              </w:rPr>
              <w:t>опубликованы</w:t>
            </w:r>
            <w:r>
              <w:rPr>
                <w:sz w:val="20"/>
              </w:rPr>
              <w:t xml:space="preserve"> в течение 6 месяцев</w:t>
            </w:r>
          </w:p>
        </w:tc>
      </w:tr>
      <w:tr w:rsidR="00585D10" w:rsidRPr="00585D10" w14:paraId="62DAB208" w14:textId="77777777" w:rsidTr="00585D10">
        <w:trPr>
          <w:trHeight w:val="765"/>
        </w:trPr>
        <w:tc>
          <w:tcPr>
            <w:tcW w:w="3100" w:type="dxa"/>
            <w:tcBorders>
              <w:top w:val="nil"/>
              <w:left w:val="single" w:sz="4" w:space="0" w:color="auto"/>
              <w:bottom w:val="single" w:sz="4" w:space="0" w:color="auto"/>
              <w:right w:val="single" w:sz="4" w:space="0" w:color="auto"/>
            </w:tcBorders>
            <w:shd w:val="clear" w:color="auto" w:fill="auto"/>
            <w:hideMark/>
          </w:tcPr>
          <w:p w14:paraId="39C55D47" w14:textId="77777777" w:rsidR="00585D10" w:rsidRPr="00585D10" w:rsidRDefault="00585D10" w:rsidP="00585D10">
            <w:pPr>
              <w:rPr>
                <w:rFonts w:eastAsia="Times New Roman"/>
                <w:color w:val="000000"/>
                <w:sz w:val="20"/>
              </w:rPr>
            </w:pPr>
            <w:r>
              <w:rPr>
                <w:color w:val="000000"/>
                <w:sz w:val="20"/>
              </w:rPr>
              <w:t>Доля (%) заинтересованных сторон в Организации, считающих, что рекомендации ОВН соответствуют критериям SMART</w:t>
            </w:r>
          </w:p>
        </w:tc>
        <w:tc>
          <w:tcPr>
            <w:tcW w:w="6120" w:type="dxa"/>
            <w:tcBorders>
              <w:top w:val="nil"/>
              <w:left w:val="nil"/>
              <w:bottom w:val="single" w:sz="4" w:space="0" w:color="auto"/>
              <w:right w:val="single" w:sz="4" w:space="0" w:color="auto"/>
            </w:tcBorders>
            <w:shd w:val="clear" w:color="auto" w:fill="auto"/>
            <w:noWrap/>
            <w:vAlign w:val="center"/>
            <w:hideMark/>
          </w:tcPr>
          <w:p w14:paraId="63983FF6" w14:textId="77777777" w:rsidR="00585D10" w:rsidRPr="00585D10" w:rsidRDefault="00585D10" w:rsidP="00585D10">
            <w:pPr>
              <w:rPr>
                <w:rFonts w:eastAsia="Times New Roman"/>
                <w:sz w:val="20"/>
              </w:rPr>
            </w:pPr>
            <w:r>
              <w:rPr>
                <w:sz w:val="20"/>
              </w:rPr>
              <w:t>83% руководителей считают, что рекомендации ОВН соответствуют критериям SMART</w:t>
            </w:r>
          </w:p>
        </w:tc>
      </w:tr>
      <w:tr w:rsidR="00585D10" w:rsidRPr="00585D10" w14:paraId="3B664731" w14:textId="77777777" w:rsidTr="00585D10">
        <w:trPr>
          <w:trHeight w:val="765"/>
        </w:trPr>
        <w:tc>
          <w:tcPr>
            <w:tcW w:w="3100" w:type="dxa"/>
            <w:tcBorders>
              <w:top w:val="nil"/>
              <w:left w:val="single" w:sz="4" w:space="0" w:color="auto"/>
              <w:bottom w:val="single" w:sz="4" w:space="0" w:color="auto"/>
              <w:right w:val="single" w:sz="4" w:space="0" w:color="auto"/>
            </w:tcBorders>
            <w:shd w:val="clear" w:color="auto" w:fill="auto"/>
            <w:hideMark/>
          </w:tcPr>
          <w:p w14:paraId="7AECCBCC" w14:textId="77777777" w:rsidR="00585D10" w:rsidRPr="00585D10" w:rsidRDefault="00585D10" w:rsidP="00585D10">
            <w:pPr>
              <w:rPr>
                <w:rFonts w:eastAsia="Times New Roman"/>
                <w:color w:val="000000"/>
                <w:sz w:val="20"/>
              </w:rPr>
            </w:pPr>
            <w:r>
              <w:rPr>
                <w:color w:val="000000"/>
                <w:sz w:val="20"/>
              </w:rPr>
              <w:t>Доля (%) заинтересованных сторон в Организации, считающих работу ОВН актуальной</w:t>
            </w:r>
          </w:p>
        </w:tc>
        <w:tc>
          <w:tcPr>
            <w:tcW w:w="6120" w:type="dxa"/>
            <w:tcBorders>
              <w:top w:val="nil"/>
              <w:left w:val="nil"/>
              <w:bottom w:val="single" w:sz="4" w:space="0" w:color="auto"/>
              <w:right w:val="single" w:sz="4" w:space="0" w:color="auto"/>
            </w:tcBorders>
            <w:shd w:val="clear" w:color="auto" w:fill="auto"/>
            <w:noWrap/>
            <w:vAlign w:val="center"/>
            <w:hideMark/>
          </w:tcPr>
          <w:p w14:paraId="69534AB7" w14:textId="77777777" w:rsidR="00585D10" w:rsidRPr="00585D10" w:rsidRDefault="00585D10" w:rsidP="00585D10">
            <w:pPr>
              <w:rPr>
                <w:rFonts w:eastAsia="Times New Roman"/>
                <w:sz w:val="20"/>
              </w:rPr>
            </w:pPr>
            <w:r>
              <w:rPr>
                <w:sz w:val="20"/>
              </w:rPr>
              <w:t>80 % респондентов считают, что работа по надзору актуальна</w:t>
            </w:r>
          </w:p>
        </w:tc>
      </w:tr>
      <w:tr w:rsidR="00585D10" w:rsidRPr="00585D10" w14:paraId="311328BE" w14:textId="77777777" w:rsidTr="00585D10">
        <w:trPr>
          <w:trHeight w:val="510"/>
        </w:trPr>
        <w:tc>
          <w:tcPr>
            <w:tcW w:w="3100" w:type="dxa"/>
            <w:tcBorders>
              <w:top w:val="nil"/>
              <w:left w:val="single" w:sz="4" w:space="0" w:color="auto"/>
              <w:bottom w:val="single" w:sz="4" w:space="0" w:color="auto"/>
              <w:right w:val="single" w:sz="4" w:space="0" w:color="auto"/>
            </w:tcBorders>
            <w:shd w:val="clear" w:color="auto" w:fill="auto"/>
            <w:hideMark/>
          </w:tcPr>
          <w:p w14:paraId="5DC5EE2D" w14:textId="77777777" w:rsidR="00585D10" w:rsidRPr="00585D10" w:rsidRDefault="00585D10" w:rsidP="00585D10">
            <w:pPr>
              <w:rPr>
                <w:rFonts w:eastAsia="Times New Roman"/>
                <w:color w:val="000000"/>
                <w:sz w:val="20"/>
              </w:rPr>
            </w:pPr>
            <w:r>
              <w:rPr>
                <w:color w:val="000000"/>
                <w:sz w:val="20"/>
              </w:rPr>
              <w:t xml:space="preserve">Число принятых рекомендаций по итогам надзорных мероприятий </w:t>
            </w:r>
          </w:p>
        </w:tc>
        <w:tc>
          <w:tcPr>
            <w:tcW w:w="6120" w:type="dxa"/>
            <w:tcBorders>
              <w:top w:val="nil"/>
              <w:left w:val="nil"/>
              <w:bottom w:val="single" w:sz="4" w:space="0" w:color="auto"/>
              <w:right w:val="single" w:sz="4" w:space="0" w:color="auto"/>
            </w:tcBorders>
            <w:shd w:val="clear" w:color="auto" w:fill="auto"/>
            <w:noWrap/>
            <w:vAlign w:val="center"/>
            <w:hideMark/>
          </w:tcPr>
          <w:p w14:paraId="0D4F2A37" w14:textId="77777777" w:rsidR="00585D10" w:rsidRPr="00585D10" w:rsidRDefault="00585D10" w:rsidP="00585D10">
            <w:pPr>
              <w:rPr>
                <w:rFonts w:eastAsia="Times New Roman"/>
                <w:sz w:val="20"/>
              </w:rPr>
            </w:pPr>
            <w:r>
              <w:rPr>
                <w:sz w:val="20"/>
              </w:rPr>
              <w:t>100% рекомендаций ОВН принято</w:t>
            </w:r>
          </w:p>
        </w:tc>
      </w:tr>
    </w:tbl>
    <w:p w14:paraId="0E2C2CF0" w14:textId="77777777" w:rsidR="00B23737" w:rsidRPr="001B48C4" w:rsidRDefault="00B23737" w:rsidP="00B23737">
      <w:pPr>
        <w:pStyle w:val="ONUME"/>
        <w:numPr>
          <w:ilvl w:val="0"/>
          <w:numId w:val="0"/>
        </w:numPr>
        <w:spacing w:after="0"/>
        <w:rPr>
          <w:sz w:val="16"/>
          <w:szCs w:val="16"/>
          <w:lang w:val="en-US"/>
        </w:rPr>
      </w:pPr>
    </w:p>
    <w:p w14:paraId="2B787399" w14:textId="68E5E57C" w:rsidR="00585D10" w:rsidRPr="006D40D5" w:rsidRDefault="005F7359" w:rsidP="001B48C4">
      <w:pPr>
        <w:pStyle w:val="ONUME"/>
      </w:pPr>
      <w:r>
        <w:t xml:space="preserve">Показатели неизменно свидетельствуют о высоком уровне </w:t>
      </w:r>
      <w:r w:rsidR="001B48C4">
        <w:t>признания</w:t>
      </w:r>
      <w:r>
        <w:t xml:space="preserve"> актуальности работы ОВН и умест</w:t>
      </w:r>
      <w:r w:rsidR="00E7405F">
        <w:t xml:space="preserve">ности вынесенных рекомендаций. </w:t>
      </w:r>
      <w:r>
        <w:t xml:space="preserve">На своевременности подготовки отчетов об аудите и оценке сказывались, в частности, </w:t>
      </w:r>
      <w:r w:rsidR="001B48C4" w:rsidRPr="001B48C4">
        <w:t>(</w:t>
      </w:r>
      <w:r w:rsidR="001B48C4">
        <w:rPr>
          <w:lang w:val="en-US"/>
        </w:rPr>
        <w:t>i</w:t>
      </w:r>
      <w:r w:rsidR="001B48C4" w:rsidRPr="001B48C4">
        <w:t>) увеличение сроков</w:t>
      </w:r>
      <w:r w:rsidR="001B48C4">
        <w:t>, установленных для</w:t>
      </w:r>
      <w:r w:rsidR="001B48C4" w:rsidRPr="001B48C4">
        <w:t xml:space="preserve"> получения ответов руководства, в </w:t>
      </w:r>
      <w:r w:rsidR="001B48C4">
        <w:t>том числе</w:t>
      </w:r>
      <w:r w:rsidR="001B48C4" w:rsidRPr="001B48C4">
        <w:t xml:space="preserve"> после проведения совместных надзорных мероприятий; и (</w:t>
      </w:r>
      <w:r w:rsidR="001B48C4">
        <w:rPr>
          <w:lang w:val="en-US"/>
        </w:rPr>
        <w:t>ii</w:t>
      </w:r>
      <w:r w:rsidR="001B48C4" w:rsidRPr="001B48C4">
        <w:t xml:space="preserve">) </w:t>
      </w:r>
      <w:r>
        <w:t xml:space="preserve">перенаправление </w:t>
      </w:r>
      <w:r w:rsidR="001B48C4">
        <w:t xml:space="preserve">внутренних </w:t>
      </w:r>
      <w:r>
        <w:t xml:space="preserve">ресурсов </w:t>
      </w:r>
      <w:r w:rsidR="001A1C89">
        <w:t>для того, чтобы</w:t>
      </w:r>
      <w:r>
        <w:t xml:space="preserve"> </w:t>
      </w:r>
      <w:r w:rsidR="001A1C89">
        <w:t>закончить</w:t>
      </w:r>
      <w:r w:rsidR="001B48C4">
        <w:t xml:space="preserve"> </w:t>
      </w:r>
      <w:r>
        <w:t>переход на новую систем</w:t>
      </w:r>
      <w:r w:rsidR="004E2876">
        <w:t>у</w:t>
      </w:r>
      <w:r>
        <w:t xml:space="preserve"> управления аудитом и контроля исполнения рекомендаций</w:t>
      </w:r>
      <w:r w:rsidR="001A1C89">
        <w:t xml:space="preserve"> и </w:t>
      </w:r>
      <w:r>
        <w:t>заверш</w:t>
      </w:r>
      <w:r w:rsidR="001A1C89">
        <w:t>ить</w:t>
      </w:r>
      <w:r>
        <w:t xml:space="preserve"> </w:t>
      </w:r>
      <w:r w:rsidR="00557A63">
        <w:t xml:space="preserve">осуществление </w:t>
      </w:r>
      <w:r>
        <w:t>проект</w:t>
      </w:r>
      <w:r w:rsidR="00557A63">
        <w:t>а</w:t>
      </w:r>
      <w:r>
        <w:t xml:space="preserve"> по анализу</w:t>
      </w:r>
      <w:r w:rsidR="00E7405F">
        <w:t xml:space="preserve"> данных и непрерывному аудиту.</w:t>
      </w:r>
    </w:p>
    <w:p w14:paraId="0414BCA3" w14:textId="77777777" w:rsidR="00C46B12" w:rsidRPr="00315F3C" w:rsidRDefault="007C3613" w:rsidP="00252695">
      <w:pPr>
        <w:pStyle w:val="Heading1"/>
      </w:pPr>
      <w:bookmarkStart w:id="51" w:name="_Toc39071256"/>
      <w:bookmarkStart w:id="52" w:name="_Toc98252898"/>
      <w:r>
        <w:lastRenderedPageBreak/>
        <w:t>РЕСУРСЫ ДЛЯ НАДЗОРНОЙ ДЕЯТЕЛЬНОСТИ</w:t>
      </w:r>
      <w:bookmarkEnd w:id="50"/>
      <w:bookmarkEnd w:id="51"/>
      <w:bookmarkEnd w:id="52"/>
      <w:r>
        <w:t xml:space="preserve"> </w:t>
      </w:r>
    </w:p>
    <w:p w14:paraId="2A955936" w14:textId="77777777" w:rsidR="00C46B12" w:rsidRPr="00EF631C" w:rsidRDefault="00C46B12" w:rsidP="00252695">
      <w:pPr>
        <w:pStyle w:val="Heading2"/>
      </w:pPr>
      <w:r>
        <w:t>Бюджет и штат</w:t>
      </w:r>
    </w:p>
    <w:p w14:paraId="7D942857" w14:textId="302BFBA9" w:rsidR="005F7359" w:rsidRDefault="005F7359" w:rsidP="005F7359">
      <w:pPr>
        <w:pStyle w:val="ONUME"/>
      </w:pPr>
      <w:r>
        <w:t>Для выполнения мандата ОВН были выделены средства в рамках бюджета на двухгодичный период в размере 5</w:t>
      </w:r>
      <w:r w:rsidR="00313912">
        <w:t>,</w:t>
      </w:r>
      <w:r>
        <w:t xml:space="preserve">270 млн шв. франков, что составляет </w:t>
      </w:r>
      <w:r>
        <w:rPr>
          <w:shd w:val="clear" w:color="auto" w:fill="FFFFFF" w:themeFill="background1"/>
        </w:rPr>
        <w:t>0,69 процента</w:t>
      </w:r>
      <w:r w:rsidRPr="005F7359">
        <w:rPr>
          <w:rStyle w:val="FootnoteReference"/>
        </w:rPr>
        <w:footnoteReference w:id="23"/>
      </w:r>
      <w:r>
        <w:t xml:space="preserve"> от всего бюджета ВОИС на </w:t>
      </w:r>
      <w:r w:rsidR="00E7405F">
        <w:t>двухлетний период 2020–2021 гг.</w:t>
      </w:r>
      <w:r>
        <w:t xml:space="preserve"> В целом, текущий объем людских и финансовых ресурсов является достаточным для эффективного выполнения ОВН своих функций в наиболее приоритетных областях в </w:t>
      </w:r>
      <w:r w:rsidR="00E7405F">
        <w:t xml:space="preserve">соответствии с планами работы. </w:t>
      </w:r>
      <w:r>
        <w:t>Обмен планами работы по надзору и постоянная координация надзорной деятельности с внешним аудитором, а также эффективное использование ИТ-инструментов помогли добиться большей результативности и более эффективного охвата областей риска.</w:t>
      </w:r>
    </w:p>
    <w:p w14:paraId="24D5384F" w14:textId="77777777" w:rsidR="005F7359" w:rsidRDefault="005F7359" w:rsidP="005F7359">
      <w:pPr>
        <w:pStyle w:val="NormalWeb"/>
        <w:keepNext/>
        <w:keepLines/>
        <w:spacing w:before="0" w:beforeAutospacing="0" w:after="0" w:afterAutospacing="0"/>
        <w:jc w:val="center"/>
        <w:rPr>
          <w:b/>
          <w:bCs/>
        </w:rPr>
      </w:pPr>
      <w:r>
        <w:rPr>
          <w:b/>
        </w:rPr>
        <w:t>Таблица 4 – Бюджет и расходы в 2020–2021 гг.</w:t>
      </w:r>
      <w:r w:rsidRPr="00EF631C">
        <w:rPr>
          <w:bCs/>
          <w:vertAlign w:val="superscript"/>
        </w:rPr>
        <w:footnoteReference w:id="24"/>
      </w:r>
      <w:r>
        <w:rPr>
          <w:b/>
        </w:rPr>
        <w:t xml:space="preserve"> </w:t>
      </w:r>
    </w:p>
    <w:tbl>
      <w:tblPr>
        <w:tblStyle w:val="GridTable4-Accent1"/>
        <w:tblW w:w="8624" w:type="dxa"/>
        <w:tblLook w:val="04A0" w:firstRow="1" w:lastRow="0" w:firstColumn="1" w:lastColumn="0" w:noHBand="0" w:noVBand="1"/>
        <w:tblCaption w:val="Таблица 4"/>
        <w:tblDescription w:val="Бюджет и расходы ОВН на 2020-2021 гг."/>
      </w:tblPr>
      <w:tblGrid>
        <w:gridCol w:w="2470"/>
        <w:gridCol w:w="1463"/>
        <w:gridCol w:w="1910"/>
        <w:gridCol w:w="1379"/>
        <w:gridCol w:w="1402"/>
      </w:tblGrid>
      <w:tr w:rsidR="005F7359" w:rsidRPr="00302505" w14:paraId="1C596C83" w14:textId="77777777" w:rsidTr="00A9506F">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381D68C9" w14:textId="77777777" w:rsidR="005F7359" w:rsidRPr="00302505" w:rsidRDefault="005F7359" w:rsidP="00A9506F">
            <w:pPr>
              <w:rPr>
                <w:color w:val="000000"/>
                <w:sz w:val="18"/>
                <w:szCs w:val="18"/>
              </w:rPr>
            </w:pPr>
            <w:r>
              <w:rPr>
                <w:color w:val="000000"/>
                <w:sz w:val="18"/>
              </w:rPr>
              <w:t> </w:t>
            </w:r>
          </w:p>
        </w:tc>
        <w:tc>
          <w:tcPr>
            <w:tcW w:w="1347" w:type="dxa"/>
            <w:hideMark/>
          </w:tcPr>
          <w:p w14:paraId="5B49A91B" w14:textId="77777777" w:rsidR="005F7359" w:rsidRPr="00302505" w:rsidRDefault="005F7359"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b w:val="0"/>
                <w:color w:val="000000"/>
                <w:sz w:val="18"/>
              </w:rPr>
              <w:t>Утвержденный бюджет на 2020–2021 гг.</w:t>
            </w:r>
          </w:p>
        </w:tc>
        <w:tc>
          <w:tcPr>
            <w:tcW w:w="1347" w:type="dxa"/>
            <w:hideMark/>
          </w:tcPr>
          <w:p w14:paraId="33E95297" w14:textId="77777777" w:rsidR="005F7359" w:rsidRPr="00302505" w:rsidRDefault="005F7359"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b w:val="0"/>
                <w:color w:val="000000"/>
                <w:sz w:val="18"/>
              </w:rPr>
              <w:t>2020–2021 гг.</w:t>
            </w:r>
          </w:p>
          <w:p w14:paraId="19124645" w14:textId="77777777" w:rsidR="005F7359" w:rsidRPr="00302505" w:rsidRDefault="005F7359"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b w:val="0"/>
                <w:color w:val="000000"/>
                <w:sz w:val="18"/>
              </w:rPr>
              <w:t>Бюджет после перераспределения средств</w:t>
            </w:r>
          </w:p>
        </w:tc>
        <w:tc>
          <w:tcPr>
            <w:tcW w:w="1730" w:type="dxa"/>
            <w:hideMark/>
          </w:tcPr>
          <w:p w14:paraId="6D1E8F9E" w14:textId="77777777" w:rsidR="005F7359" w:rsidRPr="00302505" w:rsidRDefault="005F7359"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b w:val="0"/>
                <w:color w:val="000000"/>
                <w:sz w:val="18"/>
              </w:rPr>
              <w:t>2020–2021 гг.</w:t>
            </w:r>
          </w:p>
          <w:p w14:paraId="48789656" w14:textId="77777777" w:rsidR="005F7359" w:rsidRPr="00302505" w:rsidRDefault="005F7359"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b w:val="0"/>
                <w:color w:val="000000"/>
                <w:sz w:val="18"/>
              </w:rPr>
              <w:t>Расходы</w:t>
            </w:r>
          </w:p>
        </w:tc>
        <w:tc>
          <w:tcPr>
            <w:tcW w:w="1730" w:type="dxa"/>
          </w:tcPr>
          <w:p w14:paraId="552C377C" w14:textId="77777777" w:rsidR="005F7359" w:rsidRPr="00302505" w:rsidRDefault="005F7359" w:rsidP="00A9506F">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b w:val="0"/>
                <w:color w:val="000000"/>
                <w:sz w:val="18"/>
              </w:rPr>
              <w:t>Уровень освоения (%)</w:t>
            </w:r>
          </w:p>
        </w:tc>
      </w:tr>
      <w:tr w:rsidR="005F7359" w:rsidRPr="00302505" w14:paraId="515C14D2" w14:textId="77777777" w:rsidTr="00A9506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2DA4969D" w14:textId="77777777" w:rsidR="005F7359" w:rsidRPr="00302505" w:rsidRDefault="005F7359" w:rsidP="00A9506F">
            <w:pPr>
              <w:rPr>
                <w:color w:val="000000"/>
                <w:sz w:val="18"/>
                <w:szCs w:val="18"/>
              </w:rPr>
            </w:pPr>
            <w:r>
              <w:rPr>
                <w:color w:val="000000"/>
                <w:sz w:val="18"/>
              </w:rPr>
              <w:t xml:space="preserve">Расходы, связанные с персоналом  </w:t>
            </w:r>
          </w:p>
        </w:tc>
        <w:tc>
          <w:tcPr>
            <w:tcW w:w="1347" w:type="dxa"/>
            <w:hideMark/>
          </w:tcPr>
          <w:p w14:paraId="1E32C148"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rFonts w:ascii="Arial Narrow" w:hAnsi="Arial Narrow"/>
                <w:color w:val="000000"/>
                <w:sz w:val="18"/>
              </w:rPr>
              <w:t>4 356 000</w:t>
            </w:r>
          </w:p>
        </w:tc>
        <w:tc>
          <w:tcPr>
            <w:tcW w:w="1347" w:type="dxa"/>
            <w:hideMark/>
          </w:tcPr>
          <w:p w14:paraId="1C2D9C22"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rFonts w:ascii="Arial Narrow" w:hAnsi="Arial Narrow"/>
                <w:color w:val="000000"/>
                <w:sz w:val="18"/>
              </w:rPr>
              <w:t>4 471 500</w:t>
            </w:r>
          </w:p>
        </w:tc>
        <w:tc>
          <w:tcPr>
            <w:tcW w:w="1730" w:type="dxa"/>
            <w:hideMark/>
          </w:tcPr>
          <w:p w14:paraId="1CCB87F0"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rPr>
            </w:pPr>
            <w:r>
              <w:rPr>
                <w:rFonts w:ascii="Arial Narrow" w:hAnsi="Arial Narrow"/>
                <w:color w:val="000000"/>
                <w:sz w:val="18"/>
              </w:rPr>
              <w:t>4 638 344</w:t>
            </w:r>
          </w:p>
        </w:tc>
        <w:tc>
          <w:tcPr>
            <w:tcW w:w="1730" w:type="dxa"/>
          </w:tcPr>
          <w:p w14:paraId="472AD5E2"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r>
              <w:rPr>
                <w:rFonts w:ascii="Arial Narrow" w:hAnsi="Arial Narrow"/>
                <w:color w:val="000000"/>
                <w:sz w:val="18"/>
              </w:rPr>
              <w:t>104%</w:t>
            </w:r>
          </w:p>
        </w:tc>
      </w:tr>
      <w:tr w:rsidR="005F7359" w:rsidRPr="00302505" w14:paraId="63527167" w14:textId="77777777" w:rsidTr="00A9506F">
        <w:trPr>
          <w:trHeight w:val="31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54978E56" w14:textId="77777777" w:rsidR="005F7359" w:rsidRPr="00302505" w:rsidRDefault="005F7359" w:rsidP="00A9506F">
            <w:pPr>
              <w:rPr>
                <w:color w:val="000000"/>
                <w:sz w:val="18"/>
                <w:szCs w:val="18"/>
              </w:rPr>
            </w:pPr>
            <w:r>
              <w:rPr>
                <w:color w:val="000000"/>
                <w:sz w:val="18"/>
              </w:rPr>
              <w:t xml:space="preserve">Расходы, не связанные с персоналом </w:t>
            </w:r>
          </w:p>
        </w:tc>
        <w:tc>
          <w:tcPr>
            <w:tcW w:w="1347" w:type="dxa"/>
            <w:hideMark/>
          </w:tcPr>
          <w:p w14:paraId="553C4F1C" w14:textId="77777777" w:rsidR="005F7359" w:rsidRPr="00302505" w:rsidRDefault="005F7359" w:rsidP="00A9506F">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rFonts w:ascii="Arial Narrow" w:hAnsi="Arial Narrow"/>
                <w:color w:val="000000"/>
                <w:sz w:val="18"/>
              </w:rPr>
              <w:t>835 421</w:t>
            </w:r>
          </w:p>
        </w:tc>
        <w:tc>
          <w:tcPr>
            <w:tcW w:w="1347" w:type="dxa"/>
            <w:hideMark/>
          </w:tcPr>
          <w:p w14:paraId="05B3C529" w14:textId="77777777" w:rsidR="005F7359" w:rsidRPr="00302505" w:rsidRDefault="005F7359" w:rsidP="00A9506F">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rFonts w:ascii="Arial Narrow" w:hAnsi="Arial Narrow"/>
                <w:color w:val="000000"/>
                <w:sz w:val="18"/>
              </w:rPr>
              <w:t>798 999</w:t>
            </w:r>
          </w:p>
        </w:tc>
        <w:tc>
          <w:tcPr>
            <w:tcW w:w="1730" w:type="dxa"/>
            <w:hideMark/>
          </w:tcPr>
          <w:p w14:paraId="5C9F5D28" w14:textId="77777777" w:rsidR="005F7359" w:rsidRPr="00302505" w:rsidRDefault="005F7359" w:rsidP="00A9506F">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rPr>
            </w:pPr>
            <w:r>
              <w:rPr>
                <w:rFonts w:ascii="Arial Narrow" w:hAnsi="Arial Narrow"/>
                <w:color w:val="000000"/>
                <w:sz w:val="18"/>
              </w:rPr>
              <w:t>629 398</w:t>
            </w:r>
          </w:p>
        </w:tc>
        <w:tc>
          <w:tcPr>
            <w:tcW w:w="1730" w:type="dxa"/>
          </w:tcPr>
          <w:p w14:paraId="68C5A843" w14:textId="77777777" w:rsidR="005F7359" w:rsidRPr="00302505" w:rsidRDefault="005F7359"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Pr>
                <w:rFonts w:ascii="Arial Narrow" w:hAnsi="Arial Narrow"/>
                <w:color w:val="000000"/>
                <w:sz w:val="18"/>
              </w:rPr>
              <w:t>79%</w:t>
            </w:r>
          </w:p>
          <w:p w14:paraId="01D4FF4A" w14:textId="77777777" w:rsidR="005F7359" w:rsidRPr="00302505" w:rsidRDefault="005F7359"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p>
        </w:tc>
      </w:tr>
      <w:tr w:rsidR="005F7359" w:rsidRPr="00302505" w14:paraId="6861E555" w14:textId="77777777" w:rsidTr="00A9506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70" w:type="dxa"/>
            <w:noWrap/>
            <w:hideMark/>
          </w:tcPr>
          <w:p w14:paraId="6CD56D1C" w14:textId="77777777" w:rsidR="005F7359" w:rsidRPr="00302505" w:rsidRDefault="005F7359" w:rsidP="00A9506F">
            <w:pPr>
              <w:jc w:val="right"/>
              <w:rPr>
                <w:b w:val="0"/>
                <w:bCs w:val="0"/>
                <w:color w:val="000000"/>
                <w:sz w:val="18"/>
                <w:szCs w:val="18"/>
              </w:rPr>
            </w:pPr>
            <w:r>
              <w:rPr>
                <w:b w:val="0"/>
                <w:color w:val="000000"/>
                <w:sz w:val="18"/>
              </w:rPr>
              <w:t xml:space="preserve"> Итого </w:t>
            </w:r>
          </w:p>
        </w:tc>
        <w:tc>
          <w:tcPr>
            <w:tcW w:w="1347" w:type="dxa"/>
            <w:hideMark/>
          </w:tcPr>
          <w:p w14:paraId="52C7C335"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Pr>
                <w:rFonts w:ascii="Arial Narrow" w:hAnsi="Arial Narrow"/>
                <w:color w:val="000000"/>
                <w:sz w:val="18"/>
              </w:rPr>
              <w:t>5 191 421</w:t>
            </w:r>
          </w:p>
        </w:tc>
        <w:tc>
          <w:tcPr>
            <w:tcW w:w="1347" w:type="dxa"/>
            <w:hideMark/>
          </w:tcPr>
          <w:p w14:paraId="5498A1CB"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Pr>
                <w:rFonts w:ascii="Arial Narrow" w:hAnsi="Arial Narrow"/>
                <w:color w:val="000000"/>
                <w:sz w:val="18"/>
              </w:rPr>
              <w:t>5 270 499</w:t>
            </w:r>
          </w:p>
        </w:tc>
        <w:tc>
          <w:tcPr>
            <w:tcW w:w="1730" w:type="dxa"/>
            <w:hideMark/>
          </w:tcPr>
          <w:p w14:paraId="7E83C4E8"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highlight w:val="yellow"/>
              </w:rPr>
            </w:pPr>
            <w:r>
              <w:rPr>
                <w:rFonts w:ascii="Arial Narrow" w:hAnsi="Arial Narrow"/>
                <w:color w:val="000000"/>
                <w:sz w:val="18"/>
              </w:rPr>
              <w:t>5 267 741</w:t>
            </w:r>
          </w:p>
        </w:tc>
        <w:tc>
          <w:tcPr>
            <w:tcW w:w="1730" w:type="dxa"/>
          </w:tcPr>
          <w:p w14:paraId="2025E228" w14:textId="77777777" w:rsidR="005F7359" w:rsidRPr="00302505" w:rsidRDefault="005F7359" w:rsidP="00A9506F">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r>
              <w:rPr>
                <w:rFonts w:ascii="Arial Narrow" w:hAnsi="Arial Narrow"/>
                <w:color w:val="000000"/>
                <w:sz w:val="18"/>
              </w:rPr>
              <w:t>100%</w:t>
            </w:r>
          </w:p>
        </w:tc>
      </w:tr>
      <w:tr w:rsidR="005F7359" w:rsidRPr="00302505" w14:paraId="699148A5" w14:textId="77777777" w:rsidTr="00A9506F">
        <w:trPr>
          <w:trHeight w:val="225"/>
        </w:trPr>
        <w:tc>
          <w:tcPr>
            <w:cnfStyle w:val="001000000000" w:firstRow="0" w:lastRow="0" w:firstColumn="1" w:lastColumn="0" w:oddVBand="0" w:evenVBand="0" w:oddHBand="0" w:evenHBand="0" w:firstRowFirstColumn="0" w:firstRowLastColumn="0" w:lastRowFirstColumn="0" w:lastRowLastColumn="0"/>
            <w:tcW w:w="2470" w:type="dxa"/>
            <w:noWrap/>
          </w:tcPr>
          <w:p w14:paraId="0EA7CEB1" w14:textId="77777777" w:rsidR="005F7359" w:rsidRPr="00302505" w:rsidRDefault="005F7359" w:rsidP="00A9506F">
            <w:pPr>
              <w:rPr>
                <w:color w:val="000000"/>
                <w:sz w:val="18"/>
                <w:szCs w:val="18"/>
              </w:rPr>
            </w:pPr>
            <w:r>
              <w:rPr>
                <w:color w:val="000000"/>
                <w:sz w:val="18"/>
              </w:rPr>
              <w:t>ОВН в % от общего бюджета ВОИС</w:t>
            </w:r>
          </w:p>
        </w:tc>
        <w:tc>
          <w:tcPr>
            <w:tcW w:w="1347" w:type="dxa"/>
          </w:tcPr>
          <w:p w14:paraId="56B1037D" w14:textId="77777777" w:rsidR="005F7359" w:rsidRPr="00302505" w:rsidRDefault="005F7359"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Pr>
                <w:rFonts w:ascii="Arial Narrow" w:hAnsi="Arial Narrow"/>
                <w:color w:val="000000"/>
                <w:sz w:val="18"/>
              </w:rPr>
              <w:t>0,68%</w:t>
            </w:r>
          </w:p>
        </w:tc>
        <w:tc>
          <w:tcPr>
            <w:tcW w:w="1347" w:type="dxa"/>
          </w:tcPr>
          <w:p w14:paraId="5FDFAC2C" w14:textId="77777777" w:rsidR="005F7359" w:rsidRPr="00302505" w:rsidDel="000225E7" w:rsidRDefault="005F7359"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Pr>
                <w:rFonts w:ascii="Arial Narrow" w:hAnsi="Arial Narrow"/>
                <w:color w:val="000000"/>
                <w:sz w:val="18"/>
              </w:rPr>
              <w:t>0,69%</w:t>
            </w:r>
          </w:p>
        </w:tc>
        <w:tc>
          <w:tcPr>
            <w:tcW w:w="1730" w:type="dxa"/>
          </w:tcPr>
          <w:p w14:paraId="22DD050E" w14:textId="77777777" w:rsidR="005F7359" w:rsidRPr="00302505" w:rsidDel="000225E7" w:rsidRDefault="005F7359"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Pr>
                <w:rFonts w:ascii="Arial Narrow" w:hAnsi="Arial Narrow"/>
                <w:color w:val="000000"/>
                <w:sz w:val="18"/>
              </w:rPr>
              <w:t>0,78%</w:t>
            </w:r>
          </w:p>
        </w:tc>
        <w:tc>
          <w:tcPr>
            <w:tcW w:w="1730" w:type="dxa"/>
          </w:tcPr>
          <w:p w14:paraId="1417A13C" w14:textId="77777777" w:rsidR="005F7359" w:rsidRPr="00302505" w:rsidDel="000225E7" w:rsidRDefault="005F7359" w:rsidP="00A9506F">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p>
        </w:tc>
      </w:tr>
    </w:tbl>
    <w:p w14:paraId="59024528" w14:textId="6247CDD8" w:rsidR="00C46B12" w:rsidRPr="00E32ADE" w:rsidRDefault="00C46B12" w:rsidP="002F07CD">
      <w:pPr>
        <w:pStyle w:val="Heading2"/>
      </w:pPr>
      <w:r>
        <w:t>Профессиональная подготовка и постоянное повышение квалификации</w:t>
      </w:r>
    </w:p>
    <w:p w14:paraId="4723FE93" w14:textId="627A0C10" w:rsidR="00C46B12" w:rsidRDefault="003038D9" w:rsidP="002C23BF">
      <w:pPr>
        <w:pStyle w:val="ONUME"/>
      </w:pPr>
      <w:r>
        <w:t xml:space="preserve">Постоянное повышение квалификации персонала </w:t>
      </w:r>
      <w:r w:rsidR="00874DB9">
        <w:t>ОВН</w:t>
      </w:r>
      <w:r>
        <w:t xml:space="preserve"> крайне важно для того, чтобы </w:t>
      </w:r>
      <w:r w:rsidR="00874DB9">
        <w:t>отдел</w:t>
      </w:r>
      <w:r>
        <w:t xml:space="preserve"> мог выполнять свою работу и эффективн</w:t>
      </w:r>
      <w:r w:rsidR="00E7405F">
        <w:t>о оказывать услуги Организации.</w:t>
      </w:r>
      <w:r>
        <w:t xml:space="preserve"> В соответствии с требованиями политики ВОИС в области профессиональной подготовки сотрудники ОВН принимали участие в различных обучающих мероприятиях для приобретения новых знаний, технических навыков и других умений в интересах повышения эффективности и результативности оперативной деяте</w:t>
      </w:r>
      <w:r w:rsidR="00E7405F">
        <w:t>льности ОВН в области надзора.</w:t>
      </w:r>
    </w:p>
    <w:p w14:paraId="4AEA2E96" w14:textId="40E5D9F0" w:rsidR="00044A42" w:rsidRDefault="00C46B12" w:rsidP="00044A42">
      <w:pPr>
        <w:pStyle w:val="ONUME"/>
      </w:pPr>
      <w:r>
        <w:t>В среднем каждый сотрудник ОВН в течении 10 дней проходил</w:t>
      </w:r>
      <w:r w:rsidR="00E84E40">
        <w:t xml:space="preserve"> обучени</w:t>
      </w:r>
      <w:r w:rsidR="00E7423D">
        <w:t>е</w:t>
      </w:r>
      <w:r w:rsidR="00E84E40">
        <w:t xml:space="preserve"> по таким темам, как: а</w:t>
      </w:r>
      <w:r>
        <w:t>нализ и представление данных, принятие решений, прикладная нейронаука, аналитика ACL, аналитика TeamMate, сертификаты внутреннего аудита, онлайн-исследования, новые технологии, комплексная финансовая отчетность, COBIT 5, кибербезопасность и на</w:t>
      </w:r>
      <w:r w:rsidR="00E7405F">
        <w:t>выки проведения собеседований.</w:t>
      </w:r>
    </w:p>
    <w:p w14:paraId="1509FA86" w14:textId="77777777" w:rsidR="00044A42" w:rsidRPr="002150AF" w:rsidRDefault="002150AF" w:rsidP="002150AF">
      <w:pPr>
        <w:pStyle w:val="Heading2"/>
      </w:pPr>
      <w:r>
        <w:t>Опросы о качестве обслуживания</w:t>
      </w:r>
    </w:p>
    <w:p w14:paraId="3ADCABD7" w14:textId="6552210B" w:rsidR="00044A42" w:rsidRPr="00C37A90" w:rsidRDefault="00044A42" w:rsidP="00044A42">
      <w:pPr>
        <w:pStyle w:val="ONUME"/>
      </w:pPr>
      <w:r>
        <w:t xml:space="preserve">ОВН продолжал запрашивать комментарии коллег из прошедших аудиторскую проверку/оценку </w:t>
      </w:r>
      <w:r w:rsidR="00874DB9">
        <w:t xml:space="preserve">организационных </w:t>
      </w:r>
      <w:r>
        <w:t>подразделений ВОИС посредством проведения опросов о степени удовлетворенности после ка</w:t>
      </w:r>
      <w:r w:rsidR="00E7405F">
        <w:t>ждого проведенного мероприятия.</w:t>
      </w:r>
      <w:r>
        <w:t xml:space="preserve"> Цель этой работы заключается в эффективном сборе и анализе отз</w:t>
      </w:r>
      <w:r w:rsidR="00E7405F">
        <w:t>ывов коллег о надзорной работе.</w:t>
      </w:r>
      <w:r>
        <w:t xml:space="preserve"> По состоянию на конец 2021 г. комплексный анализ результатов опросов показывает индекс удовлетворе</w:t>
      </w:r>
      <w:r w:rsidR="00E7405F">
        <w:t>нности в размере 83 процентов.</w:t>
      </w:r>
    </w:p>
    <w:p w14:paraId="3EB923AF" w14:textId="7C3F772F" w:rsidR="00C53813" w:rsidRDefault="00044A42" w:rsidP="00044A42">
      <w:pPr>
        <w:pStyle w:val="ONUME"/>
      </w:pPr>
      <w:r>
        <w:t>По результатам опросов, проведенных через год после</w:t>
      </w:r>
      <w:r w:rsidR="00874DB9">
        <w:t xml:space="preserve"> завершения</w:t>
      </w:r>
      <w:r>
        <w:t xml:space="preserve"> мероприяти</w:t>
      </w:r>
      <w:r w:rsidR="00874DB9">
        <w:t>й</w:t>
      </w:r>
      <w:r>
        <w:t>, которые используются для оценки воздействия надзорной работы, средний индекс удовлетворен</w:t>
      </w:r>
      <w:r w:rsidR="00E7405F">
        <w:t>ности составляет 80 процентов.</w:t>
      </w:r>
    </w:p>
    <w:p w14:paraId="2E5D8560" w14:textId="627D74AC" w:rsidR="006D40D5" w:rsidRPr="00C37A90" w:rsidRDefault="00C53813" w:rsidP="006D40D5">
      <w:pPr>
        <w:pStyle w:val="ONUME"/>
      </w:pPr>
      <w:r>
        <w:lastRenderedPageBreak/>
        <w:t>Дополнительные комментарии, полученные в ходе опросов от подразделений, в которых была проведена аудиторская проверка или оценка, помогли ОВН выявить недостатки и</w:t>
      </w:r>
      <w:r w:rsidR="00E7405F">
        <w:t xml:space="preserve"> принять меры по их устранению.</w:t>
      </w:r>
      <w:r>
        <w:t xml:space="preserve"> Основываясь на полученных отзывах, ОВН будет стремиться к дальнейшему увеличению степени воздействия своей надзорной деятельности.</w:t>
      </w:r>
    </w:p>
    <w:p w14:paraId="25BACC70" w14:textId="77777777" w:rsidR="007C3613" w:rsidRPr="002150AF" w:rsidRDefault="002150AF" w:rsidP="002150AF">
      <w:pPr>
        <w:pStyle w:val="Heading2"/>
      </w:pPr>
      <w:r>
        <w:t>Периодические внутренние и внешние оценки</w:t>
      </w:r>
    </w:p>
    <w:p w14:paraId="0A41B9F6" w14:textId="0487B1AA" w:rsidR="002F07CD" w:rsidRDefault="007C3613" w:rsidP="00BE1D92">
      <w:pPr>
        <w:pStyle w:val="ONUME"/>
      </w:pPr>
      <w:r>
        <w:t>Каждое подразделение ОВН проходит самооценку раз в два года и/или внешнюю оценку раз в пять лет, чтобы убедиться в том, что подразделения ОВН выполняют свои обязанности эффективно и результативно в соответствии с применимыми стандартами, профессиональной практикой и соответствующим этическим к</w:t>
      </w:r>
      <w:r w:rsidR="00E7405F">
        <w:t>одексом.</w:t>
      </w:r>
      <w:r>
        <w:t xml:space="preserve"> Элементы программы обеспечения качества ОВН содержатся в соответствующих руководствах, руководящих прин</w:t>
      </w:r>
      <w:r w:rsidR="00E7405F">
        <w:t>ципах и оперативных процедурах.</w:t>
      </w:r>
      <w:r>
        <w:t xml:space="preserve"> Результаты внешней оценки, проведенной для каждой функции ОД, были представлены в годовом отчете за 2020 г., соответств</w:t>
      </w:r>
      <w:r w:rsidR="00E7405F">
        <w:t>ующие рекомендации выполняются.</w:t>
      </w:r>
      <w:r>
        <w:t xml:space="preserve"> В 2021 г. внешняя оценка не проводилась, следующая двухгодичная самооценка функции внутреннего аудита запланирована на начало 2023 г. и бу</w:t>
      </w:r>
      <w:r w:rsidR="00E7405F">
        <w:t>дет охватывать 2021 и 2022 гг.</w:t>
      </w:r>
    </w:p>
    <w:p w14:paraId="7A654FDD" w14:textId="12CBDBCC" w:rsidR="007D131F" w:rsidRDefault="007D131F" w:rsidP="007D131F">
      <w:pPr>
        <w:keepLines/>
        <w:tabs>
          <w:tab w:val="left" w:pos="5529"/>
        </w:tabs>
        <w:ind w:firstLine="5529"/>
      </w:pPr>
      <w:r>
        <w:t>[Приложение следует]</w:t>
      </w:r>
    </w:p>
    <w:p w14:paraId="1BB5DA7B" w14:textId="77777777" w:rsidR="00C46B12" w:rsidRDefault="00C46B12" w:rsidP="007D131F">
      <w:pPr>
        <w:keepLines/>
        <w:tabs>
          <w:tab w:val="left" w:pos="5529"/>
          <w:tab w:val="left" w:pos="6930"/>
          <w:tab w:val="right" w:pos="9355"/>
        </w:tabs>
      </w:pPr>
    </w:p>
    <w:p w14:paraId="2A8B6AA4" w14:textId="77777777" w:rsidR="00C46B12" w:rsidRDefault="00C46B12" w:rsidP="00C46B12">
      <w:pPr>
        <w:pStyle w:val="ONUME"/>
        <w:keepLines/>
        <w:numPr>
          <w:ilvl w:val="0"/>
          <w:numId w:val="0"/>
        </w:numPr>
        <w:jc w:val="right"/>
        <w:sectPr w:rsidR="00C46B12" w:rsidSect="00E60513">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305" w:right="1134" w:bottom="1418" w:left="1418" w:header="510" w:footer="1021" w:gutter="0"/>
          <w:pgNumType w:start="1"/>
          <w:cols w:space="720"/>
          <w:titlePg/>
          <w:docGrid w:linePitch="299"/>
        </w:sectPr>
      </w:pPr>
    </w:p>
    <w:p w14:paraId="4186D3C5" w14:textId="77777777" w:rsidR="00C46B12" w:rsidRDefault="00994D8C" w:rsidP="0010783D">
      <w:pPr>
        <w:keepLines/>
        <w:spacing w:after="120"/>
        <w:jc w:val="center"/>
      </w:pPr>
      <w:r>
        <w:rPr>
          <w:b/>
        </w:rPr>
        <w:lastRenderedPageBreak/>
        <w:t>ПРИЛОЖЕНИЕ – Перечень отчетов ОВН</w:t>
      </w:r>
    </w:p>
    <w:tbl>
      <w:tblPr>
        <w:tblStyle w:val="TableGridLight"/>
        <w:tblW w:w="0" w:type="auto"/>
        <w:tblLook w:val="04A0" w:firstRow="1" w:lastRow="0" w:firstColumn="1" w:lastColumn="0" w:noHBand="0" w:noVBand="1"/>
        <w:tblCaption w:val="Приложение"/>
        <w:tblDescription w:val="Перечень отчетов ОВН с 1 января по 31 декабря 2021 г.&#10;"/>
      </w:tblPr>
      <w:tblGrid>
        <w:gridCol w:w="7508"/>
        <w:gridCol w:w="1837"/>
      </w:tblGrid>
      <w:tr w:rsidR="00783303" w:rsidRPr="00427FB1" w14:paraId="210CE5DF" w14:textId="77777777" w:rsidTr="00783303">
        <w:trPr>
          <w:trHeight w:val="851"/>
          <w:tblHeader/>
        </w:trPr>
        <w:tc>
          <w:tcPr>
            <w:tcW w:w="7508" w:type="dxa"/>
            <w:shd w:val="clear" w:color="auto" w:fill="D9D9D9" w:themeFill="background1" w:themeFillShade="D9"/>
            <w:vAlign w:val="center"/>
          </w:tcPr>
          <w:p w14:paraId="6C76FD43" w14:textId="77777777" w:rsidR="00783303" w:rsidRPr="00721BDA" w:rsidRDefault="00783303" w:rsidP="0010783D">
            <w:pPr>
              <w:pStyle w:val="ONUME"/>
              <w:numPr>
                <w:ilvl w:val="0"/>
                <w:numId w:val="0"/>
              </w:numPr>
              <w:spacing w:after="240"/>
              <w:rPr>
                <w:rFonts w:eastAsia="Times New Roman"/>
                <w:color w:val="000000"/>
                <w:sz w:val="24"/>
                <w:szCs w:val="24"/>
              </w:rPr>
            </w:pPr>
            <w:r>
              <w:rPr>
                <w:b/>
                <w:bCs/>
              </w:rPr>
              <w:t>Отчеты ОВН, выпущенные в период с 1 января 2021 г. по 31 декабря 2021 г.</w:t>
            </w:r>
          </w:p>
        </w:tc>
        <w:tc>
          <w:tcPr>
            <w:tcW w:w="1837" w:type="dxa"/>
            <w:shd w:val="clear" w:color="auto" w:fill="D9D9D9" w:themeFill="background1" w:themeFillShade="D9"/>
            <w:vAlign w:val="center"/>
          </w:tcPr>
          <w:p w14:paraId="2BDEE53B" w14:textId="77777777" w:rsidR="00783303" w:rsidRPr="00783303" w:rsidRDefault="00783303" w:rsidP="00721BDA">
            <w:pPr>
              <w:pStyle w:val="ONUME"/>
              <w:numPr>
                <w:ilvl w:val="0"/>
                <w:numId w:val="0"/>
              </w:numPr>
              <w:ind w:left="34"/>
              <w:jc w:val="center"/>
              <w:rPr>
                <w:rFonts w:eastAsia="Times New Roman"/>
                <w:b/>
                <w:color w:val="000000"/>
                <w:sz w:val="24"/>
                <w:szCs w:val="24"/>
              </w:rPr>
            </w:pPr>
            <w:r>
              <w:rPr>
                <w:b/>
                <w:color w:val="000000"/>
                <w:sz w:val="24"/>
              </w:rPr>
              <w:t>Ref.</w:t>
            </w:r>
          </w:p>
        </w:tc>
      </w:tr>
      <w:tr w:rsidR="00FF003D" w:rsidRPr="00BF10D3" w14:paraId="723560B3" w14:textId="77777777" w:rsidTr="0010783D">
        <w:trPr>
          <w:trHeight w:val="584"/>
          <w:tblHeader/>
        </w:trPr>
        <w:tc>
          <w:tcPr>
            <w:tcW w:w="7508" w:type="dxa"/>
            <w:vAlign w:val="center"/>
          </w:tcPr>
          <w:p w14:paraId="06DB62E6" w14:textId="77777777" w:rsidR="00FF003D" w:rsidRPr="00BF10D3" w:rsidRDefault="00721BDA" w:rsidP="00267852">
            <w:pPr>
              <w:pStyle w:val="ONUME"/>
              <w:numPr>
                <w:ilvl w:val="0"/>
                <w:numId w:val="0"/>
              </w:numPr>
              <w:jc w:val="center"/>
              <w:rPr>
                <w:szCs w:val="22"/>
              </w:rPr>
            </w:pPr>
            <w:r w:rsidRPr="00BF10D3">
              <w:rPr>
                <w:color w:val="000000"/>
                <w:szCs w:val="22"/>
              </w:rPr>
              <w:t>Аудит и оценка соблюдения принципов профессиональной этики в вопросе об отсутствии сотрудников на рабочих местах</w:t>
            </w:r>
          </w:p>
        </w:tc>
        <w:tc>
          <w:tcPr>
            <w:tcW w:w="1837" w:type="dxa"/>
            <w:vAlign w:val="center"/>
          </w:tcPr>
          <w:p w14:paraId="296DBE97" w14:textId="77777777" w:rsidR="00FF003D" w:rsidRPr="00BF10D3" w:rsidRDefault="00FF003D" w:rsidP="00721BDA">
            <w:pPr>
              <w:pStyle w:val="ONUME"/>
              <w:numPr>
                <w:ilvl w:val="0"/>
                <w:numId w:val="0"/>
              </w:numPr>
              <w:ind w:left="34"/>
              <w:jc w:val="center"/>
              <w:rPr>
                <w:szCs w:val="22"/>
              </w:rPr>
            </w:pPr>
            <w:r w:rsidRPr="00BF10D3">
              <w:rPr>
                <w:color w:val="000000"/>
                <w:szCs w:val="22"/>
              </w:rPr>
              <w:t>IA 2020-02</w:t>
            </w:r>
          </w:p>
        </w:tc>
      </w:tr>
      <w:tr w:rsidR="00FF003D" w:rsidRPr="00BF10D3" w14:paraId="4832E85E" w14:textId="77777777" w:rsidTr="0010783D">
        <w:trPr>
          <w:trHeight w:val="620"/>
        </w:trPr>
        <w:tc>
          <w:tcPr>
            <w:tcW w:w="7508" w:type="dxa"/>
            <w:vAlign w:val="center"/>
          </w:tcPr>
          <w:p w14:paraId="04CB9590" w14:textId="30ED1C4A" w:rsidR="00FF003D" w:rsidRPr="00BF10D3" w:rsidRDefault="00313912" w:rsidP="00267852">
            <w:pPr>
              <w:pStyle w:val="ONUME"/>
              <w:numPr>
                <w:ilvl w:val="0"/>
                <w:numId w:val="0"/>
              </w:numPr>
              <w:jc w:val="center"/>
              <w:rPr>
                <w:rFonts w:eastAsia="Times New Roman"/>
                <w:color w:val="3B3B3B"/>
                <w:szCs w:val="22"/>
              </w:rPr>
            </w:pPr>
            <w:r w:rsidRPr="00BF10D3">
              <w:rPr>
                <w:szCs w:val="22"/>
              </w:rPr>
              <w:t>Проверка ситуации в области кибербезопасности в ВОИС</w:t>
            </w:r>
          </w:p>
        </w:tc>
        <w:tc>
          <w:tcPr>
            <w:tcW w:w="1837" w:type="dxa"/>
            <w:vAlign w:val="center"/>
          </w:tcPr>
          <w:p w14:paraId="11356366" w14:textId="77777777" w:rsidR="00FF003D" w:rsidRPr="00BF10D3" w:rsidRDefault="00FF003D" w:rsidP="00267852">
            <w:pPr>
              <w:pStyle w:val="ONUME"/>
              <w:numPr>
                <w:ilvl w:val="0"/>
                <w:numId w:val="0"/>
              </w:numPr>
              <w:ind w:left="34"/>
              <w:jc w:val="center"/>
              <w:rPr>
                <w:rFonts w:eastAsia="Times New Roman"/>
                <w:color w:val="000000"/>
                <w:szCs w:val="22"/>
              </w:rPr>
            </w:pPr>
            <w:r w:rsidRPr="00BF10D3">
              <w:rPr>
                <w:color w:val="000000"/>
                <w:szCs w:val="22"/>
              </w:rPr>
              <w:t>IA 2020-04</w:t>
            </w:r>
          </w:p>
        </w:tc>
      </w:tr>
      <w:tr w:rsidR="00FF003D" w:rsidRPr="00BF10D3" w14:paraId="3B1B8F0B" w14:textId="77777777" w:rsidTr="0010783D">
        <w:trPr>
          <w:trHeight w:val="620"/>
        </w:trPr>
        <w:tc>
          <w:tcPr>
            <w:tcW w:w="7508" w:type="dxa"/>
            <w:vAlign w:val="center"/>
          </w:tcPr>
          <w:p w14:paraId="64092D59" w14:textId="77777777" w:rsidR="00FF003D" w:rsidRPr="00BF10D3" w:rsidRDefault="00C4224C" w:rsidP="00FF003D">
            <w:pPr>
              <w:pStyle w:val="ONUME"/>
              <w:numPr>
                <w:ilvl w:val="0"/>
                <w:numId w:val="0"/>
              </w:numPr>
              <w:jc w:val="center"/>
              <w:rPr>
                <w:szCs w:val="22"/>
              </w:rPr>
            </w:pPr>
            <w:r w:rsidRPr="00BF10D3">
              <w:rPr>
                <w:color w:val="000000"/>
                <w:szCs w:val="22"/>
              </w:rPr>
              <w:t>Обзор кризисного управления ВОИС во время пандемии</w:t>
            </w:r>
          </w:p>
        </w:tc>
        <w:tc>
          <w:tcPr>
            <w:tcW w:w="1837" w:type="dxa"/>
            <w:vAlign w:val="center"/>
          </w:tcPr>
          <w:p w14:paraId="4F1D88F2" w14:textId="77777777" w:rsidR="00FF003D" w:rsidRPr="00BF10D3" w:rsidRDefault="00FF003D" w:rsidP="00D77D44">
            <w:pPr>
              <w:pStyle w:val="ONUME"/>
              <w:numPr>
                <w:ilvl w:val="0"/>
                <w:numId w:val="0"/>
              </w:numPr>
              <w:ind w:left="34"/>
              <w:jc w:val="center"/>
              <w:rPr>
                <w:szCs w:val="22"/>
              </w:rPr>
            </w:pPr>
            <w:r w:rsidRPr="00BF10D3">
              <w:rPr>
                <w:color w:val="000000"/>
                <w:szCs w:val="22"/>
              </w:rPr>
              <w:t>IA 2020-05</w:t>
            </w:r>
          </w:p>
        </w:tc>
      </w:tr>
      <w:tr w:rsidR="00783303" w:rsidRPr="00BF10D3" w14:paraId="613F7983" w14:textId="77777777" w:rsidTr="0010783D">
        <w:trPr>
          <w:trHeight w:val="620"/>
        </w:trPr>
        <w:tc>
          <w:tcPr>
            <w:tcW w:w="7508" w:type="dxa"/>
            <w:vAlign w:val="center"/>
          </w:tcPr>
          <w:p w14:paraId="2B4B7EC0" w14:textId="2D6794FE" w:rsidR="00783303" w:rsidRPr="00BF10D3" w:rsidRDefault="00313912" w:rsidP="00267852">
            <w:pPr>
              <w:pStyle w:val="ONUME"/>
              <w:numPr>
                <w:ilvl w:val="0"/>
                <w:numId w:val="0"/>
              </w:numPr>
              <w:jc w:val="center"/>
              <w:rPr>
                <w:rFonts w:eastAsia="Times New Roman"/>
                <w:color w:val="000000"/>
                <w:szCs w:val="22"/>
              </w:rPr>
            </w:pPr>
            <w:r w:rsidRPr="00BF10D3">
              <w:rPr>
                <w:color w:val="000000"/>
                <w:szCs w:val="22"/>
              </w:rPr>
              <w:t>Обзор системы управления служебной деятельностью и повышения квалификации сотрудников</w:t>
            </w:r>
            <w:r w:rsidR="00783303" w:rsidRPr="00BF10D3">
              <w:rPr>
                <w:color w:val="000000"/>
                <w:szCs w:val="22"/>
              </w:rPr>
              <w:t xml:space="preserve"> ВОИС</w:t>
            </w:r>
          </w:p>
        </w:tc>
        <w:tc>
          <w:tcPr>
            <w:tcW w:w="1837" w:type="dxa"/>
            <w:vAlign w:val="center"/>
          </w:tcPr>
          <w:p w14:paraId="0A4A58DB" w14:textId="77777777" w:rsidR="00783303" w:rsidRPr="00BF10D3" w:rsidRDefault="00783303" w:rsidP="001C0BFD">
            <w:pPr>
              <w:pStyle w:val="ONUME"/>
              <w:numPr>
                <w:ilvl w:val="0"/>
                <w:numId w:val="0"/>
              </w:numPr>
              <w:ind w:left="34"/>
              <w:jc w:val="center"/>
              <w:rPr>
                <w:rFonts w:eastAsia="Times New Roman"/>
                <w:color w:val="000000"/>
                <w:szCs w:val="22"/>
              </w:rPr>
            </w:pPr>
            <w:r w:rsidRPr="00BF10D3">
              <w:rPr>
                <w:color w:val="000000"/>
                <w:szCs w:val="22"/>
              </w:rPr>
              <w:t>IA 2021-06</w:t>
            </w:r>
          </w:p>
        </w:tc>
      </w:tr>
      <w:tr w:rsidR="001C0BFD" w:rsidRPr="00BF10D3" w14:paraId="3581FB3F" w14:textId="77777777" w:rsidTr="0010783D">
        <w:trPr>
          <w:trHeight w:val="647"/>
        </w:trPr>
        <w:tc>
          <w:tcPr>
            <w:tcW w:w="7508" w:type="dxa"/>
            <w:vAlign w:val="center"/>
          </w:tcPr>
          <w:p w14:paraId="5B257A05" w14:textId="29AFFDC1" w:rsidR="001C0BFD" w:rsidRPr="00BF10D3" w:rsidRDefault="001C0BFD" w:rsidP="00313912">
            <w:pPr>
              <w:pStyle w:val="ONUME"/>
              <w:numPr>
                <w:ilvl w:val="0"/>
                <w:numId w:val="0"/>
              </w:numPr>
              <w:jc w:val="center"/>
              <w:rPr>
                <w:rFonts w:eastAsia="Times New Roman"/>
                <w:color w:val="000000"/>
                <w:szCs w:val="22"/>
              </w:rPr>
            </w:pPr>
            <w:r w:rsidRPr="00BF10D3">
              <w:rPr>
                <w:color w:val="000000"/>
                <w:szCs w:val="22"/>
              </w:rPr>
              <w:t xml:space="preserve">Оценка деятельности </w:t>
            </w:r>
            <w:r w:rsidR="00313912" w:rsidRPr="00BF10D3">
              <w:rPr>
                <w:color w:val="000000"/>
                <w:szCs w:val="22"/>
              </w:rPr>
              <w:t>Регионального о</w:t>
            </w:r>
            <w:r w:rsidRPr="00BF10D3">
              <w:rPr>
                <w:color w:val="000000"/>
                <w:szCs w:val="22"/>
              </w:rPr>
              <w:t>тдела арабских стран</w:t>
            </w:r>
          </w:p>
        </w:tc>
        <w:tc>
          <w:tcPr>
            <w:tcW w:w="1837" w:type="dxa"/>
            <w:vAlign w:val="center"/>
          </w:tcPr>
          <w:p w14:paraId="47C6ED14" w14:textId="77777777" w:rsidR="001C0BFD" w:rsidRPr="00BF10D3" w:rsidRDefault="001C0BFD" w:rsidP="001C0BFD">
            <w:pPr>
              <w:pStyle w:val="ONUME"/>
              <w:numPr>
                <w:ilvl w:val="0"/>
                <w:numId w:val="0"/>
              </w:numPr>
              <w:ind w:left="34"/>
              <w:jc w:val="center"/>
              <w:rPr>
                <w:rFonts w:eastAsia="Times New Roman"/>
                <w:color w:val="000000"/>
                <w:szCs w:val="22"/>
              </w:rPr>
            </w:pPr>
            <w:r w:rsidRPr="00BF10D3">
              <w:rPr>
                <w:color w:val="000000"/>
                <w:szCs w:val="22"/>
              </w:rPr>
              <w:t>EVAL 2020-01</w:t>
            </w:r>
          </w:p>
        </w:tc>
      </w:tr>
      <w:tr w:rsidR="001C0BFD" w:rsidRPr="00BF10D3" w14:paraId="497B46DD" w14:textId="77777777" w:rsidTr="0010783D">
        <w:trPr>
          <w:trHeight w:val="530"/>
        </w:trPr>
        <w:tc>
          <w:tcPr>
            <w:tcW w:w="7508" w:type="dxa"/>
            <w:vAlign w:val="center"/>
          </w:tcPr>
          <w:p w14:paraId="569077B4" w14:textId="77777777" w:rsidR="001C0BFD" w:rsidRPr="00BF10D3" w:rsidRDefault="001C0BFD" w:rsidP="00267852">
            <w:pPr>
              <w:pStyle w:val="ONUME"/>
              <w:numPr>
                <w:ilvl w:val="0"/>
                <w:numId w:val="0"/>
              </w:numPr>
              <w:jc w:val="center"/>
              <w:rPr>
                <w:rFonts w:eastAsia="Times New Roman"/>
                <w:color w:val="000000"/>
                <w:szCs w:val="22"/>
              </w:rPr>
            </w:pPr>
            <w:r w:rsidRPr="00BF10D3">
              <w:rPr>
                <w:color w:val="000000"/>
                <w:szCs w:val="22"/>
              </w:rPr>
              <w:t>Оценка WIPO Match</w:t>
            </w:r>
          </w:p>
        </w:tc>
        <w:tc>
          <w:tcPr>
            <w:tcW w:w="1837" w:type="dxa"/>
            <w:vAlign w:val="center"/>
          </w:tcPr>
          <w:p w14:paraId="7F4D09BB" w14:textId="77777777" w:rsidR="001C0BFD" w:rsidRPr="00BF10D3" w:rsidRDefault="001C0BFD" w:rsidP="00D845F1">
            <w:pPr>
              <w:pStyle w:val="ONUME"/>
              <w:numPr>
                <w:ilvl w:val="0"/>
                <w:numId w:val="0"/>
              </w:numPr>
              <w:ind w:left="34"/>
              <w:jc w:val="center"/>
              <w:rPr>
                <w:rFonts w:eastAsia="Times New Roman"/>
                <w:color w:val="000000"/>
                <w:szCs w:val="22"/>
              </w:rPr>
            </w:pPr>
            <w:r w:rsidRPr="00BF10D3">
              <w:rPr>
                <w:color w:val="000000"/>
                <w:szCs w:val="22"/>
              </w:rPr>
              <w:t>EVAL 2020-05</w:t>
            </w:r>
          </w:p>
        </w:tc>
      </w:tr>
      <w:tr w:rsidR="001C0BFD" w:rsidRPr="00BF10D3" w14:paraId="4AB10382" w14:textId="77777777" w:rsidTr="0010783D">
        <w:trPr>
          <w:trHeight w:val="620"/>
        </w:trPr>
        <w:tc>
          <w:tcPr>
            <w:tcW w:w="7508" w:type="dxa"/>
            <w:vAlign w:val="center"/>
          </w:tcPr>
          <w:p w14:paraId="195A76E9" w14:textId="64777C55" w:rsidR="001C0BFD" w:rsidRPr="00BF10D3" w:rsidRDefault="001C0BFD" w:rsidP="00267852">
            <w:pPr>
              <w:pStyle w:val="ONUME"/>
              <w:numPr>
                <w:ilvl w:val="0"/>
                <w:numId w:val="0"/>
              </w:numPr>
              <w:jc w:val="center"/>
              <w:rPr>
                <w:rFonts w:eastAsia="Times New Roman"/>
                <w:color w:val="000000"/>
                <w:szCs w:val="22"/>
              </w:rPr>
            </w:pPr>
            <w:r w:rsidRPr="00BF10D3">
              <w:rPr>
                <w:color w:val="000000"/>
                <w:szCs w:val="22"/>
              </w:rPr>
              <w:t xml:space="preserve">Оценка использования и влияния рекомендаций Секции оценки ОВН </w:t>
            </w:r>
          </w:p>
        </w:tc>
        <w:tc>
          <w:tcPr>
            <w:tcW w:w="1837" w:type="dxa"/>
            <w:vAlign w:val="center"/>
          </w:tcPr>
          <w:p w14:paraId="3E908E54" w14:textId="77777777" w:rsidR="001C0BFD" w:rsidRPr="00BF10D3" w:rsidRDefault="001C0BFD" w:rsidP="00783303">
            <w:pPr>
              <w:pStyle w:val="ONUME"/>
              <w:numPr>
                <w:ilvl w:val="0"/>
                <w:numId w:val="0"/>
              </w:numPr>
              <w:ind w:left="34"/>
              <w:jc w:val="center"/>
              <w:rPr>
                <w:rFonts w:eastAsia="Times New Roman"/>
                <w:color w:val="000000"/>
                <w:szCs w:val="22"/>
              </w:rPr>
            </w:pPr>
            <w:r w:rsidRPr="00BF10D3">
              <w:rPr>
                <w:color w:val="000000"/>
                <w:szCs w:val="22"/>
              </w:rPr>
              <w:t>EVAL 2020-03</w:t>
            </w:r>
          </w:p>
        </w:tc>
      </w:tr>
      <w:tr w:rsidR="00FF003D" w:rsidRPr="00BF10D3" w14:paraId="1C468BAD" w14:textId="77777777" w:rsidTr="0010783D">
        <w:trPr>
          <w:trHeight w:val="620"/>
        </w:trPr>
        <w:tc>
          <w:tcPr>
            <w:tcW w:w="7508" w:type="dxa"/>
            <w:vAlign w:val="center"/>
          </w:tcPr>
          <w:p w14:paraId="03E067A6" w14:textId="77777777" w:rsidR="00FF003D" w:rsidRPr="00BF10D3" w:rsidRDefault="00140918" w:rsidP="00783303">
            <w:pPr>
              <w:pStyle w:val="ONUME"/>
              <w:numPr>
                <w:ilvl w:val="0"/>
                <w:numId w:val="0"/>
              </w:numPr>
              <w:jc w:val="center"/>
              <w:rPr>
                <w:rFonts w:eastAsia="Times New Roman"/>
                <w:color w:val="000000"/>
                <w:szCs w:val="22"/>
              </w:rPr>
            </w:pPr>
            <w:r w:rsidRPr="00BF10D3">
              <w:rPr>
                <w:color w:val="000000"/>
                <w:szCs w:val="22"/>
              </w:rPr>
              <w:t>Консультативная помощь в рамках самооценок национальных стратегий в области ИС</w:t>
            </w:r>
          </w:p>
        </w:tc>
        <w:tc>
          <w:tcPr>
            <w:tcW w:w="1837" w:type="dxa"/>
            <w:vAlign w:val="center"/>
          </w:tcPr>
          <w:p w14:paraId="52F5017A" w14:textId="77777777" w:rsidR="00FF003D" w:rsidRPr="00BF10D3" w:rsidRDefault="00140918" w:rsidP="00783303">
            <w:pPr>
              <w:pStyle w:val="ONUME"/>
              <w:numPr>
                <w:ilvl w:val="0"/>
                <w:numId w:val="0"/>
              </w:numPr>
              <w:ind w:left="34"/>
              <w:jc w:val="center"/>
              <w:rPr>
                <w:rFonts w:eastAsia="Times New Roman"/>
                <w:color w:val="000000"/>
                <w:szCs w:val="22"/>
              </w:rPr>
            </w:pPr>
            <w:r w:rsidRPr="00BF10D3">
              <w:rPr>
                <w:color w:val="000000"/>
                <w:szCs w:val="22"/>
              </w:rPr>
              <w:t>EVAL 2021-02</w:t>
            </w:r>
          </w:p>
        </w:tc>
      </w:tr>
      <w:tr w:rsidR="00FF003D" w:rsidRPr="00BF10D3" w14:paraId="58791143" w14:textId="77777777" w:rsidTr="0010783D">
        <w:trPr>
          <w:trHeight w:val="800"/>
        </w:trPr>
        <w:tc>
          <w:tcPr>
            <w:tcW w:w="7508" w:type="dxa"/>
            <w:vAlign w:val="center"/>
          </w:tcPr>
          <w:p w14:paraId="596923F8" w14:textId="78723B2E" w:rsidR="00FF003D" w:rsidRPr="00BF10D3" w:rsidRDefault="00FF003D" w:rsidP="00783303">
            <w:pPr>
              <w:pStyle w:val="ONUME"/>
              <w:numPr>
                <w:ilvl w:val="0"/>
                <w:numId w:val="0"/>
              </w:numPr>
              <w:jc w:val="center"/>
              <w:rPr>
                <w:szCs w:val="22"/>
              </w:rPr>
            </w:pPr>
            <w:r w:rsidRPr="00BF10D3">
              <w:rPr>
                <w:color w:val="000000"/>
                <w:szCs w:val="22"/>
              </w:rPr>
              <w:t>Отчет о результатах расследования для руководства по вопросам персональных данных и конфиденциальности в отношении электронной корреспонденции между ВОИС и сторонними пользователями</w:t>
            </w:r>
          </w:p>
        </w:tc>
        <w:tc>
          <w:tcPr>
            <w:tcW w:w="1837" w:type="dxa"/>
            <w:vAlign w:val="center"/>
          </w:tcPr>
          <w:p w14:paraId="3195BCCF" w14:textId="77777777" w:rsidR="00FF003D" w:rsidRPr="00BF10D3" w:rsidRDefault="00FF003D" w:rsidP="00783303">
            <w:pPr>
              <w:pStyle w:val="ONUME"/>
              <w:numPr>
                <w:ilvl w:val="0"/>
                <w:numId w:val="0"/>
              </w:numPr>
              <w:ind w:left="34"/>
              <w:jc w:val="center"/>
              <w:rPr>
                <w:szCs w:val="22"/>
              </w:rPr>
            </w:pPr>
            <w:r w:rsidRPr="00BF10D3">
              <w:rPr>
                <w:color w:val="000000"/>
                <w:szCs w:val="22"/>
              </w:rPr>
              <w:t>MIR 2020-17</w:t>
            </w:r>
          </w:p>
        </w:tc>
      </w:tr>
      <w:tr w:rsidR="00F45565" w:rsidRPr="00BF10D3" w14:paraId="3CDD1D0B" w14:textId="77777777" w:rsidTr="0010783D">
        <w:trPr>
          <w:trHeight w:val="710"/>
        </w:trPr>
        <w:tc>
          <w:tcPr>
            <w:tcW w:w="7508" w:type="dxa"/>
            <w:vAlign w:val="center"/>
          </w:tcPr>
          <w:p w14:paraId="37981CCB" w14:textId="3D985E53" w:rsidR="00F45565" w:rsidRPr="00BF10D3" w:rsidRDefault="00783303" w:rsidP="00726D19">
            <w:pPr>
              <w:pStyle w:val="ONUME"/>
              <w:numPr>
                <w:ilvl w:val="0"/>
                <w:numId w:val="0"/>
              </w:numPr>
              <w:jc w:val="center"/>
              <w:rPr>
                <w:rFonts w:eastAsia="Times New Roman"/>
                <w:color w:val="000000"/>
                <w:szCs w:val="22"/>
              </w:rPr>
            </w:pPr>
            <w:r w:rsidRPr="00BF10D3">
              <w:rPr>
                <w:color w:val="000000"/>
                <w:szCs w:val="22"/>
              </w:rPr>
              <w:t>Отчет о результатах расследования для руководства по вопросам информации, имеющейся на веб-сайте Patentscope</w:t>
            </w:r>
          </w:p>
        </w:tc>
        <w:tc>
          <w:tcPr>
            <w:tcW w:w="1837" w:type="dxa"/>
            <w:vAlign w:val="center"/>
          </w:tcPr>
          <w:p w14:paraId="61956F56" w14:textId="77777777" w:rsidR="00F45565" w:rsidRPr="00BF10D3" w:rsidRDefault="00783303" w:rsidP="00783303">
            <w:pPr>
              <w:jc w:val="center"/>
              <w:rPr>
                <w:rFonts w:eastAsia="Times New Roman"/>
                <w:color w:val="000000"/>
                <w:szCs w:val="22"/>
              </w:rPr>
            </w:pPr>
            <w:r w:rsidRPr="00BF10D3">
              <w:rPr>
                <w:color w:val="000000"/>
                <w:szCs w:val="22"/>
              </w:rPr>
              <w:t>MIR 2021-12</w:t>
            </w:r>
          </w:p>
        </w:tc>
      </w:tr>
      <w:tr w:rsidR="00783303" w:rsidRPr="00BF10D3" w14:paraId="32F02717" w14:textId="77777777" w:rsidTr="00783303">
        <w:trPr>
          <w:trHeight w:val="851"/>
        </w:trPr>
        <w:tc>
          <w:tcPr>
            <w:tcW w:w="7508" w:type="dxa"/>
            <w:shd w:val="clear" w:color="auto" w:fill="D9D9D9" w:themeFill="background1" w:themeFillShade="D9"/>
            <w:vAlign w:val="center"/>
          </w:tcPr>
          <w:p w14:paraId="09B010EE" w14:textId="487A390F" w:rsidR="00783303" w:rsidRPr="00BF10D3" w:rsidRDefault="00783303" w:rsidP="00C131C9">
            <w:pPr>
              <w:pStyle w:val="ONUME"/>
              <w:numPr>
                <w:ilvl w:val="0"/>
                <w:numId w:val="0"/>
              </w:numPr>
              <w:jc w:val="center"/>
              <w:rPr>
                <w:rFonts w:eastAsia="Times New Roman"/>
                <w:color w:val="000000"/>
                <w:szCs w:val="22"/>
              </w:rPr>
            </w:pPr>
            <w:r w:rsidRPr="00BF10D3">
              <w:rPr>
                <w:b/>
                <w:bCs/>
                <w:color w:val="000000"/>
                <w:szCs w:val="22"/>
              </w:rPr>
              <w:t>Отчеты ОВН, выпущенные</w:t>
            </w:r>
            <w:r w:rsidRPr="00BF10D3">
              <w:rPr>
                <w:b/>
                <w:color w:val="000000"/>
                <w:szCs w:val="22"/>
              </w:rPr>
              <w:t xml:space="preserve"> в начале 2022 г</w:t>
            </w:r>
            <w:r w:rsidR="00C131C9" w:rsidRPr="00BF10D3">
              <w:rPr>
                <w:b/>
                <w:color w:val="000000"/>
                <w:szCs w:val="22"/>
              </w:rPr>
              <w:t>.</w:t>
            </w:r>
          </w:p>
        </w:tc>
        <w:tc>
          <w:tcPr>
            <w:tcW w:w="1837" w:type="dxa"/>
            <w:shd w:val="clear" w:color="auto" w:fill="D9D9D9" w:themeFill="background1" w:themeFillShade="D9"/>
            <w:vAlign w:val="center"/>
          </w:tcPr>
          <w:p w14:paraId="42863D72" w14:textId="77777777" w:rsidR="00783303" w:rsidRPr="00BF10D3" w:rsidRDefault="00783303" w:rsidP="00783303">
            <w:pPr>
              <w:jc w:val="center"/>
              <w:rPr>
                <w:rFonts w:eastAsia="Times New Roman"/>
                <w:color w:val="000000"/>
                <w:szCs w:val="22"/>
                <w:lang w:eastAsia="en-US"/>
              </w:rPr>
            </w:pPr>
          </w:p>
        </w:tc>
      </w:tr>
      <w:tr w:rsidR="00783303" w:rsidRPr="00BF10D3" w14:paraId="7E698504" w14:textId="77777777" w:rsidTr="00F64BB1">
        <w:trPr>
          <w:trHeight w:val="692"/>
        </w:trPr>
        <w:tc>
          <w:tcPr>
            <w:tcW w:w="7508" w:type="dxa"/>
            <w:vAlign w:val="center"/>
          </w:tcPr>
          <w:p w14:paraId="42186DAE" w14:textId="77777777" w:rsidR="00783303" w:rsidRPr="00BF10D3" w:rsidRDefault="00783303" w:rsidP="00D301AF">
            <w:pPr>
              <w:pStyle w:val="ONUME"/>
              <w:numPr>
                <w:ilvl w:val="0"/>
                <w:numId w:val="0"/>
              </w:numPr>
              <w:spacing w:after="0"/>
              <w:jc w:val="center"/>
              <w:rPr>
                <w:rFonts w:eastAsia="Times New Roman"/>
                <w:color w:val="000000"/>
                <w:szCs w:val="22"/>
              </w:rPr>
            </w:pPr>
            <w:r w:rsidRPr="00BF10D3">
              <w:rPr>
                <w:color w:val="000000"/>
                <w:szCs w:val="22"/>
              </w:rPr>
              <w:t>Аудит проекта создания платформы Гаагской системы</w:t>
            </w:r>
          </w:p>
        </w:tc>
        <w:tc>
          <w:tcPr>
            <w:tcW w:w="1837" w:type="dxa"/>
            <w:vAlign w:val="center"/>
          </w:tcPr>
          <w:p w14:paraId="3E347B43" w14:textId="77777777" w:rsidR="00783303" w:rsidRPr="00BF10D3" w:rsidRDefault="00783303" w:rsidP="00783303">
            <w:pPr>
              <w:jc w:val="center"/>
              <w:rPr>
                <w:rFonts w:eastAsia="Times New Roman"/>
                <w:color w:val="000000"/>
                <w:szCs w:val="22"/>
              </w:rPr>
            </w:pPr>
            <w:r w:rsidRPr="00BF10D3">
              <w:rPr>
                <w:color w:val="000000"/>
                <w:szCs w:val="22"/>
              </w:rPr>
              <w:t>IA 2021-02</w:t>
            </w:r>
          </w:p>
        </w:tc>
      </w:tr>
      <w:tr w:rsidR="001D5827" w:rsidRPr="00BF10D3" w14:paraId="50CEB50C" w14:textId="77777777" w:rsidTr="00F64BB1">
        <w:trPr>
          <w:trHeight w:val="620"/>
        </w:trPr>
        <w:tc>
          <w:tcPr>
            <w:tcW w:w="7508" w:type="dxa"/>
            <w:vAlign w:val="center"/>
          </w:tcPr>
          <w:p w14:paraId="3120D5D4" w14:textId="0A70D441" w:rsidR="001D5827" w:rsidRPr="00BF10D3" w:rsidRDefault="00900A69" w:rsidP="00003410">
            <w:pPr>
              <w:pStyle w:val="ONUME"/>
              <w:numPr>
                <w:ilvl w:val="0"/>
                <w:numId w:val="0"/>
              </w:numPr>
              <w:spacing w:after="0"/>
              <w:jc w:val="center"/>
              <w:rPr>
                <w:rFonts w:eastAsia="Times New Roman"/>
                <w:color w:val="000000"/>
                <w:szCs w:val="22"/>
              </w:rPr>
            </w:pPr>
            <w:r w:rsidRPr="00BF10D3">
              <w:rPr>
                <w:color w:val="000000"/>
                <w:szCs w:val="22"/>
              </w:rPr>
              <w:t xml:space="preserve">Аудиторская проверка в области </w:t>
            </w:r>
            <w:r w:rsidR="00BF10D3">
              <w:rPr>
                <w:color w:val="000000"/>
                <w:sz w:val="24"/>
              </w:rPr>
              <w:t>общеорганизационного управления рисками</w:t>
            </w:r>
          </w:p>
        </w:tc>
        <w:tc>
          <w:tcPr>
            <w:tcW w:w="1837" w:type="dxa"/>
            <w:vAlign w:val="center"/>
          </w:tcPr>
          <w:p w14:paraId="53B7E4BB" w14:textId="77777777" w:rsidR="001D5827" w:rsidRPr="00BF10D3" w:rsidRDefault="00F64BB1" w:rsidP="00783303">
            <w:pPr>
              <w:jc w:val="center"/>
              <w:rPr>
                <w:rFonts w:eastAsia="Times New Roman"/>
                <w:color w:val="000000"/>
                <w:szCs w:val="22"/>
              </w:rPr>
            </w:pPr>
            <w:r w:rsidRPr="00BF10D3">
              <w:rPr>
                <w:color w:val="000000"/>
                <w:szCs w:val="22"/>
              </w:rPr>
              <w:t>IA 2021-03</w:t>
            </w:r>
          </w:p>
        </w:tc>
      </w:tr>
      <w:tr w:rsidR="001D5827" w:rsidRPr="00BF10D3" w14:paraId="12ECC1EB" w14:textId="77777777" w:rsidTr="00F64BB1">
        <w:trPr>
          <w:trHeight w:val="710"/>
        </w:trPr>
        <w:tc>
          <w:tcPr>
            <w:tcW w:w="7508" w:type="dxa"/>
            <w:vAlign w:val="center"/>
          </w:tcPr>
          <w:p w14:paraId="25046268" w14:textId="77777777" w:rsidR="001D5827" w:rsidRPr="00BF10D3" w:rsidRDefault="00F64BB1" w:rsidP="00F64BB1">
            <w:pPr>
              <w:pStyle w:val="Heading2"/>
              <w:rPr>
                <w:rFonts w:eastAsia="Times New Roman"/>
                <w:color w:val="000000"/>
                <w:szCs w:val="22"/>
              </w:rPr>
            </w:pPr>
            <w:r w:rsidRPr="00BF10D3">
              <w:rPr>
                <w:caps w:val="0"/>
                <w:color w:val="000000"/>
                <w:szCs w:val="22"/>
              </w:rPr>
              <w:t xml:space="preserve">Аудит управления активами, принадлежностями и материалами </w:t>
            </w:r>
          </w:p>
        </w:tc>
        <w:tc>
          <w:tcPr>
            <w:tcW w:w="1837" w:type="dxa"/>
            <w:vAlign w:val="center"/>
          </w:tcPr>
          <w:p w14:paraId="343FE97A" w14:textId="77777777" w:rsidR="001D5827" w:rsidRPr="00BF10D3" w:rsidRDefault="00F64BB1" w:rsidP="00783303">
            <w:pPr>
              <w:jc w:val="center"/>
              <w:rPr>
                <w:rFonts w:eastAsia="Times New Roman"/>
                <w:color w:val="000000"/>
                <w:szCs w:val="22"/>
              </w:rPr>
            </w:pPr>
            <w:r w:rsidRPr="00BF10D3">
              <w:rPr>
                <w:color w:val="000000"/>
                <w:szCs w:val="22"/>
              </w:rPr>
              <w:t>IA 2021-04</w:t>
            </w:r>
          </w:p>
        </w:tc>
      </w:tr>
      <w:tr w:rsidR="00783303" w:rsidRPr="00BF10D3" w14:paraId="5C523935" w14:textId="77777777" w:rsidTr="00F64BB1">
        <w:trPr>
          <w:trHeight w:val="620"/>
        </w:trPr>
        <w:tc>
          <w:tcPr>
            <w:tcW w:w="7508" w:type="dxa"/>
            <w:vAlign w:val="center"/>
          </w:tcPr>
          <w:p w14:paraId="1FD80A9F" w14:textId="3018B054" w:rsidR="009B65CA" w:rsidRPr="00BF10D3" w:rsidRDefault="009B65CA" w:rsidP="00D301AF">
            <w:pPr>
              <w:pStyle w:val="ONUME"/>
              <w:numPr>
                <w:ilvl w:val="0"/>
                <w:numId w:val="0"/>
              </w:numPr>
              <w:spacing w:after="0"/>
              <w:jc w:val="center"/>
              <w:rPr>
                <w:rFonts w:eastAsia="Times New Roman"/>
                <w:color w:val="000000"/>
                <w:szCs w:val="22"/>
              </w:rPr>
            </w:pPr>
            <w:r w:rsidRPr="00BF10D3">
              <w:rPr>
                <w:color w:val="000000"/>
                <w:szCs w:val="22"/>
              </w:rPr>
              <w:t>Оценка деятельности постоянных комитетов ВОИС</w:t>
            </w:r>
          </w:p>
        </w:tc>
        <w:tc>
          <w:tcPr>
            <w:tcW w:w="1837" w:type="dxa"/>
            <w:vAlign w:val="center"/>
          </w:tcPr>
          <w:p w14:paraId="3E1C3CB8" w14:textId="01C85A2A" w:rsidR="00783303" w:rsidRPr="00BF10D3" w:rsidRDefault="009B65CA" w:rsidP="00783303">
            <w:pPr>
              <w:jc w:val="center"/>
              <w:rPr>
                <w:rFonts w:eastAsia="Times New Roman"/>
                <w:color w:val="000000"/>
                <w:szCs w:val="22"/>
              </w:rPr>
            </w:pPr>
            <w:r w:rsidRPr="00BF10D3">
              <w:rPr>
                <w:color w:val="000000"/>
                <w:szCs w:val="22"/>
              </w:rPr>
              <w:t>EVAL 2020-02</w:t>
            </w:r>
          </w:p>
        </w:tc>
      </w:tr>
      <w:tr w:rsidR="00783303" w:rsidRPr="00BF10D3" w14:paraId="63644070" w14:textId="77777777" w:rsidTr="00F64BB1">
        <w:trPr>
          <w:trHeight w:val="620"/>
        </w:trPr>
        <w:tc>
          <w:tcPr>
            <w:tcW w:w="7508" w:type="dxa"/>
            <w:vAlign w:val="center"/>
          </w:tcPr>
          <w:p w14:paraId="59698257" w14:textId="3B023CC5" w:rsidR="00783303" w:rsidRPr="00BF10D3" w:rsidRDefault="001B628C" w:rsidP="001B628C">
            <w:pPr>
              <w:pStyle w:val="ONUME"/>
              <w:numPr>
                <w:ilvl w:val="0"/>
                <w:numId w:val="0"/>
              </w:numPr>
              <w:jc w:val="center"/>
              <w:rPr>
                <w:rFonts w:eastAsia="Times New Roman"/>
                <w:color w:val="000000"/>
                <w:szCs w:val="22"/>
              </w:rPr>
            </w:pPr>
            <w:r w:rsidRPr="00BF10D3">
              <w:rPr>
                <w:color w:val="000000"/>
                <w:szCs w:val="22"/>
              </w:rPr>
              <w:t>Метасинтез оценок региональных отделов</w:t>
            </w:r>
          </w:p>
        </w:tc>
        <w:tc>
          <w:tcPr>
            <w:tcW w:w="1837" w:type="dxa"/>
            <w:vAlign w:val="center"/>
          </w:tcPr>
          <w:p w14:paraId="3FBA2683" w14:textId="77777777" w:rsidR="00783303" w:rsidRPr="00BF10D3" w:rsidRDefault="00D301AF" w:rsidP="00783303">
            <w:pPr>
              <w:jc w:val="center"/>
              <w:rPr>
                <w:rFonts w:eastAsia="Times New Roman"/>
                <w:color w:val="000000"/>
                <w:szCs w:val="22"/>
              </w:rPr>
            </w:pPr>
            <w:r w:rsidRPr="00BF10D3">
              <w:rPr>
                <w:color w:val="000000"/>
                <w:szCs w:val="22"/>
              </w:rPr>
              <w:t>EVAL 2021-04</w:t>
            </w:r>
          </w:p>
        </w:tc>
      </w:tr>
      <w:tr w:rsidR="009C17F1" w:rsidRPr="00BF10D3" w14:paraId="4265026B" w14:textId="77777777" w:rsidTr="00F64BB1">
        <w:trPr>
          <w:trHeight w:val="620"/>
        </w:trPr>
        <w:tc>
          <w:tcPr>
            <w:tcW w:w="7508" w:type="dxa"/>
            <w:vAlign w:val="center"/>
          </w:tcPr>
          <w:p w14:paraId="1808E228" w14:textId="2F4D89BC" w:rsidR="009C17F1" w:rsidRPr="00BF10D3" w:rsidRDefault="00F116F1" w:rsidP="00721BDA">
            <w:pPr>
              <w:pStyle w:val="ONUME"/>
              <w:numPr>
                <w:ilvl w:val="0"/>
                <w:numId w:val="0"/>
              </w:numPr>
              <w:jc w:val="center"/>
              <w:rPr>
                <w:rFonts w:eastAsia="Times New Roman"/>
                <w:color w:val="000000"/>
                <w:szCs w:val="22"/>
              </w:rPr>
            </w:pPr>
            <w:r w:rsidRPr="00BF10D3">
              <w:rPr>
                <w:color w:val="000000"/>
                <w:szCs w:val="22"/>
              </w:rPr>
              <w:t xml:space="preserve">Консультационные услуги – Обзор методологии ОВН </w:t>
            </w:r>
            <w:r w:rsidR="000834E1">
              <w:rPr>
                <w:color w:val="000000"/>
                <w:szCs w:val="22"/>
              </w:rPr>
              <w:t>п</w:t>
            </w:r>
            <w:r w:rsidRPr="00BF10D3">
              <w:rPr>
                <w:color w:val="000000"/>
                <w:szCs w:val="22"/>
              </w:rPr>
              <w:t>о проверке достоверности отчетов о результатах работы</w:t>
            </w:r>
          </w:p>
        </w:tc>
        <w:tc>
          <w:tcPr>
            <w:tcW w:w="1837" w:type="dxa"/>
            <w:vAlign w:val="center"/>
          </w:tcPr>
          <w:p w14:paraId="27D8C75D" w14:textId="77777777" w:rsidR="009C17F1" w:rsidRPr="00BF10D3" w:rsidRDefault="00F116F1" w:rsidP="00783303">
            <w:pPr>
              <w:jc w:val="center"/>
              <w:rPr>
                <w:rFonts w:eastAsia="Times New Roman"/>
                <w:color w:val="000000"/>
                <w:szCs w:val="22"/>
              </w:rPr>
            </w:pPr>
            <w:r w:rsidRPr="00BF10D3">
              <w:rPr>
                <w:color w:val="000000"/>
                <w:szCs w:val="22"/>
              </w:rPr>
              <w:t>EVAL 2021-06</w:t>
            </w:r>
          </w:p>
        </w:tc>
      </w:tr>
    </w:tbl>
    <w:p w14:paraId="381A8F39" w14:textId="77777777" w:rsidR="00C46B12" w:rsidRPr="00BF10D3" w:rsidRDefault="00C46B12" w:rsidP="00C46B12">
      <w:pPr>
        <w:keepLines/>
        <w:rPr>
          <w:szCs w:val="22"/>
        </w:rPr>
      </w:pPr>
    </w:p>
    <w:p w14:paraId="78B38173" w14:textId="5FE236F1" w:rsidR="00EA028E" w:rsidRPr="00BF10D3" w:rsidRDefault="00C46B12" w:rsidP="00783303">
      <w:pPr>
        <w:keepLines/>
        <w:ind w:left="5533"/>
        <w:rPr>
          <w:rFonts w:ascii="Times New Roman" w:eastAsia="Times New Roman" w:hAnsi="Times New Roman" w:cs="Times New Roman"/>
          <w:szCs w:val="22"/>
        </w:rPr>
      </w:pPr>
      <w:r w:rsidRPr="00BF10D3">
        <w:rPr>
          <w:szCs w:val="22"/>
        </w:rPr>
        <w:t>[Конец приложения и документа]</w:t>
      </w:r>
    </w:p>
    <w:sectPr w:rsidR="00EA028E" w:rsidRPr="00BF10D3" w:rsidSect="00E60513">
      <w:headerReference w:type="default" r:id="rId28"/>
      <w:headerReference w:type="firs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4C4F2" w14:textId="77777777" w:rsidR="00051D12" w:rsidRDefault="00051D12">
      <w:r>
        <w:separator/>
      </w:r>
    </w:p>
  </w:endnote>
  <w:endnote w:type="continuationSeparator" w:id="0">
    <w:p w14:paraId="5E153F7A" w14:textId="77777777" w:rsidR="00051D12" w:rsidRDefault="00051D12" w:rsidP="003B38C1">
      <w:r>
        <w:separator/>
      </w:r>
    </w:p>
    <w:p w14:paraId="70310BE6" w14:textId="77777777" w:rsidR="00051D12" w:rsidRPr="00203782" w:rsidRDefault="00051D12" w:rsidP="003B38C1">
      <w:pPr>
        <w:spacing w:after="60"/>
        <w:rPr>
          <w:sz w:val="17"/>
          <w:lang w:val="en-US"/>
        </w:rPr>
      </w:pPr>
      <w:r w:rsidRPr="00203782">
        <w:rPr>
          <w:sz w:val="17"/>
          <w:lang w:val="en-US"/>
        </w:rPr>
        <w:t>[Endnote continued from previous page]</w:t>
      </w:r>
    </w:p>
  </w:endnote>
  <w:endnote w:type="continuationNotice" w:id="1">
    <w:p w14:paraId="0879193B" w14:textId="77777777" w:rsidR="00051D12" w:rsidRPr="00203782" w:rsidRDefault="00051D12" w:rsidP="003B38C1">
      <w:pPr>
        <w:spacing w:before="60"/>
        <w:jc w:val="right"/>
        <w:rPr>
          <w:sz w:val="17"/>
          <w:szCs w:val="17"/>
          <w:lang w:val="en-US"/>
        </w:rPr>
      </w:pPr>
      <w:r w:rsidRPr="0020378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C2E0D" w14:textId="77777777" w:rsidR="00F23898" w:rsidRDefault="00F23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09FFD" w14:textId="77777777" w:rsidR="00F23898" w:rsidRDefault="00F23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234B9" w14:textId="77777777" w:rsidR="00F23898" w:rsidRDefault="00F238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FF1B" w14:textId="77777777" w:rsidR="004155AC" w:rsidRPr="00CD472C" w:rsidRDefault="004155AC" w:rsidP="002670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2D04B" w14:textId="77777777" w:rsidR="004155AC" w:rsidRPr="00CD472C" w:rsidRDefault="004155AC" w:rsidP="002670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99FB" w14:textId="77777777" w:rsidR="004155AC" w:rsidRPr="00CD472C" w:rsidRDefault="004155AC" w:rsidP="002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77A26" w14:textId="77777777" w:rsidR="00051D12" w:rsidRDefault="00051D12">
      <w:r>
        <w:separator/>
      </w:r>
    </w:p>
  </w:footnote>
  <w:footnote w:type="continuationSeparator" w:id="0">
    <w:p w14:paraId="283C414E" w14:textId="77777777" w:rsidR="00051D12" w:rsidRDefault="00051D12" w:rsidP="008B60B2">
      <w:r>
        <w:separator/>
      </w:r>
    </w:p>
    <w:p w14:paraId="2AA226C4" w14:textId="77777777" w:rsidR="00051D12" w:rsidRPr="00203782" w:rsidRDefault="00051D12" w:rsidP="008B60B2">
      <w:pPr>
        <w:spacing w:after="60"/>
        <w:rPr>
          <w:sz w:val="17"/>
          <w:szCs w:val="17"/>
          <w:lang w:val="en-US"/>
        </w:rPr>
      </w:pPr>
      <w:r w:rsidRPr="00203782">
        <w:rPr>
          <w:sz w:val="17"/>
          <w:szCs w:val="17"/>
          <w:lang w:val="en-US"/>
        </w:rPr>
        <w:t>[Footnote continued from previous page]</w:t>
      </w:r>
    </w:p>
  </w:footnote>
  <w:footnote w:type="continuationNotice" w:id="1">
    <w:p w14:paraId="432141CF" w14:textId="77777777" w:rsidR="00051D12" w:rsidRPr="00203782" w:rsidRDefault="00051D12" w:rsidP="008B60B2">
      <w:pPr>
        <w:spacing w:before="60"/>
        <w:jc w:val="right"/>
        <w:rPr>
          <w:sz w:val="17"/>
          <w:szCs w:val="17"/>
          <w:lang w:val="en-US"/>
        </w:rPr>
      </w:pPr>
      <w:r w:rsidRPr="00203782">
        <w:rPr>
          <w:sz w:val="17"/>
          <w:szCs w:val="17"/>
          <w:lang w:val="en-US"/>
        </w:rPr>
        <w:t>[Footnote continued on next page]</w:t>
      </w:r>
    </w:p>
  </w:footnote>
  <w:footnote w:id="2">
    <w:p w14:paraId="4225678D" w14:textId="77777777" w:rsidR="004155AC" w:rsidRPr="001C0542" w:rsidRDefault="004155AC" w:rsidP="00C46B12">
      <w:pPr>
        <w:pStyle w:val="FootnoteText"/>
      </w:pPr>
      <w:r>
        <w:rPr>
          <w:rStyle w:val="FootnoteReference"/>
        </w:rPr>
        <w:footnoteRef/>
      </w:r>
      <w:r>
        <w:t xml:space="preserve">  См. УВН, пункты 47 и 48.</w:t>
      </w:r>
    </w:p>
  </w:footnote>
  <w:footnote w:id="3">
    <w:p w14:paraId="5F404F1D" w14:textId="6E157563" w:rsidR="004155AC" w:rsidRPr="00987391" w:rsidRDefault="004155AC" w:rsidP="00987391">
      <w:pPr>
        <w:rPr>
          <w:sz w:val="18"/>
          <w:szCs w:val="18"/>
        </w:rPr>
      </w:pPr>
      <w:r w:rsidRPr="00852EB9">
        <w:rPr>
          <w:rStyle w:val="FootnoteReference"/>
          <w:sz w:val="18"/>
          <w:szCs w:val="18"/>
        </w:rPr>
        <w:footnoteRef/>
      </w:r>
      <w:r w:rsidRPr="00987391">
        <w:rPr>
          <w:sz w:val="18"/>
          <w:szCs w:val="18"/>
        </w:rPr>
        <w:t xml:space="preserve">  </w:t>
      </w:r>
      <w:r w:rsidRPr="00987391">
        <w:rPr>
          <w:sz w:val="18"/>
          <w:szCs w:val="18"/>
        </w:rPr>
        <w:t xml:space="preserve">Термин </w:t>
      </w:r>
      <w:r>
        <w:rPr>
          <w:sz w:val="18"/>
          <w:szCs w:val="18"/>
        </w:rPr>
        <w:t>«консультативный»</w:t>
      </w:r>
      <w:r w:rsidRPr="00987391">
        <w:rPr>
          <w:sz w:val="18"/>
          <w:szCs w:val="18"/>
        </w:rPr>
        <w:t xml:space="preserve"> используется</w:t>
      </w:r>
      <w:r>
        <w:rPr>
          <w:sz w:val="18"/>
          <w:szCs w:val="18"/>
        </w:rPr>
        <w:t xml:space="preserve"> в тех случаях</w:t>
      </w:r>
      <w:r w:rsidRPr="00987391">
        <w:rPr>
          <w:sz w:val="18"/>
          <w:szCs w:val="18"/>
        </w:rPr>
        <w:t xml:space="preserve">, когда </w:t>
      </w:r>
      <w:r>
        <w:rPr>
          <w:sz w:val="18"/>
          <w:szCs w:val="18"/>
        </w:rPr>
        <w:t>ОВН</w:t>
      </w:r>
      <w:r w:rsidRPr="00987391">
        <w:rPr>
          <w:sz w:val="18"/>
          <w:szCs w:val="18"/>
        </w:rPr>
        <w:t xml:space="preserve"> оказывает поддержку клиенту</w:t>
      </w:r>
      <w:r>
        <w:rPr>
          <w:sz w:val="18"/>
          <w:szCs w:val="18"/>
        </w:rPr>
        <w:t xml:space="preserve"> своими</w:t>
      </w:r>
      <w:r w:rsidRPr="00987391">
        <w:rPr>
          <w:sz w:val="18"/>
          <w:szCs w:val="18"/>
        </w:rPr>
        <w:t xml:space="preserve"> совет</w:t>
      </w:r>
      <w:r>
        <w:rPr>
          <w:sz w:val="18"/>
          <w:szCs w:val="18"/>
        </w:rPr>
        <w:t>ами</w:t>
      </w:r>
      <w:r w:rsidRPr="00987391">
        <w:rPr>
          <w:sz w:val="18"/>
          <w:szCs w:val="18"/>
        </w:rPr>
        <w:t xml:space="preserve"> и </w:t>
      </w:r>
      <w:r>
        <w:rPr>
          <w:sz w:val="18"/>
          <w:szCs w:val="18"/>
        </w:rPr>
        <w:t>замечаниями</w:t>
      </w:r>
      <w:r w:rsidRPr="00987391">
        <w:rPr>
          <w:sz w:val="18"/>
          <w:szCs w:val="18"/>
        </w:rPr>
        <w:t>, не бер</w:t>
      </w:r>
      <w:r>
        <w:rPr>
          <w:sz w:val="18"/>
          <w:szCs w:val="18"/>
        </w:rPr>
        <w:t>я</w:t>
      </w:r>
      <w:r w:rsidRPr="00987391">
        <w:rPr>
          <w:sz w:val="18"/>
          <w:szCs w:val="18"/>
        </w:rPr>
        <w:t xml:space="preserve"> на себя ведущую роль в управлении деятельностью или </w:t>
      </w:r>
      <w:r>
        <w:rPr>
          <w:sz w:val="18"/>
          <w:szCs w:val="18"/>
        </w:rPr>
        <w:t>достижении</w:t>
      </w:r>
      <w:r w:rsidRPr="00987391">
        <w:rPr>
          <w:sz w:val="18"/>
          <w:szCs w:val="18"/>
        </w:rPr>
        <w:t xml:space="preserve"> официально</w:t>
      </w:r>
      <w:r>
        <w:rPr>
          <w:sz w:val="18"/>
          <w:szCs w:val="18"/>
        </w:rPr>
        <w:t xml:space="preserve"> предусмотренного</w:t>
      </w:r>
      <w:r w:rsidRPr="00987391">
        <w:rPr>
          <w:sz w:val="18"/>
          <w:szCs w:val="18"/>
        </w:rPr>
        <w:t xml:space="preserve"> результата.</w:t>
      </w:r>
    </w:p>
    <w:p w14:paraId="7E345CD5" w14:textId="03C6E3C1" w:rsidR="004155AC" w:rsidRPr="00987391" w:rsidRDefault="004155AC" w:rsidP="006627C5">
      <w:r w:rsidRPr="00987391">
        <w:rPr>
          <w:sz w:val="18"/>
          <w:szCs w:val="18"/>
        </w:rPr>
        <w:t xml:space="preserve">Термин </w:t>
      </w:r>
      <w:r>
        <w:rPr>
          <w:sz w:val="18"/>
          <w:szCs w:val="18"/>
        </w:rPr>
        <w:t>«консультационный»</w:t>
      </w:r>
      <w:r w:rsidRPr="00987391">
        <w:rPr>
          <w:sz w:val="18"/>
          <w:szCs w:val="18"/>
        </w:rPr>
        <w:t xml:space="preserve"> используется</w:t>
      </w:r>
      <w:r w:rsidRPr="006627C5">
        <w:rPr>
          <w:sz w:val="18"/>
          <w:szCs w:val="18"/>
        </w:rPr>
        <w:t xml:space="preserve"> в тех случаях</w:t>
      </w:r>
      <w:r w:rsidRPr="00987391">
        <w:rPr>
          <w:sz w:val="18"/>
          <w:szCs w:val="18"/>
        </w:rPr>
        <w:t xml:space="preserve">, когда </w:t>
      </w:r>
      <w:r>
        <w:rPr>
          <w:sz w:val="18"/>
          <w:szCs w:val="18"/>
        </w:rPr>
        <w:t>ОВН</w:t>
      </w:r>
      <w:r w:rsidRPr="00987391">
        <w:rPr>
          <w:sz w:val="18"/>
          <w:szCs w:val="18"/>
        </w:rPr>
        <w:t xml:space="preserve"> берет на себя ведущую роль в предоставлении услуг, характер и объем которых были согласованы с клиентом, и </w:t>
      </w:r>
      <w:r>
        <w:rPr>
          <w:sz w:val="18"/>
          <w:szCs w:val="18"/>
        </w:rPr>
        <w:t xml:space="preserve">обеспечивает </w:t>
      </w:r>
      <w:r w:rsidRPr="006627C5">
        <w:rPr>
          <w:sz w:val="18"/>
          <w:szCs w:val="18"/>
        </w:rPr>
        <w:t>достижени</w:t>
      </w:r>
      <w:r>
        <w:rPr>
          <w:sz w:val="18"/>
          <w:szCs w:val="18"/>
        </w:rPr>
        <w:t>е</w:t>
      </w:r>
      <w:r w:rsidRPr="006627C5">
        <w:rPr>
          <w:sz w:val="18"/>
          <w:szCs w:val="18"/>
        </w:rPr>
        <w:t xml:space="preserve"> </w:t>
      </w:r>
      <w:r>
        <w:rPr>
          <w:sz w:val="18"/>
          <w:szCs w:val="18"/>
        </w:rPr>
        <w:t xml:space="preserve">соответствующего </w:t>
      </w:r>
      <w:r w:rsidRPr="006627C5">
        <w:rPr>
          <w:sz w:val="18"/>
          <w:szCs w:val="18"/>
        </w:rPr>
        <w:t>официально предусмотренного результата</w:t>
      </w:r>
      <w:r w:rsidRPr="00987391">
        <w:rPr>
          <w:sz w:val="18"/>
          <w:szCs w:val="18"/>
        </w:rPr>
        <w:t>.</w:t>
      </w:r>
    </w:p>
  </w:footnote>
  <w:footnote w:id="4">
    <w:p w14:paraId="48C161A0" w14:textId="58322A04" w:rsidR="004155AC" w:rsidRDefault="004155AC">
      <w:pPr>
        <w:pStyle w:val="FootnoteText"/>
      </w:pPr>
      <w:r>
        <w:rPr>
          <w:rStyle w:val="FootnoteReference"/>
        </w:rPr>
        <w:footnoteRef/>
      </w:r>
      <w:r>
        <w:t>В пункте 28 УВН определены обязанности и методы работы и, в частности, предусмотрено положение о том, что «перед завершением работы над планом внутреннего надзора директор ОВН представляет его проект НККН для рассмотрения и вынесения рекомендаций».</w:t>
      </w:r>
    </w:p>
  </w:footnote>
  <w:footnote w:id="5">
    <w:p w14:paraId="2583BEB1" w14:textId="6D9B0D1F" w:rsidR="004155AC" w:rsidRPr="00354F3F" w:rsidRDefault="004155AC" w:rsidP="00DB4B9F">
      <w:pPr>
        <w:pStyle w:val="FootnoteText"/>
      </w:pPr>
      <w:r>
        <w:rPr>
          <w:rStyle w:val="FootnoteReference"/>
        </w:rPr>
        <w:footnoteRef/>
      </w:r>
      <w:r w:rsidRPr="00354F3F">
        <w:t xml:space="preserve">  </w:t>
      </w:r>
      <w:r w:rsidRPr="00354F3F">
        <w:t>С 2021 г</w:t>
      </w:r>
      <w:r>
        <w:t>.</w:t>
      </w:r>
      <w:r w:rsidRPr="00354F3F">
        <w:t xml:space="preserve"> Организация Объединенных Наций согласовала знаковый </w:t>
      </w:r>
      <w:r>
        <w:t>О</w:t>
      </w:r>
      <w:r w:rsidRPr="00354F3F">
        <w:t xml:space="preserve">бщесистемный </w:t>
      </w:r>
      <w:r>
        <w:t>п</w:t>
      </w:r>
      <w:r w:rsidRPr="00354F3F">
        <w:t>лан действий ООН по вопросам гендерного равенства и расширения прав и возможностей женщин (ОПД ООН) для реализации политики гендерного равенства</w:t>
      </w:r>
      <w:r>
        <w:t>, утвержденной ее</w:t>
      </w:r>
      <w:r w:rsidRPr="00354F3F">
        <w:t xml:space="preserve"> высш</w:t>
      </w:r>
      <w:r>
        <w:t>им</w:t>
      </w:r>
      <w:r w:rsidRPr="00354F3F">
        <w:t xml:space="preserve"> исполнительн</w:t>
      </w:r>
      <w:r>
        <w:t>ым</w:t>
      </w:r>
      <w:r w:rsidRPr="00354F3F">
        <w:t xml:space="preserve"> орган</w:t>
      </w:r>
      <w:r>
        <w:t>ом</w:t>
      </w:r>
      <w:r w:rsidRPr="00354F3F">
        <w:t xml:space="preserve"> </w:t>
      </w:r>
      <w:r>
        <w:t>–</w:t>
      </w:r>
      <w:r w:rsidRPr="00354F3F">
        <w:t xml:space="preserve"> Координационн</w:t>
      </w:r>
      <w:r>
        <w:t>ым</w:t>
      </w:r>
      <w:r w:rsidRPr="00354F3F">
        <w:t xml:space="preserve"> совет</w:t>
      </w:r>
      <w:r>
        <w:t>ом</w:t>
      </w:r>
      <w:r w:rsidRPr="00354F3F">
        <w:t xml:space="preserve"> руководителей учреждений системы</w:t>
      </w:r>
      <w:r>
        <w:t xml:space="preserve"> </w:t>
      </w:r>
      <w:r w:rsidRPr="00354F3F">
        <w:t xml:space="preserve">ООН под председательством Генерального секретаря. </w:t>
      </w:r>
      <w:r>
        <w:t>ОПД ООН – головной организацией при осуществлении которого выступает структура «ООН</w:t>
      </w:r>
      <w:r>
        <w:noBreakHyphen/>
        <w:t>женщины» –</w:t>
      </w:r>
      <w:r w:rsidRPr="00354F3F">
        <w:t xml:space="preserve"> впервые устан</w:t>
      </w:r>
      <w:r>
        <w:t>авливает</w:t>
      </w:r>
      <w:r w:rsidRPr="00354F3F">
        <w:t xml:space="preserve"> общие стандарты деятельности </w:t>
      </w:r>
      <w:r>
        <w:t>по гендерной проблематике</w:t>
      </w:r>
      <w:r w:rsidRPr="00354F3F">
        <w:t xml:space="preserve"> </w:t>
      </w:r>
      <w:r>
        <w:t xml:space="preserve">для </w:t>
      </w:r>
      <w:r w:rsidRPr="00354F3F">
        <w:t xml:space="preserve">всех подразделений ООН, обеспечивая </w:t>
      </w:r>
      <w:r>
        <w:t>более высокую степень</w:t>
      </w:r>
      <w:r w:rsidRPr="00354F3F">
        <w:t xml:space="preserve"> согласованност</w:t>
      </w:r>
      <w:r>
        <w:t>и</w:t>
      </w:r>
      <w:r w:rsidRPr="00354F3F">
        <w:t xml:space="preserve"> и подотчетност</w:t>
      </w:r>
      <w:r>
        <w:t>и</w:t>
      </w:r>
      <w:r w:rsidRPr="00354F3F">
        <w:t>.</w:t>
      </w:r>
    </w:p>
  </w:footnote>
  <w:footnote w:id="6">
    <w:p w14:paraId="30026B4F" w14:textId="77777777" w:rsidR="004155AC" w:rsidRDefault="004155AC" w:rsidP="00C46B12">
      <w:pPr>
        <w:pStyle w:val="FootnoteText"/>
      </w:pPr>
      <w:r>
        <w:rPr>
          <w:rStyle w:val="FootnoteReference"/>
        </w:rPr>
        <w:footnoteRef/>
      </w:r>
      <w:r>
        <w:t xml:space="preserve">  </w:t>
      </w:r>
      <w:r>
        <w:t>Перечень отчетов содержится в приложении.</w:t>
      </w:r>
    </w:p>
  </w:footnote>
  <w:footnote w:id="7">
    <w:p w14:paraId="32F06AFC" w14:textId="047E6EB4" w:rsidR="004155AC" w:rsidRPr="00873B4F" w:rsidRDefault="004155AC" w:rsidP="00873B4F">
      <w:pPr>
        <w:pStyle w:val="FootnoteText"/>
      </w:pPr>
      <w:r>
        <w:rPr>
          <w:rStyle w:val="FootnoteReference"/>
        </w:rPr>
        <w:footnoteRef/>
      </w:r>
      <w:r w:rsidRPr="00873B4F">
        <w:t xml:space="preserve">  </w:t>
      </w:r>
      <w:r w:rsidRPr="00873B4F">
        <w:rPr>
          <w:lang w:val="en-US"/>
        </w:rPr>
        <w:t>TeamMate</w:t>
      </w:r>
      <w:r w:rsidRPr="00873B4F">
        <w:t>+</w:t>
      </w:r>
      <w:r w:rsidRPr="00873B4F">
        <w:rPr>
          <w:vertAlign w:val="superscript"/>
          <w:lang w:val="en-US"/>
        </w:rPr>
        <w:t>TM</w:t>
      </w:r>
      <w:r w:rsidRPr="00873B4F">
        <w:t xml:space="preserve"> – специализированное программное обеспечение для управления аудитом, которое охватывает, в частности, весь комплекс аудиторской деятельности и оценку рисков, планирование мероприятий, электронные рабочие документы и контроль исполнения рекомендаций.</w:t>
      </w:r>
    </w:p>
  </w:footnote>
  <w:footnote w:id="8">
    <w:p w14:paraId="6A4173C8" w14:textId="77777777" w:rsidR="004155AC" w:rsidRPr="00F02EF4" w:rsidRDefault="004155AC" w:rsidP="001D59E1">
      <w:pPr>
        <w:pStyle w:val="FootnoteText"/>
      </w:pPr>
      <w:r>
        <w:rPr>
          <w:rStyle w:val="FootnoteReference"/>
        </w:rPr>
        <w:footnoteRef/>
      </w:r>
      <w:r>
        <w:t xml:space="preserve">  </w:t>
      </w:r>
      <w:r w:rsidRPr="00D711F2">
        <w:rPr>
          <w:lang w:val="en-US"/>
        </w:rPr>
        <w:t>WO</w:t>
      </w:r>
      <w:r w:rsidRPr="00345023">
        <w:t>/</w:t>
      </w:r>
      <w:r w:rsidRPr="00D711F2">
        <w:rPr>
          <w:lang w:val="en-US"/>
        </w:rPr>
        <w:t>PBC</w:t>
      </w:r>
      <w:r w:rsidRPr="00345023">
        <w:t>/29/5</w:t>
      </w:r>
    </w:p>
  </w:footnote>
  <w:footnote w:id="9">
    <w:p w14:paraId="6C03A81B" w14:textId="1A0ADB84" w:rsidR="004155AC" w:rsidRPr="00F02EF4" w:rsidRDefault="004155AC" w:rsidP="001D59E1">
      <w:pPr>
        <w:pStyle w:val="FootnoteText"/>
      </w:pPr>
      <w:r>
        <w:rPr>
          <w:rStyle w:val="FootnoteReference"/>
        </w:rPr>
        <w:footnoteRef/>
      </w:r>
      <w:r>
        <w:t xml:space="preserve">  </w:t>
      </w:r>
      <w:r>
        <w:t>СИ 41-2017</w:t>
      </w:r>
    </w:p>
  </w:footnote>
  <w:footnote w:id="10">
    <w:p w14:paraId="6354F597" w14:textId="77777777" w:rsidR="004155AC" w:rsidRDefault="004155AC" w:rsidP="006905B2">
      <w:pPr>
        <w:pStyle w:val="FootnoteText"/>
      </w:pPr>
      <w:r>
        <w:rPr>
          <w:rStyle w:val="FootnoteReference"/>
        </w:rPr>
        <w:footnoteRef/>
      </w:r>
      <w:r>
        <w:t xml:space="preserve">  </w:t>
      </w:r>
      <w:r>
        <w:t>Аудит ОУР, проведенный в 2016 году – IA 2016-08</w:t>
      </w:r>
    </w:p>
  </w:footnote>
  <w:footnote w:id="11">
    <w:p w14:paraId="4D5E7D58" w14:textId="77777777" w:rsidR="004155AC" w:rsidRPr="00CC620E" w:rsidRDefault="004155AC">
      <w:pPr>
        <w:pStyle w:val="FootnoteText"/>
      </w:pPr>
      <w:r>
        <w:rPr>
          <w:rStyle w:val="FootnoteReference"/>
        </w:rPr>
        <w:footnoteRef/>
      </w:r>
      <w:r>
        <w:t xml:space="preserve"> </w:t>
      </w:r>
      <w:r>
        <w:t>Исключая дела, производство по которым приостановлено в ожидании действий других, помимо ОВН, сторон или в связи с длительным отсутствием сотрудников, с которыми необходимо провести собеседования.</w:t>
      </w:r>
    </w:p>
  </w:footnote>
  <w:footnote w:id="12">
    <w:p w14:paraId="0FCE6159" w14:textId="0479FC60" w:rsidR="004155AC" w:rsidRPr="002B3260" w:rsidRDefault="004155AC" w:rsidP="00846DDE">
      <w:pPr>
        <w:pStyle w:val="FootnoteText"/>
        <w:rPr>
          <w:lang w:val="fr-FR"/>
        </w:rPr>
      </w:pPr>
      <w:r>
        <w:rPr>
          <w:rStyle w:val="FootnoteReference"/>
        </w:rPr>
        <w:footnoteRef/>
      </w:r>
      <w:r w:rsidRPr="00EB3E1A">
        <w:rPr>
          <w:lang w:val="fr-FR"/>
        </w:rPr>
        <w:t xml:space="preserve"> </w:t>
      </w:r>
      <w:r>
        <w:rPr>
          <w:lang w:val="fr-FR"/>
        </w:rPr>
        <w:t xml:space="preserve"> </w:t>
      </w:r>
      <w:r w:rsidRPr="00846DDE">
        <w:t>Политика в области расследований, пункт 33</w:t>
      </w:r>
      <w:r>
        <w:t>.</w:t>
      </w:r>
      <w:r>
        <w:rPr>
          <w:lang w:val="fr-FR"/>
        </w:rPr>
        <w:t xml:space="preserve"> </w:t>
      </w:r>
    </w:p>
  </w:footnote>
  <w:footnote w:id="13">
    <w:p w14:paraId="3CFB6A7E" w14:textId="21192DE1" w:rsidR="004155AC" w:rsidRPr="00345023" w:rsidRDefault="004155AC" w:rsidP="00C46B12">
      <w:pPr>
        <w:pStyle w:val="FootnoteText"/>
      </w:pPr>
      <w:r>
        <w:rPr>
          <w:rStyle w:val="FootnoteReference"/>
        </w:rPr>
        <w:footnoteRef/>
      </w:r>
      <w:r w:rsidRPr="00345023">
        <w:t xml:space="preserve"> </w:t>
      </w:r>
      <w:r>
        <w:t>УВН</w:t>
      </w:r>
      <w:r w:rsidRPr="00345023">
        <w:t xml:space="preserve">, </w:t>
      </w:r>
      <w:r>
        <w:t>пункты</w:t>
      </w:r>
      <w:r w:rsidRPr="00345023">
        <w:t xml:space="preserve"> 20, 21, 23, 24 </w:t>
      </w:r>
      <w:r>
        <w:t>и</w:t>
      </w:r>
      <w:r w:rsidRPr="00345023">
        <w:t xml:space="preserve"> 25.</w:t>
      </w:r>
    </w:p>
  </w:footnote>
  <w:footnote w:id="14">
    <w:p w14:paraId="7F8FAE0D" w14:textId="304C18D7" w:rsidR="004155AC" w:rsidRPr="00342383" w:rsidRDefault="004155AC" w:rsidP="005D7B90">
      <w:pPr>
        <w:pStyle w:val="FootnoteText"/>
        <w:rPr>
          <w:lang w:val="fr-CH"/>
        </w:rPr>
      </w:pPr>
      <w:r>
        <w:rPr>
          <w:rStyle w:val="FootnoteReference"/>
        </w:rPr>
        <w:footnoteRef/>
      </w:r>
      <w:r>
        <w:rPr>
          <w:lang w:val="fr-CH"/>
        </w:rPr>
        <w:t xml:space="preserve"> УВН</w:t>
      </w:r>
      <w:r>
        <w:t>, пункт</w:t>
      </w:r>
      <w:r w:rsidRPr="00342383">
        <w:rPr>
          <w:lang w:val="fr-CH"/>
        </w:rPr>
        <w:t xml:space="preserve"> 48(b).</w:t>
      </w:r>
    </w:p>
  </w:footnote>
  <w:footnote w:id="15">
    <w:p w14:paraId="3DED9A8A" w14:textId="77777777" w:rsidR="004155AC" w:rsidRPr="0041512C" w:rsidRDefault="004155AC" w:rsidP="00C46B12">
      <w:pPr>
        <w:pStyle w:val="FootnoteText"/>
        <w:spacing w:after="20"/>
      </w:pPr>
      <w:r>
        <w:rPr>
          <w:rStyle w:val="FootnoteReference"/>
          <w:szCs w:val="18"/>
        </w:rPr>
        <w:footnoteRef/>
      </w:r>
      <w:r w:rsidRPr="0041512C">
        <w:t xml:space="preserve">  </w:t>
      </w:r>
      <w:r>
        <w:t>УВН</w:t>
      </w:r>
      <w:r w:rsidRPr="0041512C">
        <w:t xml:space="preserve">, </w:t>
      </w:r>
      <w:r>
        <w:t>пункт</w:t>
      </w:r>
      <w:r w:rsidRPr="0041512C">
        <w:t xml:space="preserve"> 45.</w:t>
      </w:r>
    </w:p>
  </w:footnote>
  <w:footnote w:id="16">
    <w:p w14:paraId="5F4E6B22" w14:textId="77777777" w:rsidR="004155AC" w:rsidRPr="003C0543" w:rsidRDefault="004155AC" w:rsidP="00C46B12">
      <w:pPr>
        <w:pStyle w:val="FootnoteText"/>
        <w:spacing w:after="20"/>
      </w:pPr>
      <w:r>
        <w:rPr>
          <w:rStyle w:val="FootnoteReference"/>
          <w:szCs w:val="18"/>
        </w:rPr>
        <w:footnoteRef/>
      </w:r>
      <w:r>
        <w:t xml:space="preserve">  </w:t>
      </w:r>
      <w:r>
        <w:t>СИ 16/2010, пункт 7.</w:t>
      </w:r>
    </w:p>
  </w:footnote>
  <w:footnote w:id="17">
    <w:p w14:paraId="5E70F0BC" w14:textId="77777777" w:rsidR="004155AC" w:rsidRPr="006B640C" w:rsidRDefault="004155AC" w:rsidP="00C46B12">
      <w:pPr>
        <w:spacing w:after="20"/>
      </w:pPr>
      <w:r>
        <w:rPr>
          <w:rStyle w:val="FootnoteReference"/>
          <w:sz w:val="18"/>
          <w:szCs w:val="18"/>
        </w:rPr>
        <w:footnoteRef/>
      </w:r>
      <w:r>
        <w:rPr>
          <w:sz w:val="18"/>
        </w:rPr>
        <w:t xml:space="preserve">  </w:t>
      </w:r>
      <w:r>
        <w:rPr>
          <w:sz w:val="18"/>
        </w:rPr>
        <w:t>СИ 16/2010, пункт 8.</w:t>
      </w:r>
    </w:p>
  </w:footnote>
  <w:footnote w:id="18">
    <w:p w14:paraId="2DD04007" w14:textId="77777777" w:rsidR="004155AC" w:rsidRPr="003F2F86" w:rsidRDefault="004155AC">
      <w:pPr>
        <w:pStyle w:val="FootnoteText"/>
      </w:pPr>
      <w:r>
        <w:rPr>
          <w:rStyle w:val="FootnoteReference"/>
        </w:rPr>
        <w:footnoteRef/>
      </w:r>
      <w:r>
        <w:t xml:space="preserve"> </w:t>
      </w:r>
      <w:r>
        <w:t>WO/PBC/30/14 – 18 июня 2019 г.</w:t>
      </w:r>
    </w:p>
  </w:footnote>
  <w:footnote w:id="19">
    <w:p w14:paraId="29351D51" w14:textId="626D6C99" w:rsidR="004155AC" w:rsidRPr="00C70269" w:rsidRDefault="004155AC">
      <w:pPr>
        <w:pStyle w:val="FootnoteText"/>
      </w:pPr>
      <w:r>
        <w:rPr>
          <w:rStyle w:val="FootnoteReference"/>
        </w:rPr>
        <w:footnoteRef/>
      </w:r>
      <w:r>
        <w:t xml:space="preserve">  </w:t>
      </w:r>
      <w:r>
        <w:rPr>
          <w:b/>
        </w:rPr>
        <w:t>Программа 5</w:t>
      </w:r>
      <w:r>
        <w:t xml:space="preserve"> – Система РСТ; </w:t>
      </w:r>
      <w:r>
        <w:rPr>
          <w:b/>
        </w:rPr>
        <w:t>Программа 6</w:t>
      </w:r>
      <w:r>
        <w:t xml:space="preserve"> – Мадридская система; </w:t>
      </w:r>
      <w:r>
        <w:rPr>
          <w:b/>
        </w:rPr>
        <w:t>Программа 9</w:t>
      </w:r>
      <w:r>
        <w:t xml:space="preserve"> – Африка, арабские страны, Азиатско-Тихоокеанский регион, страны Латинской Америки и Карибского бассейна, наименее развитые страны; </w:t>
      </w:r>
      <w:r>
        <w:rPr>
          <w:b/>
        </w:rPr>
        <w:t>Программа 13</w:t>
      </w:r>
      <w:r>
        <w:t xml:space="preserve"> – Глобальные базы данных; </w:t>
      </w:r>
      <w:r>
        <w:rPr>
          <w:b/>
        </w:rPr>
        <w:t>Программа 17</w:t>
      </w:r>
      <w:r>
        <w:t xml:space="preserve"> – Обеспечение уважения ИС; </w:t>
      </w:r>
      <w:r>
        <w:rPr>
          <w:b/>
        </w:rPr>
        <w:t>Программа 19</w:t>
      </w:r>
      <w:r>
        <w:t xml:space="preserve"> – Коммуникации; </w:t>
      </w:r>
      <w:r>
        <w:rPr>
          <w:b/>
        </w:rPr>
        <w:t>Программа 20</w:t>
      </w:r>
      <w:r>
        <w:t xml:space="preserve"> – Внешние связи, партнерство и внешние бюро; </w:t>
      </w:r>
      <w:r>
        <w:rPr>
          <w:b/>
        </w:rPr>
        <w:t>Программа 21</w:t>
      </w:r>
      <w:r>
        <w:t xml:space="preserve"> – Исполнительное руководство; </w:t>
      </w:r>
      <w:r>
        <w:rPr>
          <w:b/>
        </w:rPr>
        <w:t>Программа 22</w:t>
      </w:r>
      <w:r>
        <w:t xml:space="preserve"> – Управление программами и ресурсами; </w:t>
      </w:r>
      <w:r>
        <w:rPr>
          <w:b/>
        </w:rPr>
        <w:t>Программа 23</w:t>
      </w:r>
      <w:r>
        <w:t xml:space="preserve"> – Управление людскими ресурсами и их развитие; </w:t>
      </w:r>
      <w:r>
        <w:rPr>
          <w:b/>
        </w:rPr>
        <w:t>Программа 24</w:t>
      </w:r>
      <w:r>
        <w:t xml:space="preserve"> – Службы административной поддержки; </w:t>
      </w:r>
      <w:r>
        <w:rPr>
          <w:b/>
        </w:rPr>
        <w:t>Программа 25</w:t>
      </w:r>
      <w:r>
        <w:t xml:space="preserve"> – Информационно-коммуникационные технологии; </w:t>
      </w:r>
      <w:r>
        <w:rPr>
          <w:b/>
        </w:rPr>
        <w:t>Программа 26</w:t>
      </w:r>
      <w:r>
        <w:t xml:space="preserve"> – Отдел внутреннего надзора; </w:t>
      </w:r>
      <w:r>
        <w:rPr>
          <w:b/>
        </w:rPr>
        <w:t>Программа 27</w:t>
      </w:r>
      <w:r>
        <w:t xml:space="preserve"> – Конференционная и лингвистическая службы; </w:t>
      </w:r>
      <w:r>
        <w:rPr>
          <w:b/>
        </w:rPr>
        <w:t>Программа 28</w:t>
      </w:r>
      <w:r>
        <w:t xml:space="preserve"> – Обеспечение достоверности информации, охрана и безопасность; </w:t>
      </w:r>
      <w:r>
        <w:rPr>
          <w:b/>
        </w:rPr>
        <w:t>Программа 32</w:t>
      </w:r>
      <w:r>
        <w:t xml:space="preserve"> – Лиссабонская система.</w:t>
      </w:r>
    </w:p>
  </w:footnote>
  <w:footnote w:id="20">
    <w:p w14:paraId="75B27EEB" w14:textId="77777777" w:rsidR="004155AC" w:rsidRPr="00072495" w:rsidRDefault="004155AC" w:rsidP="00C46B12">
      <w:pPr>
        <w:pStyle w:val="FootnoteText"/>
      </w:pPr>
      <w:r>
        <w:rPr>
          <w:rStyle w:val="FootnoteReference"/>
        </w:rPr>
        <w:footnoteRef/>
      </w:r>
      <w:r>
        <w:t xml:space="preserve">  </w:t>
      </w:r>
      <w:r>
        <w:t>УВН, пункт 28 (g).</w:t>
      </w:r>
    </w:p>
  </w:footnote>
  <w:footnote w:id="21">
    <w:p w14:paraId="5BBBFD0C" w14:textId="77777777" w:rsidR="004155AC" w:rsidRDefault="004155AC" w:rsidP="00550057">
      <w:pPr>
        <w:pStyle w:val="FootnoteText"/>
      </w:pPr>
      <w:r>
        <w:rPr>
          <w:rStyle w:val="FootnoteReference"/>
        </w:rPr>
        <w:footnoteRef/>
      </w:r>
      <w:r>
        <w:t xml:space="preserve">  </w:t>
      </w:r>
      <w:r>
        <w:t>Основными заинтересованными сторонами являются Генеральный директор, руководители ВОИС, НККН, государства-члены, внешний аудитор и общественность в целом.</w:t>
      </w:r>
    </w:p>
  </w:footnote>
  <w:footnote w:id="22">
    <w:p w14:paraId="55E7A2FA" w14:textId="77777777" w:rsidR="004155AC" w:rsidRDefault="004155AC" w:rsidP="00C46B12">
      <w:pPr>
        <w:pStyle w:val="FootnoteText"/>
      </w:pPr>
      <w:r>
        <w:rPr>
          <w:rStyle w:val="FootnoteReference"/>
        </w:rPr>
        <w:footnoteRef/>
      </w:r>
      <w:r>
        <w:t xml:space="preserve">  </w:t>
      </w:r>
      <w:r>
        <w:t>УВН, пункт 48 (i).</w:t>
      </w:r>
    </w:p>
  </w:footnote>
  <w:footnote w:id="23">
    <w:p w14:paraId="059CD795" w14:textId="77777777" w:rsidR="004155AC" w:rsidRPr="00283D9B" w:rsidRDefault="004155AC" w:rsidP="005F7359">
      <w:pPr>
        <w:pStyle w:val="FootnoteText"/>
      </w:pPr>
      <w:r>
        <w:rPr>
          <w:rStyle w:val="FootnoteReference"/>
        </w:rPr>
        <w:footnoteRef/>
      </w:r>
      <w:r>
        <w:t xml:space="preserve">  </w:t>
      </w:r>
      <w:r>
        <w:t>Этот долевой показатель определен по сумме бюджета после перераспределения средств на нужды ОВН.</w:t>
      </w:r>
    </w:p>
  </w:footnote>
  <w:footnote w:id="24">
    <w:p w14:paraId="6D072959" w14:textId="2BC58056" w:rsidR="004155AC" w:rsidRDefault="004155AC" w:rsidP="005F7359">
      <w:pPr>
        <w:spacing w:after="40"/>
      </w:pPr>
      <w:r>
        <w:rPr>
          <w:rStyle w:val="FootnoteReference"/>
          <w:sz w:val="16"/>
          <w:szCs w:val="16"/>
        </w:rPr>
        <w:footnoteRef/>
      </w:r>
      <w:r>
        <w:t xml:space="preserve">  </w:t>
      </w:r>
      <w:r w:rsidRPr="00407B87">
        <w:rPr>
          <w:sz w:val="18"/>
          <w:szCs w:val="18"/>
        </w:rPr>
        <w:t>Суммы указаны в шв. франк</w:t>
      </w:r>
      <w:r>
        <w:rPr>
          <w:sz w:val="18"/>
          <w:szCs w:val="18"/>
        </w:rPr>
        <w:t>ах</w:t>
      </w:r>
      <w:r w:rsidRPr="00407B8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50DB" w14:textId="77777777" w:rsidR="00F23898" w:rsidRDefault="00F23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24F17" w14:textId="77777777" w:rsidR="004155AC" w:rsidRDefault="004155AC" w:rsidP="00477D6B">
    <w:pPr>
      <w:jc w:val="right"/>
    </w:pPr>
    <w:r>
      <w:t>WO/GA/55/X</w:t>
    </w:r>
  </w:p>
  <w:p w14:paraId="52D0DC6D" w14:textId="618B52F9" w:rsidR="004155AC" w:rsidRDefault="004155AC" w:rsidP="00477D6B">
    <w:pPr>
      <w:jc w:val="right"/>
    </w:pPr>
    <w:r>
      <w:t xml:space="preserve">стр. </w:t>
    </w:r>
    <w:r>
      <w:fldChar w:fldCharType="begin"/>
    </w:r>
    <w:r>
      <w:instrText xml:space="preserve"> PAGE  \* MERGEFORMAT </w:instrText>
    </w:r>
    <w:r>
      <w:fldChar w:fldCharType="separate"/>
    </w:r>
    <w:r>
      <w:rPr>
        <w:noProof/>
      </w:rPr>
      <w:t>31</w:t>
    </w:r>
    <w:r>
      <w:fldChar w:fldCharType="end"/>
    </w:r>
  </w:p>
  <w:p w14:paraId="31A52ED8" w14:textId="77777777" w:rsidR="004155AC" w:rsidRDefault="004155AC" w:rsidP="00477D6B">
    <w:pPr>
      <w:jc w:val="right"/>
    </w:pPr>
  </w:p>
  <w:p w14:paraId="2902E7DE" w14:textId="77777777" w:rsidR="004155AC" w:rsidRDefault="004155A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0828" w14:textId="77777777" w:rsidR="00F23898" w:rsidRDefault="00F238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CFB2" w14:textId="77777777" w:rsidR="004155AC" w:rsidRPr="00F87303" w:rsidRDefault="004155AC" w:rsidP="002670C4">
    <w:pPr>
      <w:jc w:val="right"/>
    </w:pPr>
    <w:r>
      <w:t>WO/PBC/28/5</w:t>
    </w:r>
  </w:p>
  <w:p w14:paraId="4EB2B35C" w14:textId="77777777" w:rsidR="004155AC" w:rsidRPr="00E365E6" w:rsidRDefault="004155AC" w:rsidP="002670C4">
    <w:pPr>
      <w:pStyle w:val="Header"/>
      <w:jc w:val="right"/>
    </w:pPr>
    <w:r>
      <w:t>стр. 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D8520" w14:textId="77777777" w:rsidR="004155AC" w:rsidRDefault="004155AC" w:rsidP="002670C4">
    <w:pPr>
      <w:jc w:val="right"/>
    </w:pPr>
    <w:r>
      <w:t>WO/PBC/34/5</w:t>
    </w:r>
  </w:p>
  <w:p w14:paraId="6378F27E" w14:textId="0A1874CC" w:rsidR="004155AC" w:rsidRPr="00F87303" w:rsidRDefault="004155AC" w:rsidP="001D1177">
    <w:pPr>
      <w:pStyle w:val="Header"/>
      <w:jc w:val="right"/>
    </w:pPr>
    <w:r>
      <w:t xml:space="preserve">стр. </w:t>
    </w:r>
    <w:r>
      <w:fldChar w:fldCharType="begin"/>
    </w:r>
    <w:r>
      <w:instrText xml:space="preserve"> PAGE   \* MERGEFORMAT </w:instrText>
    </w:r>
    <w:r>
      <w:fldChar w:fldCharType="separate"/>
    </w:r>
    <w:r w:rsidR="00F23898">
      <w:rPr>
        <w:noProof/>
      </w:rPr>
      <w:t>17</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01AF" w14:textId="77777777" w:rsidR="004155AC" w:rsidRPr="003E573F" w:rsidRDefault="004155AC" w:rsidP="002670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E952" w14:textId="77777777" w:rsidR="004155AC" w:rsidRPr="00203782" w:rsidRDefault="004155AC" w:rsidP="00477D6B">
    <w:pPr>
      <w:jc w:val="right"/>
      <w:rPr>
        <w:lang w:val="en-US"/>
      </w:rPr>
    </w:pPr>
    <w:bookmarkStart w:id="53" w:name="Code2"/>
    <w:bookmarkEnd w:id="53"/>
    <w:r w:rsidRPr="00203782">
      <w:rPr>
        <w:lang w:val="en-US"/>
      </w:rPr>
      <w:t>WO/GA/52/4WO/PBC/31/</w:t>
    </w:r>
  </w:p>
  <w:p w14:paraId="59B8C1BC" w14:textId="77777777" w:rsidR="004155AC" w:rsidRPr="00203782" w:rsidRDefault="004155AC" w:rsidP="00477D6B">
    <w:pPr>
      <w:jc w:val="right"/>
      <w:rPr>
        <w:lang w:val="en-US"/>
      </w:rPr>
    </w:pPr>
    <w:r>
      <w:t>стр</w:t>
    </w:r>
    <w:r w:rsidRPr="00203782">
      <w:rPr>
        <w:lang w:val="en-US"/>
      </w:rPr>
      <w:t>. 20</w:t>
    </w:r>
  </w:p>
  <w:p w14:paraId="1FED260F" w14:textId="77777777" w:rsidR="004155AC" w:rsidRPr="00282208" w:rsidRDefault="004155AC" w:rsidP="00477D6B">
    <w:pPr>
      <w:jc w:val="right"/>
      <w:rPr>
        <w:lang w:val="de-DE"/>
      </w:rPr>
    </w:pPr>
  </w:p>
  <w:p w14:paraId="67D9E257" w14:textId="77777777" w:rsidR="004155AC" w:rsidRPr="00282208" w:rsidRDefault="004155AC" w:rsidP="00477D6B">
    <w:pPr>
      <w:jc w:val="right"/>
      <w:rPr>
        <w:lang w:val="de-DE"/>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B7B31" w14:textId="0068386E" w:rsidR="004155AC" w:rsidRPr="00524915" w:rsidRDefault="004155AC" w:rsidP="00282208">
    <w:pPr>
      <w:jc w:val="right"/>
    </w:pPr>
    <w:r>
      <w:t>WO/PBC/34/5</w:t>
    </w:r>
  </w:p>
  <w:p w14:paraId="5A71E2A9" w14:textId="77777777" w:rsidR="004155AC" w:rsidRPr="00524915" w:rsidRDefault="004155AC" w:rsidP="00282208">
    <w:pPr>
      <w:pStyle w:val="Header"/>
      <w:jc w:val="right"/>
    </w:pPr>
    <w:r>
      <w:t>ПРИЛОЖЕНИЕ</w:t>
    </w:r>
  </w:p>
  <w:p w14:paraId="5E1161C2" w14:textId="77777777" w:rsidR="004155AC" w:rsidRPr="003E573F" w:rsidRDefault="004155AC"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7FD"/>
    <w:multiLevelType w:val="hybridMultilevel"/>
    <w:tmpl w:val="21EEF100"/>
    <w:lvl w:ilvl="0" w:tplc="33BC28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506948"/>
    <w:multiLevelType w:val="hybridMultilevel"/>
    <w:tmpl w:val="87D2E77E"/>
    <w:lvl w:ilvl="0" w:tplc="EF02D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ED17FF"/>
    <w:multiLevelType w:val="multilevel"/>
    <w:tmpl w:val="80BAD626"/>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160FE7"/>
    <w:multiLevelType w:val="multilevel"/>
    <w:tmpl w:val="8DB6FC18"/>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9CF42A0"/>
    <w:multiLevelType w:val="hybridMultilevel"/>
    <w:tmpl w:val="57A83A90"/>
    <w:lvl w:ilvl="0" w:tplc="80FCDC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3"/>
  </w:num>
  <w:num w:numId="8">
    <w:abstractNumId w:val="8"/>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6"/>
  </w:num>
  <w:num w:numId="17">
    <w:abstractNumId w:val="10"/>
  </w:num>
  <w:num w:numId="18">
    <w:abstractNumId w:val="1"/>
  </w:num>
  <w:num w:numId="19">
    <w:abstractNumId w:val="1"/>
  </w:num>
  <w:num w:numId="20">
    <w:abstractNumId w:val="3"/>
  </w:num>
  <w:num w:numId="21">
    <w:abstractNumId w:val="1"/>
  </w:num>
  <w:num w:numId="22">
    <w:abstractNumId w:val="12"/>
  </w:num>
  <w:num w:numId="23">
    <w:abstractNumId w:val="1"/>
  </w:num>
  <w:num w:numId="24">
    <w:abstractNumId w:val="1"/>
  </w:num>
  <w:num w:numId="25">
    <w:abstractNumId w:val="1"/>
  </w:num>
  <w:num w:numId="26">
    <w:abstractNumId w:val="14"/>
  </w:num>
  <w:num w:numId="27">
    <w:abstractNumId w:val="1"/>
  </w:num>
  <w:num w:numId="28">
    <w:abstractNumId w:val="1"/>
  </w:num>
  <w:num w:numId="29">
    <w:abstractNumId w:val="1"/>
  </w:num>
  <w:num w:numId="30">
    <w:abstractNumId w:val="0"/>
  </w:num>
  <w:num w:numId="31">
    <w:abstractNumId w:val="7"/>
  </w:num>
  <w:num w:numId="32">
    <w:abstractNumId w:val="15"/>
  </w:num>
  <w:num w:numId="33">
    <w:abstractNumId w:val="1"/>
  </w:num>
  <w:num w:numId="34">
    <w:abstractNumId w:val="1"/>
  </w:num>
  <w:num w:numId="3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ru-RU" w:vendorID="64" w:dllVersion="131078"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263F"/>
    <w:rsid w:val="00003410"/>
    <w:rsid w:val="00004205"/>
    <w:rsid w:val="000074CD"/>
    <w:rsid w:val="00007C8D"/>
    <w:rsid w:val="00012902"/>
    <w:rsid w:val="00012A0C"/>
    <w:rsid w:val="00012F14"/>
    <w:rsid w:val="0001407C"/>
    <w:rsid w:val="00017479"/>
    <w:rsid w:val="000174F2"/>
    <w:rsid w:val="000259B5"/>
    <w:rsid w:val="000269CE"/>
    <w:rsid w:val="00027788"/>
    <w:rsid w:val="00027A0B"/>
    <w:rsid w:val="000331AB"/>
    <w:rsid w:val="00037140"/>
    <w:rsid w:val="0003750A"/>
    <w:rsid w:val="00043CAA"/>
    <w:rsid w:val="000449A2"/>
    <w:rsid w:val="00044A42"/>
    <w:rsid w:val="00050B9C"/>
    <w:rsid w:val="00050F76"/>
    <w:rsid w:val="00051D12"/>
    <w:rsid w:val="0005230C"/>
    <w:rsid w:val="00053BE8"/>
    <w:rsid w:val="00055464"/>
    <w:rsid w:val="00056816"/>
    <w:rsid w:val="000568FE"/>
    <w:rsid w:val="00057F57"/>
    <w:rsid w:val="00060C46"/>
    <w:rsid w:val="00063D19"/>
    <w:rsid w:val="00063E3F"/>
    <w:rsid w:val="000649AF"/>
    <w:rsid w:val="00065037"/>
    <w:rsid w:val="00066818"/>
    <w:rsid w:val="00067B6A"/>
    <w:rsid w:val="00075432"/>
    <w:rsid w:val="00080C25"/>
    <w:rsid w:val="0008140C"/>
    <w:rsid w:val="00081F24"/>
    <w:rsid w:val="00083212"/>
    <w:rsid w:val="00083433"/>
    <w:rsid w:val="000834E1"/>
    <w:rsid w:val="00083553"/>
    <w:rsid w:val="00087F87"/>
    <w:rsid w:val="00091904"/>
    <w:rsid w:val="00091943"/>
    <w:rsid w:val="000920C6"/>
    <w:rsid w:val="00094B31"/>
    <w:rsid w:val="0009532F"/>
    <w:rsid w:val="000953B4"/>
    <w:rsid w:val="000968ED"/>
    <w:rsid w:val="00097EB8"/>
    <w:rsid w:val="000A003F"/>
    <w:rsid w:val="000A07F8"/>
    <w:rsid w:val="000A0A8F"/>
    <w:rsid w:val="000A0B7A"/>
    <w:rsid w:val="000A2877"/>
    <w:rsid w:val="000A3D97"/>
    <w:rsid w:val="000A6E18"/>
    <w:rsid w:val="000A75FA"/>
    <w:rsid w:val="000A7A2D"/>
    <w:rsid w:val="000B1CEC"/>
    <w:rsid w:val="000B53FC"/>
    <w:rsid w:val="000C2BC1"/>
    <w:rsid w:val="000C4041"/>
    <w:rsid w:val="000C4E21"/>
    <w:rsid w:val="000C4E9C"/>
    <w:rsid w:val="000C5D71"/>
    <w:rsid w:val="000C60CF"/>
    <w:rsid w:val="000D18B9"/>
    <w:rsid w:val="000D1D00"/>
    <w:rsid w:val="000D26D8"/>
    <w:rsid w:val="000D62DD"/>
    <w:rsid w:val="000D6590"/>
    <w:rsid w:val="000D6D2A"/>
    <w:rsid w:val="000D7CF0"/>
    <w:rsid w:val="000D7F45"/>
    <w:rsid w:val="000E04C7"/>
    <w:rsid w:val="000E0D1B"/>
    <w:rsid w:val="000E10F4"/>
    <w:rsid w:val="000E1DB8"/>
    <w:rsid w:val="000E2BF2"/>
    <w:rsid w:val="000E3787"/>
    <w:rsid w:val="000E52CD"/>
    <w:rsid w:val="000F16E2"/>
    <w:rsid w:val="000F18C3"/>
    <w:rsid w:val="000F1ACD"/>
    <w:rsid w:val="000F1F5D"/>
    <w:rsid w:val="000F2726"/>
    <w:rsid w:val="000F3D7B"/>
    <w:rsid w:val="000F5D67"/>
    <w:rsid w:val="000F5E56"/>
    <w:rsid w:val="000F6132"/>
    <w:rsid w:val="000F6DA2"/>
    <w:rsid w:val="000F7A31"/>
    <w:rsid w:val="000F7F6B"/>
    <w:rsid w:val="00101D72"/>
    <w:rsid w:val="00104BDC"/>
    <w:rsid w:val="001052E2"/>
    <w:rsid w:val="0010783D"/>
    <w:rsid w:val="00107F8C"/>
    <w:rsid w:val="0011081D"/>
    <w:rsid w:val="001123FB"/>
    <w:rsid w:val="001160CB"/>
    <w:rsid w:val="0012193A"/>
    <w:rsid w:val="00121CCE"/>
    <w:rsid w:val="0013109F"/>
    <w:rsid w:val="00131D66"/>
    <w:rsid w:val="001362EE"/>
    <w:rsid w:val="00140150"/>
    <w:rsid w:val="00140918"/>
    <w:rsid w:val="0014384A"/>
    <w:rsid w:val="0014654C"/>
    <w:rsid w:val="001511A7"/>
    <w:rsid w:val="00152E1F"/>
    <w:rsid w:val="00154248"/>
    <w:rsid w:val="001542CE"/>
    <w:rsid w:val="001547C8"/>
    <w:rsid w:val="001569F2"/>
    <w:rsid w:val="00157B3D"/>
    <w:rsid w:val="0016216B"/>
    <w:rsid w:val="001635B5"/>
    <w:rsid w:val="00163E3E"/>
    <w:rsid w:val="001643D3"/>
    <w:rsid w:val="001647D5"/>
    <w:rsid w:val="001661F3"/>
    <w:rsid w:val="00167E24"/>
    <w:rsid w:val="00173ECB"/>
    <w:rsid w:val="001750C8"/>
    <w:rsid w:val="001775CE"/>
    <w:rsid w:val="0018317E"/>
    <w:rsid w:val="001832A6"/>
    <w:rsid w:val="00185F50"/>
    <w:rsid w:val="001904F7"/>
    <w:rsid w:val="00191379"/>
    <w:rsid w:val="00191B90"/>
    <w:rsid w:val="001936B0"/>
    <w:rsid w:val="00193A11"/>
    <w:rsid w:val="00194BF6"/>
    <w:rsid w:val="00195170"/>
    <w:rsid w:val="001952B7"/>
    <w:rsid w:val="00196CD2"/>
    <w:rsid w:val="001A1C89"/>
    <w:rsid w:val="001A4443"/>
    <w:rsid w:val="001A5B1B"/>
    <w:rsid w:val="001A5DC5"/>
    <w:rsid w:val="001A6515"/>
    <w:rsid w:val="001A67A1"/>
    <w:rsid w:val="001A6CA0"/>
    <w:rsid w:val="001A7272"/>
    <w:rsid w:val="001B2E69"/>
    <w:rsid w:val="001B343A"/>
    <w:rsid w:val="001B48C4"/>
    <w:rsid w:val="001B628C"/>
    <w:rsid w:val="001B7D41"/>
    <w:rsid w:val="001C0BFD"/>
    <w:rsid w:val="001C0E37"/>
    <w:rsid w:val="001C123D"/>
    <w:rsid w:val="001C12DE"/>
    <w:rsid w:val="001C22A3"/>
    <w:rsid w:val="001C2473"/>
    <w:rsid w:val="001C3712"/>
    <w:rsid w:val="001C669F"/>
    <w:rsid w:val="001C6CA4"/>
    <w:rsid w:val="001D01A8"/>
    <w:rsid w:val="001D1177"/>
    <w:rsid w:val="001D4107"/>
    <w:rsid w:val="001D4318"/>
    <w:rsid w:val="001D5827"/>
    <w:rsid w:val="001D59E1"/>
    <w:rsid w:val="001E003B"/>
    <w:rsid w:val="001E1CA7"/>
    <w:rsid w:val="001E225B"/>
    <w:rsid w:val="001E2BD8"/>
    <w:rsid w:val="001E2CA2"/>
    <w:rsid w:val="001E6CF4"/>
    <w:rsid w:val="001E6F62"/>
    <w:rsid w:val="001F21C8"/>
    <w:rsid w:val="001F5477"/>
    <w:rsid w:val="001F799A"/>
    <w:rsid w:val="001F7A20"/>
    <w:rsid w:val="002026BC"/>
    <w:rsid w:val="00203782"/>
    <w:rsid w:val="00203D24"/>
    <w:rsid w:val="002059E7"/>
    <w:rsid w:val="00205EA1"/>
    <w:rsid w:val="00210B06"/>
    <w:rsid w:val="0021217E"/>
    <w:rsid w:val="002150AF"/>
    <w:rsid w:val="0021563A"/>
    <w:rsid w:val="00217391"/>
    <w:rsid w:val="0021774E"/>
    <w:rsid w:val="00222C8D"/>
    <w:rsid w:val="00224AED"/>
    <w:rsid w:val="0022519E"/>
    <w:rsid w:val="002264CD"/>
    <w:rsid w:val="0022679E"/>
    <w:rsid w:val="002279F2"/>
    <w:rsid w:val="0023270A"/>
    <w:rsid w:val="002327F8"/>
    <w:rsid w:val="002415DC"/>
    <w:rsid w:val="0024327F"/>
    <w:rsid w:val="00243430"/>
    <w:rsid w:val="002435DF"/>
    <w:rsid w:val="00243DD8"/>
    <w:rsid w:val="002446E9"/>
    <w:rsid w:val="0024667F"/>
    <w:rsid w:val="00247252"/>
    <w:rsid w:val="00252695"/>
    <w:rsid w:val="0025359D"/>
    <w:rsid w:val="002545F9"/>
    <w:rsid w:val="00255686"/>
    <w:rsid w:val="002562E7"/>
    <w:rsid w:val="00257602"/>
    <w:rsid w:val="002630EC"/>
    <w:rsid w:val="002634C4"/>
    <w:rsid w:val="0026534C"/>
    <w:rsid w:val="002654AF"/>
    <w:rsid w:val="002670C4"/>
    <w:rsid w:val="00267852"/>
    <w:rsid w:val="002717D1"/>
    <w:rsid w:val="002778F8"/>
    <w:rsid w:val="00282208"/>
    <w:rsid w:val="002830FF"/>
    <w:rsid w:val="00284537"/>
    <w:rsid w:val="00284EFC"/>
    <w:rsid w:val="0028603B"/>
    <w:rsid w:val="0028626A"/>
    <w:rsid w:val="00286456"/>
    <w:rsid w:val="00286DAC"/>
    <w:rsid w:val="0029118F"/>
    <w:rsid w:val="002928D3"/>
    <w:rsid w:val="002936F1"/>
    <w:rsid w:val="002A12D7"/>
    <w:rsid w:val="002A1916"/>
    <w:rsid w:val="002A213E"/>
    <w:rsid w:val="002A21AE"/>
    <w:rsid w:val="002B10B9"/>
    <w:rsid w:val="002B4981"/>
    <w:rsid w:val="002B7C36"/>
    <w:rsid w:val="002C23BF"/>
    <w:rsid w:val="002C3215"/>
    <w:rsid w:val="002C3EE1"/>
    <w:rsid w:val="002C485D"/>
    <w:rsid w:val="002C4C35"/>
    <w:rsid w:val="002D0381"/>
    <w:rsid w:val="002D2DA5"/>
    <w:rsid w:val="002D34FF"/>
    <w:rsid w:val="002D3B44"/>
    <w:rsid w:val="002D5739"/>
    <w:rsid w:val="002D6743"/>
    <w:rsid w:val="002D6986"/>
    <w:rsid w:val="002E1846"/>
    <w:rsid w:val="002E2DFD"/>
    <w:rsid w:val="002E3A72"/>
    <w:rsid w:val="002E69EB"/>
    <w:rsid w:val="002F07CD"/>
    <w:rsid w:val="002F1C84"/>
    <w:rsid w:val="002F1FE6"/>
    <w:rsid w:val="002F43F7"/>
    <w:rsid w:val="002F4E68"/>
    <w:rsid w:val="002F5395"/>
    <w:rsid w:val="002F5D8D"/>
    <w:rsid w:val="002F69AD"/>
    <w:rsid w:val="0030012B"/>
    <w:rsid w:val="0030017C"/>
    <w:rsid w:val="00300C2C"/>
    <w:rsid w:val="00300D4D"/>
    <w:rsid w:val="0030244D"/>
    <w:rsid w:val="00302505"/>
    <w:rsid w:val="0030340A"/>
    <w:rsid w:val="003038D9"/>
    <w:rsid w:val="00307D39"/>
    <w:rsid w:val="00310B73"/>
    <w:rsid w:val="0031229D"/>
    <w:rsid w:val="003124BB"/>
    <w:rsid w:val="00312F7F"/>
    <w:rsid w:val="00313912"/>
    <w:rsid w:val="00314917"/>
    <w:rsid w:val="00315E45"/>
    <w:rsid w:val="00315F3C"/>
    <w:rsid w:val="00317396"/>
    <w:rsid w:val="0032452C"/>
    <w:rsid w:val="00326E2A"/>
    <w:rsid w:val="00331F89"/>
    <w:rsid w:val="00335B35"/>
    <w:rsid w:val="0033685D"/>
    <w:rsid w:val="003374FB"/>
    <w:rsid w:val="00337A88"/>
    <w:rsid w:val="00342383"/>
    <w:rsid w:val="00345023"/>
    <w:rsid w:val="003453CA"/>
    <w:rsid w:val="00347735"/>
    <w:rsid w:val="00350525"/>
    <w:rsid w:val="0035095D"/>
    <w:rsid w:val="00352C83"/>
    <w:rsid w:val="0035401B"/>
    <w:rsid w:val="00354F3F"/>
    <w:rsid w:val="00360261"/>
    <w:rsid w:val="00361450"/>
    <w:rsid w:val="0036177F"/>
    <w:rsid w:val="003652CE"/>
    <w:rsid w:val="003673CF"/>
    <w:rsid w:val="00371CD2"/>
    <w:rsid w:val="003728F8"/>
    <w:rsid w:val="00374070"/>
    <w:rsid w:val="0037428E"/>
    <w:rsid w:val="0037708F"/>
    <w:rsid w:val="00377856"/>
    <w:rsid w:val="0038146E"/>
    <w:rsid w:val="00383799"/>
    <w:rsid w:val="003845C1"/>
    <w:rsid w:val="00392CEA"/>
    <w:rsid w:val="00393E59"/>
    <w:rsid w:val="0039415E"/>
    <w:rsid w:val="00395824"/>
    <w:rsid w:val="0039651E"/>
    <w:rsid w:val="003967ED"/>
    <w:rsid w:val="003A6DF8"/>
    <w:rsid w:val="003A6F89"/>
    <w:rsid w:val="003A78AC"/>
    <w:rsid w:val="003B0312"/>
    <w:rsid w:val="003B06F4"/>
    <w:rsid w:val="003B2024"/>
    <w:rsid w:val="003B38C1"/>
    <w:rsid w:val="003B4645"/>
    <w:rsid w:val="003C34E9"/>
    <w:rsid w:val="003C4165"/>
    <w:rsid w:val="003C526E"/>
    <w:rsid w:val="003C5909"/>
    <w:rsid w:val="003D125E"/>
    <w:rsid w:val="003D3A2A"/>
    <w:rsid w:val="003D6E1D"/>
    <w:rsid w:val="003E5E33"/>
    <w:rsid w:val="003F2F86"/>
    <w:rsid w:val="003F3B76"/>
    <w:rsid w:val="003F48D8"/>
    <w:rsid w:val="003F6C0B"/>
    <w:rsid w:val="004073D0"/>
    <w:rsid w:val="00407B87"/>
    <w:rsid w:val="00411441"/>
    <w:rsid w:val="00411D92"/>
    <w:rsid w:val="00412F47"/>
    <w:rsid w:val="0041494C"/>
    <w:rsid w:val="0041512C"/>
    <w:rsid w:val="004155AC"/>
    <w:rsid w:val="00422A71"/>
    <w:rsid w:val="00422B7D"/>
    <w:rsid w:val="00423823"/>
    <w:rsid w:val="00423E3E"/>
    <w:rsid w:val="00424E8A"/>
    <w:rsid w:val="00425CF3"/>
    <w:rsid w:val="00427AF4"/>
    <w:rsid w:val="004362BA"/>
    <w:rsid w:val="00436316"/>
    <w:rsid w:val="00436B8D"/>
    <w:rsid w:val="0044093E"/>
    <w:rsid w:val="004428AF"/>
    <w:rsid w:val="004434B0"/>
    <w:rsid w:val="004448FF"/>
    <w:rsid w:val="00446ABF"/>
    <w:rsid w:val="004479A8"/>
    <w:rsid w:val="00447C4F"/>
    <w:rsid w:val="00450494"/>
    <w:rsid w:val="00450C38"/>
    <w:rsid w:val="00451AF4"/>
    <w:rsid w:val="0045233C"/>
    <w:rsid w:val="0045409D"/>
    <w:rsid w:val="00454D28"/>
    <w:rsid w:val="004647CB"/>
    <w:rsid w:val="004647DA"/>
    <w:rsid w:val="00464F9C"/>
    <w:rsid w:val="00467574"/>
    <w:rsid w:val="00470D9D"/>
    <w:rsid w:val="0047206B"/>
    <w:rsid w:val="00474062"/>
    <w:rsid w:val="00475956"/>
    <w:rsid w:val="00475EA2"/>
    <w:rsid w:val="00477CDB"/>
    <w:rsid w:val="00477D6B"/>
    <w:rsid w:val="00482650"/>
    <w:rsid w:val="004839B6"/>
    <w:rsid w:val="00484B9E"/>
    <w:rsid w:val="00484ED0"/>
    <w:rsid w:val="004854FF"/>
    <w:rsid w:val="00491135"/>
    <w:rsid w:val="00491D39"/>
    <w:rsid w:val="0049212C"/>
    <w:rsid w:val="00492490"/>
    <w:rsid w:val="004B0B41"/>
    <w:rsid w:val="004B3A9F"/>
    <w:rsid w:val="004B5CF4"/>
    <w:rsid w:val="004B6D5C"/>
    <w:rsid w:val="004B7010"/>
    <w:rsid w:val="004B7641"/>
    <w:rsid w:val="004C0258"/>
    <w:rsid w:val="004C2326"/>
    <w:rsid w:val="004C40F4"/>
    <w:rsid w:val="004C6FCB"/>
    <w:rsid w:val="004D0B57"/>
    <w:rsid w:val="004D2547"/>
    <w:rsid w:val="004D2AF2"/>
    <w:rsid w:val="004D4B87"/>
    <w:rsid w:val="004D6E26"/>
    <w:rsid w:val="004E2876"/>
    <w:rsid w:val="004E566A"/>
    <w:rsid w:val="004F0DAE"/>
    <w:rsid w:val="004F4316"/>
    <w:rsid w:val="004F4A77"/>
    <w:rsid w:val="004F5E6B"/>
    <w:rsid w:val="00500A24"/>
    <w:rsid w:val="00500D6F"/>
    <w:rsid w:val="005019FF"/>
    <w:rsid w:val="005033FF"/>
    <w:rsid w:val="0050351D"/>
    <w:rsid w:val="00504BBB"/>
    <w:rsid w:val="00504BC4"/>
    <w:rsid w:val="005079F8"/>
    <w:rsid w:val="005101A6"/>
    <w:rsid w:val="005120F1"/>
    <w:rsid w:val="005121A0"/>
    <w:rsid w:val="005143D7"/>
    <w:rsid w:val="00515A65"/>
    <w:rsid w:val="00516C1E"/>
    <w:rsid w:val="00520248"/>
    <w:rsid w:val="005214D5"/>
    <w:rsid w:val="0052183D"/>
    <w:rsid w:val="00524F64"/>
    <w:rsid w:val="00526790"/>
    <w:rsid w:val="00526EA2"/>
    <w:rsid w:val="00530377"/>
    <w:rsid w:val="0053057A"/>
    <w:rsid w:val="00531A5E"/>
    <w:rsid w:val="005328C2"/>
    <w:rsid w:val="005361A2"/>
    <w:rsid w:val="005370EC"/>
    <w:rsid w:val="0054355C"/>
    <w:rsid w:val="005463D1"/>
    <w:rsid w:val="00550057"/>
    <w:rsid w:val="00552A6D"/>
    <w:rsid w:val="00554614"/>
    <w:rsid w:val="00556076"/>
    <w:rsid w:val="00557A63"/>
    <w:rsid w:val="005602A7"/>
    <w:rsid w:val="00560574"/>
    <w:rsid w:val="005608DA"/>
    <w:rsid w:val="00560A29"/>
    <w:rsid w:val="0056310C"/>
    <w:rsid w:val="00565D01"/>
    <w:rsid w:val="0056698E"/>
    <w:rsid w:val="00567C6A"/>
    <w:rsid w:val="00570CA2"/>
    <w:rsid w:val="00571086"/>
    <w:rsid w:val="00576426"/>
    <w:rsid w:val="00576937"/>
    <w:rsid w:val="00577A7A"/>
    <w:rsid w:val="00577B3F"/>
    <w:rsid w:val="00577C00"/>
    <w:rsid w:val="00577D6C"/>
    <w:rsid w:val="005820E9"/>
    <w:rsid w:val="00582879"/>
    <w:rsid w:val="00582C73"/>
    <w:rsid w:val="0058527F"/>
    <w:rsid w:val="00585D10"/>
    <w:rsid w:val="0059021F"/>
    <w:rsid w:val="005925C7"/>
    <w:rsid w:val="00592A69"/>
    <w:rsid w:val="00593329"/>
    <w:rsid w:val="00594F1D"/>
    <w:rsid w:val="005959CE"/>
    <w:rsid w:val="00596A85"/>
    <w:rsid w:val="00597B4C"/>
    <w:rsid w:val="005A291B"/>
    <w:rsid w:val="005A2AE9"/>
    <w:rsid w:val="005A5B3D"/>
    <w:rsid w:val="005A6DE0"/>
    <w:rsid w:val="005A7818"/>
    <w:rsid w:val="005B12AC"/>
    <w:rsid w:val="005C40A8"/>
    <w:rsid w:val="005C4457"/>
    <w:rsid w:val="005C514B"/>
    <w:rsid w:val="005C5E28"/>
    <w:rsid w:val="005C6649"/>
    <w:rsid w:val="005C7795"/>
    <w:rsid w:val="005C77AE"/>
    <w:rsid w:val="005D13DE"/>
    <w:rsid w:val="005D2036"/>
    <w:rsid w:val="005D2437"/>
    <w:rsid w:val="005D3901"/>
    <w:rsid w:val="005D7B90"/>
    <w:rsid w:val="005E0F48"/>
    <w:rsid w:val="005E1266"/>
    <w:rsid w:val="005E1B27"/>
    <w:rsid w:val="005E27B1"/>
    <w:rsid w:val="005F7359"/>
    <w:rsid w:val="00604E3C"/>
    <w:rsid w:val="00605827"/>
    <w:rsid w:val="00610A13"/>
    <w:rsid w:val="00613025"/>
    <w:rsid w:val="00614FCE"/>
    <w:rsid w:val="00615DF1"/>
    <w:rsid w:val="00620A74"/>
    <w:rsid w:val="00620FF9"/>
    <w:rsid w:val="00622355"/>
    <w:rsid w:val="0062686A"/>
    <w:rsid w:val="006268E6"/>
    <w:rsid w:val="00634350"/>
    <w:rsid w:val="0063583F"/>
    <w:rsid w:val="006377D1"/>
    <w:rsid w:val="00637E53"/>
    <w:rsid w:val="00642BF8"/>
    <w:rsid w:val="00642F0F"/>
    <w:rsid w:val="00644DC3"/>
    <w:rsid w:val="00646050"/>
    <w:rsid w:val="006460F7"/>
    <w:rsid w:val="00646244"/>
    <w:rsid w:val="00650E6D"/>
    <w:rsid w:val="00652BD9"/>
    <w:rsid w:val="00653C33"/>
    <w:rsid w:val="00655B44"/>
    <w:rsid w:val="00657DBC"/>
    <w:rsid w:val="0066080A"/>
    <w:rsid w:val="00660F45"/>
    <w:rsid w:val="006625D8"/>
    <w:rsid w:val="006627C5"/>
    <w:rsid w:val="006713CA"/>
    <w:rsid w:val="0067209C"/>
    <w:rsid w:val="00673284"/>
    <w:rsid w:val="00673685"/>
    <w:rsid w:val="00675945"/>
    <w:rsid w:val="00676C5C"/>
    <w:rsid w:val="006775DF"/>
    <w:rsid w:val="006775E3"/>
    <w:rsid w:val="006806A8"/>
    <w:rsid w:val="00682FAF"/>
    <w:rsid w:val="00684D26"/>
    <w:rsid w:val="00684DC4"/>
    <w:rsid w:val="006876B9"/>
    <w:rsid w:val="00690482"/>
    <w:rsid w:val="006905B2"/>
    <w:rsid w:val="00690622"/>
    <w:rsid w:val="00690ABA"/>
    <w:rsid w:val="00690DEC"/>
    <w:rsid w:val="006918F6"/>
    <w:rsid w:val="00694F63"/>
    <w:rsid w:val="006955C9"/>
    <w:rsid w:val="006956E4"/>
    <w:rsid w:val="00696001"/>
    <w:rsid w:val="006961B9"/>
    <w:rsid w:val="00697F4C"/>
    <w:rsid w:val="006A3DB9"/>
    <w:rsid w:val="006B09EC"/>
    <w:rsid w:val="006B0C65"/>
    <w:rsid w:val="006B108F"/>
    <w:rsid w:val="006B1846"/>
    <w:rsid w:val="006B314B"/>
    <w:rsid w:val="006B3DA0"/>
    <w:rsid w:val="006B41F2"/>
    <w:rsid w:val="006B5547"/>
    <w:rsid w:val="006B5E74"/>
    <w:rsid w:val="006B640C"/>
    <w:rsid w:val="006B668C"/>
    <w:rsid w:val="006C4A8E"/>
    <w:rsid w:val="006C54CF"/>
    <w:rsid w:val="006C6F42"/>
    <w:rsid w:val="006C749E"/>
    <w:rsid w:val="006D0503"/>
    <w:rsid w:val="006D09F2"/>
    <w:rsid w:val="006D40D5"/>
    <w:rsid w:val="006D6571"/>
    <w:rsid w:val="006F0074"/>
    <w:rsid w:val="006F02D3"/>
    <w:rsid w:val="006F2103"/>
    <w:rsid w:val="006F5456"/>
    <w:rsid w:val="006F55BD"/>
    <w:rsid w:val="006F5D79"/>
    <w:rsid w:val="006F69B0"/>
    <w:rsid w:val="007001E2"/>
    <w:rsid w:val="00700FA0"/>
    <w:rsid w:val="007035FD"/>
    <w:rsid w:val="00710BBE"/>
    <w:rsid w:val="00711B10"/>
    <w:rsid w:val="00711EC7"/>
    <w:rsid w:val="007159D2"/>
    <w:rsid w:val="00716C15"/>
    <w:rsid w:val="00720EFD"/>
    <w:rsid w:val="00721010"/>
    <w:rsid w:val="00721BDA"/>
    <w:rsid w:val="00721FE7"/>
    <w:rsid w:val="0072225C"/>
    <w:rsid w:val="00724AC0"/>
    <w:rsid w:val="00724E72"/>
    <w:rsid w:val="007253A8"/>
    <w:rsid w:val="00726D19"/>
    <w:rsid w:val="007271E8"/>
    <w:rsid w:val="00736FE9"/>
    <w:rsid w:val="00740D7A"/>
    <w:rsid w:val="0074206A"/>
    <w:rsid w:val="007424C3"/>
    <w:rsid w:val="00745CFA"/>
    <w:rsid w:val="00746F3D"/>
    <w:rsid w:val="007470B1"/>
    <w:rsid w:val="00761EC4"/>
    <w:rsid w:val="00764CF0"/>
    <w:rsid w:val="0076638D"/>
    <w:rsid w:val="0077140C"/>
    <w:rsid w:val="00772DD9"/>
    <w:rsid w:val="00772E15"/>
    <w:rsid w:val="00775974"/>
    <w:rsid w:val="00783303"/>
    <w:rsid w:val="00784854"/>
    <w:rsid w:val="007853D0"/>
    <w:rsid w:val="00791098"/>
    <w:rsid w:val="00793476"/>
    <w:rsid w:val="00793A7C"/>
    <w:rsid w:val="007960E4"/>
    <w:rsid w:val="00796EE3"/>
    <w:rsid w:val="0079740A"/>
    <w:rsid w:val="007A398A"/>
    <w:rsid w:val="007A65B5"/>
    <w:rsid w:val="007A6956"/>
    <w:rsid w:val="007B496E"/>
    <w:rsid w:val="007B4FA8"/>
    <w:rsid w:val="007B5CF7"/>
    <w:rsid w:val="007B6CC3"/>
    <w:rsid w:val="007B7E12"/>
    <w:rsid w:val="007C21BD"/>
    <w:rsid w:val="007C2EFC"/>
    <w:rsid w:val="007C3096"/>
    <w:rsid w:val="007C3613"/>
    <w:rsid w:val="007C6ADE"/>
    <w:rsid w:val="007D0957"/>
    <w:rsid w:val="007D131F"/>
    <w:rsid w:val="007D1432"/>
    <w:rsid w:val="007D1613"/>
    <w:rsid w:val="007D2A23"/>
    <w:rsid w:val="007D44F7"/>
    <w:rsid w:val="007E0A5F"/>
    <w:rsid w:val="007E406E"/>
    <w:rsid w:val="007E4C0E"/>
    <w:rsid w:val="007E5351"/>
    <w:rsid w:val="007E59F9"/>
    <w:rsid w:val="007E6F3C"/>
    <w:rsid w:val="007E72F5"/>
    <w:rsid w:val="007F08E2"/>
    <w:rsid w:val="007F54B6"/>
    <w:rsid w:val="00800123"/>
    <w:rsid w:val="00800748"/>
    <w:rsid w:val="008053D2"/>
    <w:rsid w:val="00805BD5"/>
    <w:rsid w:val="008071F1"/>
    <w:rsid w:val="00807E32"/>
    <w:rsid w:val="00814CBD"/>
    <w:rsid w:val="008220D7"/>
    <w:rsid w:val="00823F66"/>
    <w:rsid w:val="0082437A"/>
    <w:rsid w:val="0082472C"/>
    <w:rsid w:val="0082532C"/>
    <w:rsid w:val="00826314"/>
    <w:rsid w:val="00831998"/>
    <w:rsid w:val="00833331"/>
    <w:rsid w:val="00836944"/>
    <w:rsid w:val="0084012E"/>
    <w:rsid w:val="008460BA"/>
    <w:rsid w:val="00846DDE"/>
    <w:rsid w:val="0085055B"/>
    <w:rsid w:val="008509E4"/>
    <w:rsid w:val="00851AEC"/>
    <w:rsid w:val="00852119"/>
    <w:rsid w:val="00852669"/>
    <w:rsid w:val="008551E3"/>
    <w:rsid w:val="008552F9"/>
    <w:rsid w:val="0086216D"/>
    <w:rsid w:val="008631A1"/>
    <w:rsid w:val="00863C7B"/>
    <w:rsid w:val="0086536F"/>
    <w:rsid w:val="00865548"/>
    <w:rsid w:val="008657A1"/>
    <w:rsid w:val="00865FD8"/>
    <w:rsid w:val="00870324"/>
    <w:rsid w:val="008707B4"/>
    <w:rsid w:val="00870D38"/>
    <w:rsid w:val="00873384"/>
    <w:rsid w:val="008735C4"/>
    <w:rsid w:val="00873B4F"/>
    <w:rsid w:val="00874DB9"/>
    <w:rsid w:val="00875495"/>
    <w:rsid w:val="0087559C"/>
    <w:rsid w:val="008759ED"/>
    <w:rsid w:val="0087751A"/>
    <w:rsid w:val="00877E1A"/>
    <w:rsid w:val="00881564"/>
    <w:rsid w:val="00882193"/>
    <w:rsid w:val="00885265"/>
    <w:rsid w:val="0089039C"/>
    <w:rsid w:val="008905D3"/>
    <w:rsid w:val="008911CE"/>
    <w:rsid w:val="008936EE"/>
    <w:rsid w:val="008966F1"/>
    <w:rsid w:val="008A0104"/>
    <w:rsid w:val="008A134B"/>
    <w:rsid w:val="008A3D8D"/>
    <w:rsid w:val="008A40B3"/>
    <w:rsid w:val="008A4807"/>
    <w:rsid w:val="008A551C"/>
    <w:rsid w:val="008B04A1"/>
    <w:rsid w:val="008B2CC1"/>
    <w:rsid w:val="008B60B2"/>
    <w:rsid w:val="008B627C"/>
    <w:rsid w:val="008B7A29"/>
    <w:rsid w:val="008C096D"/>
    <w:rsid w:val="008C0D32"/>
    <w:rsid w:val="008C5714"/>
    <w:rsid w:val="008C5E1F"/>
    <w:rsid w:val="008C784C"/>
    <w:rsid w:val="008D2128"/>
    <w:rsid w:val="008D2A34"/>
    <w:rsid w:val="008D2FE8"/>
    <w:rsid w:val="008D6E1E"/>
    <w:rsid w:val="008E0230"/>
    <w:rsid w:val="008E49F1"/>
    <w:rsid w:val="008F07CD"/>
    <w:rsid w:val="008F1AE1"/>
    <w:rsid w:val="008F1B61"/>
    <w:rsid w:val="008F5DE9"/>
    <w:rsid w:val="008F70F3"/>
    <w:rsid w:val="008F7571"/>
    <w:rsid w:val="00900737"/>
    <w:rsid w:val="00900A69"/>
    <w:rsid w:val="00902985"/>
    <w:rsid w:val="009041C5"/>
    <w:rsid w:val="00904446"/>
    <w:rsid w:val="00904664"/>
    <w:rsid w:val="0090566F"/>
    <w:rsid w:val="009061F3"/>
    <w:rsid w:val="0090731E"/>
    <w:rsid w:val="00914F3A"/>
    <w:rsid w:val="00915A05"/>
    <w:rsid w:val="00916EE2"/>
    <w:rsid w:val="009208BA"/>
    <w:rsid w:val="0092308C"/>
    <w:rsid w:val="0092671C"/>
    <w:rsid w:val="009302F2"/>
    <w:rsid w:val="0093250A"/>
    <w:rsid w:val="00933438"/>
    <w:rsid w:val="00935002"/>
    <w:rsid w:val="009354A8"/>
    <w:rsid w:val="0093644C"/>
    <w:rsid w:val="00940A2D"/>
    <w:rsid w:val="00940DDF"/>
    <w:rsid w:val="00940E3D"/>
    <w:rsid w:val="0094451C"/>
    <w:rsid w:val="0094491F"/>
    <w:rsid w:val="00945948"/>
    <w:rsid w:val="0094679E"/>
    <w:rsid w:val="0095085A"/>
    <w:rsid w:val="00950C25"/>
    <w:rsid w:val="00957033"/>
    <w:rsid w:val="00962784"/>
    <w:rsid w:val="009641EB"/>
    <w:rsid w:val="00964E17"/>
    <w:rsid w:val="009668BA"/>
    <w:rsid w:val="00966A22"/>
    <w:rsid w:val="0096722F"/>
    <w:rsid w:val="0097182C"/>
    <w:rsid w:val="00971938"/>
    <w:rsid w:val="00973648"/>
    <w:rsid w:val="00975222"/>
    <w:rsid w:val="00980843"/>
    <w:rsid w:val="00982C02"/>
    <w:rsid w:val="00983C6F"/>
    <w:rsid w:val="0098489C"/>
    <w:rsid w:val="00986C01"/>
    <w:rsid w:val="00987391"/>
    <w:rsid w:val="00990147"/>
    <w:rsid w:val="009922EC"/>
    <w:rsid w:val="00994D8C"/>
    <w:rsid w:val="00995589"/>
    <w:rsid w:val="0099711F"/>
    <w:rsid w:val="0099777F"/>
    <w:rsid w:val="009A1B3C"/>
    <w:rsid w:val="009A1BB2"/>
    <w:rsid w:val="009A4828"/>
    <w:rsid w:val="009A5C31"/>
    <w:rsid w:val="009A6529"/>
    <w:rsid w:val="009B0214"/>
    <w:rsid w:val="009B18A2"/>
    <w:rsid w:val="009B35A7"/>
    <w:rsid w:val="009B5433"/>
    <w:rsid w:val="009B65CA"/>
    <w:rsid w:val="009C17F1"/>
    <w:rsid w:val="009C7B6D"/>
    <w:rsid w:val="009C7E22"/>
    <w:rsid w:val="009D0E5C"/>
    <w:rsid w:val="009D1DB4"/>
    <w:rsid w:val="009D48B9"/>
    <w:rsid w:val="009D5455"/>
    <w:rsid w:val="009D772F"/>
    <w:rsid w:val="009E04A3"/>
    <w:rsid w:val="009E1F25"/>
    <w:rsid w:val="009E2791"/>
    <w:rsid w:val="009E2DB6"/>
    <w:rsid w:val="009E3F6F"/>
    <w:rsid w:val="009E7258"/>
    <w:rsid w:val="009E7402"/>
    <w:rsid w:val="009F0FFC"/>
    <w:rsid w:val="009F4247"/>
    <w:rsid w:val="009F4424"/>
    <w:rsid w:val="009F499F"/>
    <w:rsid w:val="00A03857"/>
    <w:rsid w:val="00A03DA4"/>
    <w:rsid w:val="00A0584E"/>
    <w:rsid w:val="00A078D7"/>
    <w:rsid w:val="00A10BFF"/>
    <w:rsid w:val="00A10F7B"/>
    <w:rsid w:val="00A12755"/>
    <w:rsid w:val="00A12A77"/>
    <w:rsid w:val="00A13D9E"/>
    <w:rsid w:val="00A14287"/>
    <w:rsid w:val="00A16D3F"/>
    <w:rsid w:val="00A20873"/>
    <w:rsid w:val="00A22087"/>
    <w:rsid w:val="00A33BEA"/>
    <w:rsid w:val="00A35641"/>
    <w:rsid w:val="00A372C6"/>
    <w:rsid w:val="00A37342"/>
    <w:rsid w:val="00A37B48"/>
    <w:rsid w:val="00A40699"/>
    <w:rsid w:val="00A42DAF"/>
    <w:rsid w:val="00A45BD8"/>
    <w:rsid w:val="00A54660"/>
    <w:rsid w:val="00A54708"/>
    <w:rsid w:val="00A55ACE"/>
    <w:rsid w:val="00A567DF"/>
    <w:rsid w:val="00A57458"/>
    <w:rsid w:val="00A61861"/>
    <w:rsid w:val="00A624AA"/>
    <w:rsid w:val="00A64648"/>
    <w:rsid w:val="00A64E8D"/>
    <w:rsid w:val="00A65650"/>
    <w:rsid w:val="00A66014"/>
    <w:rsid w:val="00A66032"/>
    <w:rsid w:val="00A66C8A"/>
    <w:rsid w:val="00A70901"/>
    <w:rsid w:val="00A71BEF"/>
    <w:rsid w:val="00A739FE"/>
    <w:rsid w:val="00A77B1F"/>
    <w:rsid w:val="00A81401"/>
    <w:rsid w:val="00A83C19"/>
    <w:rsid w:val="00A8602C"/>
    <w:rsid w:val="00A8618C"/>
    <w:rsid w:val="00A869B7"/>
    <w:rsid w:val="00A878FC"/>
    <w:rsid w:val="00A92D24"/>
    <w:rsid w:val="00A93860"/>
    <w:rsid w:val="00A94048"/>
    <w:rsid w:val="00A942E3"/>
    <w:rsid w:val="00A9506F"/>
    <w:rsid w:val="00AA0381"/>
    <w:rsid w:val="00AA0C8C"/>
    <w:rsid w:val="00AA1ADA"/>
    <w:rsid w:val="00AA7133"/>
    <w:rsid w:val="00AB0BEF"/>
    <w:rsid w:val="00AB1603"/>
    <w:rsid w:val="00AB1AFA"/>
    <w:rsid w:val="00AB20B9"/>
    <w:rsid w:val="00AB3197"/>
    <w:rsid w:val="00AC205C"/>
    <w:rsid w:val="00AC2FB1"/>
    <w:rsid w:val="00AC3480"/>
    <w:rsid w:val="00AC38B6"/>
    <w:rsid w:val="00AC48BE"/>
    <w:rsid w:val="00AC4D8D"/>
    <w:rsid w:val="00AD14A2"/>
    <w:rsid w:val="00AD5C7E"/>
    <w:rsid w:val="00AD7F19"/>
    <w:rsid w:val="00AE2165"/>
    <w:rsid w:val="00AE2528"/>
    <w:rsid w:val="00AE2D6A"/>
    <w:rsid w:val="00AE3A27"/>
    <w:rsid w:val="00AF0A6B"/>
    <w:rsid w:val="00AF0B22"/>
    <w:rsid w:val="00AF1399"/>
    <w:rsid w:val="00AF3780"/>
    <w:rsid w:val="00B02801"/>
    <w:rsid w:val="00B0338B"/>
    <w:rsid w:val="00B05A69"/>
    <w:rsid w:val="00B11BEF"/>
    <w:rsid w:val="00B129CD"/>
    <w:rsid w:val="00B12CD7"/>
    <w:rsid w:val="00B15707"/>
    <w:rsid w:val="00B15935"/>
    <w:rsid w:val="00B16E03"/>
    <w:rsid w:val="00B170D6"/>
    <w:rsid w:val="00B17D9C"/>
    <w:rsid w:val="00B227BC"/>
    <w:rsid w:val="00B22BC0"/>
    <w:rsid w:val="00B23737"/>
    <w:rsid w:val="00B2412F"/>
    <w:rsid w:val="00B24F96"/>
    <w:rsid w:val="00B250D0"/>
    <w:rsid w:val="00B2634B"/>
    <w:rsid w:val="00B3232C"/>
    <w:rsid w:val="00B33273"/>
    <w:rsid w:val="00B365FC"/>
    <w:rsid w:val="00B36CEC"/>
    <w:rsid w:val="00B409E9"/>
    <w:rsid w:val="00B40C15"/>
    <w:rsid w:val="00B51E48"/>
    <w:rsid w:val="00B55958"/>
    <w:rsid w:val="00B601F0"/>
    <w:rsid w:val="00B65673"/>
    <w:rsid w:val="00B7018C"/>
    <w:rsid w:val="00B70223"/>
    <w:rsid w:val="00B708A8"/>
    <w:rsid w:val="00B7173D"/>
    <w:rsid w:val="00B7451D"/>
    <w:rsid w:val="00B75269"/>
    <w:rsid w:val="00B75281"/>
    <w:rsid w:val="00B75BCA"/>
    <w:rsid w:val="00B76083"/>
    <w:rsid w:val="00B7799A"/>
    <w:rsid w:val="00B8093E"/>
    <w:rsid w:val="00B822AC"/>
    <w:rsid w:val="00B82A9D"/>
    <w:rsid w:val="00B85CAE"/>
    <w:rsid w:val="00B87F6E"/>
    <w:rsid w:val="00B91019"/>
    <w:rsid w:val="00B92F1F"/>
    <w:rsid w:val="00B92F5E"/>
    <w:rsid w:val="00B96FE6"/>
    <w:rsid w:val="00B9734B"/>
    <w:rsid w:val="00B976A9"/>
    <w:rsid w:val="00BA22D6"/>
    <w:rsid w:val="00BA30E2"/>
    <w:rsid w:val="00BA348D"/>
    <w:rsid w:val="00BA62FC"/>
    <w:rsid w:val="00BB07F2"/>
    <w:rsid w:val="00BB0E08"/>
    <w:rsid w:val="00BB11D9"/>
    <w:rsid w:val="00BB2312"/>
    <w:rsid w:val="00BB5A5A"/>
    <w:rsid w:val="00BB7D92"/>
    <w:rsid w:val="00BC0925"/>
    <w:rsid w:val="00BC1267"/>
    <w:rsid w:val="00BC172E"/>
    <w:rsid w:val="00BC54F0"/>
    <w:rsid w:val="00BC6543"/>
    <w:rsid w:val="00BD0B7C"/>
    <w:rsid w:val="00BD6418"/>
    <w:rsid w:val="00BE1D92"/>
    <w:rsid w:val="00BE33BC"/>
    <w:rsid w:val="00BE6EDF"/>
    <w:rsid w:val="00BE7078"/>
    <w:rsid w:val="00BE73D1"/>
    <w:rsid w:val="00BF0E83"/>
    <w:rsid w:val="00BF10D3"/>
    <w:rsid w:val="00BF1689"/>
    <w:rsid w:val="00BF16F0"/>
    <w:rsid w:val="00BF1D4E"/>
    <w:rsid w:val="00BF49A0"/>
    <w:rsid w:val="00BF4D62"/>
    <w:rsid w:val="00BF7A39"/>
    <w:rsid w:val="00C0041B"/>
    <w:rsid w:val="00C01CB1"/>
    <w:rsid w:val="00C01E21"/>
    <w:rsid w:val="00C02DCA"/>
    <w:rsid w:val="00C0396C"/>
    <w:rsid w:val="00C053FF"/>
    <w:rsid w:val="00C11BFE"/>
    <w:rsid w:val="00C1223E"/>
    <w:rsid w:val="00C124DC"/>
    <w:rsid w:val="00C131C9"/>
    <w:rsid w:val="00C17588"/>
    <w:rsid w:val="00C17C52"/>
    <w:rsid w:val="00C20633"/>
    <w:rsid w:val="00C23379"/>
    <w:rsid w:val="00C25618"/>
    <w:rsid w:val="00C274D7"/>
    <w:rsid w:val="00C3033F"/>
    <w:rsid w:val="00C307A5"/>
    <w:rsid w:val="00C31A2C"/>
    <w:rsid w:val="00C32317"/>
    <w:rsid w:val="00C35620"/>
    <w:rsid w:val="00C41E78"/>
    <w:rsid w:val="00C4224C"/>
    <w:rsid w:val="00C43C60"/>
    <w:rsid w:val="00C43CB4"/>
    <w:rsid w:val="00C44E81"/>
    <w:rsid w:val="00C46B12"/>
    <w:rsid w:val="00C5068F"/>
    <w:rsid w:val="00C5237A"/>
    <w:rsid w:val="00C53813"/>
    <w:rsid w:val="00C5455D"/>
    <w:rsid w:val="00C54CF5"/>
    <w:rsid w:val="00C558D0"/>
    <w:rsid w:val="00C56D31"/>
    <w:rsid w:val="00C61062"/>
    <w:rsid w:val="00C61183"/>
    <w:rsid w:val="00C64AF6"/>
    <w:rsid w:val="00C65348"/>
    <w:rsid w:val="00C668ED"/>
    <w:rsid w:val="00C715E8"/>
    <w:rsid w:val="00C7367F"/>
    <w:rsid w:val="00C73E18"/>
    <w:rsid w:val="00C765BA"/>
    <w:rsid w:val="00C80DAE"/>
    <w:rsid w:val="00C816E2"/>
    <w:rsid w:val="00C844BE"/>
    <w:rsid w:val="00C84D33"/>
    <w:rsid w:val="00C86D74"/>
    <w:rsid w:val="00C871E5"/>
    <w:rsid w:val="00C90461"/>
    <w:rsid w:val="00C93184"/>
    <w:rsid w:val="00C94965"/>
    <w:rsid w:val="00C94A70"/>
    <w:rsid w:val="00C95197"/>
    <w:rsid w:val="00C965B7"/>
    <w:rsid w:val="00C96BC5"/>
    <w:rsid w:val="00CA33F3"/>
    <w:rsid w:val="00CA3BE7"/>
    <w:rsid w:val="00CA41A8"/>
    <w:rsid w:val="00CA55F0"/>
    <w:rsid w:val="00CA69D4"/>
    <w:rsid w:val="00CB08D9"/>
    <w:rsid w:val="00CB17DC"/>
    <w:rsid w:val="00CB337A"/>
    <w:rsid w:val="00CB3542"/>
    <w:rsid w:val="00CB362E"/>
    <w:rsid w:val="00CB5064"/>
    <w:rsid w:val="00CB5EF2"/>
    <w:rsid w:val="00CC113C"/>
    <w:rsid w:val="00CC1A49"/>
    <w:rsid w:val="00CC3F53"/>
    <w:rsid w:val="00CC620E"/>
    <w:rsid w:val="00CC6D3E"/>
    <w:rsid w:val="00CD04F1"/>
    <w:rsid w:val="00CD0EC5"/>
    <w:rsid w:val="00CD4CC9"/>
    <w:rsid w:val="00CD624E"/>
    <w:rsid w:val="00CE050E"/>
    <w:rsid w:val="00CE575B"/>
    <w:rsid w:val="00CE642C"/>
    <w:rsid w:val="00CE6BD7"/>
    <w:rsid w:val="00CF1A78"/>
    <w:rsid w:val="00CF4270"/>
    <w:rsid w:val="00CF5EDD"/>
    <w:rsid w:val="00CF681A"/>
    <w:rsid w:val="00D01BEE"/>
    <w:rsid w:val="00D03EA0"/>
    <w:rsid w:val="00D04C9C"/>
    <w:rsid w:val="00D06ECF"/>
    <w:rsid w:val="00D07937"/>
    <w:rsid w:val="00D07C78"/>
    <w:rsid w:val="00D1023B"/>
    <w:rsid w:val="00D129A2"/>
    <w:rsid w:val="00D13999"/>
    <w:rsid w:val="00D173B8"/>
    <w:rsid w:val="00D21352"/>
    <w:rsid w:val="00D236A5"/>
    <w:rsid w:val="00D23C1C"/>
    <w:rsid w:val="00D25480"/>
    <w:rsid w:val="00D27127"/>
    <w:rsid w:val="00D301AF"/>
    <w:rsid w:val="00D305BA"/>
    <w:rsid w:val="00D3268D"/>
    <w:rsid w:val="00D32887"/>
    <w:rsid w:val="00D34BAA"/>
    <w:rsid w:val="00D351C7"/>
    <w:rsid w:val="00D45252"/>
    <w:rsid w:val="00D4733C"/>
    <w:rsid w:val="00D47FE4"/>
    <w:rsid w:val="00D5023D"/>
    <w:rsid w:val="00D55C51"/>
    <w:rsid w:val="00D56594"/>
    <w:rsid w:val="00D6001A"/>
    <w:rsid w:val="00D61B5E"/>
    <w:rsid w:val="00D62562"/>
    <w:rsid w:val="00D6368E"/>
    <w:rsid w:val="00D63C5C"/>
    <w:rsid w:val="00D64FC7"/>
    <w:rsid w:val="00D711F2"/>
    <w:rsid w:val="00D71B4D"/>
    <w:rsid w:val="00D7232D"/>
    <w:rsid w:val="00D73FC8"/>
    <w:rsid w:val="00D74DAA"/>
    <w:rsid w:val="00D77D44"/>
    <w:rsid w:val="00D80074"/>
    <w:rsid w:val="00D809FD"/>
    <w:rsid w:val="00D83DC1"/>
    <w:rsid w:val="00D845F1"/>
    <w:rsid w:val="00D846D5"/>
    <w:rsid w:val="00D9184E"/>
    <w:rsid w:val="00D93D55"/>
    <w:rsid w:val="00D93F6D"/>
    <w:rsid w:val="00D96D6A"/>
    <w:rsid w:val="00D970DC"/>
    <w:rsid w:val="00D97AB6"/>
    <w:rsid w:val="00DA01C2"/>
    <w:rsid w:val="00DA56C7"/>
    <w:rsid w:val="00DB336B"/>
    <w:rsid w:val="00DB4B9F"/>
    <w:rsid w:val="00DB694A"/>
    <w:rsid w:val="00DC0370"/>
    <w:rsid w:val="00DC24EC"/>
    <w:rsid w:val="00DC57C6"/>
    <w:rsid w:val="00DC6A9F"/>
    <w:rsid w:val="00DC7B07"/>
    <w:rsid w:val="00DD14F5"/>
    <w:rsid w:val="00DD3E97"/>
    <w:rsid w:val="00DD5B9E"/>
    <w:rsid w:val="00DD6B0E"/>
    <w:rsid w:val="00DD7B7F"/>
    <w:rsid w:val="00DE04A7"/>
    <w:rsid w:val="00DE1002"/>
    <w:rsid w:val="00DE2269"/>
    <w:rsid w:val="00DE394D"/>
    <w:rsid w:val="00DE3BBF"/>
    <w:rsid w:val="00DE3E0C"/>
    <w:rsid w:val="00DE54B7"/>
    <w:rsid w:val="00DE5CAE"/>
    <w:rsid w:val="00DE6CEB"/>
    <w:rsid w:val="00DE7DA7"/>
    <w:rsid w:val="00DE7E1E"/>
    <w:rsid w:val="00DE7F55"/>
    <w:rsid w:val="00DF4AF1"/>
    <w:rsid w:val="00E0083A"/>
    <w:rsid w:val="00E0105B"/>
    <w:rsid w:val="00E01AA7"/>
    <w:rsid w:val="00E02027"/>
    <w:rsid w:val="00E0626D"/>
    <w:rsid w:val="00E0644D"/>
    <w:rsid w:val="00E10D43"/>
    <w:rsid w:val="00E10EAE"/>
    <w:rsid w:val="00E111F1"/>
    <w:rsid w:val="00E114AC"/>
    <w:rsid w:val="00E1424C"/>
    <w:rsid w:val="00E14D25"/>
    <w:rsid w:val="00E15015"/>
    <w:rsid w:val="00E16FEA"/>
    <w:rsid w:val="00E259C3"/>
    <w:rsid w:val="00E3019C"/>
    <w:rsid w:val="00E32B16"/>
    <w:rsid w:val="00E335FE"/>
    <w:rsid w:val="00E37665"/>
    <w:rsid w:val="00E41652"/>
    <w:rsid w:val="00E437E1"/>
    <w:rsid w:val="00E4458C"/>
    <w:rsid w:val="00E47803"/>
    <w:rsid w:val="00E47E02"/>
    <w:rsid w:val="00E50A30"/>
    <w:rsid w:val="00E5144A"/>
    <w:rsid w:val="00E51F5D"/>
    <w:rsid w:val="00E559A4"/>
    <w:rsid w:val="00E55C84"/>
    <w:rsid w:val="00E60513"/>
    <w:rsid w:val="00E65304"/>
    <w:rsid w:val="00E676FB"/>
    <w:rsid w:val="00E7405F"/>
    <w:rsid w:val="00E7423D"/>
    <w:rsid w:val="00E74A3E"/>
    <w:rsid w:val="00E74D75"/>
    <w:rsid w:val="00E74D89"/>
    <w:rsid w:val="00E74FD4"/>
    <w:rsid w:val="00E752A8"/>
    <w:rsid w:val="00E76583"/>
    <w:rsid w:val="00E808C0"/>
    <w:rsid w:val="00E84238"/>
    <w:rsid w:val="00E84E40"/>
    <w:rsid w:val="00E87EB0"/>
    <w:rsid w:val="00E90850"/>
    <w:rsid w:val="00E90997"/>
    <w:rsid w:val="00E93A06"/>
    <w:rsid w:val="00E957EC"/>
    <w:rsid w:val="00E96445"/>
    <w:rsid w:val="00E967B7"/>
    <w:rsid w:val="00EA028E"/>
    <w:rsid w:val="00EA541E"/>
    <w:rsid w:val="00EA6140"/>
    <w:rsid w:val="00EA7D6E"/>
    <w:rsid w:val="00EB2F76"/>
    <w:rsid w:val="00EC4BA4"/>
    <w:rsid w:val="00EC4E49"/>
    <w:rsid w:val="00EC61F1"/>
    <w:rsid w:val="00EC7735"/>
    <w:rsid w:val="00EC7AE4"/>
    <w:rsid w:val="00ED0B56"/>
    <w:rsid w:val="00ED0F4C"/>
    <w:rsid w:val="00ED30C5"/>
    <w:rsid w:val="00ED3A15"/>
    <w:rsid w:val="00ED636E"/>
    <w:rsid w:val="00ED77FB"/>
    <w:rsid w:val="00EE0ADC"/>
    <w:rsid w:val="00EE1A68"/>
    <w:rsid w:val="00EE2EAB"/>
    <w:rsid w:val="00EE45FA"/>
    <w:rsid w:val="00EE53F8"/>
    <w:rsid w:val="00EE7A8B"/>
    <w:rsid w:val="00EF4A05"/>
    <w:rsid w:val="00EF58B2"/>
    <w:rsid w:val="00EF6F83"/>
    <w:rsid w:val="00F01160"/>
    <w:rsid w:val="00F0277B"/>
    <w:rsid w:val="00F043DE"/>
    <w:rsid w:val="00F0451A"/>
    <w:rsid w:val="00F062F0"/>
    <w:rsid w:val="00F116F1"/>
    <w:rsid w:val="00F20B82"/>
    <w:rsid w:val="00F217CC"/>
    <w:rsid w:val="00F21960"/>
    <w:rsid w:val="00F236D9"/>
    <w:rsid w:val="00F23898"/>
    <w:rsid w:val="00F249C0"/>
    <w:rsid w:val="00F24F0D"/>
    <w:rsid w:val="00F272E8"/>
    <w:rsid w:val="00F277D5"/>
    <w:rsid w:val="00F362BB"/>
    <w:rsid w:val="00F40886"/>
    <w:rsid w:val="00F40A16"/>
    <w:rsid w:val="00F44660"/>
    <w:rsid w:val="00F4478C"/>
    <w:rsid w:val="00F45565"/>
    <w:rsid w:val="00F46A11"/>
    <w:rsid w:val="00F52CE2"/>
    <w:rsid w:val="00F620D5"/>
    <w:rsid w:val="00F631B4"/>
    <w:rsid w:val="00F64BB1"/>
    <w:rsid w:val="00F652AD"/>
    <w:rsid w:val="00F657DF"/>
    <w:rsid w:val="00F65CF1"/>
    <w:rsid w:val="00F66152"/>
    <w:rsid w:val="00F72FC9"/>
    <w:rsid w:val="00F736B0"/>
    <w:rsid w:val="00F75053"/>
    <w:rsid w:val="00F82156"/>
    <w:rsid w:val="00F85D10"/>
    <w:rsid w:val="00F85E97"/>
    <w:rsid w:val="00F87F84"/>
    <w:rsid w:val="00F9165B"/>
    <w:rsid w:val="00F93086"/>
    <w:rsid w:val="00F93631"/>
    <w:rsid w:val="00F953FF"/>
    <w:rsid w:val="00F96818"/>
    <w:rsid w:val="00F96D87"/>
    <w:rsid w:val="00F97374"/>
    <w:rsid w:val="00FA3957"/>
    <w:rsid w:val="00FA4B1E"/>
    <w:rsid w:val="00FB1841"/>
    <w:rsid w:val="00FB344D"/>
    <w:rsid w:val="00FB3B81"/>
    <w:rsid w:val="00FB7100"/>
    <w:rsid w:val="00FC0155"/>
    <w:rsid w:val="00FC1072"/>
    <w:rsid w:val="00FC254A"/>
    <w:rsid w:val="00FC2D24"/>
    <w:rsid w:val="00FC684F"/>
    <w:rsid w:val="00FC7E97"/>
    <w:rsid w:val="00FC7FEC"/>
    <w:rsid w:val="00FD01E5"/>
    <w:rsid w:val="00FD61F4"/>
    <w:rsid w:val="00FE3AAF"/>
    <w:rsid w:val="00FE4AB7"/>
    <w:rsid w:val="00FE600B"/>
    <w:rsid w:val="00FF003D"/>
    <w:rsid w:val="00FF11BD"/>
    <w:rsid w:val="00FF1E2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63C949"/>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uiPriority w:val="99"/>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6961B9"/>
    <w:rPr>
      <w:rFonts w:ascii="Segoe UI" w:hAnsi="Segoe UI" w:cs="Segoe UI"/>
      <w:sz w:val="18"/>
      <w:szCs w:val="18"/>
    </w:rPr>
  </w:style>
  <w:style w:type="character" w:customStyle="1" w:styleId="BalloonTextChar">
    <w:name w:val="Balloon Text Char"/>
    <w:basedOn w:val="DefaultParagraphFont"/>
    <w:link w:val="BalloonText"/>
    <w:rsid w:val="006961B9"/>
    <w:rPr>
      <w:rFonts w:ascii="Segoe UI" w:eastAsia="SimSun" w:hAnsi="Segoe UI" w:cs="Segoe UI"/>
      <w:sz w:val="18"/>
      <w:szCs w:val="18"/>
      <w:lang w:val="ru-RU" w:eastAsia="zh-CN"/>
    </w:rPr>
  </w:style>
  <w:style w:type="character" w:customStyle="1" w:styleId="ONUMEChar">
    <w:name w:val="ONUM E Char"/>
    <w:link w:val="ONUME"/>
    <w:locked/>
    <w:rsid w:val="00FC7E97"/>
    <w:rPr>
      <w:rFonts w:ascii="Arial" w:eastAsia="SimSun" w:hAnsi="Arial" w:cs="Arial"/>
      <w:sz w:val="22"/>
      <w:lang w:val="ru-RU"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ru-RU" w:eastAsia="zh-CN"/>
    </w:rPr>
  </w:style>
  <w:style w:type="character" w:customStyle="1" w:styleId="Heading2Char">
    <w:name w:val="Heading 2 Char"/>
    <w:link w:val="Heading2"/>
    <w:locked/>
    <w:rsid w:val="002327F8"/>
    <w:rPr>
      <w:rFonts w:ascii="Arial" w:eastAsia="SimSun" w:hAnsi="Arial" w:cs="Arial"/>
      <w:bCs/>
      <w:iCs/>
      <w:caps/>
      <w:sz w:val="22"/>
      <w:szCs w:val="28"/>
      <w:lang w:val="ru-RU" w:eastAsia="zh-CN"/>
    </w:rPr>
  </w:style>
  <w:style w:type="character" w:customStyle="1" w:styleId="BodyTextChar">
    <w:name w:val="Body Text Char"/>
    <w:basedOn w:val="DefaultParagraphFont"/>
    <w:link w:val="BodyText"/>
    <w:rsid w:val="00C46B12"/>
    <w:rPr>
      <w:rFonts w:ascii="Arial" w:eastAsia="SimSun" w:hAnsi="Arial" w:cs="Arial"/>
      <w:sz w:val="22"/>
      <w:lang w:val="ru-RU" w:eastAsia="zh-CN"/>
    </w:rPr>
  </w:style>
  <w:style w:type="character" w:customStyle="1" w:styleId="CaptionChar">
    <w:name w:val="Caption Char"/>
    <w:basedOn w:val="DefaultParagraphFont"/>
    <w:link w:val="Caption"/>
    <w:rsid w:val="00C46B12"/>
    <w:rPr>
      <w:rFonts w:ascii="Arial" w:eastAsia="SimSun" w:hAnsi="Arial" w:cs="Arial"/>
      <w:b/>
      <w:bCs/>
      <w:sz w:val="18"/>
      <w:lang w:val="ru-RU" w:eastAsia="zh-CN"/>
    </w:rPr>
  </w:style>
  <w:style w:type="character" w:customStyle="1" w:styleId="CommentTextChar">
    <w:name w:val="Comment Text Char"/>
    <w:basedOn w:val="DefaultParagraphFont"/>
    <w:semiHidden/>
    <w:rsid w:val="00C46B12"/>
    <w:rPr>
      <w:rFonts w:ascii="Arial" w:eastAsia="SimSun" w:hAnsi="Arial" w:cs="Arial"/>
      <w:sz w:val="18"/>
      <w:lang w:val="ru-RU"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ru-RU"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C46B12"/>
    <w:rPr>
      <w:rFonts w:ascii="Arial" w:eastAsia="SimSun" w:hAnsi="Arial" w:cs="Arial"/>
      <w:sz w:val="18"/>
      <w:lang w:val="ru-RU" w:eastAsia="zh-CN"/>
    </w:rPr>
  </w:style>
  <w:style w:type="character" w:customStyle="1" w:styleId="HeaderChar">
    <w:name w:val="Header Char"/>
    <w:link w:val="Header"/>
    <w:uiPriority w:val="99"/>
    <w:locked/>
    <w:rsid w:val="00C46B12"/>
    <w:rPr>
      <w:rFonts w:ascii="Arial" w:eastAsia="SimSun" w:hAnsi="Arial" w:cs="Arial"/>
      <w:sz w:val="22"/>
      <w:lang w:val="ru-RU" w:eastAsia="zh-CN"/>
    </w:rPr>
  </w:style>
  <w:style w:type="paragraph" w:styleId="NoSpacing">
    <w:name w:val="No Spacing"/>
    <w:uiPriority w:val="1"/>
    <w:qFormat/>
    <w:rsid w:val="00C46B12"/>
    <w:rPr>
      <w:rFonts w:ascii="Arial" w:eastAsia="SimSun" w:hAnsi="Arial" w:cs="Arial"/>
      <w:sz w:val="22"/>
      <w:lang w:eastAsia="zh-CN"/>
    </w:rPr>
  </w:style>
  <w:style w:type="paragraph" w:styleId="TOC1">
    <w:name w:val="toc 1"/>
    <w:basedOn w:val="Normal"/>
    <w:next w:val="Normal"/>
    <w:autoRedefine/>
    <w:uiPriority w:val="39"/>
    <w:qFormat/>
    <w:rsid w:val="00C46B12"/>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ru-RU"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ru-RU"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ru-RU"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ru-RU"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ru-RU"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7"/>
      </w:numPr>
      <w:spacing w:before="480"/>
    </w:p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eastAsia="fr-CH"/>
    </w:rPr>
  </w:style>
  <w:style w:type="paragraph" w:styleId="Revision">
    <w:name w:val="Revision"/>
    <w:hidden/>
    <w:uiPriority w:val="99"/>
    <w:semiHidden/>
    <w:rsid w:val="00C46B12"/>
    <w:rPr>
      <w:rFonts w:ascii="Arial" w:eastAsia="SimSun" w:hAnsi="Arial" w:cs="Arial"/>
      <w:sz w:val="22"/>
      <w:lang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ru-RU"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eastAsia="en-US"/>
    </w:rPr>
  </w:style>
  <w:style w:type="character" w:customStyle="1" w:styleId="FooterChar">
    <w:name w:val="Footer Char"/>
    <w:basedOn w:val="DefaultParagraphFont"/>
    <w:link w:val="Footer"/>
    <w:rsid w:val="00772E15"/>
    <w:rPr>
      <w:rFonts w:ascii="Arial" w:eastAsia="SimSun" w:hAnsi="Arial" w:cs="Arial"/>
      <w:sz w:val="22"/>
      <w:lang w:val="ru-RU"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semiHidden/>
    <w:rsid w:val="00775974"/>
    <w:rPr>
      <w:rFonts w:ascii="Courier New" w:hAnsi="Courier New"/>
      <w:sz w:val="16"/>
      <w:lang w:val="ru-RU"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970524122">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71343">
      <w:bodyDiv w:val="1"/>
      <w:marLeft w:val="0"/>
      <w:marRight w:val="0"/>
      <w:marTop w:val="0"/>
      <w:marBottom w:val="0"/>
      <w:divBdr>
        <w:top w:val="none" w:sz="0" w:space="0" w:color="auto"/>
        <w:left w:val="none" w:sz="0" w:space="0" w:color="auto"/>
        <w:bottom w:val="none" w:sz="0" w:space="0" w:color="auto"/>
        <w:right w:val="none" w:sz="0" w:space="0" w:color="auto"/>
      </w:divBdr>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78201.F16A1B40" TargetMode="Externa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vrov\Desktop\TR-134220-SDG-RTS-WOGA559%20and%20PBC345New%20folder\TR-134220-SDG\wo_ga_54_3_charts_1_2_table_1_092686_RU.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2978153850171716E-2"/>
          <c:y val="2.9606719160104988E-2"/>
          <c:w val="0.87017220764071157"/>
          <c:h val="0.74782339289994093"/>
        </c:manualLayout>
      </c:layout>
      <c:barChart>
        <c:barDir val="col"/>
        <c:grouping val="clustered"/>
        <c:varyColors val="0"/>
        <c:ser>
          <c:idx val="0"/>
          <c:order val="0"/>
          <c:tx>
            <c:strRef>
              <c:f>Overall!$A$8</c:f>
              <c:strCache>
                <c:ptCount val="1"/>
                <c:pt idx="0">
                  <c:v>Открытые дела</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666699"/>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Overall!$B$7:$F$7</c:f>
              <c:strCache>
                <c:ptCount val="5"/>
                <c:pt idx="0">
                  <c:v>31 дек. 2019 г.</c:v>
                </c:pt>
                <c:pt idx="1">
                  <c:v>2020 г.</c:v>
                </c:pt>
                <c:pt idx="2">
                  <c:v>31 дек. 2020 г.</c:v>
                </c:pt>
                <c:pt idx="3">
                  <c:v>2021 г.</c:v>
                </c:pt>
                <c:pt idx="4">
                  <c:v>31 дек. 2021 г.</c:v>
                </c:pt>
              </c:strCache>
            </c:strRef>
          </c:cat>
          <c:val>
            <c:numRef>
              <c:f>Overall!$B$8:$F$8</c:f>
              <c:numCache>
                <c:formatCode>General</c:formatCode>
                <c:ptCount val="5"/>
                <c:pt idx="1">
                  <c:v>21</c:v>
                </c:pt>
                <c:pt idx="3">
                  <c:v>25</c:v>
                </c:pt>
              </c:numCache>
            </c:numRef>
          </c:val>
          <c:extLst>
            <c:ext xmlns:c16="http://schemas.microsoft.com/office/drawing/2014/chart" uri="{C3380CC4-5D6E-409C-BE32-E72D297353CC}">
              <c16:uniqueId val="{00000000-C721-4F22-B31A-AAC8F688D9B4}"/>
            </c:ext>
          </c:extLst>
        </c:ser>
        <c:ser>
          <c:idx val="1"/>
          <c:order val="1"/>
          <c:tx>
            <c:strRef>
              <c:f>Overall!$A$9</c:f>
              <c:strCache>
                <c:ptCount val="1"/>
                <c:pt idx="0">
                  <c:v>Закрытые дела</c:v>
                </c:pt>
              </c:strCache>
            </c:strRef>
          </c:tx>
          <c:spPr>
            <a:solidFill>
              <a:srgbClr val="00B050"/>
            </a:solidFill>
          </c:spPr>
          <c:invertIfNegative val="0"/>
          <c:dLbls>
            <c:spPr>
              <a:noFill/>
              <a:ln w="25400">
                <a:noFill/>
              </a:ln>
            </c:spPr>
            <c:txPr>
              <a:bodyPr wrap="square" lIns="38100" tIns="19050" rIns="38100" bIns="19050" anchor="ctr">
                <a:spAutoFit/>
              </a:bodyPr>
              <a:lstStyle/>
              <a:p>
                <a:pPr>
                  <a:defRPr sz="1000" b="0" i="0" u="none" strike="noStrike" baseline="0">
                    <a:solidFill>
                      <a:srgbClr val="339966"/>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Overall!$B$7:$F$7</c:f>
              <c:strCache>
                <c:ptCount val="5"/>
                <c:pt idx="0">
                  <c:v>31 дек. 2019 г.</c:v>
                </c:pt>
                <c:pt idx="1">
                  <c:v>2020 г.</c:v>
                </c:pt>
                <c:pt idx="2">
                  <c:v>31 дек. 2020 г.</c:v>
                </c:pt>
                <c:pt idx="3">
                  <c:v>2021 г.</c:v>
                </c:pt>
                <c:pt idx="4">
                  <c:v>31 дек. 2021 г.</c:v>
                </c:pt>
              </c:strCache>
            </c:strRef>
          </c:cat>
          <c:val>
            <c:numRef>
              <c:f>Overall!$B$9:$F$9</c:f>
              <c:numCache>
                <c:formatCode>General</c:formatCode>
                <c:ptCount val="5"/>
                <c:pt idx="1">
                  <c:v>21</c:v>
                </c:pt>
                <c:pt idx="3">
                  <c:v>23</c:v>
                </c:pt>
              </c:numCache>
            </c:numRef>
          </c:val>
          <c:extLst>
            <c:ext xmlns:c16="http://schemas.microsoft.com/office/drawing/2014/chart" uri="{C3380CC4-5D6E-409C-BE32-E72D297353CC}">
              <c16:uniqueId val="{00000001-C721-4F22-B31A-AAC8F688D9B4}"/>
            </c:ext>
          </c:extLst>
        </c:ser>
        <c:dLbls>
          <c:showLegendKey val="0"/>
          <c:showVal val="0"/>
          <c:showCatName val="0"/>
          <c:showSerName val="0"/>
          <c:showPercent val="0"/>
          <c:showBubbleSize val="0"/>
        </c:dLbls>
        <c:gapWidth val="150"/>
        <c:overlap val="-66"/>
        <c:axId val="2060207504"/>
        <c:axId val="1"/>
      </c:barChart>
      <c:lineChart>
        <c:grouping val="standard"/>
        <c:varyColors val="0"/>
        <c:ser>
          <c:idx val="2"/>
          <c:order val="2"/>
          <c:tx>
            <c:strRef>
              <c:f>Overall!$A$10</c:f>
              <c:strCache>
                <c:ptCount val="1"/>
                <c:pt idx="0">
                  <c:v>Дела на рассмотрении</c:v>
                </c:pt>
              </c:strCache>
            </c:strRef>
          </c:tx>
          <c:spPr>
            <a:ln>
              <a:solidFill>
                <a:srgbClr val="FF0000"/>
              </a:solidFill>
              <a:prstDash val="sysDot"/>
            </a:ln>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2-C721-4F22-B31A-AAC8F688D9B4}"/>
                </c:ext>
              </c:extLst>
            </c:dLbl>
            <c:dLbl>
              <c:idx val="3"/>
              <c:delete val="1"/>
              <c:extLst>
                <c:ext xmlns:c15="http://schemas.microsoft.com/office/drawing/2012/chart" uri="{CE6537A1-D6FC-4f65-9D91-7224C49458BB}"/>
                <c:ext xmlns:c16="http://schemas.microsoft.com/office/drawing/2014/chart" uri="{C3380CC4-5D6E-409C-BE32-E72D297353CC}">
                  <c16:uniqueId val="{00000003-C721-4F22-B31A-AAC8F688D9B4}"/>
                </c:ext>
              </c:extLst>
            </c:dLbl>
            <c:dLbl>
              <c:idx val="7"/>
              <c:delete val="1"/>
              <c:extLst>
                <c:ext xmlns:c15="http://schemas.microsoft.com/office/drawing/2012/chart" uri="{CE6537A1-D6FC-4f65-9D91-7224C49458BB}"/>
                <c:ext xmlns:c16="http://schemas.microsoft.com/office/drawing/2014/chart" uri="{C3380CC4-5D6E-409C-BE32-E72D297353CC}">
                  <c16:uniqueId val="{00000004-C721-4F22-B31A-AAC8F688D9B4}"/>
                </c:ext>
              </c:extLst>
            </c:dLbl>
            <c:spPr>
              <a:solidFill>
                <a:srgbClr val="FF0000"/>
              </a:solidFill>
              <a:ln>
                <a:noFill/>
              </a:ln>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Overall!$B$7:$F$7</c:f>
              <c:strCache>
                <c:ptCount val="5"/>
                <c:pt idx="0">
                  <c:v>31 дек. 2019 г.</c:v>
                </c:pt>
                <c:pt idx="1">
                  <c:v>2020 г.</c:v>
                </c:pt>
                <c:pt idx="2">
                  <c:v>31 дек. 2020 г.</c:v>
                </c:pt>
                <c:pt idx="3">
                  <c:v>2021 г.</c:v>
                </c:pt>
                <c:pt idx="4">
                  <c:v>31 дек. 2021 г.</c:v>
                </c:pt>
              </c:strCache>
            </c:strRef>
          </c:cat>
          <c:val>
            <c:numRef>
              <c:f>Overall!$B$10:$F$10</c:f>
              <c:numCache>
                <c:formatCode>General</c:formatCode>
                <c:ptCount val="5"/>
                <c:pt idx="0">
                  <c:v>11</c:v>
                </c:pt>
                <c:pt idx="1">
                  <c:v>11</c:v>
                </c:pt>
                <c:pt idx="2">
                  <c:v>11</c:v>
                </c:pt>
                <c:pt idx="3">
                  <c:v>12</c:v>
                </c:pt>
                <c:pt idx="4">
                  <c:v>13</c:v>
                </c:pt>
              </c:numCache>
            </c:numRef>
          </c:val>
          <c:smooth val="0"/>
          <c:extLst>
            <c:ext xmlns:c16="http://schemas.microsoft.com/office/drawing/2014/chart" uri="{C3380CC4-5D6E-409C-BE32-E72D297353CC}">
              <c16:uniqueId val="{00000005-C721-4F22-B31A-AAC8F688D9B4}"/>
            </c:ext>
          </c:extLst>
        </c:ser>
        <c:dLbls>
          <c:showLegendKey val="0"/>
          <c:showVal val="0"/>
          <c:showCatName val="0"/>
          <c:showSerName val="0"/>
          <c:showPercent val="0"/>
          <c:showBubbleSize val="0"/>
        </c:dLbls>
        <c:marker val="1"/>
        <c:smooth val="0"/>
        <c:axId val="2060207504"/>
        <c:axId val="1"/>
      </c:lineChart>
      <c:catAx>
        <c:axId val="206020750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060207504"/>
        <c:crosses val="autoZero"/>
        <c:crossBetween val="between"/>
      </c:valAx>
    </c:plotArea>
    <c:legend>
      <c:legendPos val="r"/>
      <c:layout>
        <c:manualLayout>
          <c:xMode val="edge"/>
          <c:yMode val="edge"/>
          <c:x val="0.16696451894228645"/>
          <c:y val="0.87426664094605111"/>
          <c:w val="0.56495891908582974"/>
          <c:h val="0.10011983468658847"/>
        </c:manualLayout>
      </c:layout>
      <c:overlay val="0"/>
      <c:txPr>
        <a:bodyPr/>
        <a:lstStyle/>
        <a:p>
          <a:pPr>
            <a:defRPr sz="100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Substantiation!$B$4</c:f>
              <c:strCache>
                <c:ptCount val="1"/>
                <c:pt idx="0">
                  <c:v>Утверждения не подтвердились</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Substantiation!$A$5:$A$6</c:f>
              <c:numCache>
                <c:formatCode>General</c:formatCode>
                <c:ptCount val="2"/>
                <c:pt idx="0">
                  <c:v>2020</c:v>
                </c:pt>
                <c:pt idx="1">
                  <c:v>2021</c:v>
                </c:pt>
              </c:numCache>
            </c:numRef>
          </c:cat>
          <c:val>
            <c:numRef>
              <c:f>Substantiation!$B$5:$B$6</c:f>
              <c:numCache>
                <c:formatCode>General</c:formatCode>
                <c:ptCount val="2"/>
                <c:pt idx="0">
                  <c:v>20</c:v>
                </c:pt>
                <c:pt idx="1">
                  <c:v>14</c:v>
                </c:pt>
              </c:numCache>
            </c:numRef>
          </c:val>
          <c:extLst>
            <c:ext xmlns:c16="http://schemas.microsoft.com/office/drawing/2014/chart" uri="{C3380CC4-5D6E-409C-BE32-E72D297353CC}">
              <c16:uniqueId val="{00000000-CECD-487D-B95F-7A722F707BF4}"/>
            </c:ext>
          </c:extLst>
        </c:ser>
        <c:ser>
          <c:idx val="1"/>
          <c:order val="1"/>
          <c:tx>
            <c:strRef>
              <c:f>Substantiation!$C$4</c:f>
              <c:strCache>
                <c:ptCount val="1"/>
                <c:pt idx="0">
                  <c:v>Утверждения подтвердились</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Substantiation!$A$5:$A$6</c:f>
              <c:numCache>
                <c:formatCode>General</c:formatCode>
                <c:ptCount val="2"/>
                <c:pt idx="0">
                  <c:v>2020</c:v>
                </c:pt>
                <c:pt idx="1">
                  <c:v>2021</c:v>
                </c:pt>
              </c:numCache>
            </c:numRef>
          </c:cat>
          <c:val>
            <c:numRef>
              <c:f>Substantiation!$C$5:$C$6</c:f>
              <c:numCache>
                <c:formatCode>General</c:formatCode>
                <c:ptCount val="2"/>
                <c:pt idx="0">
                  <c:v>1</c:v>
                </c:pt>
                <c:pt idx="1">
                  <c:v>9</c:v>
                </c:pt>
              </c:numCache>
            </c:numRef>
          </c:val>
          <c:extLst>
            <c:ext xmlns:c16="http://schemas.microsoft.com/office/drawing/2014/chart" uri="{C3380CC4-5D6E-409C-BE32-E72D297353CC}">
              <c16:uniqueId val="{00000001-CECD-487D-B95F-7A722F707BF4}"/>
            </c:ext>
          </c:extLst>
        </c:ser>
        <c:dLbls>
          <c:showLegendKey val="0"/>
          <c:showVal val="0"/>
          <c:showCatName val="0"/>
          <c:showSerName val="0"/>
          <c:showPercent val="0"/>
          <c:showBubbleSize val="0"/>
        </c:dLbls>
        <c:gapWidth val="150"/>
        <c:overlap val="100"/>
        <c:axId val="1681229439"/>
        <c:axId val="1"/>
      </c:barChart>
      <c:catAx>
        <c:axId val="1681229439"/>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81229439"/>
        <c:crosses val="autoZero"/>
        <c:crossBetween val="between"/>
      </c:valAx>
    </c:plotArea>
    <c:legend>
      <c:legendPos val="b"/>
      <c:layout/>
      <c:overlay val="0"/>
      <c:txPr>
        <a:bodyPr/>
        <a:lstStyle/>
        <a:p>
          <a:pPr>
            <a:defRPr sz="90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'by source &amp; priority'!$B$4</c:f>
              <c:strCache>
                <c:ptCount val="1"/>
                <c:pt idx="0">
                  <c:v>Высокая</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'by source &amp; priority'!$A$5:$A$7</c:f>
              <c:strCache>
                <c:ptCount val="3"/>
                <c:pt idx="0">
                  <c:v>Внешний аудит</c:v>
                </c:pt>
                <c:pt idx="1">
                  <c:v>НККН</c:v>
                </c:pt>
                <c:pt idx="2">
                  <c:v>ОВН</c:v>
                </c:pt>
              </c:strCache>
            </c:strRef>
          </c:cat>
          <c:val>
            <c:numRef>
              <c:f>'by source &amp; priority'!$B$5:$B$7</c:f>
              <c:numCache>
                <c:formatCode>General</c:formatCode>
                <c:ptCount val="3"/>
                <c:pt idx="0">
                  <c:v>11</c:v>
                </c:pt>
                <c:pt idx="2">
                  <c:v>29</c:v>
                </c:pt>
              </c:numCache>
            </c:numRef>
          </c:val>
          <c:extLst>
            <c:ext xmlns:c16="http://schemas.microsoft.com/office/drawing/2014/chart" uri="{C3380CC4-5D6E-409C-BE32-E72D297353CC}">
              <c16:uniqueId val="{00000000-5F17-4D16-B4CD-E06A96F919B9}"/>
            </c:ext>
          </c:extLst>
        </c:ser>
        <c:ser>
          <c:idx val="1"/>
          <c:order val="1"/>
          <c:tx>
            <c:strRef>
              <c:f>'by source &amp; priority'!$C$4</c:f>
              <c:strCache>
                <c:ptCount val="1"/>
                <c:pt idx="0">
                  <c:v>Средняя</c:v>
                </c:pt>
              </c:strCache>
            </c:strRef>
          </c:tx>
          <c:spPr>
            <a:solidFill>
              <a:schemeClr val="accent1"/>
            </a:solidFill>
            <a:ln>
              <a:noFill/>
            </a:ln>
            <a:effectLst/>
            <a:sp3d/>
          </c:spPr>
          <c:invertIfNegative val="0"/>
          <c:dLbls>
            <c:dLbl>
              <c:idx val="1"/>
              <c:layout>
                <c:manualLayout>
                  <c:x val="1.1111111111111112E-2"/>
                  <c:y val="-8.333333333333332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F17-4D16-B4CD-E06A96F919B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'by source &amp; priority'!$A$5:$A$7</c:f>
              <c:strCache>
                <c:ptCount val="3"/>
                <c:pt idx="0">
                  <c:v>Внешний аудит</c:v>
                </c:pt>
                <c:pt idx="1">
                  <c:v>НККН</c:v>
                </c:pt>
                <c:pt idx="2">
                  <c:v>ОВН</c:v>
                </c:pt>
              </c:strCache>
            </c:strRef>
          </c:cat>
          <c:val>
            <c:numRef>
              <c:f>'by source &amp; priority'!$C$5:$C$7</c:f>
              <c:numCache>
                <c:formatCode>General</c:formatCode>
                <c:ptCount val="3"/>
                <c:pt idx="0">
                  <c:v>11</c:v>
                </c:pt>
                <c:pt idx="1">
                  <c:v>1</c:v>
                </c:pt>
                <c:pt idx="2">
                  <c:v>73</c:v>
                </c:pt>
              </c:numCache>
            </c:numRef>
          </c:val>
          <c:extLst>
            <c:ext xmlns:c16="http://schemas.microsoft.com/office/drawing/2014/chart" uri="{C3380CC4-5D6E-409C-BE32-E72D297353CC}">
              <c16:uniqueId val="{00000002-5F17-4D16-B4CD-E06A96F919B9}"/>
            </c:ext>
          </c:extLst>
        </c:ser>
        <c:dLbls>
          <c:showLegendKey val="0"/>
          <c:showVal val="1"/>
          <c:showCatName val="0"/>
          <c:showSerName val="0"/>
          <c:showPercent val="0"/>
          <c:showBubbleSize val="0"/>
        </c:dLbls>
        <c:gapWidth val="150"/>
        <c:shape val="box"/>
        <c:axId val="1346808239"/>
        <c:axId val="1346810319"/>
        <c:axId val="0"/>
      </c:bar3DChart>
      <c:catAx>
        <c:axId val="13468082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810319"/>
        <c:crosses val="autoZero"/>
        <c:auto val="1"/>
        <c:lblAlgn val="ctr"/>
        <c:lblOffset val="100"/>
        <c:noMultiLvlLbl val="0"/>
      </c:catAx>
      <c:valAx>
        <c:axId val="1346810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80823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'aging of ope recs'!$B$4</c:f>
              <c:strCache>
                <c:ptCount val="1"/>
                <c:pt idx="0">
                  <c:v>Высокая</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'aging of ope recs'!$A$5:$A$11</c:f>
              <c:strCache>
                <c:ptCount val="7"/>
                <c:pt idx="0">
                  <c:v>2015 г.</c:v>
                </c:pt>
                <c:pt idx="1">
                  <c:v>2016 г.</c:v>
                </c:pt>
                <c:pt idx="2">
                  <c:v>2017 г.</c:v>
                </c:pt>
                <c:pt idx="3">
                  <c:v>2018 г.</c:v>
                </c:pt>
                <c:pt idx="4">
                  <c:v>2019 г.</c:v>
                </c:pt>
                <c:pt idx="5">
                  <c:v>2020 г.</c:v>
                </c:pt>
                <c:pt idx="6">
                  <c:v>2021 г.</c:v>
                </c:pt>
              </c:strCache>
            </c:strRef>
          </c:cat>
          <c:val>
            <c:numRef>
              <c:f>'aging of ope recs'!$B$5:$B$11</c:f>
              <c:numCache>
                <c:formatCode>General</c:formatCode>
                <c:ptCount val="7"/>
                <c:pt idx="3">
                  <c:v>5</c:v>
                </c:pt>
                <c:pt idx="4">
                  <c:v>11</c:v>
                </c:pt>
                <c:pt idx="5">
                  <c:v>6</c:v>
                </c:pt>
                <c:pt idx="6">
                  <c:v>18</c:v>
                </c:pt>
              </c:numCache>
            </c:numRef>
          </c:val>
          <c:extLst>
            <c:ext xmlns:c16="http://schemas.microsoft.com/office/drawing/2014/chart" uri="{C3380CC4-5D6E-409C-BE32-E72D297353CC}">
              <c16:uniqueId val="{00000000-F107-4A9C-BB98-8906F642ECEB}"/>
            </c:ext>
          </c:extLst>
        </c:ser>
        <c:ser>
          <c:idx val="1"/>
          <c:order val="1"/>
          <c:tx>
            <c:strRef>
              <c:f>'aging of ope recs'!$C$4</c:f>
              <c:strCache>
                <c:ptCount val="1"/>
                <c:pt idx="0">
                  <c:v>Средняя</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'aging of ope recs'!$A$5:$A$11</c:f>
              <c:strCache>
                <c:ptCount val="7"/>
                <c:pt idx="0">
                  <c:v>2015 г.</c:v>
                </c:pt>
                <c:pt idx="1">
                  <c:v>2016 г.</c:v>
                </c:pt>
                <c:pt idx="2">
                  <c:v>2017 г.</c:v>
                </c:pt>
                <c:pt idx="3">
                  <c:v>2018 г.</c:v>
                </c:pt>
                <c:pt idx="4">
                  <c:v>2019 г.</c:v>
                </c:pt>
                <c:pt idx="5">
                  <c:v>2020 г.</c:v>
                </c:pt>
                <c:pt idx="6">
                  <c:v>2021 г.</c:v>
                </c:pt>
              </c:strCache>
            </c:strRef>
          </c:cat>
          <c:val>
            <c:numRef>
              <c:f>'aging of ope recs'!$C$5:$C$11</c:f>
              <c:numCache>
                <c:formatCode>General</c:formatCode>
                <c:ptCount val="7"/>
                <c:pt idx="0">
                  <c:v>3</c:v>
                </c:pt>
                <c:pt idx="1">
                  <c:v>3</c:v>
                </c:pt>
                <c:pt idx="2">
                  <c:v>1</c:v>
                </c:pt>
                <c:pt idx="3">
                  <c:v>9</c:v>
                </c:pt>
                <c:pt idx="4">
                  <c:v>14</c:v>
                </c:pt>
                <c:pt idx="5">
                  <c:v>35</c:v>
                </c:pt>
                <c:pt idx="6">
                  <c:v>20</c:v>
                </c:pt>
              </c:numCache>
            </c:numRef>
          </c:val>
          <c:extLst>
            <c:ext xmlns:c16="http://schemas.microsoft.com/office/drawing/2014/chart" uri="{C3380CC4-5D6E-409C-BE32-E72D297353CC}">
              <c16:uniqueId val="{00000001-F107-4A9C-BB98-8906F642ECEB}"/>
            </c:ext>
          </c:extLst>
        </c:ser>
        <c:dLbls>
          <c:showLegendKey val="0"/>
          <c:showVal val="1"/>
          <c:showCatName val="0"/>
          <c:showSerName val="0"/>
          <c:showPercent val="0"/>
          <c:showBubbleSize val="0"/>
        </c:dLbls>
        <c:gapWidth val="150"/>
        <c:shape val="box"/>
        <c:axId val="1354958399"/>
        <c:axId val="1354950911"/>
        <c:axId val="0"/>
      </c:bar3DChart>
      <c:catAx>
        <c:axId val="13549583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4950911"/>
        <c:crosses val="autoZero"/>
        <c:auto val="1"/>
        <c:lblAlgn val="ctr"/>
        <c:lblOffset val="100"/>
        <c:noMultiLvlLbl val="0"/>
      </c:catAx>
      <c:valAx>
        <c:axId val="1354950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495839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'by program &amp; priority'!$B$4</c:f>
              <c:strCache>
                <c:ptCount val="1"/>
                <c:pt idx="0">
                  <c:v>Высокая</c:v>
                </c:pt>
              </c:strCache>
            </c:strRef>
          </c:tx>
          <c:spPr>
            <a:solidFill>
              <a:srgbClr val="C00000"/>
            </a:solidFill>
            <a:ln>
              <a:noFill/>
            </a:ln>
            <a:effectLst/>
            <a:sp3d/>
          </c:spPr>
          <c:invertIfNegative val="0"/>
          <c:dLbls>
            <c:dLbl>
              <c:idx val="9"/>
              <c:layout>
                <c:manualLayout>
                  <c:x val="-6.993006993006993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F85-41D3-A717-B14724367F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'by program &amp; priority'!$A$5:$A$23</c:f>
              <c:strCache>
                <c:ptCount val="19"/>
                <c:pt idx="0">
                  <c:v>Сектор администрации и управления</c:v>
                </c:pt>
                <c:pt idx="1">
                  <c:v>Межсекторальные</c:v>
                </c:pt>
                <c:pt idx="2">
                  <c:v>Программа 11</c:v>
                </c:pt>
                <c:pt idx="3">
                  <c:v>Программа 13</c:v>
                </c:pt>
                <c:pt idx="4">
                  <c:v>Программа 17</c:v>
                </c:pt>
                <c:pt idx="5">
                  <c:v>Программа 19</c:v>
                </c:pt>
                <c:pt idx="6">
                  <c:v>Программа 20</c:v>
                </c:pt>
                <c:pt idx="7">
                  <c:v>Программа 21</c:v>
                </c:pt>
                <c:pt idx="8">
                  <c:v>Программа 22</c:v>
                </c:pt>
                <c:pt idx="9">
                  <c:v>Программа 23</c:v>
                </c:pt>
                <c:pt idx="10">
                  <c:v>Программа 24</c:v>
                </c:pt>
                <c:pt idx="11">
                  <c:v>Программа 25</c:v>
                </c:pt>
                <c:pt idx="12">
                  <c:v>Программа 26</c:v>
                </c:pt>
                <c:pt idx="13">
                  <c:v>Программа 27</c:v>
                </c:pt>
                <c:pt idx="14">
                  <c:v>Программа 28</c:v>
                </c:pt>
                <c:pt idx="15">
                  <c:v>Программа 32</c:v>
                </c:pt>
                <c:pt idx="16">
                  <c:v>Программа 5</c:v>
                </c:pt>
                <c:pt idx="17">
                  <c:v>Программа 6</c:v>
                </c:pt>
                <c:pt idx="18">
                  <c:v>Программа 9</c:v>
                </c:pt>
              </c:strCache>
            </c:strRef>
          </c:cat>
          <c:val>
            <c:numRef>
              <c:f>'by program &amp; priority'!$B$5:$B$23</c:f>
              <c:numCache>
                <c:formatCode>General</c:formatCode>
                <c:ptCount val="19"/>
                <c:pt idx="0">
                  <c:v>2</c:v>
                </c:pt>
                <c:pt idx="1">
                  <c:v>1</c:v>
                </c:pt>
                <c:pt idx="5">
                  <c:v>2</c:v>
                </c:pt>
                <c:pt idx="8">
                  <c:v>7</c:v>
                </c:pt>
                <c:pt idx="9">
                  <c:v>14</c:v>
                </c:pt>
                <c:pt idx="10">
                  <c:v>2</c:v>
                </c:pt>
                <c:pt idx="11">
                  <c:v>4</c:v>
                </c:pt>
                <c:pt idx="13">
                  <c:v>1</c:v>
                </c:pt>
                <c:pt idx="14">
                  <c:v>3</c:v>
                </c:pt>
                <c:pt idx="15">
                  <c:v>1</c:v>
                </c:pt>
                <c:pt idx="16">
                  <c:v>1</c:v>
                </c:pt>
                <c:pt idx="18">
                  <c:v>2</c:v>
                </c:pt>
              </c:numCache>
            </c:numRef>
          </c:val>
          <c:extLst>
            <c:ext xmlns:c16="http://schemas.microsoft.com/office/drawing/2014/chart" uri="{C3380CC4-5D6E-409C-BE32-E72D297353CC}">
              <c16:uniqueId val="{00000001-CF85-41D3-A717-B14724367F2D}"/>
            </c:ext>
          </c:extLst>
        </c:ser>
        <c:ser>
          <c:idx val="1"/>
          <c:order val="1"/>
          <c:tx>
            <c:strRef>
              <c:f>'by program &amp; priority'!$C$4</c:f>
              <c:strCache>
                <c:ptCount val="1"/>
                <c:pt idx="0">
                  <c:v>Средняя</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'by program &amp; priority'!$A$5:$A$23</c:f>
              <c:strCache>
                <c:ptCount val="19"/>
                <c:pt idx="0">
                  <c:v>Сектор администрации и управления</c:v>
                </c:pt>
                <c:pt idx="1">
                  <c:v>Межсекторальные</c:v>
                </c:pt>
                <c:pt idx="2">
                  <c:v>Программа 11</c:v>
                </c:pt>
                <c:pt idx="3">
                  <c:v>Программа 13</c:v>
                </c:pt>
                <c:pt idx="4">
                  <c:v>Программа 17</c:v>
                </c:pt>
                <c:pt idx="5">
                  <c:v>Программа 19</c:v>
                </c:pt>
                <c:pt idx="6">
                  <c:v>Программа 20</c:v>
                </c:pt>
                <c:pt idx="7">
                  <c:v>Программа 21</c:v>
                </c:pt>
                <c:pt idx="8">
                  <c:v>Программа 22</c:v>
                </c:pt>
                <c:pt idx="9">
                  <c:v>Программа 23</c:v>
                </c:pt>
                <c:pt idx="10">
                  <c:v>Программа 24</c:v>
                </c:pt>
                <c:pt idx="11">
                  <c:v>Программа 25</c:v>
                </c:pt>
                <c:pt idx="12">
                  <c:v>Программа 26</c:v>
                </c:pt>
                <c:pt idx="13">
                  <c:v>Программа 27</c:v>
                </c:pt>
                <c:pt idx="14">
                  <c:v>Программа 28</c:v>
                </c:pt>
                <c:pt idx="15">
                  <c:v>Программа 32</c:v>
                </c:pt>
                <c:pt idx="16">
                  <c:v>Программа 5</c:v>
                </c:pt>
                <c:pt idx="17">
                  <c:v>Программа 6</c:v>
                </c:pt>
                <c:pt idx="18">
                  <c:v>Программа 9</c:v>
                </c:pt>
              </c:strCache>
            </c:strRef>
          </c:cat>
          <c:val>
            <c:numRef>
              <c:f>'by program &amp; priority'!$C$5:$C$23</c:f>
              <c:numCache>
                <c:formatCode>General</c:formatCode>
                <c:ptCount val="19"/>
                <c:pt idx="1">
                  <c:v>1</c:v>
                </c:pt>
                <c:pt idx="2">
                  <c:v>1</c:v>
                </c:pt>
                <c:pt idx="3">
                  <c:v>1</c:v>
                </c:pt>
                <c:pt idx="4">
                  <c:v>2</c:v>
                </c:pt>
                <c:pt idx="5">
                  <c:v>3</c:v>
                </c:pt>
                <c:pt idx="6">
                  <c:v>4</c:v>
                </c:pt>
                <c:pt idx="7">
                  <c:v>4</c:v>
                </c:pt>
                <c:pt idx="8">
                  <c:v>3</c:v>
                </c:pt>
                <c:pt idx="9">
                  <c:v>20</c:v>
                </c:pt>
                <c:pt idx="10">
                  <c:v>2</c:v>
                </c:pt>
                <c:pt idx="11">
                  <c:v>6</c:v>
                </c:pt>
                <c:pt idx="12">
                  <c:v>4</c:v>
                </c:pt>
                <c:pt idx="13">
                  <c:v>5</c:v>
                </c:pt>
                <c:pt idx="14">
                  <c:v>2</c:v>
                </c:pt>
                <c:pt idx="15">
                  <c:v>2</c:v>
                </c:pt>
                <c:pt idx="16">
                  <c:v>2</c:v>
                </c:pt>
                <c:pt idx="17">
                  <c:v>1</c:v>
                </c:pt>
                <c:pt idx="18">
                  <c:v>22</c:v>
                </c:pt>
              </c:numCache>
            </c:numRef>
          </c:val>
          <c:extLst>
            <c:ext xmlns:c16="http://schemas.microsoft.com/office/drawing/2014/chart" uri="{C3380CC4-5D6E-409C-BE32-E72D297353CC}">
              <c16:uniqueId val="{00000002-CF85-41D3-A717-B14724367F2D}"/>
            </c:ext>
          </c:extLst>
        </c:ser>
        <c:dLbls>
          <c:showLegendKey val="0"/>
          <c:showVal val="1"/>
          <c:showCatName val="0"/>
          <c:showSerName val="0"/>
          <c:showPercent val="0"/>
          <c:showBubbleSize val="0"/>
        </c:dLbls>
        <c:gapWidth val="150"/>
        <c:shape val="box"/>
        <c:axId val="1085036399"/>
        <c:axId val="1085039727"/>
        <c:axId val="0"/>
      </c:bar3DChart>
      <c:catAx>
        <c:axId val="10850363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039727"/>
        <c:crosses val="autoZero"/>
        <c:auto val="1"/>
        <c:lblAlgn val="ctr"/>
        <c:lblOffset val="100"/>
        <c:noMultiLvlLbl val="0"/>
      </c:catAx>
      <c:valAx>
        <c:axId val="1085039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036399"/>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4A6F5-29EA-4A0D-B663-8D866E8B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8286</Words>
  <Characters>57117</Characters>
  <Application>Microsoft Office Word</Application>
  <DocSecurity>0</DocSecurity>
  <Lines>1241</Lines>
  <Paragraphs>498</Paragraphs>
  <ScaleCrop>false</ScaleCrop>
  <HeadingPairs>
    <vt:vector size="2" baseType="variant">
      <vt:variant>
        <vt:lpstr>Title</vt:lpstr>
      </vt:variant>
      <vt:variant>
        <vt:i4>1</vt:i4>
      </vt:variant>
    </vt:vector>
  </HeadingPairs>
  <TitlesOfParts>
    <vt:vector size="1" baseType="lpstr">
      <vt:lpstr>WO/GA/52/</vt:lpstr>
    </vt:vector>
  </TitlesOfParts>
  <Company>WIPO</Company>
  <LinksUpToDate>false</LinksUpToDate>
  <CharactersWithSpaces>64963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WO/GA/55/9</dc:title>
  <dc:subject/>
  <dc:creator>WIPO</dc:creator>
  <cp:keywords>PUBLIC</cp:keywords>
  <dc:description/>
  <cp:lastModifiedBy>HÄFLIGER Patience</cp:lastModifiedBy>
  <cp:revision>4</cp:revision>
  <cp:lastPrinted>2021-03-30T13:51:00Z</cp:lastPrinted>
  <dcterms:created xsi:type="dcterms:W3CDTF">2022-04-26T07:34:00Z</dcterms:created>
  <dcterms:modified xsi:type="dcterms:W3CDTF">2022-04-28T14:07:00Z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79eb491a-e776-4e60-be0a-fe85442f2834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