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792D8B" w:rsidRPr="00792D8B" w:rsidTr="00FF23FA">
        <w:trPr>
          <w:trHeight w:val="1977"/>
        </w:trPr>
        <w:tc>
          <w:tcPr>
            <w:tcW w:w="4594" w:type="dxa"/>
            <w:tcBorders>
              <w:bottom w:val="single" w:sz="4" w:space="0" w:color="auto"/>
            </w:tcBorders>
            <w:tcMar>
              <w:bottom w:w="170" w:type="dxa"/>
            </w:tcMar>
          </w:tcPr>
          <w:p w:rsidR="00792D8B" w:rsidRPr="00792D8B" w:rsidRDefault="00792D8B" w:rsidP="00792D8B">
            <w:pPr>
              <w:jc w:val="both"/>
              <w:rPr>
                <w:rFonts w:ascii="Arial" w:eastAsia="SimSun" w:hAnsi="Arial" w:cs="Arial"/>
                <w:sz w:val="22"/>
                <w:szCs w:val="20"/>
                <w:lang w:val="en-US" w:bidi="ar-SA"/>
              </w:rPr>
            </w:pPr>
            <w:r w:rsidRPr="00792D8B">
              <w:rPr>
                <w:rFonts w:ascii="Arial" w:eastAsia="SimSun" w:hAnsi="Arial" w:cs="Arial"/>
                <w:noProof/>
                <w:sz w:val="22"/>
                <w:szCs w:val="20"/>
                <w:lang w:val="en-US" w:bidi="ar-SA"/>
              </w:rPr>
              <w:drawing>
                <wp:anchor distT="0" distB="0" distL="114300" distR="114300" simplePos="0" relativeHeight="251666432" behindDoc="1" locked="0" layoutInCell="0" allowOverlap="1" wp14:anchorId="1C5DFADD" wp14:editId="5C6DA8A1">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792D8B" w:rsidRPr="00792D8B" w:rsidRDefault="00792D8B" w:rsidP="00792D8B">
            <w:pPr>
              <w:rPr>
                <w:rFonts w:ascii="Arial" w:eastAsia="SimSun" w:hAnsi="Arial" w:cs="Arial"/>
                <w:sz w:val="22"/>
                <w:szCs w:val="20"/>
                <w:lang w:val="en-US" w:bidi="ar-SA"/>
              </w:rPr>
            </w:pPr>
          </w:p>
        </w:tc>
        <w:tc>
          <w:tcPr>
            <w:tcW w:w="425" w:type="dxa"/>
            <w:tcBorders>
              <w:bottom w:val="single" w:sz="4" w:space="0" w:color="auto"/>
            </w:tcBorders>
            <w:tcMar>
              <w:left w:w="0" w:type="dxa"/>
              <w:right w:w="0" w:type="dxa"/>
            </w:tcMar>
          </w:tcPr>
          <w:p w:rsidR="00792D8B" w:rsidRPr="00792D8B" w:rsidRDefault="00792D8B" w:rsidP="00792D8B">
            <w:pPr>
              <w:jc w:val="right"/>
              <w:rPr>
                <w:rFonts w:ascii="Arial" w:eastAsia="SimSun" w:hAnsi="Arial" w:cs="Arial"/>
                <w:sz w:val="22"/>
                <w:szCs w:val="20"/>
                <w:lang w:val="en-US" w:bidi="ar-SA"/>
              </w:rPr>
            </w:pPr>
            <w:r w:rsidRPr="00792D8B">
              <w:rPr>
                <w:rFonts w:ascii="Arial" w:eastAsia="SimSun" w:hAnsi="Arial" w:cs="Arial"/>
                <w:b/>
                <w:sz w:val="40"/>
                <w:szCs w:val="40"/>
                <w:lang w:val="en-US" w:bidi="ar-SA"/>
              </w:rPr>
              <w:t>C</w:t>
            </w:r>
          </w:p>
        </w:tc>
      </w:tr>
      <w:tr w:rsidR="00792D8B" w:rsidRPr="00792D8B" w:rsidTr="00FF23FA">
        <w:trPr>
          <w:trHeight w:hRule="exact" w:val="340"/>
        </w:trPr>
        <w:tc>
          <w:tcPr>
            <w:tcW w:w="9356" w:type="dxa"/>
            <w:gridSpan w:val="3"/>
            <w:tcBorders>
              <w:top w:val="single" w:sz="4" w:space="0" w:color="auto"/>
            </w:tcBorders>
            <w:tcMar>
              <w:top w:w="170" w:type="dxa"/>
              <w:left w:w="0" w:type="dxa"/>
              <w:right w:w="0" w:type="dxa"/>
            </w:tcMar>
            <w:vAlign w:val="bottom"/>
          </w:tcPr>
          <w:p w:rsidR="00792D8B" w:rsidRPr="00792D8B" w:rsidRDefault="00792D8B" w:rsidP="00792D8B">
            <w:pPr>
              <w:jc w:val="right"/>
              <w:rPr>
                <w:rFonts w:ascii="Arial Black" w:eastAsia="SimSun" w:hAnsi="Arial Black" w:cs="Arial"/>
                <w:caps/>
                <w:sz w:val="15"/>
                <w:szCs w:val="20"/>
                <w:lang w:val="en-US" w:bidi="ar-SA"/>
              </w:rPr>
            </w:pPr>
            <w:r w:rsidRPr="00792D8B">
              <w:rPr>
                <w:rFonts w:ascii="Arial Black" w:eastAsia="SimSun" w:hAnsi="Arial Black" w:cs="Arial"/>
                <w:caps/>
                <w:sz w:val="15"/>
                <w:szCs w:val="20"/>
                <w:lang w:val="en-US" w:bidi="ar-SA"/>
              </w:rPr>
              <w:t>A/5</w:t>
            </w:r>
            <w:r w:rsidRPr="00792D8B">
              <w:rPr>
                <w:rFonts w:ascii="Arial Black" w:eastAsia="SimSun" w:hAnsi="Arial Black" w:cs="Arial" w:hint="eastAsia"/>
                <w:caps/>
                <w:sz w:val="15"/>
                <w:szCs w:val="20"/>
                <w:lang w:val="en-US" w:bidi="ar-SA"/>
              </w:rPr>
              <w:t>5</w:t>
            </w:r>
            <w:r w:rsidRPr="00792D8B">
              <w:rPr>
                <w:rFonts w:ascii="Arial Black" w:eastAsia="SimSun" w:hAnsi="Arial Black" w:cs="Arial"/>
                <w:caps/>
                <w:sz w:val="15"/>
                <w:szCs w:val="20"/>
                <w:lang w:val="en-US" w:bidi="ar-SA"/>
              </w:rPr>
              <w:t>/</w:t>
            </w:r>
            <w:r>
              <w:rPr>
                <w:rFonts w:ascii="Arial Black" w:eastAsia="SimSun" w:hAnsi="Arial Black" w:cs="Arial" w:hint="eastAsia"/>
                <w:caps/>
                <w:sz w:val="15"/>
                <w:szCs w:val="20"/>
                <w:lang w:val="en-US" w:bidi="ar-SA"/>
              </w:rPr>
              <w:t>7</w:t>
            </w:r>
          </w:p>
        </w:tc>
      </w:tr>
      <w:tr w:rsidR="00792D8B" w:rsidRPr="00792D8B" w:rsidTr="00FF23FA">
        <w:trPr>
          <w:trHeight w:hRule="exact" w:val="170"/>
        </w:trPr>
        <w:tc>
          <w:tcPr>
            <w:tcW w:w="9356" w:type="dxa"/>
            <w:gridSpan w:val="3"/>
            <w:noWrap/>
            <w:tcMar>
              <w:left w:w="0" w:type="dxa"/>
              <w:right w:w="0" w:type="dxa"/>
            </w:tcMar>
            <w:vAlign w:val="bottom"/>
          </w:tcPr>
          <w:p w:rsidR="00792D8B" w:rsidRPr="00792D8B" w:rsidRDefault="00792D8B" w:rsidP="00792D8B">
            <w:pPr>
              <w:jc w:val="right"/>
              <w:rPr>
                <w:rFonts w:ascii="Arial Black" w:eastAsia="SimSun" w:hAnsi="Arial Black" w:cs="Arial"/>
                <w:b/>
                <w:caps/>
                <w:sz w:val="15"/>
                <w:szCs w:val="15"/>
                <w:lang w:val="en-US" w:bidi="ar-SA"/>
              </w:rPr>
            </w:pPr>
            <w:r w:rsidRPr="00792D8B">
              <w:rPr>
                <w:rFonts w:ascii="Arial" w:eastAsia="SimHei" w:hAnsi="Arial" w:cs="Arial" w:hint="eastAsia"/>
                <w:b/>
                <w:sz w:val="15"/>
                <w:szCs w:val="15"/>
                <w:lang w:val="en-US" w:bidi="ar-SA"/>
              </w:rPr>
              <w:t>原</w:t>
            </w:r>
            <w:r w:rsidRPr="00792D8B">
              <w:rPr>
                <w:rFonts w:ascii="Arial" w:eastAsia="SimHei" w:hAnsi="Arial" w:cs="Arial"/>
                <w:b/>
                <w:sz w:val="15"/>
                <w:szCs w:val="15"/>
                <w:lang w:val="pt-BR" w:bidi="ar-SA"/>
              </w:rPr>
              <w:t xml:space="preserve"> </w:t>
            </w:r>
            <w:r w:rsidRPr="00792D8B">
              <w:rPr>
                <w:rFonts w:ascii="Arial" w:eastAsia="SimHei" w:hAnsi="Arial" w:cs="Arial" w:hint="eastAsia"/>
                <w:b/>
                <w:sz w:val="15"/>
                <w:szCs w:val="15"/>
                <w:lang w:val="en-US" w:bidi="ar-SA"/>
              </w:rPr>
              <w:t>文</w:t>
            </w:r>
            <w:r w:rsidRPr="00792D8B">
              <w:rPr>
                <w:rFonts w:ascii="Arial" w:eastAsia="SimHei" w:hAnsi="Arial" w:cs="Arial" w:hint="eastAsia"/>
                <w:b/>
                <w:sz w:val="15"/>
                <w:szCs w:val="15"/>
                <w:lang w:val="pt-BR" w:bidi="ar-SA"/>
              </w:rPr>
              <w:t>：英</w:t>
            </w:r>
            <w:r w:rsidRPr="00792D8B">
              <w:rPr>
                <w:rFonts w:ascii="Arial" w:eastAsia="SimHei" w:hAnsi="Arial" w:cs="Arial" w:hint="eastAsia"/>
                <w:b/>
                <w:sz w:val="15"/>
                <w:szCs w:val="15"/>
                <w:lang w:val="en-US" w:bidi="ar-SA"/>
              </w:rPr>
              <w:t>文</w:t>
            </w:r>
          </w:p>
        </w:tc>
      </w:tr>
      <w:tr w:rsidR="00792D8B" w:rsidRPr="00792D8B" w:rsidTr="00FF23FA">
        <w:trPr>
          <w:trHeight w:hRule="exact" w:val="198"/>
        </w:trPr>
        <w:tc>
          <w:tcPr>
            <w:tcW w:w="9356" w:type="dxa"/>
            <w:gridSpan w:val="3"/>
            <w:tcMar>
              <w:left w:w="0" w:type="dxa"/>
              <w:right w:w="0" w:type="dxa"/>
            </w:tcMar>
            <w:vAlign w:val="bottom"/>
          </w:tcPr>
          <w:p w:rsidR="00792D8B" w:rsidRPr="00792D8B" w:rsidRDefault="00792D8B" w:rsidP="00792D8B">
            <w:pPr>
              <w:jc w:val="right"/>
              <w:rPr>
                <w:rFonts w:ascii="SimHei" w:eastAsia="SimHei" w:hAnsi="Arial Black" w:cs="Arial"/>
                <w:b/>
                <w:caps/>
                <w:sz w:val="15"/>
                <w:szCs w:val="15"/>
                <w:lang w:val="en-US" w:bidi="ar-SA"/>
              </w:rPr>
            </w:pPr>
            <w:r w:rsidRPr="00792D8B">
              <w:rPr>
                <w:rFonts w:ascii="SimHei" w:eastAsia="SimHei" w:hAnsi="Arial" w:cs="Arial" w:hint="eastAsia"/>
                <w:b/>
                <w:sz w:val="15"/>
                <w:szCs w:val="15"/>
                <w:lang w:val="en-US" w:bidi="ar-SA"/>
              </w:rPr>
              <w:t>日</w:t>
            </w:r>
            <w:r w:rsidRPr="00792D8B">
              <w:rPr>
                <w:rFonts w:ascii="SimHei" w:eastAsia="SimHei" w:hAnsi="Arial" w:cs="Arial" w:hint="eastAsia"/>
                <w:b/>
                <w:sz w:val="15"/>
                <w:szCs w:val="15"/>
                <w:lang w:val="pt-BR" w:bidi="ar-SA"/>
              </w:rPr>
              <w:t xml:space="preserve"> </w:t>
            </w:r>
            <w:r w:rsidRPr="00792D8B">
              <w:rPr>
                <w:rFonts w:ascii="SimHei" w:eastAsia="SimHei" w:hAnsi="Arial" w:cs="Arial" w:hint="eastAsia"/>
                <w:b/>
                <w:sz w:val="15"/>
                <w:szCs w:val="15"/>
                <w:lang w:val="en-US" w:bidi="ar-SA"/>
              </w:rPr>
              <w:t>期</w:t>
            </w:r>
            <w:r w:rsidRPr="00792D8B">
              <w:rPr>
                <w:rFonts w:ascii="SimHei" w:eastAsia="SimHei" w:cs="Arial" w:hint="eastAsia"/>
                <w:b/>
                <w:sz w:val="15"/>
                <w:szCs w:val="15"/>
                <w:lang w:val="pt-BR" w:bidi="ar-SA"/>
              </w:rPr>
              <w:t>：</w:t>
            </w:r>
            <w:r w:rsidRPr="00792D8B">
              <w:rPr>
                <w:rFonts w:ascii="Arial Black" w:eastAsia="SimHei" w:hAnsi="Arial Black" w:cs="Arial"/>
                <w:b/>
                <w:sz w:val="15"/>
                <w:szCs w:val="15"/>
                <w:lang w:val="pt-BR" w:bidi="ar-SA"/>
              </w:rPr>
              <w:t>201</w:t>
            </w:r>
            <w:r w:rsidRPr="00792D8B">
              <w:rPr>
                <w:rFonts w:ascii="Arial Black" w:eastAsia="SimHei" w:hAnsi="Arial Black" w:cs="Arial" w:hint="eastAsia"/>
                <w:b/>
                <w:sz w:val="15"/>
                <w:szCs w:val="15"/>
                <w:lang w:val="pt-BR" w:bidi="ar-SA"/>
              </w:rPr>
              <w:t>5</w:t>
            </w:r>
            <w:r w:rsidRPr="00792D8B">
              <w:rPr>
                <w:rFonts w:ascii="SimHei" w:eastAsia="SimHei" w:hAnsi="Times New Roman" w:cs="Arial" w:hint="eastAsia"/>
                <w:b/>
                <w:sz w:val="15"/>
                <w:szCs w:val="15"/>
                <w:lang w:val="en-US" w:bidi="ar-SA"/>
              </w:rPr>
              <w:t>年</w:t>
            </w:r>
            <w:r w:rsidRPr="00792D8B">
              <w:rPr>
                <w:rFonts w:ascii="Arial Black" w:eastAsia="SimHei" w:hAnsi="Arial Black" w:cs="Arial" w:hint="eastAsia"/>
                <w:b/>
                <w:sz w:val="15"/>
                <w:szCs w:val="15"/>
                <w:lang w:val="pt-BR" w:bidi="ar-SA"/>
              </w:rPr>
              <w:t>8</w:t>
            </w:r>
            <w:r w:rsidRPr="00792D8B">
              <w:rPr>
                <w:rFonts w:ascii="SimHei" w:eastAsia="SimHei" w:hAnsi="Times New Roman" w:cs="Arial" w:hint="eastAsia"/>
                <w:b/>
                <w:sz w:val="15"/>
                <w:szCs w:val="15"/>
                <w:lang w:val="en-US" w:bidi="ar-SA"/>
              </w:rPr>
              <w:t>月</w:t>
            </w:r>
            <w:r w:rsidRPr="00792D8B">
              <w:rPr>
                <w:rFonts w:ascii="Arial Black" w:eastAsia="SimHei" w:hAnsi="Arial Black" w:cs="Arial" w:hint="eastAsia"/>
                <w:b/>
                <w:sz w:val="15"/>
                <w:szCs w:val="15"/>
                <w:lang w:val="pt-BR" w:bidi="ar-SA"/>
              </w:rPr>
              <w:t>4</w:t>
            </w:r>
            <w:r w:rsidRPr="00792D8B">
              <w:rPr>
                <w:rFonts w:ascii="SimHei" w:eastAsia="SimHei" w:hAnsi="Times New Roman" w:cs="Arial" w:hint="eastAsia"/>
                <w:b/>
                <w:sz w:val="15"/>
                <w:szCs w:val="15"/>
                <w:lang w:val="en-US" w:bidi="ar-SA"/>
              </w:rPr>
              <w:t>日</w:t>
            </w:r>
            <w:r w:rsidRPr="00792D8B">
              <w:rPr>
                <w:rFonts w:ascii="SimHei" w:eastAsia="SimHei" w:hAnsi="Arial Black" w:cs="Arial" w:hint="eastAsia"/>
                <w:b/>
                <w:caps/>
                <w:sz w:val="15"/>
                <w:szCs w:val="15"/>
                <w:lang w:val="en-US" w:bidi="ar-SA"/>
              </w:rPr>
              <w:t xml:space="preserve">  </w:t>
            </w:r>
          </w:p>
        </w:tc>
      </w:tr>
    </w:tbl>
    <w:p w:rsidR="00792D8B" w:rsidRPr="00792D8B" w:rsidRDefault="00792D8B" w:rsidP="00792D8B">
      <w:pPr>
        <w:rPr>
          <w:rFonts w:ascii="Arial" w:eastAsia="SimSun" w:hAnsi="Arial" w:cs="Arial"/>
          <w:sz w:val="22"/>
          <w:szCs w:val="20"/>
          <w:lang w:val="en-US" w:bidi="ar-SA"/>
        </w:rPr>
      </w:pPr>
    </w:p>
    <w:p w:rsidR="00792D8B" w:rsidRPr="00792D8B" w:rsidRDefault="00792D8B" w:rsidP="00792D8B">
      <w:pPr>
        <w:rPr>
          <w:rFonts w:ascii="Arial" w:eastAsia="SimSun" w:hAnsi="Arial" w:cs="Arial"/>
          <w:sz w:val="22"/>
          <w:szCs w:val="20"/>
          <w:lang w:val="en-US" w:bidi="ar-SA"/>
        </w:rPr>
      </w:pPr>
    </w:p>
    <w:p w:rsidR="00792D8B" w:rsidRPr="00792D8B" w:rsidRDefault="00792D8B" w:rsidP="00792D8B">
      <w:pPr>
        <w:rPr>
          <w:rFonts w:ascii="Arial" w:eastAsia="SimSun" w:hAnsi="Arial" w:cs="Arial"/>
          <w:sz w:val="22"/>
          <w:szCs w:val="20"/>
          <w:lang w:val="en-US" w:bidi="ar-SA"/>
        </w:rPr>
      </w:pPr>
    </w:p>
    <w:p w:rsidR="00792D8B" w:rsidRPr="00792D8B" w:rsidRDefault="00792D8B" w:rsidP="00792D8B">
      <w:pPr>
        <w:rPr>
          <w:rFonts w:ascii="Arial" w:eastAsia="SimSun" w:hAnsi="Arial" w:cs="Arial"/>
          <w:sz w:val="22"/>
          <w:szCs w:val="20"/>
          <w:lang w:val="en-US" w:bidi="ar-SA"/>
        </w:rPr>
      </w:pPr>
    </w:p>
    <w:p w:rsidR="00792D8B" w:rsidRPr="00792D8B" w:rsidRDefault="00792D8B" w:rsidP="00792D8B">
      <w:pPr>
        <w:rPr>
          <w:rFonts w:ascii="Arial" w:eastAsia="SimSun" w:hAnsi="Arial" w:cs="Arial"/>
          <w:sz w:val="22"/>
          <w:szCs w:val="20"/>
          <w:lang w:val="en-US" w:bidi="ar-SA"/>
        </w:rPr>
      </w:pPr>
    </w:p>
    <w:p w:rsidR="00792D8B" w:rsidRPr="00792D8B" w:rsidRDefault="00792D8B" w:rsidP="00792D8B">
      <w:pPr>
        <w:spacing w:line="360" w:lineRule="atLeast"/>
        <w:rPr>
          <w:rFonts w:ascii="SimHei" w:eastAsia="SimHei" w:hAnsi="Arial" w:cs="Arial"/>
          <w:sz w:val="28"/>
          <w:szCs w:val="28"/>
          <w:lang w:val="en-US" w:bidi="ar-SA"/>
        </w:rPr>
      </w:pPr>
      <w:r w:rsidRPr="00792D8B">
        <w:rPr>
          <w:rFonts w:ascii="SimHei" w:eastAsia="SimHei" w:hAnsi="Arial" w:cs="Arial" w:hint="eastAsia"/>
          <w:sz w:val="28"/>
          <w:szCs w:val="28"/>
          <w:lang w:val="en-US" w:bidi="ar-SA"/>
        </w:rPr>
        <w:t>世界知识产权组织成员国大会</w:t>
      </w:r>
    </w:p>
    <w:p w:rsidR="00792D8B" w:rsidRPr="00792D8B" w:rsidRDefault="00792D8B" w:rsidP="00792D8B">
      <w:pPr>
        <w:rPr>
          <w:rFonts w:ascii="Arial" w:eastAsia="SimSun" w:hAnsi="Arial" w:cs="Arial"/>
          <w:sz w:val="22"/>
          <w:szCs w:val="22"/>
          <w:lang w:val="en-US" w:bidi="ar-SA"/>
        </w:rPr>
      </w:pPr>
    </w:p>
    <w:p w:rsidR="00792D8B" w:rsidRPr="00792D8B" w:rsidRDefault="00792D8B" w:rsidP="00792D8B">
      <w:pPr>
        <w:rPr>
          <w:rFonts w:ascii="Arial" w:eastAsia="SimSun" w:hAnsi="Arial" w:cs="Arial"/>
          <w:sz w:val="22"/>
          <w:lang w:val="en-US" w:bidi="ar-SA"/>
        </w:rPr>
      </w:pPr>
    </w:p>
    <w:p w:rsidR="00792D8B" w:rsidRPr="00792D8B" w:rsidRDefault="00792D8B" w:rsidP="00792D8B">
      <w:pPr>
        <w:spacing w:line="360" w:lineRule="atLeast"/>
        <w:textAlignment w:val="bottom"/>
        <w:rPr>
          <w:rFonts w:ascii="KaiTi" w:eastAsia="KaiTi" w:hAnsi="Arial" w:cs="Arial"/>
          <w:b/>
          <w:lang w:val="en-US" w:bidi="ar-SA"/>
        </w:rPr>
      </w:pPr>
      <w:r w:rsidRPr="00792D8B">
        <w:rPr>
          <w:rFonts w:ascii="KaiTi" w:eastAsia="KaiTi" w:hAnsi="Arial" w:cs="Arial" w:hint="eastAsia"/>
          <w:b/>
          <w:lang w:val="en-US" w:bidi="ar-SA"/>
        </w:rPr>
        <w:t>第五十五届系列会议</w:t>
      </w:r>
    </w:p>
    <w:p w:rsidR="00792D8B" w:rsidRPr="00792D8B" w:rsidRDefault="00792D8B" w:rsidP="00792D8B">
      <w:pPr>
        <w:spacing w:line="360" w:lineRule="atLeast"/>
        <w:textAlignment w:val="bottom"/>
        <w:rPr>
          <w:rFonts w:ascii="KaiTi" w:eastAsia="KaiTi" w:hAnsi="KaiTi" w:cs="Arial"/>
          <w:b/>
          <w:lang w:val="en-US" w:bidi="ar-SA"/>
        </w:rPr>
      </w:pPr>
      <w:r w:rsidRPr="00792D8B">
        <w:rPr>
          <w:rFonts w:ascii="KaiTi" w:eastAsia="KaiTi" w:hAnsi="KaiTi" w:cs="Arial" w:hint="eastAsia"/>
          <w:lang w:val="en-US" w:bidi="ar-SA"/>
        </w:rPr>
        <w:t>2015</w:t>
      </w:r>
      <w:r w:rsidRPr="00792D8B">
        <w:rPr>
          <w:rFonts w:ascii="KaiTi" w:eastAsia="KaiTi" w:hAnsi="KaiTi" w:cs="Arial" w:hint="eastAsia"/>
          <w:b/>
          <w:lang w:val="en-US" w:bidi="ar-SA"/>
        </w:rPr>
        <w:t>年</w:t>
      </w:r>
      <w:r w:rsidRPr="00792D8B">
        <w:rPr>
          <w:rFonts w:ascii="KaiTi" w:eastAsia="KaiTi" w:hAnsi="KaiTi" w:cs="Arial" w:hint="eastAsia"/>
          <w:lang w:val="en-US" w:bidi="ar-SA"/>
        </w:rPr>
        <w:t>10</w:t>
      </w:r>
      <w:r w:rsidRPr="00792D8B">
        <w:rPr>
          <w:rFonts w:ascii="KaiTi" w:eastAsia="KaiTi" w:hAnsi="KaiTi" w:cs="Arial" w:hint="eastAsia"/>
          <w:b/>
          <w:lang w:val="en-US" w:bidi="ar-SA"/>
        </w:rPr>
        <w:t>月</w:t>
      </w:r>
      <w:r w:rsidRPr="00792D8B">
        <w:rPr>
          <w:rFonts w:ascii="KaiTi" w:eastAsia="KaiTi" w:hAnsi="KaiTi" w:cs="Arial" w:hint="eastAsia"/>
          <w:lang w:val="en-US" w:bidi="ar-SA"/>
        </w:rPr>
        <w:t>5</w:t>
      </w:r>
      <w:r w:rsidRPr="00792D8B">
        <w:rPr>
          <w:rFonts w:ascii="KaiTi" w:eastAsia="KaiTi" w:hAnsi="KaiTi" w:cs="Arial" w:hint="eastAsia"/>
          <w:b/>
          <w:lang w:val="en-US" w:bidi="ar-SA"/>
        </w:rPr>
        <w:t>日至</w:t>
      </w:r>
      <w:r w:rsidRPr="00792D8B">
        <w:rPr>
          <w:rFonts w:ascii="KaiTi" w:eastAsia="KaiTi" w:hAnsi="KaiTi" w:cs="Arial" w:hint="eastAsia"/>
          <w:lang w:val="en-US" w:bidi="ar-SA"/>
        </w:rPr>
        <w:t>14</w:t>
      </w:r>
      <w:r w:rsidRPr="00792D8B">
        <w:rPr>
          <w:rFonts w:ascii="KaiTi" w:eastAsia="KaiTi" w:hAnsi="KaiTi" w:cs="Arial" w:hint="eastAsia"/>
          <w:b/>
          <w:lang w:val="en-US" w:bidi="ar-SA"/>
        </w:rPr>
        <w:t>日，日内瓦</w:t>
      </w:r>
    </w:p>
    <w:p w:rsidR="00792D8B" w:rsidRPr="00792D8B" w:rsidRDefault="00792D8B" w:rsidP="00792D8B">
      <w:pPr>
        <w:rPr>
          <w:rFonts w:ascii="Arial" w:eastAsia="SimSun" w:hAnsi="Arial" w:cs="Arial"/>
          <w:sz w:val="22"/>
          <w:szCs w:val="20"/>
          <w:lang w:val="en-US" w:bidi="ar-SA"/>
        </w:rPr>
      </w:pPr>
    </w:p>
    <w:p w:rsidR="00792D8B" w:rsidRPr="00792D8B" w:rsidRDefault="00792D8B" w:rsidP="00792D8B">
      <w:pPr>
        <w:rPr>
          <w:rFonts w:ascii="Arial" w:eastAsia="SimSun" w:hAnsi="Arial" w:cs="Arial"/>
          <w:sz w:val="22"/>
          <w:szCs w:val="20"/>
          <w:lang w:val="en-US" w:bidi="ar-SA"/>
        </w:rPr>
      </w:pPr>
    </w:p>
    <w:p w:rsidR="00792D8B" w:rsidRPr="00792D8B" w:rsidRDefault="00792D8B" w:rsidP="00792D8B">
      <w:pPr>
        <w:rPr>
          <w:rFonts w:ascii="Arial" w:eastAsia="SimSun" w:hAnsi="Arial" w:cs="Arial"/>
          <w:sz w:val="22"/>
          <w:szCs w:val="20"/>
          <w:lang w:val="en-US" w:bidi="ar-SA"/>
        </w:rPr>
      </w:pPr>
    </w:p>
    <w:p w:rsidR="00792D8B" w:rsidRPr="00792D8B" w:rsidRDefault="00792D8B" w:rsidP="00792D8B">
      <w:pPr>
        <w:rPr>
          <w:rFonts w:ascii="KaiTi" w:eastAsia="KaiTi" w:hAnsi="KaiTi" w:cs="Times New Roman"/>
          <w:kern w:val="2"/>
          <w:szCs w:val="32"/>
          <w:lang w:val="en-US" w:bidi="ar-SA"/>
        </w:rPr>
      </w:pPr>
      <w:r w:rsidRPr="00792D8B">
        <w:rPr>
          <w:rFonts w:ascii="KaiTi" w:eastAsia="KaiTi" w:hAnsi="KaiTi" w:cs="Times New Roman"/>
          <w:kern w:val="2"/>
          <w:szCs w:val="32"/>
          <w:lang w:val="en-US" w:bidi="ar-SA"/>
        </w:rPr>
        <w:t>2014年年度财务报告和财务报表</w:t>
      </w:r>
    </w:p>
    <w:p w:rsidR="00792D8B" w:rsidRPr="00792D8B" w:rsidRDefault="00792D8B" w:rsidP="00792D8B">
      <w:pPr>
        <w:rPr>
          <w:rFonts w:ascii="Arial" w:eastAsia="SimSun" w:hAnsi="Arial" w:cs="Arial"/>
          <w:sz w:val="22"/>
          <w:szCs w:val="22"/>
          <w:lang w:val="en-US" w:bidi="ar-SA"/>
        </w:rPr>
      </w:pPr>
    </w:p>
    <w:p w:rsidR="00792D8B" w:rsidRPr="00792D8B" w:rsidRDefault="00792D8B" w:rsidP="00792D8B">
      <w:pPr>
        <w:rPr>
          <w:rFonts w:ascii="KaiTi" w:eastAsia="KaiTi" w:hAnsi="STKaiti" w:cs="Times New Roman"/>
          <w:i/>
          <w:kern w:val="2"/>
          <w:sz w:val="21"/>
          <w:lang w:val="en-US" w:bidi="ar-SA"/>
        </w:rPr>
      </w:pPr>
      <w:r w:rsidRPr="00792D8B">
        <w:rPr>
          <w:rFonts w:ascii="KaiTi" w:eastAsia="KaiTi" w:hAnsi="KaiTi" w:cs="Arial"/>
          <w:i/>
          <w:kern w:val="2"/>
          <w:sz w:val="21"/>
          <w:szCs w:val="21"/>
          <w:lang w:val="en-US" w:bidi="ar-SA"/>
        </w:rPr>
        <w:t>秘书处编拟</w:t>
      </w:r>
    </w:p>
    <w:p w:rsidR="00792D8B" w:rsidRPr="00792D8B" w:rsidRDefault="00792D8B" w:rsidP="00792D8B">
      <w:pPr>
        <w:rPr>
          <w:rFonts w:ascii="Arial" w:eastAsia="SimSun" w:hAnsi="Arial" w:cs="Arial"/>
          <w:sz w:val="22"/>
          <w:szCs w:val="22"/>
          <w:lang w:val="en-US" w:bidi="ar-SA"/>
        </w:rPr>
      </w:pPr>
    </w:p>
    <w:p w:rsidR="00792D8B" w:rsidRPr="00792D8B" w:rsidRDefault="00792D8B" w:rsidP="00792D8B">
      <w:pPr>
        <w:rPr>
          <w:rFonts w:ascii="Arial" w:eastAsia="SimSun" w:hAnsi="Arial" w:cs="Arial"/>
          <w:sz w:val="22"/>
          <w:szCs w:val="22"/>
          <w:lang w:val="en-US" w:bidi="ar-SA"/>
        </w:rPr>
      </w:pPr>
    </w:p>
    <w:p w:rsidR="00792D8B" w:rsidRPr="00792D8B" w:rsidRDefault="00792D8B" w:rsidP="00792D8B">
      <w:pPr>
        <w:rPr>
          <w:rFonts w:ascii="Arial" w:eastAsia="SimSun" w:hAnsi="Arial" w:cs="Arial"/>
          <w:sz w:val="22"/>
          <w:szCs w:val="22"/>
          <w:lang w:val="en-US" w:bidi="ar-SA"/>
        </w:rPr>
      </w:pPr>
    </w:p>
    <w:p w:rsidR="00792D8B" w:rsidRPr="00792D8B" w:rsidRDefault="00792D8B" w:rsidP="00792D8B">
      <w:pPr>
        <w:rPr>
          <w:rFonts w:ascii="Arial" w:eastAsia="SimSun" w:hAnsi="Arial" w:cs="Arial"/>
          <w:sz w:val="22"/>
          <w:szCs w:val="22"/>
          <w:lang w:val="en-US" w:bidi="ar-SA"/>
        </w:rPr>
      </w:pPr>
    </w:p>
    <w:p w:rsidR="00792D8B" w:rsidRPr="00792D8B" w:rsidRDefault="00792D8B" w:rsidP="00792D8B">
      <w:pPr>
        <w:spacing w:afterLines="50" w:after="120" w:line="340" w:lineRule="atLeast"/>
        <w:jc w:val="both"/>
        <w:rPr>
          <w:rFonts w:eastAsia="SimSun" w:cs="Arial"/>
          <w:sz w:val="21"/>
          <w:szCs w:val="20"/>
          <w:lang w:val="en-US" w:bidi="ar-SA"/>
        </w:rPr>
      </w:pPr>
      <w:r w:rsidRPr="00792D8B">
        <w:rPr>
          <w:rFonts w:eastAsia="SimSun" w:cs="Arial"/>
          <w:sz w:val="21"/>
          <w:szCs w:val="20"/>
          <w:lang w:val="en-US" w:bidi="ar-SA"/>
        </w:rPr>
        <w:t>1.</w:t>
      </w:r>
      <w:r w:rsidRPr="00792D8B">
        <w:rPr>
          <w:rFonts w:eastAsia="SimSun" w:cs="Arial"/>
          <w:sz w:val="21"/>
          <w:szCs w:val="20"/>
          <w:lang w:val="en-US" w:bidi="ar-SA"/>
        </w:rPr>
        <w:tab/>
      </w:r>
      <w:r w:rsidRPr="00792D8B">
        <w:rPr>
          <w:rFonts w:eastAsia="SimSun" w:cs="Arial" w:hint="eastAsia"/>
          <w:sz w:val="21"/>
          <w:szCs w:val="20"/>
          <w:lang w:val="en-US" w:bidi="ar-SA"/>
        </w:rPr>
        <w:t>本文件载有“</w:t>
      </w:r>
      <w:r w:rsidRPr="00792D8B">
        <w:rPr>
          <w:rFonts w:eastAsia="SimSun" w:cs="Arial"/>
          <w:sz w:val="21"/>
          <w:szCs w:val="20"/>
          <w:lang w:val="en-US" w:bidi="ar-SA"/>
        </w:rPr>
        <w:t>2014年年度财务报告和财务报表</w:t>
      </w:r>
      <w:r w:rsidRPr="00792D8B">
        <w:rPr>
          <w:rFonts w:eastAsia="SimSun" w:cs="Arial" w:hint="eastAsia"/>
          <w:sz w:val="21"/>
          <w:szCs w:val="20"/>
          <w:lang w:val="en-US" w:bidi="ar-SA"/>
        </w:rPr>
        <w:t>”(文件WO/PBC/2</w:t>
      </w:r>
      <w:r>
        <w:rPr>
          <w:rFonts w:eastAsia="SimSun" w:cs="Arial" w:hint="eastAsia"/>
          <w:sz w:val="21"/>
          <w:szCs w:val="20"/>
          <w:lang w:val="en-US" w:bidi="ar-SA"/>
        </w:rPr>
        <w:t>4</w:t>
      </w:r>
      <w:r w:rsidRPr="00792D8B">
        <w:rPr>
          <w:rFonts w:eastAsia="SimSun" w:cs="Arial" w:hint="eastAsia"/>
          <w:sz w:val="21"/>
          <w:szCs w:val="20"/>
          <w:lang w:val="en-US" w:bidi="ar-SA"/>
        </w:rPr>
        <w:t>/</w:t>
      </w:r>
      <w:r>
        <w:rPr>
          <w:rFonts w:eastAsia="SimSun" w:cs="Arial" w:hint="eastAsia"/>
          <w:sz w:val="21"/>
          <w:szCs w:val="20"/>
          <w:lang w:val="en-US" w:bidi="ar-SA"/>
        </w:rPr>
        <w:t>8</w:t>
      </w:r>
      <w:r w:rsidRPr="00792D8B">
        <w:rPr>
          <w:rFonts w:eastAsia="SimSun" w:cs="Arial" w:hint="eastAsia"/>
          <w:sz w:val="21"/>
          <w:szCs w:val="20"/>
          <w:lang w:val="en-US" w:bidi="ar-SA"/>
        </w:rPr>
        <w:t>)，</w:t>
      </w:r>
      <w:r>
        <w:rPr>
          <w:rFonts w:eastAsia="SimSun" w:cs="Arial" w:hint="eastAsia"/>
          <w:sz w:val="21"/>
          <w:szCs w:val="20"/>
          <w:lang w:val="en-US" w:bidi="ar-SA"/>
        </w:rPr>
        <w:t>将</w:t>
      </w:r>
      <w:r w:rsidRPr="00792D8B">
        <w:rPr>
          <w:rFonts w:eastAsia="SimSun" w:cs="Arial" w:hint="eastAsia"/>
          <w:sz w:val="21"/>
          <w:szCs w:val="20"/>
          <w:lang w:val="en-US" w:bidi="ar-SA"/>
        </w:rPr>
        <w:t>提交给WIPO计划和预算委员会(PBC)的第二十</w:t>
      </w:r>
      <w:r>
        <w:rPr>
          <w:rFonts w:eastAsia="SimSun" w:cs="Arial" w:hint="eastAsia"/>
          <w:sz w:val="21"/>
          <w:szCs w:val="20"/>
          <w:lang w:val="en-US" w:bidi="ar-SA"/>
        </w:rPr>
        <w:t>四</w:t>
      </w:r>
      <w:r w:rsidRPr="00792D8B">
        <w:rPr>
          <w:rFonts w:eastAsia="SimSun" w:cs="Arial" w:hint="eastAsia"/>
          <w:sz w:val="21"/>
          <w:szCs w:val="20"/>
          <w:lang w:val="en-US" w:bidi="ar-SA"/>
        </w:rPr>
        <w:t>届会议(2015年</w:t>
      </w:r>
      <w:r>
        <w:rPr>
          <w:rFonts w:eastAsia="SimSun" w:cs="Arial" w:hint="eastAsia"/>
          <w:sz w:val="21"/>
          <w:szCs w:val="20"/>
          <w:lang w:val="en-US" w:bidi="ar-SA"/>
        </w:rPr>
        <w:t>9</w:t>
      </w:r>
      <w:r w:rsidRPr="00792D8B">
        <w:rPr>
          <w:rFonts w:eastAsia="SimSun" w:cs="Arial" w:hint="eastAsia"/>
          <w:sz w:val="21"/>
          <w:szCs w:val="20"/>
          <w:lang w:val="en-US" w:bidi="ar-SA"/>
        </w:rPr>
        <w:t>月1</w:t>
      </w:r>
      <w:r>
        <w:rPr>
          <w:rFonts w:eastAsia="SimSun" w:cs="Arial" w:hint="eastAsia"/>
          <w:sz w:val="21"/>
          <w:szCs w:val="20"/>
          <w:lang w:val="en-US" w:bidi="ar-SA"/>
        </w:rPr>
        <w:t>4</w:t>
      </w:r>
      <w:r w:rsidRPr="00792D8B">
        <w:rPr>
          <w:rFonts w:eastAsia="SimSun" w:cs="Arial" w:hint="eastAsia"/>
          <w:sz w:val="21"/>
          <w:szCs w:val="20"/>
          <w:lang w:val="en-US" w:bidi="ar-SA"/>
        </w:rPr>
        <w:t>日至1</w:t>
      </w:r>
      <w:r>
        <w:rPr>
          <w:rFonts w:eastAsia="SimSun" w:cs="Arial" w:hint="eastAsia"/>
          <w:sz w:val="21"/>
          <w:szCs w:val="20"/>
          <w:lang w:val="en-US" w:bidi="ar-SA"/>
        </w:rPr>
        <w:t>8</w:t>
      </w:r>
      <w:r w:rsidRPr="00792D8B">
        <w:rPr>
          <w:rFonts w:eastAsia="SimSun" w:cs="Arial" w:hint="eastAsia"/>
          <w:sz w:val="21"/>
          <w:szCs w:val="20"/>
          <w:lang w:val="en-US" w:bidi="ar-SA"/>
        </w:rPr>
        <w:t>日)。</w:t>
      </w:r>
    </w:p>
    <w:p w:rsidR="00792D8B" w:rsidRPr="00792D8B" w:rsidRDefault="00792D8B" w:rsidP="00792D8B">
      <w:pPr>
        <w:spacing w:afterLines="50" w:after="120" w:line="340" w:lineRule="atLeast"/>
        <w:jc w:val="both"/>
        <w:rPr>
          <w:rFonts w:eastAsia="SimSun" w:cs="Arial"/>
          <w:sz w:val="21"/>
          <w:szCs w:val="20"/>
          <w:lang w:val="en-US" w:bidi="ar-SA"/>
        </w:rPr>
      </w:pPr>
      <w:r w:rsidRPr="00792D8B">
        <w:rPr>
          <w:rFonts w:eastAsia="SimSun" w:cs="Arial" w:hint="eastAsia"/>
          <w:sz w:val="21"/>
          <w:szCs w:val="20"/>
          <w:lang w:val="en-US" w:bidi="ar-SA"/>
        </w:rPr>
        <w:t>2.</w:t>
      </w:r>
      <w:r w:rsidRPr="00792D8B">
        <w:rPr>
          <w:rFonts w:eastAsia="SimSun" w:cs="Arial" w:hint="eastAsia"/>
          <w:sz w:val="21"/>
          <w:szCs w:val="20"/>
          <w:lang w:val="en-US" w:bidi="ar-SA"/>
        </w:rPr>
        <w:tab/>
        <w:t>PBC关于上述文件的决定</w:t>
      </w:r>
      <w:r>
        <w:rPr>
          <w:rFonts w:eastAsia="SimSun" w:cs="Arial" w:hint="eastAsia"/>
          <w:sz w:val="21"/>
          <w:szCs w:val="20"/>
          <w:lang w:val="en-US" w:bidi="ar-SA"/>
        </w:rPr>
        <w:t>将</w:t>
      </w:r>
      <w:r w:rsidRPr="00792D8B">
        <w:rPr>
          <w:rFonts w:eastAsia="SimSun" w:cs="Arial" w:hint="eastAsia"/>
          <w:sz w:val="21"/>
          <w:szCs w:val="20"/>
          <w:lang w:val="en-US" w:bidi="ar-SA"/>
        </w:rPr>
        <w:t>载于“计划和预算委员会</w:t>
      </w:r>
      <w:r>
        <w:rPr>
          <w:rFonts w:eastAsia="SimSun" w:cs="Arial" w:hint="eastAsia"/>
          <w:sz w:val="21"/>
          <w:szCs w:val="20"/>
          <w:lang w:val="en-US" w:bidi="ar-SA"/>
        </w:rPr>
        <w:t>所作</w:t>
      </w:r>
      <w:r w:rsidRPr="00792D8B">
        <w:rPr>
          <w:rFonts w:eastAsia="SimSun" w:cs="Arial" w:hint="eastAsia"/>
          <w:sz w:val="21"/>
          <w:szCs w:val="20"/>
          <w:lang w:val="en-US" w:bidi="ar-SA"/>
        </w:rPr>
        <w:t>决定</w:t>
      </w:r>
      <w:r>
        <w:rPr>
          <w:rFonts w:eastAsia="SimSun" w:cs="Arial" w:hint="eastAsia"/>
          <w:sz w:val="21"/>
          <w:szCs w:val="20"/>
          <w:lang w:val="en-US" w:bidi="ar-SA"/>
        </w:rPr>
        <w:t>一览</w:t>
      </w:r>
      <w:r w:rsidRPr="00792D8B">
        <w:rPr>
          <w:rFonts w:eastAsia="SimSun" w:cs="Arial" w:hint="eastAsia"/>
          <w:sz w:val="21"/>
          <w:szCs w:val="20"/>
          <w:lang w:val="en-US" w:bidi="ar-SA"/>
        </w:rPr>
        <w:t>”(文件A/55/4)。</w:t>
      </w:r>
    </w:p>
    <w:p w:rsidR="00792D8B" w:rsidRPr="00792D8B" w:rsidRDefault="00792D8B" w:rsidP="00792D8B">
      <w:pPr>
        <w:spacing w:afterLines="50" w:after="120" w:line="340" w:lineRule="atLeast"/>
        <w:ind w:left="5534"/>
        <w:rPr>
          <w:rFonts w:ascii="KaiTi" w:eastAsia="KaiTi" w:hAnsi="KaiTi" w:cs="Arial"/>
          <w:sz w:val="21"/>
          <w:szCs w:val="20"/>
          <w:lang w:val="en-US" w:bidi="ar-SA"/>
        </w:rPr>
      </w:pPr>
    </w:p>
    <w:p w:rsidR="00792D8B" w:rsidRDefault="00792D8B" w:rsidP="00792D8B">
      <w:pPr>
        <w:widowControl w:val="0"/>
        <w:spacing w:afterLines="50" w:after="120" w:line="340" w:lineRule="atLeast"/>
        <w:ind w:left="5534"/>
        <w:jc w:val="both"/>
        <w:rPr>
          <w:rFonts w:ascii="Calibri" w:eastAsia="SimSun" w:hAnsi="Calibri" w:cs="Times New Roman"/>
          <w:kern w:val="2"/>
          <w:sz w:val="21"/>
          <w:szCs w:val="22"/>
          <w:lang w:val="en-US" w:bidi="ar-SA"/>
        </w:rPr>
        <w:sectPr w:rsidR="00792D8B" w:rsidSect="002C7CB0">
          <w:headerReference w:type="default" r:id="rId10"/>
          <w:endnotePr>
            <w:numFmt w:val="decimal"/>
          </w:endnotePr>
          <w:pgSz w:w="11907" w:h="16840" w:code="9"/>
          <w:pgMar w:top="567" w:right="1134" w:bottom="1418" w:left="1418" w:header="510" w:footer="1021" w:gutter="0"/>
          <w:cols w:space="720"/>
          <w:titlePg/>
          <w:docGrid w:linePitch="299"/>
        </w:sectPr>
      </w:pPr>
      <w:r w:rsidRPr="00792D8B">
        <w:rPr>
          <w:rFonts w:ascii="KaiTi" w:eastAsia="KaiTi" w:hAnsi="KaiTi" w:cs="Arial"/>
          <w:sz w:val="21"/>
          <w:lang w:val="en-US" w:bidi="ar-SA"/>
        </w:rPr>
        <w:t>[</w:t>
      </w:r>
      <w:r w:rsidRPr="00792D8B">
        <w:rPr>
          <w:rFonts w:ascii="KaiTi" w:eastAsia="KaiTi" w:hAnsi="KaiTi" w:cs="Arial" w:hint="eastAsia"/>
          <w:sz w:val="21"/>
          <w:lang w:val="en-US" w:bidi="ar-SA"/>
        </w:rPr>
        <w:t>后接文件</w:t>
      </w:r>
      <w:r w:rsidRPr="00792D8B">
        <w:rPr>
          <w:rFonts w:ascii="KaiTi" w:eastAsia="KaiTi" w:hAnsi="KaiTi" w:cs="Arial"/>
          <w:sz w:val="21"/>
          <w:lang w:val="en-US" w:bidi="ar-SA"/>
        </w:rPr>
        <w:t>WO/</w:t>
      </w:r>
      <w:r w:rsidRPr="00792D8B">
        <w:rPr>
          <w:rFonts w:ascii="KaiTi" w:eastAsia="KaiTi" w:hAnsi="KaiTi" w:cs="Times New Roman"/>
          <w:iCs/>
          <w:sz w:val="21"/>
          <w:szCs w:val="22"/>
          <w:lang w:val="en-US" w:bidi="ar-SA"/>
        </w:rPr>
        <w:t>PBC</w:t>
      </w:r>
      <w:r w:rsidRPr="00792D8B">
        <w:rPr>
          <w:rFonts w:ascii="KaiTi" w:eastAsia="KaiTi" w:hAnsi="KaiTi" w:cs="Arial"/>
          <w:sz w:val="21"/>
          <w:lang w:val="en-US" w:bidi="ar-SA"/>
        </w:rPr>
        <w:t>/2</w:t>
      </w:r>
      <w:r>
        <w:rPr>
          <w:rFonts w:ascii="KaiTi" w:eastAsia="KaiTi" w:hAnsi="KaiTi" w:cs="Arial" w:hint="eastAsia"/>
          <w:sz w:val="21"/>
          <w:lang w:val="en-US" w:bidi="ar-SA"/>
        </w:rPr>
        <w:t>4</w:t>
      </w:r>
      <w:r w:rsidRPr="00792D8B">
        <w:rPr>
          <w:rFonts w:ascii="KaiTi" w:eastAsia="KaiTi" w:hAnsi="KaiTi" w:cs="Arial"/>
          <w:sz w:val="21"/>
          <w:lang w:val="en-US" w:bidi="ar-SA"/>
        </w:rPr>
        <w:t>/</w:t>
      </w:r>
      <w:r>
        <w:rPr>
          <w:rFonts w:ascii="KaiTi" w:eastAsia="KaiTi" w:hAnsi="KaiTi" w:cs="Arial" w:hint="eastAsia"/>
          <w:sz w:val="21"/>
          <w:lang w:val="en-US" w:bidi="ar-SA"/>
        </w:rPr>
        <w:t>8</w:t>
      </w:r>
      <w:r w:rsidRPr="00792D8B">
        <w:rPr>
          <w:rFonts w:ascii="KaiTi" w:eastAsia="KaiTi" w:hAnsi="KaiTi" w:cs="Arial"/>
          <w:sz w:val="21"/>
          <w:lang w:val="en-US" w:bidi="ar-SA"/>
        </w:rPr>
        <w:t>]</w:t>
      </w:r>
    </w:p>
    <w:tbl>
      <w:tblPr>
        <w:tblW w:w="9360" w:type="dxa"/>
        <w:tblInd w:w="108" w:type="dxa"/>
        <w:tblLayout w:type="fixed"/>
        <w:tblLook w:val="01E0" w:firstRow="1" w:lastRow="1" w:firstColumn="1" w:lastColumn="1" w:noHBand="0" w:noVBand="0"/>
      </w:tblPr>
      <w:tblGrid>
        <w:gridCol w:w="4596"/>
        <w:gridCol w:w="4339"/>
        <w:gridCol w:w="425"/>
      </w:tblGrid>
      <w:tr w:rsidR="003F5882" w:rsidRPr="003F5882" w:rsidTr="003F5882">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rsidR="003F5882" w:rsidRPr="003F5882" w:rsidRDefault="003F5882" w:rsidP="003F5882">
            <w:pPr>
              <w:widowControl w:val="0"/>
              <w:jc w:val="both"/>
              <w:rPr>
                <w:rFonts w:ascii="Calibri" w:eastAsia="SimSun" w:hAnsi="Calibri" w:cs="Times New Roman"/>
                <w:kern w:val="2"/>
                <w:sz w:val="21"/>
                <w:szCs w:val="22"/>
                <w:lang w:val="en-US" w:bidi="ar-SA"/>
              </w:rPr>
            </w:pPr>
            <w:r w:rsidRPr="003F5882">
              <w:rPr>
                <w:rFonts w:ascii="Calibri" w:eastAsia="SimSun" w:hAnsi="Calibri" w:cs="Times New Roman"/>
                <w:noProof/>
                <w:kern w:val="2"/>
                <w:sz w:val="21"/>
                <w:szCs w:val="22"/>
                <w:lang w:val="en-US" w:bidi="ar-SA"/>
              </w:rPr>
              <w:lastRenderedPageBreak/>
              <w:drawing>
                <wp:anchor distT="0" distB="0" distL="114300" distR="114300" simplePos="0" relativeHeight="251664384" behindDoc="1" locked="0" layoutInCell="0" allowOverlap="1" wp14:anchorId="6D9B5E84" wp14:editId="7C85EB01">
                  <wp:simplePos x="0" y="0"/>
                  <wp:positionH relativeFrom="page">
                    <wp:posOffset>3834130</wp:posOffset>
                  </wp:positionH>
                  <wp:positionV relativeFrom="margin">
                    <wp:posOffset>0</wp:posOffset>
                  </wp:positionV>
                  <wp:extent cx="866775" cy="1323975"/>
                  <wp:effectExtent l="0" t="0" r="9525" b="9525"/>
                  <wp:wrapNone/>
                  <wp:docPr id="93" name="图片 93" descr="说明: 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rsidR="003F5882" w:rsidRPr="003F5882" w:rsidRDefault="003F5882" w:rsidP="003F5882">
            <w:pPr>
              <w:widowControl w:val="0"/>
              <w:jc w:val="both"/>
              <w:rPr>
                <w:rFonts w:ascii="Calibri" w:eastAsia="SimSun" w:hAnsi="Calibri" w:cs="Times New Roman"/>
                <w:kern w:val="2"/>
                <w:sz w:val="21"/>
                <w:szCs w:val="22"/>
                <w:lang w:val="en-US" w:bidi="ar-SA"/>
              </w:rPr>
            </w:pPr>
          </w:p>
        </w:tc>
        <w:tc>
          <w:tcPr>
            <w:tcW w:w="425" w:type="dxa"/>
            <w:tcBorders>
              <w:top w:val="nil"/>
              <w:left w:val="nil"/>
              <w:bottom w:val="single" w:sz="4" w:space="0" w:color="auto"/>
              <w:right w:val="nil"/>
            </w:tcBorders>
            <w:tcMar>
              <w:top w:w="0" w:type="dxa"/>
              <w:left w:w="0" w:type="dxa"/>
              <w:bottom w:w="0" w:type="dxa"/>
              <w:right w:w="0" w:type="dxa"/>
            </w:tcMar>
            <w:hideMark/>
          </w:tcPr>
          <w:p w:rsidR="003F5882" w:rsidRPr="003F5882" w:rsidRDefault="003F5882" w:rsidP="003F5882">
            <w:pPr>
              <w:widowControl w:val="0"/>
              <w:jc w:val="right"/>
              <w:rPr>
                <w:rFonts w:ascii="Arial" w:eastAsia="SimSun" w:hAnsi="Arial" w:cs="Arial"/>
                <w:kern w:val="2"/>
                <w:sz w:val="21"/>
                <w:szCs w:val="22"/>
                <w:lang w:val="en-US" w:bidi="ar-SA"/>
              </w:rPr>
            </w:pPr>
            <w:r w:rsidRPr="003F5882">
              <w:rPr>
                <w:rFonts w:ascii="Arial" w:eastAsia="SimSun" w:hAnsi="Arial" w:cs="Arial"/>
                <w:b/>
                <w:kern w:val="2"/>
                <w:sz w:val="40"/>
                <w:szCs w:val="40"/>
                <w:lang w:val="en-US" w:bidi="ar-SA"/>
              </w:rPr>
              <w:t>C</w:t>
            </w:r>
          </w:p>
        </w:tc>
      </w:tr>
      <w:tr w:rsidR="003F5882" w:rsidRPr="003F5882" w:rsidTr="003F5882">
        <w:trPr>
          <w:trHeight w:hRule="exact" w:val="340"/>
        </w:trPr>
        <w:tc>
          <w:tcPr>
            <w:tcW w:w="9360" w:type="dxa"/>
            <w:gridSpan w:val="3"/>
            <w:tcBorders>
              <w:top w:val="single" w:sz="4" w:space="0" w:color="auto"/>
              <w:left w:val="nil"/>
              <w:bottom w:val="nil"/>
              <w:right w:val="nil"/>
            </w:tcBorders>
            <w:tcMar>
              <w:top w:w="170" w:type="dxa"/>
              <w:left w:w="0" w:type="dxa"/>
              <w:bottom w:w="0" w:type="dxa"/>
              <w:right w:w="0" w:type="dxa"/>
            </w:tcMar>
            <w:vAlign w:val="bottom"/>
            <w:hideMark/>
          </w:tcPr>
          <w:p w:rsidR="003F5882" w:rsidRPr="003F5882" w:rsidRDefault="003F5882" w:rsidP="00B31204">
            <w:pPr>
              <w:widowControl w:val="0"/>
              <w:wordWrap w:val="0"/>
              <w:jc w:val="right"/>
              <w:rPr>
                <w:rFonts w:ascii="Arial Black" w:eastAsia="SimHei" w:hAnsi="Arial Black" w:cs="Times New Roman"/>
                <w:caps/>
                <w:kern w:val="2"/>
                <w:sz w:val="15"/>
                <w:szCs w:val="22"/>
                <w:lang w:val="en-US" w:bidi="ar-SA"/>
              </w:rPr>
            </w:pPr>
            <w:r w:rsidRPr="003F5882">
              <w:rPr>
                <w:rFonts w:ascii="Arial Black" w:eastAsia="SimHei" w:hAnsi="Arial Black" w:cs="Times New Roman"/>
                <w:caps/>
                <w:kern w:val="2"/>
                <w:sz w:val="15"/>
                <w:szCs w:val="22"/>
                <w:lang w:val="en-US" w:bidi="ar-SA"/>
              </w:rPr>
              <w:t>WO/PBC/</w:t>
            </w:r>
            <w:r w:rsidRPr="003F5882">
              <w:rPr>
                <w:rFonts w:ascii="Arial Black" w:eastAsia="SimHei" w:hAnsi="Arial Black" w:cs="Times New Roman" w:hint="eastAsia"/>
                <w:caps/>
                <w:kern w:val="2"/>
                <w:sz w:val="15"/>
                <w:szCs w:val="22"/>
                <w:lang w:val="en-US" w:bidi="ar-SA"/>
              </w:rPr>
              <w:t>24</w:t>
            </w:r>
            <w:r w:rsidRPr="003F5882">
              <w:rPr>
                <w:rFonts w:ascii="Arial Black" w:eastAsia="SimHei" w:hAnsi="Arial Black" w:cs="Times New Roman"/>
                <w:caps/>
                <w:kern w:val="2"/>
                <w:sz w:val="15"/>
                <w:szCs w:val="22"/>
                <w:lang w:val="en-US" w:bidi="ar-SA"/>
              </w:rPr>
              <w:t>/</w:t>
            </w:r>
            <w:bookmarkStart w:id="0" w:name="Code"/>
            <w:bookmarkEnd w:id="0"/>
            <w:r w:rsidR="00B31204">
              <w:rPr>
                <w:rFonts w:ascii="Arial Black" w:eastAsia="SimHei" w:hAnsi="Arial Black" w:cs="Times New Roman" w:hint="eastAsia"/>
                <w:caps/>
                <w:kern w:val="2"/>
                <w:sz w:val="15"/>
                <w:szCs w:val="22"/>
                <w:lang w:val="en-US" w:bidi="ar-SA"/>
              </w:rPr>
              <w:t>8</w:t>
            </w:r>
          </w:p>
        </w:tc>
      </w:tr>
      <w:tr w:rsidR="003F5882" w:rsidRPr="003F5882" w:rsidTr="003F5882">
        <w:trPr>
          <w:trHeight w:hRule="exact" w:val="170"/>
        </w:trPr>
        <w:tc>
          <w:tcPr>
            <w:tcW w:w="9360" w:type="dxa"/>
            <w:gridSpan w:val="3"/>
            <w:noWrap/>
            <w:tcMar>
              <w:top w:w="0" w:type="dxa"/>
              <w:left w:w="0" w:type="dxa"/>
              <w:bottom w:w="0" w:type="dxa"/>
              <w:right w:w="0" w:type="dxa"/>
            </w:tcMar>
            <w:vAlign w:val="bottom"/>
            <w:hideMark/>
          </w:tcPr>
          <w:p w:rsidR="003F5882" w:rsidRPr="003F5882" w:rsidRDefault="003F5882" w:rsidP="003F5882">
            <w:pPr>
              <w:widowControl w:val="0"/>
              <w:jc w:val="right"/>
              <w:rPr>
                <w:rFonts w:ascii="Arial Black" w:eastAsia="SimHei" w:hAnsi="Arial Black" w:cs="Times New Roman"/>
                <w:b/>
                <w:caps/>
                <w:kern w:val="2"/>
                <w:sz w:val="15"/>
                <w:szCs w:val="15"/>
                <w:lang w:val="en-US" w:bidi="ar-SA"/>
              </w:rPr>
            </w:pPr>
            <w:r w:rsidRPr="003F5882">
              <w:rPr>
                <w:rFonts w:ascii="Arial Black" w:eastAsia="SimHei" w:hAnsi="Arial Black" w:cs="Times New Roman" w:hint="eastAsia"/>
                <w:b/>
                <w:kern w:val="2"/>
                <w:sz w:val="15"/>
                <w:szCs w:val="15"/>
                <w:lang w:val="en-US" w:bidi="ar-SA"/>
              </w:rPr>
              <w:t>原</w:t>
            </w:r>
            <w:r w:rsidRPr="003F5882">
              <w:rPr>
                <w:rFonts w:ascii="Arial Black" w:eastAsia="SimHei" w:hAnsi="Arial Black" w:cs="Times New Roman" w:hint="eastAsia"/>
                <w:b/>
                <w:kern w:val="2"/>
                <w:sz w:val="15"/>
                <w:szCs w:val="15"/>
                <w:lang w:val="pt-BR" w:bidi="ar-SA"/>
              </w:rPr>
              <w:t xml:space="preserve">　</w:t>
            </w:r>
            <w:r w:rsidRPr="003F5882">
              <w:rPr>
                <w:rFonts w:ascii="Arial Black" w:eastAsia="SimHei" w:hAnsi="Arial Black" w:cs="Times New Roman" w:hint="eastAsia"/>
                <w:b/>
                <w:kern w:val="2"/>
                <w:sz w:val="15"/>
                <w:szCs w:val="15"/>
                <w:lang w:val="en-US" w:bidi="ar-SA"/>
              </w:rPr>
              <w:t>文</w:t>
            </w:r>
            <w:r w:rsidRPr="003F5882">
              <w:rPr>
                <w:rFonts w:ascii="Arial Black" w:eastAsia="SimHei" w:hAnsi="Arial Black" w:cs="Times New Roman" w:hint="eastAsia"/>
                <w:b/>
                <w:kern w:val="2"/>
                <w:sz w:val="15"/>
                <w:szCs w:val="15"/>
                <w:lang w:val="pt-BR" w:bidi="ar-SA"/>
              </w:rPr>
              <w:t>：</w:t>
            </w:r>
            <w:bookmarkStart w:id="1" w:name="Language"/>
            <w:bookmarkEnd w:id="1"/>
            <w:r w:rsidRPr="003F5882">
              <w:rPr>
                <w:rFonts w:ascii="Arial Black" w:eastAsia="SimHei" w:hAnsi="Arial Black" w:cs="Times New Roman" w:hint="eastAsia"/>
                <w:b/>
                <w:kern w:val="2"/>
                <w:sz w:val="15"/>
                <w:szCs w:val="15"/>
                <w:lang w:val="en-US" w:bidi="ar-SA"/>
              </w:rPr>
              <w:t>英文</w:t>
            </w:r>
          </w:p>
        </w:tc>
      </w:tr>
      <w:tr w:rsidR="003F5882" w:rsidRPr="003F5882" w:rsidTr="003F5882">
        <w:trPr>
          <w:trHeight w:hRule="exact" w:val="198"/>
        </w:trPr>
        <w:tc>
          <w:tcPr>
            <w:tcW w:w="9360" w:type="dxa"/>
            <w:gridSpan w:val="3"/>
            <w:tcMar>
              <w:top w:w="0" w:type="dxa"/>
              <w:left w:w="0" w:type="dxa"/>
              <w:bottom w:w="0" w:type="dxa"/>
              <w:right w:w="0" w:type="dxa"/>
            </w:tcMar>
            <w:vAlign w:val="bottom"/>
            <w:hideMark/>
          </w:tcPr>
          <w:p w:rsidR="003F5882" w:rsidRPr="003F5882" w:rsidRDefault="003F5882" w:rsidP="00B31204">
            <w:pPr>
              <w:widowControl w:val="0"/>
              <w:jc w:val="right"/>
              <w:rPr>
                <w:rFonts w:ascii="Arial Black" w:eastAsia="SimHei" w:hAnsi="Arial Black" w:cs="Times New Roman"/>
                <w:kern w:val="2"/>
                <w:sz w:val="15"/>
                <w:szCs w:val="15"/>
                <w:lang w:val="pt-BR" w:bidi="ar-SA"/>
              </w:rPr>
            </w:pPr>
            <w:r w:rsidRPr="003F5882">
              <w:rPr>
                <w:rFonts w:ascii="Arial Black" w:eastAsia="SimHei" w:hAnsi="Arial Black" w:cs="Times New Roman" w:hint="eastAsia"/>
                <w:b/>
                <w:kern w:val="2"/>
                <w:sz w:val="15"/>
                <w:szCs w:val="15"/>
                <w:lang w:val="pt-BR" w:bidi="ar-SA"/>
              </w:rPr>
              <w:t>日　期：</w:t>
            </w:r>
            <w:bookmarkStart w:id="2" w:name="Date"/>
            <w:bookmarkEnd w:id="2"/>
            <w:r w:rsidRPr="003F5882">
              <w:rPr>
                <w:rFonts w:ascii="Arial Black" w:eastAsia="SimHei" w:hAnsi="Arial Black" w:cs="Times New Roman"/>
                <w:kern w:val="2"/>
                <w:sz w:val="15"/>
                <w:szCs w:val="15"/>
                <w:lang w:val="pt-BR" w:bidi="ar-SA"/>
              </w:rPr>
              <w:t>201</w:t>
            </w:r>
            <w:r w:rsidRPr="003F5882">
              <w:rPr>
                <w:rFonts w:ascii="Arial Black" w:eastAsia="SimHei" w:hAnsi="Arial Black" w:cs="Times New Roman" w:hint="eastAsia"/>
                <w:kern w:val="2"/>
                <w:sz w:val="15"/>
                <w:szCs w:val="15"/>
                <w:lang w:val="pt-BR" w:bidi="ar-SA"/>
              </w:rPr>
              <w:t>5</w:t>
            </w:r>
            <w:r w:rsidRPr="003F5882">
              <w:rPr>
                <w:rFonts w:ascii="Arial Black" w:eastAsia="SimHei" w:hAnsi="Arial Black" w:cs="Times New Roman" w:hint="eastAsia"/>
                <w:b/>
                <w:kern w:val="2"/>
                <w:sz w:val="15"/>
                <w:szCs w:val="15"/>
                <w:lang w:val="pt-BR" w:bidi="ar-SA"/>
              </w:rPr>
              <w:t>年</w:t>
            </w:r>
            <w:r w:rsidRPr="003F5882">
              <w:rPr>
                <w:rFonts w:ascii="Arial Black" w:eastAsia="SimHei" w:hAnsi="Arial Black" w:cs="Times New Roman" w:hint="eastAsia"/>
                <w:kern w:val="2"/>
                <w:sz w:val="15"/>
                <w:szCs w:val="15"/>
                <w:lang w:val="pt-BR" w:bidi="ar-SA"/>
              </w:rPr>
              <w:t>7</w:t>
            </w:r>
            <w:r w:rsidRPr="003F5882">
              <w:rPr>
                <w:rFonts w:ascii="Arial Black" w:eastAsia="SimHei" w:hAnsi="Arial Black" w:cs="Times New Roman" w:hint="eastAsia"/>
                <w:b/>
                <w:kern w:val="2"/>
                <w:sz w:val="15"/>
                <w:szCs w:val="15"/>
                <w:lang w:val="pt-BR" w:bidi="ar-SA"/>
              </w:rPr>
              <w:t>月</w:t>
            </w:r>
            <w:r w:rsidR="00B31204">
              <w:rPr>
                <w:rFonts w:ascii="Arial Black" w:eastAsia="SimHei" w:hAnsi="Arial Black" w:cs="Times New Roman" w:hint="eastAsia"/>
                <w:b/>
                <w:kern w:val="2"/>
                <w:sz w:val="15"/>
                <w:szCs w:val="15"/>
                <w:lang w:val="pt-BR" w:bidi="ar-SA"/>
              </w:rPr>
              <w:t>10</w:t>
            </w:r>
            <w:r w:rsidRPr="003F5882">
              <w:rPr>
                <w:rFonts w:ascii="Arial Black" w:eastAsia="SimHei" w:hAnsi="Arial Black" w:cs="Times New Roman" w:hint="eastAsia"/>
                <w:b/>
                <w:kern w:val="2"/>
                <w:sz w:val="15"/>
                <w:szCs w:val="15"/>
                <w:lang w:val="pt-BR" w:bidi="ar-SA"/>
              </w:rPr>
              <w:t>日</w:t>
            </w:r>
          </w:p>
        </w:tc>
      </w:tr>
    </w:tbl>
    <w:p w:rsidR="003F5882" w:rsidRPr="003F5882" w:rsidRDefault="003F5882" w:rsidP="003F5882">
      <w:pPr>
        <w:widowControl w:val="0"/>
        <w:jc w:val="both"/>
        <w:rPr>
          <w:rFonts w:ascii="Calibri" w:eastAsia="SimSun" w:hAnsi="Calibri" w:cs="Times New Roman"/>
          <w:kern w:val="2"/>
          <w:sz w:val="22"/>
          <w:szCs w:val="22"/>
          <w:lang w:val="en-US" w:bidi="ar-SA"/>
        </w:rPr>
      </w:pPr>
    </w:p>
    <w:p w:rsidR="003F5882" w:rsidRPr="003F5882" w:rsidRDefault="003F5882" w:rsidP="003F5882">
      <w:pPr>
        <w:widowControl w:val="0"/>
        <w:jc w:val="both"/>
        <w:rPr>
          <w:rFonts w:ascii="Calibri" w:eastAsia="SimSun" w:hAnsi="Calibri" w:cs="Times New Roman"/>
          <w:kern w:val="2"/>
          <w:sz w:val="22"/>
          <w:szCs w:val="22"/>
          <w:lang w:val="en-US" w:bidi="ar-SA"/>
        </w:rPr>
      </w:pPr>
    </w:p>
    <w:p w:rsidR="003F5882" w:rsidRPr="003F5882" w:rsidRDefault="003F5882" w:rsidP="003F5882">
      <w:pPr>
        <w:widowControl w:val="0"/>
        <w:jc w:val="both"/>
        <w:rPr>
          <w:rFonts w:ascii="Calibri" w:eastAsia="SimSun" w:hAnsi="Calibri" w:cs="Times New Roman"/>
          <w:kern w:val="2"/>
          <w:sz w:val="22"/>
          <w:szCs w:val="22"/>
          <w:lang w:val="en-US" w:bidi="ar-SA"/>
        </w:rPr>
      </w:pPr>
    </w:p>
    <w:p w:rsidR="003F5882" w:rsidRPr="003F5882" w:rsidRDefault="003F5882" w:rsidP="003F5882">
      <w:pPr>
        <w:widowControl w:val="0"/>
        <w:jc w:val="both"/>
        <w:rPr>
          <w:rFonts w:ascii="Calibri" w:eastAsia="SimSun" w:hAnsi="Calibri" w:cs="Times New Roman"/>
          <w:kern w:val="2"/>
          <w:sz w:val="22"/>
          <w:szCs w:val="22"/>
          <w:lang w:val="en-US" w:bidi="ar-SA"/>
        </w:rPr>
      </w:pPr>
    </w:p>
    <w:p w:rsidR="003F5882" w:rsidRPr="003F5882" w:rsidRDefault="003F5882" w:rsidP="003F5882">
      <w:pPr>
        <w:widowControl w:val="0"/>
        <w:jc w:val="both"/>
        <w:rPr>
          <w:rFonts w:ascii="Calibri" w:eastAsia="SimSun" w:hAnsi="Calibri" w:cs="Times New Roman"/>
          <w:kern w:val="2"/>
          <w:sz w:val="22"/>
          <w:szCs w:val="22"/>
          <w:lang w:val="en-US" w:bidi="ar-SA"/>
        </w:rPr>
      </w:pPr>
    </w:p>
    <w:p w:rsidR="003F5882" w:rsidRPr="003F5882" w:rsidRDefault="003F5882" w:rsidP="003F5882">
      <w:pPr>
        <w:widowControl w:val="0"/>
        <w:jc w:val="both"/>
        <w:rPr>
          <w:rFonts w:ascii="SimHei" w:eastAsia="SimHei" w:hAnsi="Calibri" w:cs="Times New Roman"/>
          <w:kern w:val="2"/>
          <w:sz w:val="28"/>
          <w:szCs w:val="28"/>
          <w:lang w:val="en-US" w:bidi="ar-SA"/>
        </w:rPr>
      </w:pPr>
      <w:r w:rsidRPr="003F5882">
        <w:rPr>
          <w:rFonts w:ascii="SimHei" w:eastAsia="SimHei" w:hAnsi="Calibri" w:cs="Times New Roman" w:hint="eastAsia"/>
          <w:kern w:val="2"/>
          <w:sz w:val="28"/>
          <w:szCs w:val="28"/>
          <w:lang w:val="en-US" w:bidi="ar-SA"/>
        </w:rPr>
        <w:t>计划和预算委员会</w:t>
      </w:r>
    </w:p>
    <w:p w:rsidR="003F5882" w:rsidRPr="003F5882" w:rsidRDefault="003F5882" w:rsidP="003F5882">
      <w:pPr>
        <w:widowControl w:val="0"/>
        <w:jc w:val="both"/>
        <w:rPr>
          <w:rFonts w:ascii="Calibri" w:eastAsia="SimSun" w:hAnsi="Calibri" w:cs="Times New Roman"/>
          <w:kern w:val="2"/>
          <w:sz w:val="22"/>
          <w:szCs w:val="22"/>
          <w:lang w:val="en-US" w:bidi="ar-SA"/>
        </w:rPr>
      </w:pPr>
    </w:p>
    <w:p w:rsidR="003F5882" w:rsidRPr="003F5882" w:rsidRDefault="003F5882" w:rsidP="003F5882">
      <w:pPr>
        <w:widowControl w:val="0"/>
        <w:jc w:val="both"/>
        <w:rPr>
          <w:rFonts w:ascii="Calibri" w:eastAsia="SimSun" w:hAnsi="Calibri" w:cs="Times New Roman"/>
          <w:kern w:val="2"/>
          <w:sz w:val="22"/>
          <w:szCs w:val="22"/>
          <w:lang w:val="en-US" w:bidi="ar-SA"/>
        </w:rPr>
      </w:pPr>
    </w:p>
    <w:p w:rsidR="003F5882" w:rsidRPr="003F5882" w:rsidRDefault="003F5882" w:rsidP="003F5882">
      <w:pPr>
        <w:widowControl w:val="0"/>
        <w:autoSpaceDE w:val="0"/>
        <w:autoSpaceDN w:val="0"/>
        <w:spacing w:line="380" w:lineRule="atLeast"/>
        <w:jc w:val="both"/>
        <w:textAlignment w:val="bottom"/>
        <w:rPr>
          <w:rFonts w:ascii="KaiTi" w:eastAsia="KaiTi" w:hAnsi="Calibri" w:cs="Times New Roman"/>
          <w:b/>
          <w:kern w:val="2"/>
          <w:lang w:val="en-US" w:bidi="ar-SA"/>
        </w:rPr>
      </w:pPr>
      <w:r w:rsidRPr="003F5882">
        <w:rPr>
          <w:rFonts w:ascii="KaiTi" w:eastAsia="KaiTi" w:hAnsi="Calibri" w:cs="Times New Roman" w:hint="eastAsia"/>
          <w:b/>
          <w:kern w:val="2"/>
          <w:lang w:val="en-US" w:bidi="ar-SA"/>
        </w:rPr>
        <w:t>第二十四届会议</w:t>
      </w:r>
    </w:p>
    <w:p w:rsidR="003F5882" w:rsidRPr="003F5882" w:rsidRDefault="003F5882" w:rsidP="003F5882">
      <w:pPr>
        <w:widowControl w:val="0"/>
        <w:spacing w:line="336" w:lineRule="exact"/>
        <w:jc w:val="both"/>
        <w:rPr>
          <w:rFonts w:ascii="KaiTi" w:eastAsia="KaiTi" w:hAnsi="KaiTi" w:cs="Times New Roman"/>
          <w:b/>
          <w:kern w:val="2"/>
          <w:lang w:val="en-US" w:bidi="ar-SA"/>
        </w:rPr>
      </w:pPr>
      <w:r w:rsidRPr="003F5882">
        <w:rPr>
          <w:rFonts w:ascii="KaiTi" w:eastAsia="KaiTi" w:hAnsi="KaiTi" w:cs="Times New Roman"/>
          <w:kern w:val="2"/>
          <w:lang w:val="en-US" w:bidi="ar-SA"/>
        </w:rPr>
        <w:t>201</w:t>
      </w:r>
      <w:r w:rsidRPr="003F5882">
        <w:rPr>
          <w:rFonts w:ascii="KaiTi" w:eastAsia="KaiTi" w:hAnsi="KaiTi" w:cs="Times New Roman" w:hint="eastAsia"/>
          <w:kern w:val="2"/>
          <w:lang w:val="en-US" w:bidi="ar-SA"/>
        </w:rPr>
        <w:t>5</w:t>
      </w:r>
      <w:r w:rsidRPr="003F5882">
        <w:rPr>
          <w:rFonts w:ascii="KaiTi" w:eastAsia="KaiTi" w:hAnsi="KaiTi" w:cs="Arial" w:hint="eastAsia"/>
          <w:b/>
          <w:kern w:val="2"/>
          <w:lang w:val="en-US" w:bidi="ar-SA"/>
        </w:rPr>
        <w:t>年</w:t>
      </w:r>
      <w:r w:rsidRPr="003F5882">
        <w:rPr>
          <w:rFonts w:ascii="KaiTi" w:eastAsia="KaiTi" w:hAnsi="KaiTi" w:cs="Times New Roman" w:hint="eastAsia"/>
          <w:kern w:val="2"/>
          <w:lang w:val="en-US" w:bidi="ar-SA"/>
        </w:rPr>
        <w:t>9</w:t>
      </w:r>
      <w:r w:rsidRPr="003F5882">
        <w:rPr>
          <w:rFonts w:ascii="KaiTi" w:eastAsia="KaiTi" w:hAnsi="KaiTi" w:cs="Arial" w:hint="eastAsia"/>
          <w:b/>
          <w:kern w:val="2"/>
          <w:lang w:val="en-US" w:bidi="ar-SA"/>
        </w:rPr>
        <w:t>月</w:t>
      </w:r>
      <w:r w:rsidRPr="003F5882">
        <w:rPr>
          <w:rFonts w:ascii="KaiTi" w:eastAsia="KaiTi" w:hAnsi="KaiTi" w:cs="Arial" w:hint="eastAsia"/>
          <w:kern w:val="2"/>
          <w:lang w:val="en-US" w:bidi="ar-SA"/>
        </w:rPr>
        <w:t>14</w:t>
      </w:r>
      <w:r w:rsidRPr="003F5882">
        <w:rPr>
          <w:rFonts w:ascii="KaiTi" w:eastAsia="KaiTi" w:hAnsi="KaiTi" w:cs="Arial" w:hint="eastAsia"/>
          <w:b/>
          <w:kern w:val="2"/>
          <w:lang w:val="en-US" w:bidi="ar-SA"/>
        </w:rPr>
        <w:t>日至</w:t>
      </w:r>
      <w:r w:rsidRPr="003F5882">
        <w:rPr>
          <w:rFonts w:ascii="KaiTi" w:eastAsia="KaiTi" w:hAnsi="KaiTi" w:cs="Times New Roman" w:hint="eastAsia"/>
          <w:kern w:val="2"/>
          <w:lang w:val="en-US" w:bidi="ar-SA"/>
        </w:rPr>
        <w:t>18</w:t>
      </w:r>
      <w:r w:rsidRPr="003F5882">
        <w:rPr>
          <w:rFonts w:ascii="KaiTi" w:eastAsia="KaiTi" w:hAnsi="KaiTi" w:cs="Arial" w:hint="eastAsia"/>
          <w:b/>
          <w:kern w:val="2"/>
          <w:lang w:val="en-US" w:bidi="ar-SA"/>
        </w:rPr>
        <w:t>日，日内瓦</w:t>
      </w:r>
    </w:p>
    <w:p w:rsidR="003F5882" w:rsidRPr="003F5882" w:rsidRDefault="003F5882" w:rsidP="003F5882">
      <w:pPr>
        <w:widowControl w:val="0"/>
        <w:jc w:val="both"/>
        <w:rPr>
          <w:rFonts w:ascii="Calibri" w:eastAsia="SimSun" w:hAnsi="Calibri" w:cs="Times New Roman"/>
          <w:kern w:val="2"/>
          <w:sz w:val="22"/>
          <w:szCs w:val="22"/>
          <w:lang w:val="en-US" w:bidi="ar-SA"/>
        </w:rPr>
      </w:pPr>
    </w:p>
    <w:p w:rsidR="003F5882" w:rsidRPr="003F5882" w:rsidRDefault="003F5882" w:rsidP="003F5882">
      <w:pPr>
        <w:widowControl w:val="0"/>
        <w:jc w:val="both"/>
        <w:rPr>
          <w:rFonts w:ascii="Calibri" w:eastAsia="SimSun" w:hAnsi="Calibri" w:cs="Times New Roman"/>
          <w:kern w:val="2"/>
          <w:sz w:val="22"/>
          <w:szCs w:val="22"/>
          <w:lang w:val="en-US" w:bidi="ar-SA"/>
        </w:rPr>
      </w:pPr>
    </w:p>
    <w:p w:rsidR="003F5882" w:rsidRPr="003F5882" w:rsidRDefault="003F5882" w:rsidP="003F5882">
      <w:pPr>
        <w:widowControl w:val="0"/>
        <w:jc w:val="both"/>
        <w:rPr>
          <w:rFonts w:ascii="Calibri" w:eastAsia="SimSun" w:hAnsi="Calibri" w:cs="Times New Roman"/>
          <w:kern w:val="2"/>
          <w:sz w:val="22"/>
          <w:szCs w:val="22"/>
          <w:lang w:val="en-US" w:bidi="ar-SA"/>
        </w:rPr>
      </w:pPr>
    </w:p>
    <w:p w:rsidR="002C7CB0" w:rsidRPr="002C7CB0" w:rsidRDefault="002C7CB0" w:rsidP="002C7CB0">
      <w:pPr>
        <w:widowControl w:val="0"/>
        <w:ind w:rightChars="-493" w:right="-1183"/>
        <w:jc w:val="both"/>
        <w:rPr>
          <w:rFonts w:ascii="KaiTi" w:eastAsia="KaiTi" w:hAnsi="KaiTi" w:cs="Arial"/>
          <w:caps/>
          <w:kern w:val="2"/>
          <w:lang w:val="en-US" w:bidi="ar-SA"/>
        </w:rPr>
      </w:pPr>
      <w:bookmarkStart w:id="3" w:name="TitleOfDoc"/>
      <w:bookmarkEnd w:id="3"/>
      <w:r w:rsidRPr="002C7CB0">
        <w:rPr>
          <w:rFonts w:ascii="KaiTi" w:eastAsia="KaiTi" w:hAnsi="KaiTi" w:cs="Arial"/>
          <w:caps/>
          <w:kern w:val="2"/>
          <w:lang w:val="en-US" w:bidi="ar-SA"/>
        </w:rPr>
        <w:t>2014年年度财务报告和财务报表</w:t>
      </w:r>
    </w:p>
    <w:p w:rsidR="002C7CB0" w:rsidRPr="002C7CB0" w:rsidRDefault="002C7CB0" w:rsidP="002C7CB0">
      <w:pPr>
        <w:widowControl w:val="0"/>
        <w:jc w:val="both"/>
        <w:rPr>
          <w:rFonts w:ascii="Arial" w:eastAsia="SimSun" w:hAnsi="Arial" w:cs="Times New Roman"/>
          <w:kern w:val="2"/>
          <w:sz w:val="22"/>
          <w:szCs w:val="22"/>
          <w:lang w:val="en-US" w:bidi="ar-SA"/>
        </w:rPr>
      </w:pPr>
    </w:p>
    <w:p w:rsidR="002C7CB0" w:rsidRPr="002C7CB0" w:rsidRDefault="002C7CB0" w:rsidP="002C7CB0">
      <w:pPr>
        <w:widowControl w:val="0"/>
        <w:jc w:val="both"/>
        <w:rPr>
          <w:rFonts w:ascii="KaiTi" w:eastAsia="KaiTi" w:hAnsi="KaiTi" w:cs="Arial"/>
          <w:i/>
          <w:kern w:val="2"/>
          <w:sz w:val="21"/>
          <w:szCs w:val="21"/>
          <w:lang w:val="en-US" w:bidi="ar-SA"/>
        </w:rPr>
      </w:pPr>
      <w:bookmarkStart w:id="4" w:name="Prepared"/>
      <w:bookmarkEnd w:id="4"/>
      <w:r w:rsidRPr="002C7CB0">
        <w:rPr>
          <w:rFonts w:ascii="KaiTi" w:eastAsia="KaiTi" w:hAnsi="KaiTi" w:cs="Arial" w:hint="eastAsia"/>
          <w:i/>
          <w:kern w:val="2"/>
          <w:sz w:val="21"/>
          <w:szCs w:val="21"/>
          <w:lang w:val="en-US" w:bidi="ar-SA"/>
        </w:rPr>
        <w:t>秘书处编拟</w:t>
      </w:r>
    </w:p>
    <w:p w:rsidR="002C7CB0" w:rsidRPr="002C7CB0" w:rsidRDefault="002C7CB0" w:rsidP="002C7CB0">
      <w:pPr>
        <w:rPr>
          <w:rFonts w:ascii="Arial" w:eastAsia="SimSun" w:hAnsi="Arial" w:cs="Arial"/>
          <w:sz w:val="22"/>
          <w:szCs w:val="20"/>
          <w:lang w:val="en-US" w:bidi="ar-SA"/>
        </w:rPr>
      </w:pPr>
    </w:p>
    <w:p w:rsidR="002C7CB0" w:rsidRPr="002C7CB0" w:rsidRDefault="002C7CB0" w:rsidP="002C7CB0">
      <w:pPr>
        <w:rPr>
          <w:rFonts w:ascii="Arial" w:eastAsia="SimSun" w:hAnsi="Arial" w:cs="Arial"/>
          <w:sz w:val="22"/>
          <w:szCs w:val="20"/>
          <w:lang w:val="en-US" w:bidi="ar-SA"/>
        </w:rPr>
      </w:pPr>
    </w:p>
    <w:p w:rsidR="002C7CB0" w:rsidRPr="002C7CB0" w:rsidRDefault="002C7CB0" w:rsidP="002C7CB0">
      <w:pPr>
        <w:rPr>
          <w:rFonts w:ascii="Arial" w:eastAsia="SimSun" w:hAnsi="Arial" w:cs="Arial"/>
          <w:sz w:val="22"/>
          <w:szCs w:val="20"/>
          <w:lang w:val="en-US" w:bidi="ar-SA"/>
        </w:rPr>
      </w:pPr>
    </w:p>
    <w:p w:rsidR="002C7CB0" w:rsidRPr="002C7CB0" w:rsidRDefault="002C7CB0" w:rsidP="002C7CB0">
      <w:pPr>
        <w:rPr>
          <w:rFonts w:ascii="Arial" w:eastAsia="SimSun" w:hAnsi="Arial" w:cs="Arial"/>
          <w:sz w:val="22"/>
          <w:szCs w:val="20"/>
          <w:lang w:val="en-US" w:bidi="ar-SA"/>
        </w:rPr>
      </w:pPr>
    </w:p>
    <w:p w:rsidR="005C4FAF" w:rsidRPr="002C7CB0" w:rsidRDefault="005C4FAF" w:rsidP="002C7CB0">
      <w:pPr>
        <w:numPr>
          <w:ilvl w:val="0"/>
          <w:numId w:val="8"/>
        </w:numPr>
        <w:overflowPunct w:val="0"/>
        <w:spacing w:afterLines="50" w:after="120" w:line="340" w:lineRule="atLeast"/>
        <w:ind w:left="0" w:firstLine="0"/>
        <w:jc w:val="both"/>
        <w:rPr>
          <w:rFonts w:eastAsia="SimSun" w:cs="Times New Roman"/>
          <w:sz w:val="21"/>
          <w:szCs w:val="20"/>
        </w:rPr>
      </w:pPr>
      <w:r w:rsidRPr="002C7CB0">
        <w:rPr>
          <w:rFonts w:eastAsia="SimSun" w:cs="Times New Roman"/>
          <w:sz w:val="21"/>
        </w:rPr>
        <w:t>现根据《财务条例与细则》条例8.11，向计划和预算委员会</w:t>
      </w:r>
      <w:r w:rsidR="002C7CB0" w:rsidRPr="002C7CB0">
        <w:rPr>
          <w:rFonts w:eastAsia="SimSun" w:cs="Times New Roman" w:hint="eastAsia"/>
          <w:sz w:val="21"/>
        </w:rPr>
        <w:t>(</w:t>
      </w:r>
      <w:r w:rsidRPr="002C7CB0">
        <w:rPr>
          <w:rFonts w:eastAsia="SimSun" w:cs="Times New Roman"/>
          <w:sz w:val="21"/>
        </w:rPr>
        <w:t>PBC</w:t>
      </w:r>
      <w:r w:rsidR="002C7CB0" w:rsidRPr="002C7CB0">
        <w:rPr>
          <w:rFonts w:eastAsia="SimSun" w:cs="Times New Roman" w:hint="eastAsia"/>
          <w:sz w:val="21"/>
        </w:rPr>
        <w:t>)</w:t>
      </w:r>
      <w:r w:rsidRPr="002C7CB0">
        <w:rPr>
          <w:rFonts w:eastAsia="SimSun" w:cs="Times New Roman"/>
          <w:sz w:val="21"/>
        </w:rPr>
        <w:t>提交截至2014年12月31日的世界知识产权组织</w:t>
      </w:r>
      <w:r w:rsidR="002C7CB0" w:rsidRPr="002C7CB0">
        <w:rPr>
          <w:rFonts w:eastAsia="SimSun" w:cs="Times New Roman" w:hint="eastAsia"/>
          <w:sz w:val="21"/>
        </w:rPr>
        <w:t>(</w:t>
      </w:r>
      <w:r w:rsidRPr="002C7CB0">
        <w:rPr>
          <w:rFonts w:eastAsia="SimSun" w:cs="Times New Roman"/>
          <w:sz w:val="21"/>
        </w:rPr>
        <w:t>WIPO</w:t>
      </w:r>
      <w:r w:rsidR="002C7CB0" w:rsidRPr="002C7CB0">
        <w:rPr>
          <w:rFonts w:eastAsia="SimSun" w:cs="Times New Roman" w:hint="eastAsia"/>
          <w:sz w:val="21"/>
        </w:rPr>
        <w:t>)</w:t>
      </w:r>
      <w:r w:rsidRPr="002C7CB0">
        <w:rPr>
          <w:rFonts w:eastAsia="SimSun" w:cs="Times New Roman"/>
          <w:sz w:val="21"/>
        </w:rPr>
        <w:t>年度财务报表。条例8.11要求PBC对财务报表及其审计报告进行审查，并酌情附具意见和建议转送大会。</w:t>
      </w:r>
    </w:p>
    <w:p w:rsidR="005C4FAF" w:rsidRPr="002C7CB0" w:rsidRDefault="005C4FAF" w:rsidP="002C7CB0">
      <w:pPr>
        <w:numPr>
          <w:ilvl w:val="0"/>
          <w:numId w:val="8"/>
        </w:numPr>
        <w:overflowPunct w:val="0"/>
        <w:spacing w:afterLines="50" w:after="120" w:line="340" w:lineRule="atLeast"/>
        <w:ind w:left="0" w:firstLine="0"/>
        <w:jc w:val="both"/>
        <w:rPr>
          <w:rFonts w:eastAsia="SimSun" w:cs="Times New Roman"/>
          <w:sz w:val="21"/>
          <w:szCs w:val="20"/>
        </w:rPr>
      </w:pPr>
      <w:r w:rsidRPr="002C7CB0">
        <w:rPr>
          <w:rFonts w:eastAsia="SimSun" w:cs="Times New Roman"/>
          <w:sz w:val="21"/>
        </w:rPr>
        <w:t>2014年财务报表是根据《国际公共部门会计</w:t>
      </w:r>
      <w:r w:rsidR="00E04F07" w:rsidRPr="002C7CB0">
        <w:rPr>
          <w:rFonts w:eastAsia="SimSun" w:cs="Times New Roman" w:hint="eastAsia"/>
          <w:sz w:val="21"/>
        </w:rPr>
        <w:t>准则</w:t>
      </w:r>
      <w:r w:rsidRPr="002C7CB0">
        <w:rPr>
          <w:rFonts w:eastAsia="SimSun" w:cs="Times New Roman"/>
          <w:sz w:val="21"/>
        </w:rPr>
        <w:t>》</w:t>
      </w:r>
      <w:r w:rsidR="002C7CB0" w:rsidRPr="002C7CB0">
        <w:rPr>
          <w:rFonts w:eastAsia="SimSun" w:cs="Times New Roman" w:hint="eastAsia"/>
          <w:sz w:val="21"/>
        </w:rPr>
        <w:t>(</w:t>
      </w:r>
      <w:r w:rsidRPr="002C7CB0">
        <w:rPr>
          <w:rFonts w:eastAsia="SimSun" w:cs="Times New Roman"/>
          <w:sz w:val="21"/>
        </w:rPr>
        <w:t>IPSAS</w:t>
      </w:r>
      <w:r w:rsidR="002C7CB0" w:rsidRPr="002C7CB0">
        <w:rPr>
          <w:rFonts w:eastAsia="SimSun" w:cs="Times New Roman" w:hint="eastAsia"/>
          <w:sz w:val="21"/>
        </w:rPr>
        <w:t>)</w:t>
      </w:r>
      <w:r w:rsidRPr="002C7CB0">
        <w:rPr>
          <w:rFonts w:eastAsia="SimSun" w:cs="Times New Roman"/>
          <w:sz w:val="21"/>
        </w:rPr>
        <w:t>编制的。在2007年9月24日至10月3日举行的成员国大会第四十三届会议上，成员国原则同意WIPO在2010年采用IPSAS</w:t>
      </w:r>
      <w:r w:rsidR="002C7CB0" w:rsidRPr="002C7CB0">
        <w:rPr>
          <w:rFonts w:eastAsia="SimSun" w:cs="Times New Roman" w:hint="eastAsia"/>
          <w:sz w:val="21"/>
        </w:rPr>
        <w:t>(</w:t>
      </w:r>
      <w:r w:rsidRPr="002C7CB0">
        <w:rPr>
          <w:rFonts w:eastAsia="SimSun" w:cs="Times New Roman"/>
          <w:sz w:val="21"/>
        </w:rPr>
        <w:t>A/43/5</w:t>
      </w:r>
      <w:r w:rsidR="002C7CB0" w:rsidRPr="002C7CB0">
        <w:rPr>
          <w:rFonts w:eastAsia="SimSun" w:cs="Times New Roman" w:hint="eastAsia"/>
          <w:sz w:val="21"/>
        </w:rPr>
        <w:t>)</w:t>
      </w:r>
      <w:r w:rsidRPr="002C7CB0">
        <w:rPr>
          <w:rFonts w:eastAsia="SimSun" w:cs="Times New Roman"/>
          <w:sz w:val="21"/>
        </w:rPr>
        <w:t>。2014年财务报表是根据IPSAS编制的第五套财务报表。</w:t>
      </w:r>
    </w:p>
    <w:p w:rsidR="005C4FAF" w:rsidRPr="002C7CB0" w:rsidRDefault="005C4FAF" w:rsidP="002C7CB0">
      <w:pPr>
        <w:numPr>
          <w:ilvl w:val="0"/>
          <w:numId w:val="8"/>
        </w:numPr>
        <w:overflowPunct w:val="0"/>
        <w:spacing w:afterLines="50" w:after="120" w:line="340" w:lineRule="atLeast"/>
        <w:ind w:left="0" w:firstLine="0"/>
        <w:jc w:val="both"/>
        <w:rPr>
          <w:rFonts w:eastAsia="SimSun" w:cs="Times New Roman"/>
          <w:sz w:val="21"/>
          <w:szCs w:val="20"/>
        </w:rPr>
      </w:pPr>
      <w:r w:rsidRPr="002C7CB0">
        <w:rPr>
          <w:rFonts w:eastAsia="SimSun" w:cs="Times New Roman"/>
          <w:sz w:val="21"/>
        </w:rPr>
        <w:t>外聘审计员对2014年财务报表所作的审计报告及其建议和秘书处的答复一同载于文件WO/PBC/24/5。</w:t>
      </w:r>
    </w:p>
    <w:p w:rsidR="005C4FAF" w:rsidRPr="002C7CB0" w:rsidRDefault="005C4FAF" w:rsidP="002C7CB0">
      <w:pPr>
        <w:numPr>
          <w:ilvl w:val="0"/>
          <w:numId w:val="8"/>
        </w:numPr>
        <w:overflowPunct w:val="0"/>
        <w:spacing w:afterLines="50" w:after="120" w:line="340" w:lineRule="atLeast"/>
        <w:ind w:left="0" w:firstLine="0"/>
        <w:jc w:val="both"/>
        <w:rPr>
          <w:rFonts w:eastAsia="SimSun" w:cs="Times New Roman"/>
          <w:sz w:val="21"/>
          <w:szCs w:val="20"/>
        </w:rPr>
      </w:pPr>
      <w:r w:rsidRPr="002C7CB0">
        <w:rPr>
          <w:rFonts w:eastAsia="SimSun" w:cs="Times New Roman"/>
          <w:sz w:val="21"/>
        </w:rPr>
        <w:t>提议决定段落措辞如下。</w:t>
      </w:r>
    </w:p>
    <w:p w:rsidR="005C4FAF" w:rsidRPr="002C7CB0" w:rsidRDefault="005C4FAF" w:rsidP="002C7CB0">
      <w:pPr>
        <w:numPr>
          <w:ilvl w:val="0"/>
          <w:numId w:val="8"/>
        </w:numPr>
        <w:overflowPunct w:val="0"/>
        <w:spacing w:afterLines="50" w:after="120" w:line="340" w:lineRule="atLeast"/>
        <w:ind w:left="5534" w:firstLine="0"/>
        <w:jc w:val="both"/>
        <w:rPr>
          <w:rFonts w:ascii="KaiTi" w:eastAsia="KaiTi" w:hAnsi="KaiTi" w:cs="Times New Roman"/>
          <w:i/>
          <w:sz w:val="21"/>
          <w:szCs w:val="20"/>
        </w:rPr>
      </w:pPr>
      <w:r w:rsidRPr="002C7CB0">
        <w:rPr>
          <w:rFonts w:ascii="KaiTi" w:eastAsia="KaiTi" w:hAnsi="KaiTi" w:cs="Times New Roman"/>
          <w:i/>
          <w:sz w:val="21"/>
        </w:rPr>
        <w:t>计划和预算委员会</w:t>
      </w:r>
      <w:r w:rsidR="002C7CB0" w:rsidRPr="002C7CB0">
        <w:rPr>
          <w:rFonts w:ascii="KaiTi" w:eastAsia="KaiTi" w:hAnsi="KaiTi" w:cs="Times New Roman" w:hint="eastAsia"/>
          <w:i/>
          <w:sz w:val="21"/>
        </w:rPr>
        <w:t>(</w:t>
      </w:r>
      <w:r w:rsidR="002A46D2" w:rsidRPr="002C7CB0">
        <w:rPr>
          <w:rFonts w:ascii="KaiTi" w:eastAsia="KaiTi" w:hAnsi="KaiTi" w:cs="Times New Roman"/>
          <w:i/>
          <w:sz w:val="21"/>
        </w:rPr>
        <w:t>PBC</w:t>
      </w:r>
      <w:r w:rsidR="002C7CB0" w:rsidRPr="002C7CB0">
        <w:rPr>
          <w:rFonts w:ascii="KaiTi" w:eastAsia="KaiTi" w:hAnsi="KaiTi" w:cs="Times New Roman" w:hint="eastAsia"/>
          <w:i/>
          <w:sz w:val="21"/>
        </w:rPr>
        <w:t>)</w:t>
      </w:r>
      <w:r w:rsidRPr="002C7CB0">
        <w:rPr>
          <w:rFonts w:ascii="KaiTi" w:eastAsia="KaiTi" w:hAnsi="KaiTi" w:cs="Times New Roman"/>
          <w:i/>
          <w:sz w:val="21"/>
        </w:rPr>
        <w:t>建议大会和WIPO成员国的其他大会批准2014年年度财务报告和财务报表</w:t>
      </w:r>
      <w:r w:rsidR="002C7CB0" w:rsidRPr="002C7CB0">
        <w:rPr>
          <w:rFonts w:ascii="KaiTi" w:eastAsia="KaiTi" w:hAnsi="KaiTi" w:cs="Times New Roman" w:hint="eastAsia"/>
          <w:i/>
          <w:sz w:val="21"/>
        </w:rPr>
        <w:t>(</w:t>
      </w:r>
      <w:r w:rsidRPr="002C7CB0">
        <w:rPr>
          <w:rFonts w:ascii="KaiTi" w:eastAsia="KaiTi" w:hAnsi="KaiTi" w:cs="Times New Roman"/>
          <w:i/>
          <w:sz w:val="21"/>
        </w:rPr>
        <w:t>文件WO/PBC/</w:t>
      </w:r>
      <w:r w:rsidR="00F453AC">
        <w:rPr>
          <w:rFonts w:ascii="KaiTi" w:eastAsia="KaiTi" w:hAnsi="KaiTi" w:cs="Times New Roman" w:hint="eastAsia"/>
          <w:i/>
          <w:sz w:val="21"/>
        </w:rPr>
        <w:t>2</w:t>
      </w:r>
      <w:r w:rsidRPr="002C7CB0">
        <w:rPr>
          <w:rFonts w:ascii="KaiTi" w:eastAsia="KaiTi" w:hAnsi="KaiTi" w:cs="Times New Roman"/>
          <w:i/>
          <w:sz w:val="21"/>
        </w:rPr>
        <w:t>4/8</w:t>
      </w:r>
      <w:r w:rsidR="002C7CB0" w:rsidRPr="002C7CB0">
        <w:rPr>
          <w:rFonts w:ascii="KaiTi" w:eastAsia="KaiTi" w:hAnsi="KaiTi" w:cs="Times New Roman" w:hint="eastAsia"/>
          <w:i/>
          <w:sz w:val="21"/>
        </w:rPr>
        <w:t>)</w:t>
      </w:r>
      <w:r w:rsidRPr="002C7CB0">
        <w:rPr>
          <w:rFonts w:ascii="KaiTi" w:eastAsia="KaiTi" w:hAnsi="KaiTi" w:cs="Times New Roman"/>
          <w:i/>
          <w:sz w:val="21"/>
        </w:rPr>
        <w:t>。</w:t>
      </w:r>
    </w:p>
    <w:p w:rsidR="00F453AC" w:rsidRDefault="00F453AC" w:rsidP="00F453AC">
      <w:pPr>
        <w:overflowPunct w:val="0"/>
        <w:spacing w:afterLines="50" w:after="120" w:line="340" w:lineRule="atLeast"/>
        <w:ind w:left="5534"/>
        <w:jc w:val="both"/>
        <w:rPr>
          <w:rFonts w:ascii="KaiTi" w:eastAsia="KaiTi" w:hAnsi="KaiTi" w:cs="Times New Roman"/>
          <w:sz w:val="21"/>
        </w:rPr>
      </w:pPr>
    </w:p>
    <w:p w:rsidR="005C4FAF" w:rsidRPr="00F453AC" w:rsidRDefault="00F453AC" w:rsidP="00F453AC">
      <w:pPr>
        <w:overflowPunct w:val="0"/>
        <w:spacing w:afterLines="50" w:after="120" w:line="340" w:lineRule="atLeast"/>
        <w:ind w:left="5534"/>
        <w:jc w:val="both"/>
        <w:rPr>
          <w:rFonts w:ascii="KaiTi" w:eastAsia="KaiTi" w:hAnsi="KaiTi" w:cs="Times New Roman"/>
          <w:sz w:val="21"/>
        </w:rPr>
      </w:pPr>
      <w:r>
        <w:rPr>
          <w:rFonts w:ascii="KaiTi" w:eastAsia="KaiTi" w:hAnsi="KaiTi" w:cs="Times New Roman"/>
          <w:sz w:val="21"/>
        </w:rPr>
        <w:t>［</w:t>
      </w:r>
      <w:r w:rsidR="005C4FAF" w:rsidRPr="00F453AC">
        <w:rPr>
          <w:rFonts w:ascii="KaiTi" w:eastAsia="KaiTi" w:hAnsi="KaiTi" w:cs="Times New Roman"/>
          <w:sz w:val="21"/>
        </w:rPr>
        <w:t>后接2014年财务报表</w:t>
      </w:r>
      <w:r>
        <w:rPr>
          <w:rFonts w:ascii="KaiTi" w:eastAsia="KaiTi" w:hAnsi="KaiTi" w:cs="Times New Roman"/>
          <w:sz w:val="21"/>
        </w:rPr>
        <w:t>］</w:t>
      </w:r>
    </w:p>
    <w:p w:rsidR="00F453AC" w:rsidRPr="002C7CB0" w:rsidRDefault="00F453AC" w:rsidP="005C4FAF">
      <w:pPr>
        <w:ind w:firstLine="5529"/>
        <w:rPr>
          <w:rFonts w:eastAsia="SimSun" w:cs="Times New Roman"/>
          <w:sz w:val="21"/>
          <w:szCs w:val="20"/>
        </w:rPr>
        <w:sectPr w:rsidR="00F453AC" w:rsidRPr="002C7CB0" w:rsidSect="00792D8B">
          <w:endnotePr>
            <w:numFmt w:val="decimal"/>
          </w:endnotePr>
          <w:type w:val="oddPage"/>
          <w:pgSz w:w="11907" w:h="16840" w:code="9"/>
          <w:pgMar w:top="567" w:right="1134" w:bottom="1418" w:left="1418" w:header="510" w:footer="1021" w:gutter="0"/>
          <w:cols w:space="720"/>
          <w:titlePg/>
          <w:docGrid w:linePitch="299"/>
        </w:sectPr>
      </w:pPr>
    </w:p>
    <w:p w:rsidR="005C4FAF" w:rsidRPr="00F453AC" w:rsidRDefault="005C4FAF" w:rsidP="005C4FAF">
      <w:pPr>
        <w:rPr>
          <w:rFonts w:ascii="Arial" w:eastAsia="SimSun" w:hAnsi="Arial" w:cs="Times New Roman"/>
          <w:sz w:val="21"/>
          <w:szCs w:val="20"/>
        </w:rPr>
      </w:pPr>
    </w:p>
    <w:p w:rsidR="005C4FAF" w:rsidRPr="00F453AC" w:rsidRDefault="005C4FAF" w:rsidP="005C4FAF">
      <w:pPr>
        <w:pStyle w:val="StyleHeading1"/>
        <w:rPr>
          <w:rFonts w:ascii="Arial" w:eastAsia="SimHei" w:hAnsi="Arial" w:cs="Times New Roman"/>
          <w:b w:val="0"/>
          <w:sz w:val="28"/>
          <w:szCs w:val="28"/>
        </w:rPr>
      </w:pPr>
    </w:p>
    <w:p w:rsidR="005C4FAF" w:rsidRPr="00F453AC" w:rsidRDefault="005C4FAF" w:rsidP="005C4FAF">
      <w:pPr>
        <w:pStyle w:val="StyleHeading1"/>
        <w:rPr>
          <w:rFonts w:ascii="Arial" w:eastAsia="SimHei" w:hAnsi="Arial" w:cs="Times New Roman"/>
          <w:b w:val="0"/>
          <w:sz w:val="28"/>
          <w:szCs w:val="28"/>
        </w:rPr>
      </w:pPr>
    </w:p>
    <w:p w:rsidR="005C4FAF" w:rsidRPr="00F453AC" w:rsidRDefault="005C4FAF" w:rsidP="005C4FAF">
      <w:pPr>
        <w:pStyle w:val="StyleHeading1"/>
        <w:rPr>
          <w:rFonts w:ascii="Arial" w:eastAsia="SimHei" w:hAnsi="Arial" w:cs="Times New Roman"/>
          <w:b w:val="0"/>
          <w:sz w:val="28"/>
          <w:szCs w:val="28"/>
        </w:rPr>
      </w:pPr>
    </w:p>
    <w:p w:rsidR="005C4FAF" w:rsidRPr="00F453AC" w:rsidRDefault="005C4FAF" w:rsidP="005C4FAF">
      <w:pPr>
        <w:pStyle w:val="StyleHeading1"/>
        <w:rPr>
          <w:rFonts w:ascii="Arial" w:eastAsia="SimHei" w:hAnsi="Arial" w:cs="Times New Roman"/>
          <w:b w:val="0"/>
          <w:sz w:val="28"/>
          <w:szCs w:val="28"/>
        </w:rPr>
      </w:pPr>
      <w:r w:rsidRPr="00F453AC">
        <w:rPr>
          <w:rFonts w:ascii="Arial" w:eastAsia="SimHei" w:hAnsi="Arial" w:cs="Times New Roman"/>
          <w:b w:val="0"/>
          <w:sz w:val="28"/>
        </w:rPr>
        <w:t>世界知识产权组织</w:t>
      </w:r>
    </w:p>
    <w:p w:rsidR="005C4FAF" w:rsidRPr="003F5882" w:rsidRDefault="005C4FAF" w:rsidP="005C4FAF">
      <w:pPr>
        <w:tabs>
          <w:tab w:val="left" w:pos="0"/>
        </w:tabs>
        <w:jc w:val="center"/>
        <w:rPr>
          <w:rFonts w:ascii="Arial" w:hAnsi="Arial" w:cs="Times New Roman"/>
        </w:rPr>
      </w:pPr>
    </w:p>
    <w:p w:rsidR="005C4FAF" w:rsidRPr="003F5882" w:rsidRDefault="005C4FAF" w:rsidP="005C4FAF">
      <w:pPr>
        <w:tabs>
          <w:tab w:val="left" w:pos="0"/>
        </w:tabs>
        <w:jc w:val="center"/>
        <w:rPr>
          <w:rFonts w:ascii="Arial" w:hAnsi="Arial" w:cs="Times New Roman"/>
        </w:rPr>
      </w:pPr>
    </w:p>
    <w:p w:rsidR="005C4FAF" w:rsidRPr="003F5882" w:rsidRDefault="005C4FAF" w:rsidP="005C4FAF">
      <w:pPr>
        <w:tabs>
          <w:tab w:val="left" w:pos="0"/>
        </w:tabs>
        <w:jc w:val="center"/>
        <w:rPr>
          <w:rFonts w:ascii="Arial" w:hAnsi="Arial" w:cs="Times New Roman"/>
        </w:rPr>
      </w:pPr>
      <w:r w:rsidRPr="003F5882">
        <w:rPr>
          <w:rFonts w:ascii="Arial" w:hAnsi="Arial" w:cs="Times New Roman"/>
        </w:rPr>
        <w:t>年度财务报告和财务报表</w:t>
      </w:r>
    </w:p>
    <w:p w:rsidR="005C4FAF" w:rsidRPr="003F5882" w:rsidRDefault="005C4FAF" w:rsidP="005C4FAF">
      <w:pPr>
        <w:tabs>
          <w:tab w:val="left" w:pos="0"/>
        </w:tabs>
        <w:jc w:val="center"/>
        <w:rPr>
          <w:rFonts w:ascii="Arial" w:hAnsi="Arial" w:cs="Times New Roman"/>
        </w:rPr>
      </w:pPr>
    </w:p>
    <w:p w:rsidR="005C4FAF" w:rsidRPr="003F5882" w:rsidRDefault="005C4FAF" w:rsidP="005C4FAF">
      <w:pPr>
        <w:tabs>
          <w:tab w:val="left" w:pos="0"/>
        </w:tabs>
        <w:jc w:val="center"/>
        <w:rPr>
          <w:rFonts w:ascii="Arial" w:hAnsi="Arial" w:cs="Times New Roman"/>
        </w:rPr>
      </w:pPr>
      <w:r w:rsidRPr="003F5882">
        <w:rPr>
          <w:rFonts w:ascii="Arial" w:hAnsi="Arial" w:cs="Times New Roman"/>
        </w:rPr>
        <w:t>2014</w:t>
      </w:r>
      <w:r w:rsidRPr="003F5882">
        <w:rPr>
          <w:rFonts w:ascii="Arial" w:hAnsi="Arial" w:cs="Times New Roman"/>
        </w:rPr>
        <w:t>年</w:t>
      </w:r>
      <w:r w:rsidRPr="003F5882">
        <w:rPr>
          <w:rFonts w:ascii="Arial" w:hAnsi="Arial" w:cs="Times New Roman"/>
        </w:rPr>
        <w:t>12</w:t>
      </w:r>
      <w:r w:rsidRPr="003F5882">
        <w:rPr>
          <w:rFonts w:ascii="Arial" w:hAnsi="Arial" w:cs="Times New Roman"/>
        </w:rPr>
        <w:t>月</w:t>
      </w:r>
      <w:r w:rsidRPr="003F5882">
        <w:rPr>
          <w:rFonts w:ascii="Arial" w:hAnsi="Arial" w:cs="Times New Roman"/>
        </w:rPr>
        <w:t>31</w:t>
      </w:r>
      <w:r w:rsidRPr="003F5882">
        <w:rPr>
          <w:rFonts w:ascii="Arial" w:hAnsi="Arial" w:cs="Times New Roman"/>
        </w:rPr>
        <w:t>日截止的年度</w:t>
      </w:r>
    </w:p>
    <w:p w:rsidR="005C4FAF" w:rsidRPr="003F5882" w:rsidRDefault="005C4FAF" w:rsidP="005C4FAF">
      <w:pPr>
        <w:tabs>
          <w:tab w:val="left" w:pos="0"/>
        </w:tabs>
        <w:jc w:val="center"/>
        <w:rPr>
          <w:rFonts w:ascii="Arial" w:hAnsi="Arial" w:cs="Times New Roman"/>
        </w:rPr>
      </w:pPr>
    </w:p>
    <w:p w:rsidR="005C4FAF" w:rsidRPr="003F5882" w:rsidRDefault="005C4FAF" w:rsidP="005C4FAF">
      <w:pPr>
        <w:tabs>
          <w:tab w:val="left" w:pos="0"/>
        </w:tabs>
        <w:jc w:val="center"/>
        <w:rPr>
          <w:rFonts w:ascii="Arial" w:hAnsi="Arial" w:cs="Times New Roman"/>
        </w:rPr>
      </w:pPr>
    </w:p>
    <w:p w:rsidR="005C4FAF" w:rsidRPr="003F5882" w:rsidRDefault="005C4FAF" w:rsidP="005C4FAF">
      <w:pPr>
        <w:tabs>
          <w:tab w:val="left" w:pos="0"/>
        </w:tabs>
        <w:jc w:val="center"/>
        <w:rPr>
          <w:rFonts w:ascii="Arial" w:hAnsi="Arial" w:cs="Times New Roman"/>
        </w:rPr>
      </w:pPr>
    </w:p>
    <w:p w:rsidR="005C4FAF" w:rsidRPr="003F5882" w:rsidRDefault="005C4FAF" w:rsidP="005C4FAF">
      <w:pPr>
        <w:tabs>
          <w:tab w:val="left" w:pos="0"/>
        </w:tabs>
        <w:jc w:val="center"/>
        <w:rPr>
          <w:rFonts w:ascii="Arial" w:hAnsi="Arial" w:cs="Times New Roman"/>
        </w:rPr>
      </w:pPr>
    </w:p>
    <w:p w:rsidR="005C4FAF" w:rsidRPr="003F5882" w:rsidRDefault="005C4FAF" w:rsidP="005C4FAF">
      <w:pPr>
        <w:tabs>
          <w:tab w:val="left" w:pos="0"/>
        </w:tabs>
        <w:jc w:val="center"/>
        <w:rPr>
          <w:rFonts w:ascii="Arial" w:hAnsi="Arial" w:cs="Times New Roman"/>
        </w:rPr>
      </w:pPr>
    </w:p>
    <w:p w:rsidR="005C4FAF" w:rsidRPr="003F5882" w:rsidRDefault="005C4FAF" w:rsidP="005C4FAF">
      <w:pPr>
        <w:tabs>
          <w:tab w:val="left" w:pos="0"/>
        </w:tabs>
        <w:jc w:val="center"/>
        <w:rPr>
          <w:rFonts w:ascii="Arial" w:hAnsi="Arial" w:cs="Times New Roman"/>
        </w:rPr>
      </w:pPr>
    </w:p>
    <w:p w:rsidR="005C4FAF" w:rsidRPr="00F453AC" w:rsidRDefault="005C4FAF" w:rsidP="005C4FAF">
      <w:pPr>
        <w:tabs>
          <w:tab w:val="left" w:pos="0"/>
        </w:tabs>
        <w:jc w:val="center"/>
        <w:rPr>
          <w:rFonts w:ascii="Arial" w:eastAsia="SimHei" w:hAnsi="Arial" w:cs="Times New Roman"/>
          <w:sz w:val="72"/>
          <w:szCs w:val="72"/>
        </w:rPr>
      </w:pPr>
    </w:p>
    <w:p w:rsidR="005C4FAF" w:rsidRPr="00F453AC" w:rsidRDefault="005C4FAF" w:rsidP="005C4FAF">
      <w:pPr>
        <w:tabs>
          <w:tab w:val="left" w:pos="0"/>
        </w:tabs>
        <w:jc w:val="center"/>
        <w:rPr>
          <w:rFonts w:ascii="Arial" w:eastAsia="SimHei" w:hAnsi="Arial" w:cs="Times New Roman"/>
          <w:sz w:val="72"/>
          <w:szCs w:val="72"/>
        </w:rPr>
      </w:pPr>
    </w:p>
    <w:p w:rsidR="005C4FAF" w:rsidRPr="003F5882" w:rsidRDefault="005C4FAF" w:rsidP="005C4FAF">
      <w:pPr>
        <w:tabs>
          <w:tab w:val="left" w:pos="0"/>
        </w:tabs>
        <w:jc w:val="center"/>
        <w:rPr>
          <w:rFonts w:ascii="Arial" w:hAnsi="Arial" w:cs="Times New Roman"/>
        </w:rPr>
      </w:pPr>
    </w:p>
    <w:p w:rsidR="005C4FAF" w:rsidRPr="003F5882" w:rsidRDefault="005C4FAF" w:rsidP="005C4FAF">
      <w:pPr>
        <w:jc w:val="both"/>
        <w:rPr>
          <w:rFonts w:ascii="Arial" w:hAnsi="Arial" w:cs="Times New Roman"/>
          <w:sz w:val="18"/>
          <w:szCs w:val="18"/>
        </w:rPr>
        <w:sectPr w:rsidR="005C4FAF" w:rsidRPr="003F5882" w:rsidSect="003312C4">
          <w:headerReference w:type="even" r:id="rId11"/>
          <w:headerReference w:type="default" r:id="rId12"/>
          <w:footerReference w:type="even" r:id="rId13"/>
          <w:footerReference w:type="default" r:id="rId14"/>
          <w:headerReference w:type="first" r:id="rId15"/>
          <w:footerReference w:type="first" r:id="rId16"/>
          <w:pgSz w:w="11907" w:h="16840" w:code="9"/>
          <w:pgMar w:top="851" w:right="1247" w:bottom="1191" w:left="1247" w:header="709" w:footer="709" w:gutter="0"/>
          <w:cols w:space="708"/>
          <w:docGrid w:linePitch="360"/>
        </w:sectPr>
      </w:pPr>
    </w:p>
    <w:p w:rsidR="005C4FAF" w:rsidRPr="00F453AC" w:rsidRDefault="005C4FAF" w:rsidP="005C4FAF">
      <w:pPr>
        <w:jc w:val="center"/>
        <w:rPr>
          <w:rFonts w:ascii="Arial" w:eastAsia="SimHei" w:hAnsi="Arial" w:cs="Times New Roman"/>
          <w:sz w:val="21"/>
          <w:szCs w:val="22"/>
        </w:rPr>
      </w:pPr>
      <w:r w:rsidRPr="00F453AC">
        <w:rPr>
          <w:rFonts w:ascii="Arial" w:eastAsia="SimHei" w:hAnsi="Arial" w:cs="Times New Roman"/>
          <w:sz w:val="21"/>
        </w:rPr>
        <w:lastRenderedPageBreak/>
        <w:t>目录</w:t>
      </w:r>
    </w:p>
    <w:p w:rsidR="005C4FAF" w:rsidRPr="003F5882" w:rsidRDefault="005C4FAF" w:rsidP="005C4FAF">
      <w:pPr>
        <w:rPr>
          <w:rFonts w:ascii="Arial" w:hAnsi="Arial"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68"/>
        <w:gridCol w:w="1061"/>
      </w:tblGrid>
      <w:tr w:rsidR="005C4FAF" w:rsidRPr="003F5882" w:rsidTr="003312C4">
        <w:tc>
          <w:tcPr>
            <w:tcW w:w="8568" w:type="dxa"/>
            <w:shd w:val="clear" w:color="auto" w:fill="F2F2F2"/>
          </w:tcPr>
          <w:p w:rsidR="005C4FAF" w:rsidRPr="003F5882" w:rsidRDefault="005C4FAF" w:rsidP="003312C4">
            <w:pPr>
              <w:rPr>
                <w:rFonts w:ascii="Arial" w:hAnsi="Arial" w:cs="Times New Roman"/>
                <w:sz w:val="21"/>
                <w:szCs w:val="22"/>
              </w:rPr>
            </w:pPr>
          </w:p>
        </w:tc>
        <w:tc>
          <w:tcPr>
            <w:tcW w:w="1061" w:type="dxa"/>
            <w:shd w:val="clear" w:color="auto" w:fill="F2F2F2"/>
          </w:tcPr>
          <w:p w:rsidR="005C4FAF" w:rsidRPr="00F453AC" w:rsidRDefault="005C4FAF" w:rsidP="003312C4">
            <w:pPr>
              <w:jc w:val="center"/>
              <w:rPr>
                <w:rFonts w:ascii="Arial" w:eastAsia="SimHei" w:hAnsi="Arial" w:cs="Times New Roman"/>
                <w:sz w:val="21"/>
                <w:szCs w:val="22"/>
              </w:rPr>
            </w:pPr>
            <w:r w:rsidRPr="00F453AC">
              <w:rPr>
                <w:rFonts w:ascii="Arial" w:eastAsia="SimHei" w:hAnsi="Arial" w:cs="Times New Roman"/>
                <w:sz w:val="21"/>
              </w:rPr>
              <w:t>页码</w:t>
            </w:r>
          </w:p>
        </w:tc>
      </w:tr>
      <w:tr w:rsidR="005C4FAF" w:rsidRPr="003F5882" w:rsidTr="003312C4">
        <w:tc>
          <w:tcPr>
            <w:tcW w:w="8568" w:type="dxa"/>
            <w:shd w:val="clear" w:color="auto" w:fill="auto"/>
            <w:vAlign w:val="center"/>
          </w:tcPr>
          <w:p w:rsidR="005C4FAF" w:rsidRPr="00F453AC" w:rsidRDefault="005C4FAF" w:rsidP="003312C4">
            <w:pPr>
              <w:rPr>
                <w:rFonts w:ascii="Arial" w:eastAsia="SimHei" w:hAnsi="Arial" w:cs="Times New Roman"/>
                <w:sz w:val="21"/>
                <w:szCs w:val="22"/>
              </w:rPr>
            </w:pPr>
            <w:r w:rsidRPr="00F453AC">
              <w:rPr>
                <w:rFonts w:ascii="Arial" w:eastAsia="SimHei" w:hAnsi="Arial" w:cs="Times New Roman"/>
                <w:sz w:val="21"/>
              </w:rPr>
              <w:t>年度财务报告</w:t>
            </w:r>
          </w:p>
        </w:tc>
        <w:tc>
          <w:tcPr>
            <w:tcW w:w="1061" w:type="dxa"/>
            <w:shd w:val="clear" w:color="auto" w:fill="auto"/>
            <w:vAlign w:val="center"/>
          </w:tcPr>
          <w:p w:rsidR="005C4FAF" w:rsidRPr="003F5882" w:rsidRDefault="005C4FAF" w:rsidP="003312C4">
            <w:pPr>
              <w:jc w:val="right"/>
              <w:rPr>
                <w:rFonts w:ascii="Arial" w:hAnsi="Arial" w:cs="Times New Roman"/>
                <w:sz w:val="21"/>
                <w:szCs w:val="22"/>
              </w:rPr>
            </w:pPr>
          </w:p>
        </w:tc>
      </w:tr>
      <w:tr w:rsidR="005C4FAF" w:rsidRPr="003F5882" w:rsidTr="003312C4">
        <w:tc>
          <w:tcPr>
            <w:tcW w:w="8568" w:type="dxa"/>
            <w:shd w:val="clear" w:color="auto" w:fill="auto"/>
            <w:vAlign w:val="center"/>
          </w:tcPr>
          <w:p w:rsidR="005C4FAF" w:rsidRPr="003F5882" w:rsidRDefault="005C4FAF" w:rsidP="003312C4">
            <w:pPr>
              <w:rPr>
                <w:rFonts w:ascii="Arial" w:hAnsi="Arial" w:cs="Times New Roman"/>
                <w:sz w:val="21"/>
                <w:szCs w:val="22"/>
              </w:rPr>
            </w:pPr>
            <w:r w:rsidRPr="003F5882">
              <w:rPr>
                <w:rFonts w:ascii="Arial" w:hAnsi="Arial" w:cs="Times New Roman"/>
                <w:sz w:val="21"/>
              </w:rPr>
              <w:t>引言</w:t>
            </w:r>
          </w:p>
        </w:tc>
        <w:tc>
          <w:tcPr>
            <w:tcW w:w="1061" w:type="dxa"/>
            <w:shd w:val="clear" w:color="auto" w:fill="auto"/>
            <w:vAlign w:val="center"/>
          </w:tcPr>
          <w:p w:rsidR="005C4FAF" w:rsidRPr="003F5882" w:rsidRDefault="004813DC" w:rsidP="003312C4">
            <w:pPr>
              <w:jc w:val="right"/>
              <w:rPr>
                <w:rFonts w:ascii="Arial" w:hAnsi="Arial" w:cs="Times New Roman"/>
                <w:sz w:val="21"/>
                <w:szCs w:val="22"/>
              </w:rPr>
            </w:pPr>
            <w:r w:rsidRPr="003F5882">
              <w:rPr>
                <w:rFonts w:ascii="Arial" w:hAnsi="Arial" w:cs="Times New Roman" w:hint="eastAsia"/>
                <w:sz w:val="21"/>
              </w:rPr>
              <w:t>2</w:t>
            </w:r>
          </w:p>
        </w:tc>
      </w:tr>
      <w:tr w:rsidR="005C4FAF" w:rsidRPr="003F5882" w:rsidTr="003312C4">
        <w:tc>
          <w:tcPr>
            <w:tcW w:w="8568" w:type="dxa"/>
            <w:shd w:val="clear" w:color="auto" w:fill="auto"/>
            <w:vAlign w:val="center"/>
          </w:tcPr>
          <w:p w:rsidR="005C4FAF" w:rsidRPr="003F5882" w:rsidRDefault="005C4FAF" w:rsidP="003312C4">
            <w:pPr>
              <w:rPr>
                <w:rFonts w:ascii="Arial" w:hAnsi="Arial" w:cs="Times New Roman"/>
                <w:sz w:val="21"/>
                <w:szCs w:val="22"/>
              </w:rPr>
            </w:pPr>
            <w:r w:rsidRPr="003F5882">
              <w:rPr>
                <w:rFonts w:ascii="Arial" w:hAnsi="Arial" w:cs="Times New Roman"/>
                <w:sz w:val="21"/>
              </w:rPr>
              <w:t>财务报表讨论与分析</w:t>
            </w:r>
          </w:p>
        </w:tc>
        <w:tc>
          <w:tcPr>
            <w:tcW w:w="1061" w:type="dxa"/>
            <w:shd w:val="clear" w:color="auto" w:fill="auto"/>
            <w:vAlign w:val="center"/>
          </w:tcPr>
          <w:p w:rsidR="005C4FAF" w:rsidRPr="003F5882" w:rsidRDefault="004813DC" w:rsidP="003312C4">
            <w:pPr>
              <w:jc w:val="right"/>
              <w:rPr>
                <w:rFonts w:ascii="Arial" w:hAnsi="Arial" w:cs="Times New Roman"/>
                <w:sz w:val="21"/>
                <w:szCs w:val="22"/>
              </w:rPr>
            </w:pPr>
            <w:r w:rsidRPr="003F5882">
              <w:rPr>
                <w:rFonts w:ascii="Arial" w:hAnsi="Arial" w:cs="Times New Roman" w:hint="eastAsia"/>
                <w:sz w:val="21"/>
              </w:rPr>
              <w:t>2</w:t>
            </w:r>
          </w:p>
        </w:tc>
      </w:tr>
      <w:tr w:rsidR="005C4FAF" w:rsidRPr="003F5882" w:rsidTr="003312C4">
        <w:tc>
          <w:tcPr>
            <w:tcW w:w="8568" w:type="dxa"/>
            <w:shd w:val="clear" w:color="auto" w:fill="auto"/>
            <w:vAlign w:val="center"/>
          </w:tcPr>
          <w:p w:rsidR="005C4FAF" w:rsidRPr="00F453AC" w:rsidRDefault="005C4FAF" w:rsidP="003312C4">
            <w:pPr>
              <w:rPr>
                <w:rFonts w:ascii="Arial" w:eastAsia="SimHei" w:hAnsi="Arial" w:cs="Times New Roman"/>
                <w:sz w:val="21"/>
                <w:szCs w:val="22"/>
              </w:rPr>
            </w:pPr>
            <w:r w:rsidRPr="00F453AC">
              <w:rPr>
                <w:rFonts w:ascii="Arial" w:eastAsia="SimHei" w:hAnsi="Arial" w:cs="Times New Roman"/>
                <w:sz w:val="21"/>
              </w:rPr>
              <w:t>财务报表</w:t>
            </w:r>
          </w:p>
        </w:tc>
        <w:tc>
          <w:tcPr>
            <w:tcW w:w="1061" w:type="dxa"/>
            <w:shd w:val="clear" w:color="auto" w:fill="auto"/>
            <w:vAlign w:val="center"/>
          </w:tcPr>
          <w:p w:rsidR="005C4FAF" w:rsidRPr="003F5882" w:rsidRDefault="005C4FAF" w:rsidP="003312C4">
            <w:pPr>
              <w:jc w:val="right"/>
              <w:rPr>
                <w:rFonts w:ascii="Arial" w:hAnsi="Arial" w:cs="Times New Roman"/>
                <w:sz w:val="21"/>
                <w:szCs w:val="22"/>
              </w:rPr>
            </w:pPr>
          </w:p>
        </w:tc>
      </w:tr>
      <w:tr w:rsidR="005C4FAF" w:rsidRPr="003F5882" w:rsidTr="003312C4">
        <w:tc>
          <w:tcPr>
            <w:tcW w:w="8568" w:type="dxa"/>
            <w:shd w:val="clear" w:color="auto" w:fill="auto"/>
            <w:vAlign w:val="center"/>
          </w:tcPr>
          <w:p w:rsidR="005C4FAF" w:rsidRPr="003F5882" w:rsidRDefault="005C4FAF" w:rsidP="003312C4">
            <w:pPr>
              <w:rPr>
                <w:rFonts w:ascii="Arial" w:hAnsi="Arial" w:cs="Times New Roman"/>
                <w:sz w:val="21"/>
                <w:szCs w:val="22"/>
              </w:rPr>
            </w:pPr>
            <w:r w:rsidRPr="003F5882">
              <w:rPr>
                <w:rFonts w:ascii="Arial" w:hAnsi="Arial" w:cs="Times New Roman"/>
                <w:sz w:val="21"/>
              </w:rPr>
              <w:t>报表一</w:t>
            </w:r>
            <w:r w:rsidRPr="003F5882">
              <w:rPr>
                <w:rFonts w:ascii="Arial" w:hAnsi="Arial" w:cs="Times New Roman"/>
                <w:sz w:val="21"/>
              </w:rPr>
              <w:t xml:space="preserve"> - </w:t>
            </w:r>
            <w:r w:rsidRPr="003F5882">
              <w:rPr>
                <w:rFonts w:ascii="Arial" w:hAnsi="Arial" w:cs="Times New Roman"/>
                <w:sz w:val="21"/>
              </w:rPr>
              <w:t>财务状况表</w:t>
            </w:r>
          </w:p>
        </w:tc>
        <w:tc>
          <w:tcPr>
            <w:tcW w:w="1061" w:type="dxa"/>
            <w:shd w:val="clear" w:color="auto" w:fill="auto"/>
            <w:vAlign w:val="center"/>
          </w:tcPr>
          <w:p w:rsidR="005C4FAF" w:rsidRPr="003F5882" w:rsidRDefault="005C4FAF" w:rsidP="004813DC">
            <w:pPr>
              <w:jc w:val="right"/>
              <w:rPr>
                <w:rFonts w:ascii="Arial" w:hAnsi="Arial" w:cs="Times New Roman"/>
                <w:sz w:val="21"/>
                <w:szCs w:val="22"/>
              </w:rPr>
            </w:pPr>
            <w:r w:rsidRPr="003F5882">
              <w:rPr>
                <w:rFonts w:ascii="Arial" w:hAnsi="Arial" w:cs="Times New Roman"/>
                <w:sz w:val="21"/>
              </w:rPr>
              <w:t>2</w:t>
            </w:r>
            <w:r w:rsidR="004813DC" w:rsidRPr="003F5882">
              <w:rPr>
                <w:rFonts w:ascii="Arial" w:hAnsi="Arial" w:cs="Times New Roman" w:hint="eastAsia"/>
                <w:sz w:val="21"/>
              </w:rPr>
              <w:t>2</w:t>
            </w:r>
          </w:p>
        </w:tc>
      </w:tr>
      <w:tr w:rsidR="005C4FAF" w:rsidRPr="003F5882" w:rsidTr="003312C4">
        <w:tc>
          <w:tcPr>
            <w:tcW w:w="8568" w:type="dxa"/>
            <w:shd w:val="clear" w:color="auto" w:fill="auto"/>
            <w:vAlign w:val="center"/>
          </w:tcPr>
          <w:p w:rsidR="005C4FAF" w:rsidRPr="003F5882" w:rsidRDefault="005C4FAF" w:rsidP="00E04F07">
            <w:pPr>
              <w:rPr>
                <w:rFonts w:ascii="Arial" w:hAnsi="Arial" w:cs="Times New Roman"/>
                <w:sz w:val="21"/>
                <w:szCs w:val="22"/>
              </w:rPr>
            </w:pPr>
            <w:r w:rsidRPr="003F5882">
              <w:rPr>
                <w:rFonts w:ascii="Arial" w:hAnsi="Arial" w:cs="Times New Roman"/>
                <w:sz w:val="21"/>
              </w:rPr>
              <w:t>报表二</w:t>
            </w:r>
            <w:r w:rsidRPr="003F5882">
              <w:rPr>
                <w:rFonts w:ascii="Arial" w:hAnsi="Arial" w:cs="Times New Roman"/>
                <w:sz w:val="21"/>
              </w:rPr>
              <w:t xml:space="preserve"> - </w:t>
            </w:r>
            <w:r w:rsidRPr="003F5882">
              <w:rPr>
                <w:rFonts w:ascii="Arial" w:hAnsi="Arial" w:cs="Times New Roman"/>
                <w:sz w:val="21"/>
              </w:rPr>
              <w:t>财务</w:t>
            </w:r>
            <w:r w:rsidR="00E04F07" w:rsidRPr="003F5882">
              <w:rPr>
                <w:rFonts w:ascii="Arial" w:hAnsi="Arial" w:cs="Times New Roman" w:hint="eastAsia"/>
                <w:sz w:val="21"/>
              </w:rPr>
              <w:t>执行情况</w:t>
            </w:r>
            <w:r w:rsidRPr="003F5882">
              <w:rPr>
                <w:rFonts w:ascii="Arial" w:hAnsi="Arial" w:cs="Times New Roman"/>
                <w:sz w:val="21"/>
              </w:rPr>
              <w:t>表</w:t>
            </w:r>
          </w:p>
        </w:tc>
        <w:tc>
          <w:tcPr>
            <w:tcW w:w="1061" w:type="dxa"/>
            <w:shd w:val="clear" w:color="auto" w:fill="auto"/>
            <w:vAlign w:val="center"/>
          </w:tcPr>
          <w:p w:rsidR="005C4FAF" w:rsidRPr="003F5882" w:rsidRDefault="005C4FAF" w:rsidP="004813DC">
            <w:pPr>
              <w:jc w:val="right"/>
              <w:rPr>
                <w:rFonts w:ascii="Arial" w:hAnsi="Arial" w:cs="Times New Roman"/>
                <w:sz w:val="21"/>
                <w:szCs w:val="22"/>
              </w:rPr>
            </w:pPr>
            <w:r w:rsidRPr="003F5882">
              <w:rPr>
                <w:rFonts w:ascii="Arial" w:hAnsi="Arial" w:cs="Times New Roman"/>
                <w:sz w:val="21"/>
              </w:rPr>
              <w:t>2</w:t>
            </w:r>
            <w:r w:rsidR="004813DC" w:rsidRPr="003F5882">
              <w:rPr>
                <w:rFonts w:ascii="Arial" w:hAnsi="Arial" w:cs="Times New Roman" w:hint="eastAsia"/>
                <w:sz w:val="21"/>
              </w:rPr>
              <w:t>3</w:t>
            </w:r>
          </w:p>
        </w:tc>
      </w:tr>
      <w:tr w:rsidR="005C4FAF" w:rsidRPr="003F5882" w:rsidTr="003312C4">
        <w:tc>
          <w:tcPr>
            <w:tcW w:w="8568" w:type="dxa"/>
            <w:shd w:val="clear" w:color="auto" w:fill="auto"/>
            <w:vAlign w:val="center"/>
          </w:tcPr>
          <w:p w:rsidR="005C4FAF" w:rsidRPr="003F5882" w:rsidRDefault="005C4FAF" w:rsidP="003312C4">
            <w:pPr>
              <w:rPr>
                <w:rFonts w:ascii="Arial" w:hAnsi="Arial" w:cs="Times New Roman"/>
                <w:sz w:val="21"/>
                <w:szCs w:val="22"/>
              </w:rPr>
            </w:pPr>
            <w:r w:rsidRPr="003F5882">
              <w:rPr>
                <w:rFonts w:ascii="Arial" w:hAnsi="Arial" w:cs="Times New Roman"/>
                <w:sz w:val="21"/>
              </w:rPr>
              <w:t>报表三</w:t>
            </w:r>
            <w:r w:rsidRPr="003F5882">
              <w:rPr>
                <w:rFonts w:ascii="Arial" w:hAnsi="Arial" w:cs="Times New Roman"/>
                <w:sz w:val="21"/>
              </w:rPr>
              <w:t xml:space="preserve"> - </w:t>
            </w:r>
            <w:r w:rsidRPr="003F5882">
              <w:rPr>
                <w:rFonts w:ascii="Arial" w:hAnsi="Arial" w:cs="Times New Roman"/>
                <w:sz w:val="21"/>
              </w:rPr>
              <w:t>净资产变动表</w:t>
            </w:r>
          </w:p>
        </w:tc>
        <w:tc>
          <w:tcPr>
            <w:tcW w:w="1061" w:type="dxa"/>
            <w:shd w:val="clear" w:color="auto" w:fill="auto"/>
            <w:vAlign w:val="center"/>
          </w:tcPr>
          <w:p w:rsidR="005C4FAF" w:rsidRPr="003F5882" w:rsidRDefault="005C4FAF" w:rsidP="004813DC">
            <w:pPr>
              <w:jc w:val="right"/>
              <w:rPr>
                <w:rFonts w:ascii="Arial" w:hAnsi="Arial" w:cs="Times New Roman"/>
                <w:sz w:val="21"/>
                <w:szCs w:val="22"/>
              </w:rPr>
            </w:pPr>
            <w:r w:rsidRPr="003F5882">
              <w:rPr>
                <w:rFonts w:ascii="Arial" w:hAnsi="Arial" w:cs="Times New Roman"/>
                <w:sz w:val="21"/>
              </w:rPr>
              <w:t>2</w:t>
            </w:r>
            <w:r w:rsidR="004813DC" w:rsidRPr="003F5882">
              <w:rPr>
                <w:rFonts w:ascii="Arial" w:hAnsi="Arial" w:cs="Times New Roman" w:hint="eastAsia"/>
                <w:sz w:val="21"/>
              </w:rPr>
              <w:t>4</w:t>
            </w:r>
          </w:p>
        </w:tc>
      </w:tr>
      <w:tr w:rsidR="005C4FAF" w:rsidRPr="003F5882" w:rsidTr="003312C4">
        <w:tc>
          <w:tcPr>
            <w:tcW w:w="8568" w:type="dxa"/>
            <w:shd w:val="clear" w:color="auto" w:fill="auto"/>
            <w:vAlign w:val="center"/>
          </w:tcPr>
          <w:p w:rsidR="005C4FAF" w:rsidRPr="003F5882" w:rsidRDefault="005C4FAF" w:rsidP="003312C4">
            <w:pPr>
              <w:rPr>
                <w:rFonts w:ascii="Arial" w:hAnsi="Arial" w:cs="Times New Roman"/>
                <w:sz w:val="21"/>
                <w:szCs w:val="22"/>
              </w:rPr>
            </w:pPr>
            <w:r w:rsidRPr="003F5882">
              <w:rPr>
                <w:rFonts w:ascii="Arial" w:hAnsi="Arial" w:cs="Times New Roman"/>
                <w:sz w:val="21"/>
              </w:rPr>
              <w:t>报表四</w:t>
            </w:r>
            <w:r w:rsidRPr="003F5882">
              <w:rPr>
                <w:rFonts w:ascii="Arial" w:hAnsi="Arial" w:cs="Times New Roman"/>
                <w:sz w:val="21"/>
              </w:rPr>
              <w:t xml:space="preserve"> - </w:t>
            </w:r>
            <w:r w:rsidRPr="003F5882">
              <w:rPr>
                <w:rFonts w:ascii="Arial" w:hAnsi="Arial" w:cs="Times New Roman"/>
                <w:sz w:val="21"/>
              </w:rPr>
              <w:t>现金流量表</w:t>
            </w:r>
          </w:p>
        </w:tc>
        <w:tc>
          <w:tcPr>
            <w:tcW w:w="1061" w:type="dxa"/>
            <w:shd w:val="clear" w:color="auto" w:fill="auto"/>
            <w:vAlign w:val="center"/>
          </w:tcPr>
          <w:p w:rsidR="005C4FAF" w:rsidRPr="003F5882" w:rsidRDefault="005C4FAF" w:rsidP="004813DC">
            <w:pPr>
              <w:jc w:val="right"/>
              <w:rPr>
                <w:rFonts w:ascii="Arial" w:hAnsi="Arial" w:cs="Times New Roman"/>
                <w:sz w:val="21"/>
                <w:szCs w:val="22"/>
              </w:rPr>
            </w:pPr>
            <w:r w:rsidRPr="003F5882">
              <w:rPr>
                <w:rFonts w:ascii="Arial" w:hAnsi="Arial" w:cs="Times New Roman"/>
                <w:sz w:val="21"/>
              </w:rPr>
              <w:t>2</w:t>
            </w:r>
            <w:r w:rsidR="004813DC" w:rsidRPr="003F5882">
              <w:rPr>
                <w:rFonts w:ascii="Arial" w:hAnsi="Arial" w:cs="Times New Roman" w:hint="eastAsia"/>
                <w:sz w:val="21"/>
              </w:rPr>
              <w:t>5</w:t>
            </w:r>
          </w:p>
        </w:tc>
      </w:tr>
      <w:tr w:rsidR="005C4FAF" w:rsidRPr="003F5882" w:rsidTr="003312C4">
        <w:tc>
          <w:tcPr>
            <w:tcW w:w="8568" w:type="dxa"/>
            <w:shd w:val="clear" w:color="auto" w:fill="auto"/>
            <w:vAlign w:val="center"/>
          </w:tcPr>
          <w:p w:rsidR="005C4FAF" w:rsidRPr="003F5882" w:rsidRDefault="005C4FAF" w:rsidP="003312C4">
            <w:pPr>
              <w:rPr>
                <w:rFonts w:ascii="Arial" w:hAnsi="Arial" w:cs="Times New Roman"/>
                <w:sz w:val="21"/>
                <w:szCs w:val="22"/>
              </w:rPr>
            </w:pPr>
            <w:r w:rsidRPr="003F5882">
              <w:rPr>
                <w:rFonts w:ascii="Arial" w:hAnsi="Arial" w:cs="Times New Roman"/>
                <w:sz w:val="21"/>
              </w:rPr>
              <w:t>报表五</w:t>
            </w:r>
            <w:r w:rsidRPr="003F5882">
              <w:rPr>
                <w:rFonts w:ascii="Arial" w:hAnsi="Arial" w:cs="Times New Roman"/>
                <w:sz w:val="21"/>
              </w:rPr>
              <w:t xml:space="preserve"> - </w:t>
            </w:r>
            <w:r w:rsidRPr="003F5882">
              <w:rPr>
                <w:rFonts w:ascii="Arial" w:hAnsi="Arial" w:cs="Times New Roman"/>
                <w:sz w:val="21"/>
              </w:rPr>
              <w:t>预算与实际</w:t>
            </w:r>
            <w:r w:rsidR="00E04F07" w:rsidRPr="003F5882">
              <w:rPr>
                <w:rFonts w:ascii="Arial" w:hAnsi="Arial" w:cs="Times New Roman" w:hint="eastAsia"/>
                <w:sz w:val="21"/>
              </w:rPr>
              <w:t>金额</w:t>
            </w:r>
            <w:r w:rsidRPr="003F5882">
              <w:rPr>
                <w:rFonts w:ascii="Arial" w:hAnsi="Arial" w:cs="Times New Roman"/>
                <w:sz w:val="21"/>
              </w:rPr>
              <w:t>对比表</w:t>
            </w:r>
          </w:p>
        </w:tc>
        <w:tc>
          <w:tcPr>
            <w:tcW w:w="1061" w:type="dxa"/>
            <w:shd w:val="clear" w:color="auto" w:fill="auto"/>
            <w:vAlign w:val="center"/>
          </w:tcPr>
          <w:p w:rsidR="005C4FAF" w:rsidRPr="003F5882" w:rsidRDefault="005C4FAF" w:rsidP="004813DC">
            <w:pPr>
              <w:jc w:val="right"/>
              <w:rPr>
                <w:rFonts w:ascii="Arial" w:hAnsi="Arial" w:cs="Times New Roman"/>
                <w:sz w:val="21"/>
                <w:szCs w:val="22"/>
              </w:rPr>
            </w:pPr>
            <w:r w:rsidRPr="003F5882">
              <w:rPr>
                <w:rFonts w:ascii="Arial" w:hAnsi="Arial" w:cs="Times New Roman"/>
                <w:sz w:val="21"/>
              </w:rPr>
              <w:t>2</w:t>
            </w:r>
            <w:r w:rsidR="004813DC" w:rsidRPr="003F5882">
              <w:rPr>
                <w:rFonts w:ascii="Arial" w:hAnsi="Arial" w:cs="Times New Roman" w:hint="eastAsia"/>
                <w:sz w:val="21"/>
              </w:rPr>
              <w:t>6</w:t>
            </w:r>
          </w:p>
        </w:tc>
      </w:tr>
      <w:tr w:rsidR="005C4FAF" w:rsidRPr="003F5882" w:rsidTr="003312C4">
        <w:tc>
          <w:tcPr>
            <w:tcW w:w="8568" w:type="dxa"/>
            <w:shd w:val="clear" w:color="auto" w:fill="auto"/>
            <w:vAlign w:val="center"/>
          </w:tcPr>
          <w:p w:rsidR="005C4FAF" w:rsidRPr="003F5882" w:rsidRDefault="005C4FAF" w:rsidP="003312C4">
            <w:pPr>
              <w:rPr>
                <w:rFonts w:ascii="Arial" w:hAnsi="Arial" w:cs="Times New Roman"/>
                <w:sz w:val="21"/>
                <w:szCs w:val="22"/>
              </w:rPr>
            </w:pPr>
            <w:r w:rsidRPr="003F5882">
              <w:rPr>
                <w:rFonts w:ascii="Arial" w:hAnsi="Arial" w:cs="Times New Roman"/>
                <w:sz w:val="21"/>
              </w:rPr>
              <w:t>财务报表附注</w:t>
            </w:r>
          </w:p>
        </w:tc>
        <w:tc>
          <w:tcPr>
            <w:tcW w:w="1061" w:type="dxa"/>
            <w:shd w:val="clear" w:color="auto" w:fill="auto"/>
            <w:vAlign w:val="center"/>
          </w:tcPr>
          <w:p w:rsidR="005C4FAF" w:rsidRPr="003F5882" w:rsidRDefault="004813DC" w:rsidP="003312C4">
            <w:pPr>
              <w:jc w:val="right"/>
              <w:rPr>
                <w:rFonts w:ascii="Arial" w:hAnsi="Arial" w:cs="Times New Roman"/>
                <w:sz w:val="21"/>
                <w:szCs w:val="22"/>
              </w:rPr>
            </w:pPr>
            <w:r w:rsidRPr="003F5882">
              <w:rPr>
                <w:rFonts w:ascii="Arial" w:hAnsi="Arial" w:cs="Times New Roman" w:hint="eastAsia"/>
                <w:sz w:val="21"/>
              </w:rPr>
              <w:t>28</w:t>
            </w:r>
          </w:p>
        </w:tc>
      </w:tr>
      <w:tr w:rsidR="005C4FAF" w:rsidRPr="003F5882" w:rsidTr="003312C4">
        <w:tc>
          <w:tcPr>
            <w:tcW w:w="8568" w:type="dxa"/>
            <w:shd w:val="clear" w:color="auto" w:fill="auto"/>
            <w:vAlign w:val="center"/>
          </w:tcPr>
          <w:p w:rsidR="005C4FAF" w:rsidRPr="003F5882" w:rsidRDefault="005C4FAF" w:rsidP="003312C4">
            <w:pPr>
              <w:ind w:left="900"/>
              <w:rPr>
                <w:rFonts w:ascii="Arial" w:hAnsi="Arial" w:cs="Times New Roman"/>
                <w:sz w:val="21"/>
                <w:szCs w:val="22"/>
              </w:rPr>
            </w:pPr>
            <w:r w:rsidRPr="003F5882">
              <w:rPr>
                <w:rFonts w:ascii="Arial" w:hAnsi="Arial" w:cs="Times New Roman"/>
                <w:sz w:val="21"/>
              </w:rPr>
              <w:t>附注</w:t>
            </w:r>
            <w:r w:rsidRPr="003F5882">
              <w:rPr>
                <w:rFonts w:ascii="Arial" w:hAnsi="Arial" w:cs="Times New Roman"/>
                <w:sz w:val="21"/>
              </w:rPr>
              <w:t>1</w:t>
            </w:r>
            <w:r w:rsidRPr="003F5882">
              <w:rPr>
                <w:rFonts w:ascii="Arial" w:hAnsi="Arial" w:cs="Times New Roman"/>
                <w:sz w:val="21"/>
              </w:rPr>
              <w:t>：本组织的目标和预算</w:t>
            </w:r>
          </w:p>
        </w:tc>
        <w:tc>
          <w:tcPr>
            <w:tcW w:w="1061" w:type="dxa"/>
            <w:shd w:val="clear" w:color="auto" w:fill="auto"/>
            <w:vAlign w:val="center"/>
          </w:tcPr>
          <w:p w:rsidR="005C4FAF" w:rsidRPr="003F5882" w:rsidRDefault="004813DC" w:rsidP="003312C4">
            <w:pPr>
              <w:jc w:val="right"/>
              <w:rPr>
                <w:rFonts w:ascii="Arial" w:hAnsi="Arial" w:cs="Times New Roman"/>
                <w:sz w:val="21"/>
                <w:szCs w:val="22"/>
              </w:rPr>
            </w:pPr>
            <w:r w:rsidRPr="003F5882">
              <w:rPr>
                <w:rFonts w:ascii="Arial" w:hAnsi="Arial" w:cs="Times New Roman" w:hint="eastAsia"/>
                <w:sz w:val="21"/>
              </w:rPr>
              <w:t>28</w:t>
            </w:r>
          </w:p>
        </w:tc>
      </w:tr>
      <w:tr w:rsidR="005C4FAF" w:rsidRPr="003F5882" w:rsidTr="003312C4">
        <w:tc>
          <w:tcPr>
            <w:tcW w:w="8568" w:type="dxa"/>
            <w:shd w:val="clear" w:color="auto" w:fill="auto"/>
            <w:vAlign w:val="center"/>
          </w:tcPr>
          <w:p w:rsidR="005C4FAF" w:rsidRPr="003F5882" w:rsidRDefault="005C4FAF" w:rsidP="003312C4">
            <w:pPr>
              <w:ind w:left="900"/>
              <w:rPr>
                <w:rFonts w:ascii="Arial" w:hAnsi="Arial" w:cs="Times New Roman"/>
                <w:sz w:val="21"/>
                <w:szCs w:val="22"/>
              </w:rPr>
            </w:pPr>
            <w:r w:rsidRPr="003F5882">
              <w:rPr>
                <w:rFonts w:ascii="Arial" w:hAnsi="Arial" w:cs="Times New Roman"/>
                <w:sz w:val="21"/>
              </w:rPr>
              <w:t>附注</w:t>
            </w:r>
            <w:r w:rsidRPr="003F5882">
              <w:rPr>
                <w:rFonts w:ascii="Arial" w:hAnsi="Arial" w:cs="Times New Roman"/>
                <w:sz w:val="21"/>
              </w:rPr>
              <w:t>2</w:t>
            </w:r>
            <w:r w:rsidRPr="003F5882">
              <w:rPr>
                <w:rFonts w:ascii="Arial" w:hAnsi="Arial" w:cs="Times New Roman"/>
                <w:sz w:val="21"/>
              </w:rPr>
              <w:t>：重大会计政策</w:t>
            </w:r>
          </w:p>
        </w:tc>
        <w:tc>
          <w:tcPr>
            <w:tcW w:w="1061" w:type="dxa"/>
            <w:shd w:val="clear" w:color="auto" w:fill="auto"/>
            <w:vAlign w:val="center"/>
          </w:tcPr>
          <w:p w:rsidR="005C4FAF" w:rsidRPr="003F5882" w:rsidRDefault="004813DC" w:rsidP="003312C4">
            <w:pPr>
              <w:jc w:val="right"/>
              <w:rPr>
                <w:rFonts w:ascii="Arial" w:hAnsi="Arial" w:cs="Times New Roman"/>
                <w:sz w:val="21"/>
                <w:szCs w:val="22"/>
              </w:rPr>
            </w:pPr>
            <w:r w:rsidRPr="003F5882">
              <w:rPr>
                <w:rFonts w:ascii="Arial" w:hAnsi="Arial" w:cs="Times New Roman" w:hint="eastAsia"/>
                <w:sz w:val="21"/>
              </w:rPr>
              <w:t>29</w:t>
            </w:r>
          </w:p>
        </w:tc>
      </w:tr>
      <w:tr w:rsidR="005C4FAF" w:rsidRPr="003F5882" w:rsidTr="003312C4">
        <w:tc>
          <w:tcPr>
            <w:tcW w:w="8568" w:type="dxa"/>
            <w:shd w:val="clear" w:color="auto" w:fill="auto"/>
            <w:vAlign w:val="center"/>
          </w:tcPr>
          <w:p w:rsidR="005C4FAF" w:rsidRPr="003F5882" w:rsidRDefault="005C4FAF" w:rsidP="003312C4">
            <w:pPr>
              <w:ind w:left="900"/>
              <w:rPr>
                <w:rFonts w:ascii="Arial" w:hAnsi="Arial" w:cs="Times New Roman"/>
                <w:sz w:val="21"/>
                <w:szCs w:val="22"/>
              </w:rPr>
            </w:pPr>
            <w:r w:rsidRPr="003F5882">
              <w:rPr>
                <w:rFonts w:ascii="Arial" w:hAnsi="Arial" w:cs="Times New Roman"/>
                <w:sz w:val="21"/>
              </w:rPr>
              <w:t>附注</w:t>
            </w:r>
            <w:r w:rsidRPr="003F5882">
              <w:rPr>
                <w:rFonts w:ascii="Arial" w:hAnsi="Arial" w:cs="Times New Roman"/>
                <w:sz w:val="21"/>
              </w:rPr>
              <w:t>3</w:t>
            </w:r>
            <w:r w:rsidRPr="003F5882">
              <w:rPr>
                <w:rFonts w:ascii="Arial" w:hAnsi="Arial" w:cs="Times New Roman"/>
                <w:sz w:val="21"/>
              </w:rPr>
              <w:t>：现金和现金等价物</w:t>
            </w:r>
          </w:p>
        </w:tc>
        <w:tc>
          <w:tcPr>
            <w:tcW w:w="1061" w:type="dxa"/>
            <w:shd w:val="clear" w:color="auto" w:fill="auto"/>
            <w:vAlign w:val="center"/>
          </w:tcPr>
          <w:p w:rsidR="005C4FAF" w:rsidRPr="003F5882" w:rsidRDefault="005C4FAF" w:rsidP="004813DC">
            <w:pPr>
              <w:jc w:val="right"/>
              <w:rPr>
                <w:rFonts w:ascii="Arial" w:hAnsi="Arial" w:cs="Times New Roman"/>
                <w:sz w:val="21"/>
                <w:szCs w:val="22"/>
              </w:rPr>
            </w:pPr>
            <w:r w:rsidRPr="003F5882">
              <w:rPr>
                <w:rFonts w:ascii="Arial" w:hAnsi="Arial" w:cs="Times New Roman"/>
                <w:sz w:val="21"/>
              </w:rPr>
              <w:t>3</w:t>
            </w:r>
            <w:r w:rsidR="004813DC" w:rsidRPr="003F5882">
              <w:rPr>
                <w:rFonts w:ascii="Arial" w:hAnsi="Arial" w:cs="Times New Roman" w:hint="eastAsia"/>
                <w:sz w:val="21"/>
              </w:rPr>
              <w:t>4</w:t>
            </w:r>
          </w:p>
        </w:tc>
      </w:tr>
      <w:tr w:rsidR="005C4FAF" w:rsidRPr="003F5882" w:rsidTr="003312C4">
        <w:tc>
          <w:tcPr>
            <w:tcW w:w="8568" w:type="dxa"/>
            <w:shd w:val="clear" w:color="auto" w:fill="auto"/>
            <w:vAlign w:val="center"/>
          </w:tcPr>
          <w:p w:rsidR="005C4FAF" w:rsidRPr="003F5882" w:rsidRDefault="005C4FAF" w:rsidP="003312C4">
            <w:pPr>
              <w:ind w:left="900"/>
              <w:rPr>
                <w:rFonts w:ascii="Arial" w:hAnsi="Arial" w:cs="Times New Roman"/>
                <w:sz w:val="21"/>
                <w:szCs w:val="22"/>
              </w:rPr>
            </w:pPr>
            <w:r w:rsidRPr="003F5882">
              <w:rPr>
                <w:rFonts w:ascii="Arial" w:hAnsi="Arial" w:cs="Times New Roman"/>
                <w:sz w:val="21"/>
              </w:rPr>
              <w:t>附注</w:t>
            </w:r>
            <w:r w:rsidRPr="003F5882">
              <w:rPr>
                <w:rFonts w:ascii="Arial" w:hAnsi="Arial" w:cs="Times New Roman"/>
                <w:sz w:val="21"/>
              </w:rPr>
              <w:t>4</w:t>
            </w:r>
            <w:r w:rsidRPr="003F5882">
              <w:rPr>
                <w:rFonts w:ascii="Arial" w:hAnsi="Arial" w:cs="Times New Roman"/>
                <w:sz w:val="21"/>
              </w:rPr>
              <w:t>：应收账款、预付款和预付项目</w:t>
            </w:r>
          </w:p>
        </w:tc>
        <w:tc>
          <w:tcPr>
            <w:tcW w:w="1061" w:type="dxa"/>
            <w:shd w:val="clear" w:color="auto" w:fill="auto"/>
            <w:vAlign w:val="center"/>
          </w:tcPr>
          <w:p w:rsidR="005C4FAF" w:rsidRPr="003F5882" w:rsidRDefault="004813DC" w:rsidP="003312C4">
            <w:pPr>
              <w:jc w:val="right"/>
              <w:rPr>
                <w:rFonts w:ascii="Arial" w:hAnsi="Arial" w:cs="Times New Roman"/>
                <w:sz w:val="21"/>
                <w:szCs w:val="22"/>
              </w:rPr>
            </w:pPr>
            <w:r w:rsidRPr="003F5882">
              <w:rPr>
                <w:rFonts w:ascii="Arial" w:hAnsi="Arial" w:cs="Times New Roman" w:hint="eastAsia"/>
                <w:sz w:val="21"/>
              </w:rPr>
              <w:t>35</w:t>
            </w:r>
          </w:p>
        </w:tc>
      </w:tr>
      <w:tr w:rsidR="005C4FAF" w:rsidRPr="003F5882" w:rsidTr="003312C4">
        <w:tc>
          <w:tcPr>
            <w:tcW w:w="8568" w:type="dxa"/>
            <w:shd w:val="clear" w:color="auto" w:fill="auto"/>
            <w:vAlign w:val="center"/>
          </w:tcPr>
          <w:p w:rsidR="005C4FAF" w:rsidRPr="003F5882" w:rsidRDefault="005C4FAF" w:rsidP="003312C4">
            <w:pPr>
              <w:ind w:left="900"/>
              <w:rPr>
                <w:rFonts w:ascii="Arial" w:hAnsi="Arial" w:cs="Times New Roman"/>
                <w:sz w:val="21"/>
                <w:szCs w:val="22"/>
              </w:rPr>
            </w:pPr>
            <w:r w:rsidRPr="003F5882">
              <w:rPr>
                <w:rFonts w:ascii="Arial" w:hAnsi="Arial" w:cs="Times New Roman"/>
                <w:sz w:val="21"/>
              </w:rPr>
              <w:t>附注</w:t>
            </w:r>
            <w:r w:rsidRPr="003F5882">
              <w:rPr>
                <w:rFonts w:ascii="Arial" w:hAnsi="Arial" w:cs="Times New Roman"/>
                <w:sz w:val="21"/>
              </w:rPr>
              <w:t>5</w:t>
            </w:r>
            <w:r w:rsidRPr="003F5882">
              <w:rPr>
                <w:rFonts w:ascii="Arial" w:hAnsi="Arial" w:cs="Times New Roman"/>
                <w:sz w:val="21"/>
              </w:rPr>
              <w:t>：库存</w:t>
            </w:r>
          </w:p>
        </w:tc>
        <w:tc>
          <w:tcPr>
            <w:tcW w:w="1061" w:type="dxa"/>
            <w:shd w:val="clear" w:color="auto" w:fill="auto"/>
            <w:vAlign w:val="center"/>
          </w:tcPr>
          <w:p w:rsidR="005C4FAF" w:rsidRPr="003F5882" w:rsidRDefault="004813DC" w:rsidP="003312C4">
            <w:pPr>
              <w:jc w:val="right"/>
              <w:rPr>
                <w:rFonts w:ascii="Arial" w:hAnsi="Arial" w:cs="Times New Roman"/>
                <w:sz w:val="21"/>
                <w:szCs w:val="22"/>
              </w:rPr>
            </w:pPr>
            <w:r w:rsidRPr="003F5882">
              <w:rPr>
                <w:rFonts w:ascii="Arial" w:hAnsi="Arial" w:cs="Times New Roman" w:hint="eastAsia"/>
                <w:sz w:val="21"/>
              </w:rPr>
              <w:t>36</w:t>
            </w:r>
          </w:p>
        </w:tc>
      </w:tr>
      <w:tr w:rsidR="005C4FAF" w:rsidRPr="003F5882" w:rsidTr="003312C4">
        <w:tc>
          <w:tcPr>
            <w:tcW w:w="8568" w:type="dxa"/>
            <w:shd w:val="clear" w:color="auto" w:fill="auto"/>
            <w:vAlign w:val="center"/>
          </w:tcPr>
          <w:p w:rsidR="005C4FAF" w:rsidRPr="003F5882" w:rsidRDefault="005C4FAF" w:rsidP="003312C4">
            <w:pPr>
              <w:ind w:left="900"/>
              <w:rPr>
                <w:rFonts w:ascii="Arial" w:hAnsi="Arial" w:cs="Times New Roman"/>
                <w:sz w:val="21"/>
                <w:szCs w:val="22"/>
              </w:rPr>
            </w:pPr>
            <w:r w:rsidRPr="003F5882">
              <w:rPr>
                <w:rFonts w:ascii="Arial" w:hAnsi="Arial" w:cs="Times New Roman"/>
                <w:sz w:val="21"/>
              </w:rPr>
              <w:t>附注</w:t>
            </w:r>
            <w:r w:rsidRPr="003F5882">
              <w:rPr>
                <w:rFonts w:ascii="Arial" w:hAnsi="Arial" w:cs="Times New Roman"/>
                <w:sz w:val="21"/>
              </w:rPr>
              <w:t>6</w:t>
            </w:r>
            <w:r w:rsidRPr="003F5882">
              <w:rPr>
                <w:rFonts w:ascii="Arial" w:hAnsi="Arial" w:cs="Times New Roman"/>
                <w:sz w:val="21"/>
              </w:rPr>
              <w:t>：设备</w:t>
            </w:r>
          </w:p>
        </w:tc>
        <w:tc>
          <w:tcPr>
            <w:tcW w:w="1061" w:type="dxa"/>
            <w:shd w:val="clear" w:color="auto" w:fill="auto"/>
            <w:vAlign w:val="center"/>
          </w:tcPr>
          <w:p w:rsidR="005C4FAF" w:rsidRPr="003F5882" w:rsidRDefault="004813DC" w:rsidP="003312C4">
            <w:pPr>
              <w:jc w:val="right"/>
              <w:rPr>
                <w:rFonts w:ascii="Arial" w:hAnsi="Arial" w:cs="Times New Roman"/>
                <w:sz w:val="21"/>
                <w:szCs w:val="22"/>
              </w:rPr>
            </w:pPr>
            <w:r w:rsidRPr="003F5882">
              <w:rPr>
                <w:rFonts w:ascii="Arial" w:hAnsi="Arial" w:cs="Times New Roman" w:hint="eastAsia"/>
                <w:sz w:val="21"/>
              </w:rPr>
              <w:t>37</w:t>
            </w:r>
          </w:p>
        </w:tc>
      </w:tr>
      <w:tr w:rsidR="005C4FAF" w:rsidRPr="003F5882" w:rsidTr="003312C4">
        <w:tc>
          <w:tcPr>
            <w:tcW w:w="8568" w:type="dxa"/>
            <w:shd w:val="clear" w:color="auto" w:fill="auto"/>
            <w:vAlign w:val="center"/>
          </w:tcPr>
          <w:p w:rsidR="005C4FAF" w:rsidRPr="003F5882" w:rsidRDefault="005C4FAF" w:rsidP="00E04F07">
            <w:pPr>
              <w:ind w:left="900"/>
              <w:rPr>
                <w:rFonts w:ascii="Arial" w:hAnsi="Arial" w:cs="Times New Roman"/>
                <w:sz w:val="21"/>
                <w:szCs w:val="22"/>
              </w:rPr>
            </w:pPr>
            <w:r w:rsidRPr="003F5882">
              <w:rPr>
                <w:rFonts w:ascii="Arial" w:hAnsi="Arial" w:cs="Times New Roman"/>
                <w:sz w:val="21"/>
              </w:rPr>
              <w:t>附注</w:t>
            </w:r>
            <w:r w:rsidRPr="003F5882">
              <w:rPr>
                <w:rFonts w:ascii="Arial" w:hAnsi="Arial" w:cs="Times New Roman"/>
                <w:sz w:val="21"/>
              </w:rPr>
              <w:t>7</w:t>
            </w:r>
            <w:r w:rsidRPr="003F5882">
              <w:rPr>
                <w:rFonts w:ascii="Arial" w:hAnsi="Arial" w:cs="Times New Roman"/>
                <w:sz w:val="21"/>
              </w:rPr>
              <w:t>：投资</w:t>
            </w:r>
            <w:r w:rsidR="00E04F07" w:rsidRPr="003F5882">
              <w:rPr>
                <w:rFonts w:ascii="Arial" w:hAnsi="Arial" w:cs="Times New Roman" w:hint="eastAsia"/>
                <w:sz w:val="21"/>
              </w:rPr>
              <w:t>财</w:t>
            </w:r>
            <w:r w:rsidRPr="003F5882">
              <w:rPr>
                <w:rFonts w:ascii="Arial" w:hAnsi="Arial" w:cs="Times New Roman"/>
                <w:sz w:val="21"/>
              </w:rPr>
              <w:t>产</w:t>
            </w:r>
          </w:p>
        </w:tc>
        <w:tc>
          <w:tcPr>
            <w:tcW w:w="1061" w:type="dxa"/>
            <w:shd w:val="clear" w:color="auto" w:fill="auto"/>
            <w:vAlign w:val="center"/>
          </w:tcPr>
          <w:p w:rsidR="005C4FAF" w:rsidRPr="003F5882" w:rsidRDefault="004813DC" w:rsidP="003312C4">
            <w:pPr>
              <w:jc w:val="right"/>
              <w:rPr>
                <w:rFonts w:ascii="Arial" w:hAnsi="Arial" w:cs="Times New Roman"/>
                <w:sz w:val="21"/>
                <w:szCs w:val="22"/>
              </w:rPr>
            </w:pPr>
            <w:r w:rsidRPr="003F5882">
              <w:rPr>
                <w:rFonts w:ascii="Arial" w:hAnsi="Arial" w:cs="Times New Roman" w:hint="eastAsia"/>
                <w:sz w:val="21"/>
              </w:rPr>
              <w:t>38</w:t>
            </w:r>
          </w:p>
        </w:tc>
      </w:tr>
      <w:tr w:rsidR="005C4FAF" w:rsidRPr="003F5882" w:rsidTr="003312C4">
        <w:tc>
          <w:tcPr>
            <w:tcW w:w="8568" w:type="dxa"/>
            <w:shd w:val="clear" w:color="auto" w:fill="auto"/>
            <w:vAlign w:val="center"/>
          </w:tcPr>
          <w:p w:rsidR="005C4FAF" w:rsidRPr="003F5882" w:rsidRDefault="005C4FAF" w:rsidP="003312C4">
            <w:pPr>
              <w:ind w:left="900"/>
              <w:rPr>
                <w:rFonts w:ascii="Arial" w:hAnsi="Arial" w:cs="Times New Roman"/>
                <w:sz w:val="21"/>
                <w:szCs w:val="22"/>
              </w:rPr>
            </w:pPr>
            <w:r w:rsidRPr="003F5882">
              <w:rPr>
                <w:rFonts w:ascii="Arial" w:hAnsi="Arial" w:cs="Times New Roman"/>
                <w:sz w:val="21"/>
              </w:rPr>
              <w:t>附注</w:t>
            </w:r>
            <w:r w:rsidRPr="003F5882">
              <w:rPr>
                <w:rFonts w:ascii="Arial" w:hAnsi="Arial" w:cs="Times New Roman"/>
                <w:sz w:val="21"/>
              </w:rPr>
              <w:t>8</w:t>
            </w:r>
            <w:r w:rsidRPr="003F5882">
              <w:rPr>
                <w:rFonts w:ascii="Arial" w:hAnsi="Arial" w:cs="Times New Roman"/>
                <w:sz w:val="21"/>
              </w:rPr>
              <w:t>：无形资产</w:t>
            </w:r>
          </w:p>
        </w:tc>
        <w:tc>
          <w:tcPr>
            <w:tcW w:w="1061" w:type="dxa"/>
            <w:shd w:val="clear" w:color="auto" w:fill="auto"/>
            <w:vAlign w:val="center"/>
          </w:tcPr>
          <w:p w:rsidR="005C4FAF" w:rsidRPr="003F5882" w:rsidRDefault="004813DC" w:rsidP="003312C4">
            <w:pPr>
              <w:jc w:val="right"/>
              <w:rPr>
                <w:rFonts w:ascii="Arial" w:hAnsi="Arial" w:cs="Times New Roman"/>
                <w:sz w:val="21"/>
                <w:szCs w:val="22"/>
              </w:rPr>
            </w:pPr>
            <w:r w:rsidRPr="003F5882">
              <w:rPr>
                <w:rFonts w:ascii="Arial" w:hAnsi="Arial" w:cs="Times New Roman" w:hint="eastAsia"/>
                <w:sz w:val="21"/>
              </w:rPr>
              <w:t>39</w:t>
            </w:r>
          </w:p>
        </w:tc>
      </w:tr>
      <w:tr w:rsidR="005C4FAF" w:rsidRPr="003F5882" w:rsidTr="003312C4">
        <w:tc>
          <w:tcPr>
            <w:tcW w:w="8568" w:type="dxa"/>
            <w:shd w:val="clear" w:color="auto" w:fill="auto"/>
            <w:vAlign w:val="center"/>
          </w:tcPr>
          <w:p w:rsidR="005C4FAF" w:rsidRPr="003F5882" w:rsidRDefault="005C4FAF" w:rsidP="003312C4">
            <w:pPr>
              <w:ind w:left="900"/>
              <w:rPr>
                <w:rFonts w:ascii="Arial" w:hAnsi="Arial" w:cs="Times New Roman"/>
                <w:sz w:val="21"/>
                <w:szCs w:val="22"/>
              </w:rPr>
            </w:pPr>
            <w:r w:rsidRPr="003F5882">
              <w:rPr>
                <w:rFonts w:ascii="Arial" w:hAnsi="Arial" w:cs="Times New Roman"/>
                <w:sz w:val="21"/>
              </w:rPr>
              <w:t>附注</w:t>
            </w:r>
            <w:r w:rsidRPr="003F5882">
              <w:rPr>
                <w:rFonts w:ascii="Arial" w:hAnsi="Arial" w:cs="Times New Roman"/>
                <w:sz w:val="21"/>
              </w:rPr>
              <w:t>9</w:t>
            </w:r>
            <w:r w:rsidRPr="003F5882">
              <w:rPr>
                <w:rFonts w:ascii="Arial" w:hAnsi="Arial" w:cs="Times New Roman"/>
                <w:sz w:val="21"/>
              </w:rPr>
              <w:t>：土地和建筑物</w:t>
            </w:r>
          </w:p>
        </w:tc>
        <w:tc>
          <w:tcPr>
            <w:tcW w:w="1061" w:type="dxa"/>
            <w:shd w:val="clear" w:color="auto" w:fill="auto"/>
            <w:vAlign w:val="center"/>
          </w:tcPr>
          <w:p w:rsidR="005C4FAF" w:rsidRPr="003F5882" w:rsidRDefault="005C4FAF" w:rsidP="004813DC">
            <w:pPr>
              <w:jc w:val="right"/>
              <w:rPr>
                <w:rFonts w:ascii="Arial" w:hAnsi="Arial" w:cs="Times New Roman"/>
                <w:sz w:val="21"/>
                <w:szCs w:val="22"/>
              </w:rPr>
            </w:pPr>
            <w:r w:rsidRPr="003F5882">
              <w:rPr>
                <w:rFonts w:ascii="Arial" w:hAnsi="Arial" w:cs="Times New Roman"/>
                <w:sz w:val="21"/>
              </w:rPr>
              <w:t>4</w:t>
            </w:r>
            <w:r w:rsidR="004813DC" w:rsidRPr="003F5882">
              <w:rPr>
                <w:rFonts w:ascii="Arial" w:hAnsi="Arial" w:cs="Times New Roman" w:hint="eastAsia"/>
                <w:sz w:val="21"/>
              </w:rPr>
              <w:t>0</w:t>
            </w:r>
          </w:p>
        </w:tc>
      </w:tr>
      <w:tr w:rsidR="005C4FAF" w:rsidRPr="003F5882" w:rsidTr="003312C4">
        <w:tc>
          <w:tcPr>
            <w:tcW w:w="8568" w:type="dxa"/>
            <w:shd w:val="clear" w:color="auto" w:fill="auto"/>
            <w:vAlign w:val="center"/>
          </w:tcPr>
          <w:p w:rsidR="005C4FAF" w:rsidRPr="003F5882" w:rsidRDefault="005C4FAF" w:rsidP="003312C4">
            <w:pPr>
              <w:ind w:left="900"/>
              <w:rPr>
                <w:rFonts w:ascii="Arial" w:hAnsi="Arial" w:cs="Times New Roman"/>
                <w:sz w:val="21"/>
                <w:szCs w:val="22"/>
              </w:rPr>
            </w:pPr>
            <w:r w:rsidRPr="003F5882">
              <w:rPr>
                <w:rFonts w:ascii="Arial" w:hAnsi="Arial" w:cs="Times New Roman"/>
                <w:sz w:val="21"/>
              </w:rPr>
              <w:t>附注</w:t>
            </w:r>
            <w:r w:rsidRPr="003F5882">
              <w:rPr>
                <w:rFonts w:ascii="Arial" w:hAnsi="Arial" w:cs="Times New Roman"/>
                <w:sz w:val="21"/>
              </w:rPr>
              <w:t>10</w:t>
            </w:r>
            <w:r w:rsidRPr="003F5882">
              <w:rPr>
                <w:rFonts w:ascii="Arial" w:hAnsi="Arial" w:cs="Times New Roman"/>
                <w:sz w:val="21"/>
              </w:rPr>
              <w:t>：其他非流动资产</w:t>
            </w:r>
          </w:p>
        </w:tc>
        <w:tc>
          <w:tcPr>
            <w:tcW w:w="1061" w:type="dxa"/>
            <w:shd w:val="clear" w:color="auto" w:fill="auto"/>
            <w:vAlign w:val="center"/>
          </w:tcPr>
          <w:p w:rsidR="005C4FAF" w:rsidRPr="003F5882" w:rsidRDefault="004813DC" w:rsidP="003312C4">
            <w:pPr>
              <w:jc w:val="right"/>
              <w:rPr>
                <w:rFonts w:ascii="Arial" w:hAnsi="Arial" w:cs="Times New Roman"/>
                <w:sz w:val="21"/>
                <w:szCs w:val="22"/>
              </w:rPr>
            </w:pPr>
            <w:r w:rsidRPr="003F5882">
              <w:rPr>
                <w:rFonts w:ascii="Arial" w:hAnsi="Arial" w:cs="Times New Roman" w:hint="eastAsia"/>
                <w:sz w:val="21"/>
              </w:rPr>
              <w:t>43</w:t>
            </w:r>
          </w:p>
        </w:tc>
      </w:tr>
      <w:tr w:rsidR="005C4FAF" w:rsidRPr="003F5882" w:rsidTr="003312C4">
        <w:tc>
          <w:tcPr>
            <w:tcW w:w="8568" w:type="dxa"/>
            <w:shd w:val="clear" w:color="auto" w:fill="auto"/>
            <w:vAlign w:val="center"/>
          </w:tcPr>
          <w:p w:rsidR="005C4FAF" w:rsidRPr="003F5882" w:rsidRDefault="005C4FAF" w:rsidP="003312C4">
            <w:pPr>
              <w:ind w:left="900"/>
              <w:rPr>
                <w:rFonts w:ascii="Arial" w:hAnsi="Arial" w:cs="Times New Roman"/>
                <w:sz w:val="21"/>
                <w:szCs w:val="22"/>
              </w:rPr>
            </w:pPr>
            <w:r w:rsidRPr="003F5882">
              <w:rPr>
                <w:rFonts w:ascii="Arial" w:hAnsi="Arial" w:cs="Times New Roman"/>
                <w:sz w:val="21"/>
              </w:rPr>
              <w:t>附注</w:t>
            </w:r>
            <w:r w:rsidRPr="003F5882">
              <w:rPr>
                <w:rFonts w:ascii="Arial" w:hAnsi="Arial" w:cs="Times New Roman"/>
                <w:sz w:val="21"/>
              </w:rPr>
              <w:t>11</w:t>
            </w:r>
            <w:r w:rsidRPr="003F5882">
              <w:rPr>
                <w:rFonts w:ascii="Arial" w:hAnsi="Arial" w:cs="Times New Roman"/>
                <w:sz w:val="21"/>
              </w:rPr>
              <w:t>：应付账款</w:t>
            </w:r>
          </w:p>
        </w:tc>
        <w:tc>
          <w:tcPr>
            <w:tcW w:w="1061" w:type="dxa"/>
            <w:shd w:val="clear" w:color="auto" w:fill="auto"/>
            <w:vAlign w:val="center"/>
          </w:tcPr>
          <w:p w:rsidR="005C4FAF" w:rsidRPr="003F5882" w:rsidRDefault="004813DC" w:rsidP="003312C4">
            <w:pPr>
              <w:jc w:val="right"/>
              <w:rPr>
                <w:rFonts w:ascii="Arial" w:hAnsi="Arial" w:cs="Times New Roman"/>
                <w:sz w:val="21"/>
                <w:szCs w:val="22"/>
              </w:rPr>
            </w:pPr>
            <w:r w:rsidRPr="003F5882">
              <w:rPr>
                <w:rFonts w:ascii="Arial" w:hAnsi="Arial" w:cs="Times New Roman" w:hint="eastAsia"/>
                <w:sz w:val="21"/>
              </w:rPr>
              <w:t>44</w:t>
            </w:r>
          </w:p>
        </w:tc>
      </w:tr>
      <w:tr w:rsidR="005C4FAF" w:rsidRPr="003F5882" w:rsidTr="003312C4">
        <w:tc>
          <w:tcPr>
            <w:tcW w:w="8568" w:type="dxa"/>
            <w:shd w:val="clear" w:color="auto" w:fill="auto"/>
            <w:vAlign w:val="center"/>
          </w:tcPr>
          <w:p w:rsidR="005C4FAF" w:rsidRPr="003F5882" w:rsidRDefault="005C4FAF" w:rsidP="003312C4">
            <w:pPr>
              <w:ind w:left="900"/>
              <w:rPr>
                <w:rFonts w:ascii="Arial" w:hAnsi="Arial" w:cs="Times New Roman"/>
                <w:sz w:val="21"/>
                <w:szCs w:val="22"/>
              </w:rPr>
            </w:pPr>
            <w:r w:rsidRPr="003F5882">
              <w:rPr>
                <w:rFonts w:ascii="Arial" w:hAnsi="Arial" w:cs="Times New Roman"/>
                <w:sz w:val="21"/>
              </w:rPr>
              <w:t>附注</w:t>
            </w:r>
            <w:r w:rsidRPr="003F5882">
              <w:rPr>
                <w:rFonts w:ascii="Arial" w:hAnsi="Arial" w:cs="Times New Roman"/>
                <w:sz w:val="21"/>
              </w:rPr>
              <w:t>12</w:t>
            </w:r>
            <w:r w:rsidRPr="003F5882">
              <w:rPr>
                <w:rFonts w:ascii="Arial" w:hAnsi="Arial" w:cs="Times New Roman"/>
                <w:sz w:val="21"/>
              </w:rPr>
              <w:t>：雇员福利</w:t>
            </w:r>
          </w:p>
        </w:tc>
        <w:tc>
          <w:tcPr>
            <w:tcW w:w="1061" w:type="dxa"/>
            <w:shd w:val="clear" w:color="auto" w:fill="auto"/>
            <w:vAlign w:val="center"/>
          </w:tcPr>
          <w:p w:rsidR="005C4FAF" w:rsidRPr="003F5882" w:rsidRDefault="005C4FAF" w:rsidP="004813DC">
            <w:pPr>
              <w:jc w:val="right"/>
              <w:rPr>
                <w:rFonts w:ascii="Arial" w:hAnsi="Arial" w:cs="Times New Roman"/>
                <w:sz w:val="21"/>
                <w:szCs w:val="22"/>
              </w:rPr>
            </w:pPr>
            <w:r w:rsidRPr="003F5882">
              <w:rPr>
                <w:rFonts w:ascii="Arial" w:hAnsi="Arial" w:cs="Times New Roman"/>
                <w:sz w:val="21"/>
              </w:rPr>
              <w:t>4</w:t>
            </w:r>
            <w:r w:rsidR="004813DC" w:rsidRPr="003F5882">
              <w:rPr>
                <w:rFonts w:ascii="Arial" w:hAnsi="Arial" w:cs="Times New Roman" w:hint="eastAsia"/>
                <w:sz w:val="21"/>
              </w:rPr>
              <w:t>4</w:t>
            </w:r>
          </w:p>
        </w:tc>
      </w:tr>
      <w:tr w:rsidR="005C4FAF" w:rsidRPr="003F5882" w:rsidTr="003312C4">
        <w:tc>
          <w:tcPr>
            <w:tcW w:w="8568" w:type="dxa"/>
            <w:shd w:val="clear" w:color="auto" w:fill="auto"/>
            <w:vAlign w:val="center"/>
          </w:tcPr>
          <w:p w:rsidR="005C4FAF" w:rsidRPr="003F5882" w:rsidRDefault="005C4FAF" w:rsidP="003312C4">
            <w:pPr>
              <w:ind w:left="900"/>
              <w:rPr>
                <w:rFonts w:ascii="Arial" w:hAnsi="Arial" w:cs="Times New Roman"/>
                <w:sz w:val="21"/>
                <w:szCs w:val="22"/>
              </w:rPr>
            </w:pPr>
            <w:r w:rsidRPr="003F5882">
              <w:rPr>
                <w:rFonts w:ascii="Arial" w:hAnsi="Arial" w:cs="Times New Roman"/>
                <w:sz w:val="21"/>
              </w:rPr>
              <w:t>附注</w:t>
            </w:r>
            <w:r w:rsidRPr="003F5882">
              <w:rPr>
                <w:rFonts w:ascii="Arial" w:hAnsi="Arial" w:cs="Times New Roman"/>
                <w:sz w:val="21"/>
              </w:rPr>
              <w:t>13</w:t>
            </w:r>
            <w:r w:rsidRPr="003F5882">
              <w:rPr>
                <w:rFonts w:ascii="Arial" w:hAnsi="Arial" w:cs="Times New Roman"/>
                <w:sz w:val="21"/>
              </w:rPr>
              <w:t>：应付转账款</w:t>
            </w:r>
          </w:p>
        </w:tc>
        <w:tc>
          <w:tcPr>
            <w:tcW w:w="1061" w:type="dxa"/>
            <w:shd w:val="clear" w:color="auto" w:fill="auto"/>
            <w:vAlign w:val="center"/>
          </w:tcPr>
          <w:p w:rsidR="005C4FAF" w:rsidRPr="003F5882" w:rsidRDefault="004813DC" w:rsidP="003312C4">
            <w:pPr>
              <w:jc w:val="right"/>
              <w:rPr>
                <w:rFonts w:ascii="Arial" w:hAnsi="Arial" w:cs="Times New Roman"/>
                <w:sz w:val="21"/>
                <w:szCs w:val="22"/>
              </w:rPr>
            </w:pPr>
            <w:r w:rsidRPr="003F5882">
              <w:rPr>
                <w:rFonts w:ascii="Arial" w:hAnsi="Arial" w:cs="Times New Roman" w:hint="eastAsia"/>
                <w:sz w:val="21"/>
              </w:rPr>
              <w:t>50</w:t>
            </w:r>
          </w:p>
        </w:tc>
      </w:tr>
      <w:tr w:rsidR="005C4FAF" w:rsidRPr="003F5882" w:rsidTr="003312C4">
        <w:tc>
          <w:tcPr>
            <w:tcW w:w="8568" w:type="dxa"/>
            <w:shd w:val="clear" w:color="auto" w:fill="auto"/>
            <w:vAlign w:val="center"/>
          </w:tcPr>
          <w:p w:rsidR="005C4FAF" w:rsidRPr="003F5882" w:rsidRDefault="005C4FAF" w:rsidP="003312C4">
            <w:pPr>
              <w:ind w:left="900"/>
              <w:rPr>
                <w:rFonts w:ascii="Arial" w:hAnsi="Arial" w:cs="Times New Roman"/>
                <w:sz w:val="21"/>
                <w:szCs w:val="22"/>
              </w:rPr>
            </w:pPr>
            <w:r w:rsidRPr="003F5882">
              <w:rPr>
                <w:rFonts w:ascii="Arial" w:hAnsi="Arial" w:cs="Times New Roman"/>
                <w:sz w:val="21"/>
              </w:rPr>
              <w:t>附注</w:t>
            </w:r>
            <w:r w:rsidRPr="003F5882">
              <w:rPr>
                <w:rFonts w:ascii="Arial" w:hAnsi="Arial" w:cs="Times New Roman"/>
                <w:sz w:val="21"/>
              </w:rPr>
              <w:t>14</w:t>
            </w:r>
            <w:r w:rsidRPr="003F5882">
              <w:rPr>
                <w:rFonts w:ascii="Arial" w:hAnsi="Arial" w:cs="Times New Roman"/>
                <w:sz w:val="21"/>
              </w:rPr>
              <w:t>：预收款</w:t>
            </w:r>
          </w:p>
        </w:tc>
        <w:tc>
          <w:tcPr>
            <w:tcW w:w="1061" w:type="dxa"/>
            <w:shd w:val="clear" w:color="auto" w:fill="auto"/>
            <w:vAlign w:val="center"/>
          </w:tcPr>
          <w:p w:rsidR="005C4FAF" w:rsidRPr="003F5882" w:rsidRDefault="004813DC" w:rsidP="003312C4">
            <w:pPr>
              <w:jc w:val="right"/>
              <w:rPr>
                <w:rFonts w:ascii="Arial" w:hAnsi="Arial" w:cs="Times New Roman"/>
                <w:sz w:val="21"/>
                <w:szCs w:val="22"/>
              </w:rPr>
            </w:pPr>
            <w:r w:rsidRPr="003F5882">
              <w:rPr>
                <w:rFonts w:ascii="Arial" w:hAnsi="Arial" w:cs="Times New Roman" w:hint="eastAsia"/>
                <w:sz w:val="21"/>
              </w:rPr>
              <w:t>51</w:t>
            </w:r>
          </w:p>
        </w:tc>
      </w:tr>
      <w:tr w:rsidR="005C4FAF" w:rsidRPr="003F5882" w:rsidTr="003312C4">
        <w:tc>
          <w:tcPr>
            <w:tcW w:w="8568" w:type="dxa"/>
            <w:shd w:val="clear" w:color="auto" w:fill="auto"/>
            <w:vAlign w:val="center"/>
          </w:tcPr>
          <w:p w:rsidR="005C4FAF" w:rsidRPr="003F5882" w:rsidRDefault="005C4FAF" w:rsidP="003312C4">
            <w:pPr>
              <w:ind w:left="900"/>
              <w:rPr>
                <w:rFonts w:ascii="Arial" w:hAnsi="Arial" w:cs="Times New Roman"/>
                <w:sz w:val="21"/>
                <w:szCs w:val="22"/>
              </w:rPr>
            </w:pPr>
            <w:r w:rsidRPr="003F5882">
              <w:rPr>
                <w:rFonts w:ascii="Arial" w:hAnsi="Arial" w:cs="Times New Roman"/>
                <w:sz w:val="21"/>
              </w:rPr>
              <w:t>附注</w:t>
            </w:r>
            <w:r w:rsidRPr="003F5882">
              <w:rPr>
                <w:rFonts w:ascii="Arial" w:hAnsi="Arial" w:cs="Times New Roman"/>
                <w:sz w:val="21"/>
              </w:rPr>
              <w:t>15</w:t>
            </w:r>
            <w:r w:rsidRPr="003F5882">
              <w:rPr>
                <w:rFonts w:ascii="Arial" w:hAnsi="Arial" w:cs="Times New Roman"/>
                <w:sz w:val="21"/>
              </w:rPr>
              <w:t>：借款</w:t>
            </w:r>
          </w:p>
        </w:tc>
        <w:tc>
          <w:tcPr>
            <w:tcW w:w="1061" w:type="dxa"/>
            <w:shd w:val="clear" w:color="auto" w:fill="auto"/>
            <w:vAlign w:val="center"/>
          </w:tcPr>
          <w:p w:rsidR="005C4FAF" w:rsidRPr="003F5882" w:rsidRDefault="004813DC" w:rsidP="003312C4">
            <w:pPr>
              <w:jc w:val="right"/>
              <w:rPr>
                <w:rFonts w:ascii="Arial" w:hAnsi="Arial" w:cs="Times New Roman"/>
                <w:sz w:val="21"/>
                <w:szCs w:val="22"/>
              </w:rPr>
            </w:pPr>
            <w:r w:rsidRPr="003F5882">
              <w:rPr>
                <w:rFonts w:ascii="Arial" w:hAnsi="Arial" w:cs="Times New Roman" w:hint="eastAsia"/>
                <w:sz w:val="21"/>
              </w:rPr>
              <w:t>52</w:t>
            </w:r>
          </w:p>
        </w:tc>
      </w:tr>
      <w:tr w:rsidR="005C4FAF" w:rsidRPr="003F5882" w:rsidTr="003312C4">
        <w:tc>
          <w:tcPr>
            <w:tcW w:w="8568" w:type="dxa"/>
            <w:shd w:val="clear" w:color="auto" w:fill="auto"/>
            <w:vAlign w:val="center"/>
          </w:tcPr>
          <w:p w:rsidR="005C4FAF" w:rsidRPr="003F5882" w:rsidRDefault="005C4FAF" w:rsidP="003312C4">
            <w:pPr>
              <w:ind w:left="900"/>
              <w:rPr>
                <w:rFonts w:ascii="Arial" w:hAnsi="Arial" w:cs="Times New Roman"/>
                <w:sz w:val="21"/>
                <w:szCs w:val="22"/>
              </w:rPr>
            </w:pPr>
            <w:r w:rsidRPr="003F5882">
              <w:rPr>
                <w:rFonts w:ascii="Arial" w:hAnsi="Arial" w:cs="Times New Roman"/>
                <w:sz w:val="21"/>
              </w:rPr>
              <w:t>附注</w:t>
            </w:r>
            <w:r w:rsidRPr="003F5882">
              <w:rPr>
                <w:rFonts w:ascii="Arial" w:hAnsi="Arial" w:cs="Times New Roman"/>
                <w:sz w:val="21"/>
              </w:rPr>
              <w:t>16</w:t>
            </w:r>
            <w:r w:rsidRPr="003F5882">
              <w:rPr>
                <w:rFonts w:ascii="Arial" w:hAnsi="Arial" w:cs="Times New Roman"/>
                <w:sz w:val="21"/>
              </w:rPr>
              <w:t>：准备金</w:t>
            </w:r>
          </w:p>
        </w:tc>
        <w:tc>
          <w:tcPr>
            <w:tcW w:w="1061" w:type="dxa"/>
            <w:shd w:val="clear" w:color="auto" w:fill="auto"/>
            <w:vAlign w:val="center"/>
          </w:tcPr>
          <w:p w:rsidR="005C4FAF" w:rsidRPr="003F5882" w:rsidRDefault="004813DC" w:rsidP="003312C4">
            <w:pPr>
              <w:jc w:val="right"/>
              <w:rPr>
                <w:rFonts w:ascii="Arial" w:hAnsi="Arial" w:cs="Times New Roman"/>
                <w:sz w:val="21"/>
                <w:szCs w:val="22"/>
              </w:rPr>
            </w:pPr>
            <w:r w:rsidRPr="003F5882">
              <w:rPr>
                <w:rFonts w:ascii="Arial" w:hAnsi="Arial" w:cs="Times New Roman" w:hint="eastAsia"/>
                <w:sz w:val="21"/>
              </w:rPr>
              <w:t>53</w:t>
            </w:r>
          </w:p>
        </w:tc>
      </w:tr>
      <w:tr w:rsidR="005C4FAF" w:rsidRPr="003F5882" w:rsidTr="003312C4">
        <w:tc>
          <w:tcPr>
            <w:tcW w:w="8568" w:type="dxa"/>
            <w:shd w:val="clear" w:color="auto" w:fill="auto"/>
            <w:vAlign w:val="center"/>
          </w:tcPr>
          <w:p w:rsidR="005C4FAF" w:rsidRPr="003F5882" w:rsidRDefault="005C4FAF" w:rsidP="003312C4">
            <w:pPr>
              <w:ind w:left="900"/>
              <w:rPr>
                <w:rFonts w:ascii="Arial" w:hAnsi="Arial" w:cs="Times New Roman"/>
                <w:sz w:val="21"/>
                <w:szCs w:val="22"/>
              </w:rPr>
            </w:pPr>
            <w:r w:rsidRPr="003F5882">
              <w:rPr>
                <w:rFonts w:ascii="Arial" w:hAnsi="Arial" w:cs="Times New Roman"/>
                <w:sz w:val="21"/>
              </w:rPr>
              <w:t>附注</w:t>
            </w:r>
            <w:r w:rsidRPr="003F5882">
              <w:rPr>
                <w:rFonts w:ascii="Arial" w:hAnsi="Arial" w:cs="Times New Roman"/>
                <w:sz w:val="21"/>
              </w:rPr>
              <w:t>17</w:t>
            </w:r>
            <w:r w:rsidRPr="003F5882">
              <w:rPr>
                <w:rFonts w:ascii="Arial" w:hAnsi="Arial" w:cs="Times New Roman"/>
                <w:sz w:val="21"/>
              </w:rPr>
              <w:t>：其他负债</w:t>
            </w:r>
          </w:p>
        </w:tc>
        <w:tc>
          <w:tcPr>
            <w:tcW w:w="1061" w:type="dxa"/>
            <w:shd w:val="clear" w:color="auto" w:fill="auto"/>
            <w:vAlign w:val="center"/>
          </w:tcPr>
          <w:p w:rsidR="005C4FAF" w:rsidRPr="003F5882" w:rsidRDefault="004813DC" w:rsidP="003312C4">
            <w:pPr>
              <w:jc w:val="right"/>
              <w:rPr>
                <w:rFonts w:ascii="Arial" w:hAnsi="Arial" w:cs="Times New Roman"/>
                <w:sz w:val="21"/>
                <w:szCs w:val="22"/>
              </w:rPr>
            </w:pPr>
            <w:r w:rsidRPr="003F5882">
              <w:rPr>
                <w:rFonts w:ascii="Arial" w:hAnsi="Arial" w:cs="Times New Roman" w:hint="eastAsia"/>
                <w:sz w:val="21"/>
              </w:rPr>
              <w:t>53</w:t>
            </w:r>
          </w:p>
        </w:tc>
      </w:tr>
      <w:tr w:rsidR="005C4FAF" w:rsidRPr="003F5882" w:rsidTr="003312C4">
        <w:tc>
          <w:tcPr>
            <w:tcW w:w="8568" w:type="dxa"/>
            <w:shd w:val="clear" w:color="auto" w:fill="auto"/>
            <w:vAlign w:val="center"/>
          </w:tcPr>
          <w:p w:rsidR="005C4FAF" w:rsidRPr="003F5882" w:rsidRDefault="005C4FAF" w:rsidP="003312C4">
            <w:pPr>
              <w:ind w:left="900"/>
              <w:rPr>
                <w:rFonts w:ascii="Arial" w:hAnsi="Arial" w:cs="Times New Roman"/>
                <w:sz w:val="21"/>
                <w:szCs w:val="22"/>
              </w:rPr>
            </w:pPr>
            <w:r w:rsidRPr="003F5882">
              <w:rPr>
                <w:rFonts w:ascii="Arial" w:hAnsi="Arial" w:cs="Times New Roman"/>
                <w:sz w:val="21"/>
              </w:rPr>
              <w:t>附注</w:t>
            </w:r>
            <w:r w:rsidRPr="003F5882">
              <w:rPr>
                <w:rFonts w:ascii="Arial" w:hAnsi="Arial" w:cs="Times New Roman"/>
                <w:sz w:val="21"/>
              </w:rPr>
              <w:t>18</w:t>
            </w:r>
            <w:r w:rsidRPr="003F5882">
              <w:rPr>
                <w:rFonts w:ascii="Arial" w:hAnsi="Arial" w:cs="Times New Roman"/>
                <w:sz w:val="21"/>
              </w:rPr>
              <w:t>：或有资产和负债</w:t>
            </w:r>
          </w:p>
        </w:tc>
        <w:tc>
          <w:tcPr>
            <w:tcW w:w="1061" w:type="dxa"/>
            <w:shd w:val="clear" w:color="auto" w:fill="auto"/>
            <w:vAlign w:val="center"/>
          </w:tcPr>
          <w:p w:rsidR="005C4FAF" w:rsidRPr="003F5882" w:rsidRDefault="004813DC" w:rsidP="003312C4">
            <w:pPr>
              <w:jc w:val="right"/>
              <w:rPr>
                <w:rFonts w:ascii="Arial" w:hAnsi="Arial" w:cs="Times New Roman"/>
                <w:sz w:val="21"/>
                <w:szCs w:val="22"/>
              </w:rPr>
            </w:pPr>
            <w:r w:rsidRPr="003F5882">
              <w:rPr>
                <w:rFonts w:ascii="Arial" w:hAnsi="Arial" w:cs="Times New Roman" w:hint="eastAsia"/>
                <w:sz w:val="21"/>
              </w:rPr>
              <w:t>54</w:t>
            </w:r>
          </w:p>
        </w:tc>
      </w:tr>
      <w:tr w:rsidR="005C4FAF" w:rsidRPr="003F5882" w:rsidTr="003312C4">
        <w:tc>
          <w:tcPr>
            <w:tcW w:w="8568" w:type="dxa"/>
            <w:shd w:val="clear" w:color="auto" w:fill="auto"/>
            <w:vAlign w:val="center"/>
          </w:tcPr>
          <w:p w:rsidR="005C4FAF" w:rsidRPr="003F5882" w:rsidRDefault="005C4FAF" w:rsidP="003312C4">
            <w:pPr>
              <w:ind w:left="900"/>
              <w:rPr>
                <w:rFonts w:ascii="Arial" w:hAnsi="Arial" w:cs="Times New Roman"/>
                <w:sz w:val="21"/>
                <w:szCs w:val="22"/>
              </w:rPr>
            </w:pPr>
            <w:r w:rsidRPr="003F5882">
              <w:rPr>
                <w:rFonts w:ascii="Arial" w:hAnsi="Arial" w:cs="Times New Roman"/>
                <w:sz w:val="21"/>
              </w:rPr>
              <w:t>附注</w:t>
            </w:r>
            <w:r w:rsidRPr="003F5882">
              <w:rPr>
                <w:rFonts w:ascii="Arial" w:hAnsi="Arial" w:cs="Times New Roman"/>
                <w:sz w:val="21"/>
              </w:rPr>
              <w:t>19</w:t>
            </w:r>
            <w:r w:rsidRPr="003F5882">
              <w:rPr>
                <w:rFonts w:ascii="Arial" w:hAnsi="Arial" w:cs="Times New Roman"/>
                <w:sz w:val="21"/>
              </w:rPr>
              <w:t>：租赁</w:t>
            </w:r>
          </w:p>
        </w:tc>
        <w:tc>
          <w:tcPr>
            <w:tcW w:w="1061" w:type="dxa"/>
            <w:shd w:val="clear" w:color="auto" w:fill="auto"/>
            <w:vAlign w:val="center"/>
          </w:tcPr>
          <w:p w:rsidR="005C4FAF" w:rsidRPr="003F5882" w:rsidRDefault="004813DC" w:rsidP="003312C4">
            <w:pPr>
              <w:jc w:val="right"/>
              <w:rPr>
                <w:rFonts w:ascii="Arial" w:hAnsi="Arial" w:cs="Times New Roman"/>
                <w:sz w:val="21"/>
                <w:szCs w:val="22"/>
              </w:rPr>
            </w:pPr>
            <w:r w:rsidRPr="003F5882">
              <w:rPr>
                <w:rFonts w:ascii="Arial" w:hAnsi="Arial" w:cs="Times New Roman" w:hint="eastAsia"/>
                <w:sz w:val="21"/>
              </w:rPr>
              <w:t>54</w:t>
            </w:r>
          </w:p>
        </w:tc>
      </w:tr>
      <w:tr w:rsidR="005C4FAF" w:rsidRPr="003F5882" w:rsidTr="003312C4">
        <w:tc>
          <w:tcPr>
            <w:tcW w:w="8568" w:type="dxa"/>
            <w:shd w:val="clear" w:color="auto" w:fill="auto"/>
            <w:vAlign w:val="center"/>
          </w:tcPr>
          <w:p w:rsidR="005C4FAF" w:rsidRPr="003F5882" w:rsidRDefault="005C4FAF" w:rsidP="003312C4">
            <w:pPr>
              <w:ind w:left="900"/>
              <w:rPr>
                <w:rFonts w:ascii="Arial" w:hAnsi="Arial" w:cs="Times New Roman"/>
                <w:sz w:val="21"/>
                <w:szCs w:val="22"/>
              </w:rPr>
            </w:pPr>
            <w:r w:rsidRPr="003F5882">
              <w:rPr>
                <w:rFonts w:ascii="Arial" w:hAnsi="Arial" w:cs="Times New Roman"/>
                <w:sz w:val="21"/>
              </w:rPr>
              <w:t>附注</w:t>
            </w:r>
            <w:r w:rsidRPr="003F5882">
              <w:rPr>
                <w:rFonts w:ascii="Arial" w:hAnsi="Arial" w:cs="Times New Roman"/>
                <w:sz w:val="21"/>
              </w:rPr>
              <w:t>20</w:t>
            </w:r>
            <w:r w:rsidRPr="003F5882">
              <w:rPr>
                <w:rFonts w:ascii="Arial" w:hAnsi="Arial" w:cs="Times New Roman"/>
                <w:sz w:val="21"/>
              </w:rPr>
              <w:t>：相关方交易</w:t>
            </w:r>
          </w:p>
        </w:tc>
        <w:tc>
          <w:tcPr>
            <w:tcW w:w="1061" w:type="dxa"/>
            <w:shd w:val="clear" w:color="auto" w:fill="auto"/>
            <w:vAlign w:val="center"/>
          </w:tcPr>
          <w:p w:rsidR="005C4FAF" w:rsidRPr="003F5882" w:rsidRDefault="004813DC" w:rsidP="00B31204">
            <w:pPr>
              <w:jc w:val="right"/>
              <w:rPr>
                <w:rFonts w:ascii="Arial" w:hAnsi="Arial" w:cs="Times New Roman"/>
                <w:sz w:val="21"/>
                <w:szCs w:val="22"/>
              </w:rPr>
            </w:pPr>
            <w:r w:rsidRPr="003F5882">
              <w:rPr>
                <w:rFonts w:ascii="Arial" w:hAnsi="Arial" w:cs="Times New Roman" w:hint="eastAsia"/>
                <w:sz w:val="21"/>
              </w:rPr>
              <w:t>5</w:t>
            </w:r>
            <w:r w:rsidR="00B31204">
              <w:rPr>
                <w:rFonts w:ascii="Arial" w:hAnsi="Arial" w:cs="Times New Roman" w:hint="eastAsia"/>
                <w:sz w:val="21"/>
              </w:rPr>
              <w:t>4</w:t>
            </w:r>
          </w:p>
        </w:tc>
      </w:tr>
      <w:tr w:rsidR="005C4FAF" w:rsidRPr="003F5882" w:rsidTr="003312C4">
        <w:tc>
          <w:tcPr>
            <w:tcW w:w="8568" w:type="dxa"/>
            <w:shd w:val="clear" w:color="auto" w:fill="auto"/>
            <w:vAlign w:val="center"/>
          </w:tcPr>
          <w:p w:rsidR="005C4FAF" w:rsidRPr="003F5882" w:rsidRDefault="005C4FAF" w:rsidP="003312C4">
            <w:pPr>
              <w:ind w:left="900"/>
              <w:rPr>
                <w:rFonts w:ascii="Arial" w:hAnsi="Arial" w:cs="Times New Roman"/>
                <w:sz w:val="21"/>
                <w:szCs w:val="22"/>
              </w:rPr>
            </w:pPr>
            <w:r w:rsidRPr="003F5882">
              <w:rPr>
                <w:rFonts w:ascii="Arial" w:hAnsi="Arial" w:cs="Times New Roman"/>
                <w:sz w:val="21"/>
              </w:rPr>
              <w:t>附注</w:t>
            </w:r>
            <w:r w:rsidRPr="003F5882">
              <w:rPr>
                <w:rFonts w:ascii="Arial" w:hAnsi="Arial" w:cs="Times New Roman"/>
                <w:sz w:val="21"/>
              </w:rPr>
              <w:t>21</w:t>
            </w:r>
            <w:r w:rsidRPr="003F5882">
              <w:rPr>
                <w:rFonts w:ascii="Arial" w:hAnsi="Arial" w:cs="Times New Roman"/>
                <w:sz w:val="21"/>
              </w:rPr>
              <w:t>：储备金和基金结余</w:t>
            </w:r>
          </w:p>
        </w:tc>
        <w:tc>
          <w:tcPr>
            <w:tcW w:w="1061" w:type="dxa"/>
            <w:shd w:val="clear" w:color="auto" w:fill="auto"/>
            <w:vAlign w:val="center"/>
          </w:tcPr>
          <w:p w:rsidR="005C4FAF" w:rsidRPr="003F5882" w:rsidRDefault="004813DC" w:rsidP="00B31204">
            <w:pPr>
              <w:jc w:val="right"/>
              <w:rPr>
                <w:rFonts w:ascii="Arial" w:hAnsi="Arial" w:cs="Times New Roman"/>
                <w:sz w:val="21"/>
                <w:szCs w:val="22"/>
              </w:rPr>
            </w:pPr>
            <w:r w:rsidRPr="003F5882">
              <w:rPr>
                <w:rFonts w:ascii="Arial" w:hAnsi="Arial" w:cs="Times New Roman" w:hint="eastAsia"/>
                <w:sz w:val="21"/>
              </w:rPr>
              <w:t>5</w:t>
            </w:r>
            <w:r w:rsidR="00B31204">
              <w:rPr>
                <w:rFonts w:ascii="Arial" w:hAnsi="Arial" w:cs="Times New Roman" w:hint="eastAsia"/>
                <w:sz w:val="21"/>
              </w:rPr>
              <w:t>5</w:t>
            </w:r>
          </w:p>
        </w:tc>
      </w:tr>
      <w:tr w:rsidR="005C4FAF" w:rsidRPr="003F5882" w:rsidTr="003312C4">
        <w:tc>
          <w:tcPr>
            <w:tcW w:w="8568" w:type="dxa"/>
            <w:shd w:val="clear" w:color="auto" w:fill="auto"/>
            <w:vAlign w:val="center"/>
          </w:tcPr>
          <w:p w:rsidR="005C4FAF" w:rsidRPr="003F5882" w:rsidRDefault="005C4FAF" w:rsidP="003312C4">
            <w:pPr>
              <w:ind w:left="900"/>
              <w:rPr>
                <w:rFonts w:ascii="Arial" w:hAnsi="Arial" w:cs="Times New Roman"/>
                <w:sz w:val="21"/>
                <w:szCs w:val="22"/>
              </w:rPr>
            </w:pPr>
            <w:r w:rsidRPr="003F5882">
              <w:rPr>
                <w:rFonts w:ascii="Arial" w:hAnsi="Arial" w:cs="Times New Roman"/>
                <w:sz w:val="21"/>
              </w:rPr>
              <w:t>附注</w:t>
            </w:r>
            <w:r w:rsidRPr="003F5882">
              <w:rPr>
                <w:rFonts w:ascii="Arial" w:hAnsi="Arial" w:cs="Times New Roman"/>
                <w:sz w:val="21"/>
              </w:rPr>
              <w:t>22</w:t>
            </w:r>
            <w:r w:rsidRPr="003F5882">
              <w:rPr>
                <w:rFonts w:ascii="Arial" w:hAnsi="Arial" w:cs="Times New Roman"/>
                <w:sz w:val="21"/>
              </w:rPr>
              <w:t>：预算比较表和财务执行情况表的对账情况</w:t>
            </w:r>
          </w:p>
        </w:tc>
        <w:tc>
          <w:tcPr>
            <w:tcW w:w="1061" w:type="dxa"/>
            <w:shd w:val="clear" w:color="auto" w:fill="auto"/>
            <w:vAlign w:val="center"/>
          </w:tcPr>
          <w:p w:rsidR="005C4FAF" w:rsidRPr="003F5882" w:rsidRDefault="004813DC" w:rsidP="00B31204">
            <w:pPr>
              <w:jc w:val="right"/>
              <w:rPr>
                <w:rFonts w:ascii="Arial" w:hAnsi="Arial" w:cs="Times New Roman"/>
                <w:sz w:val="21"/>
                <w:szCs w:val="22"/>
              </w:rPr>
            </w:pPr>
            <w:r w:rsidRPr="003F5882">
              <w:rPr>
                <w:rFonts w:ascii="Arial" w:hAnsi="Arial" w:cs="Times New Roman" w:hint="eastAsia"/>
                <w:sz w:val="21"/>
              </w:rPr>
              <w:t>5</w:t>
            </w:r>
            <w:r w:rsidR="00B31204">
              <w:rPr>
                <w:rFonts w:ascii="Arial" w:hAnsi="Arial" w:cs="Times New Roman" w:hint="eastAsia"/>
                <w:sz w:val="21"/>
              </w:rPr>
              <w:t>6</w:t>
            </w:r>
          </w:p>
        </w:tc>
      </w:tr>
      <w:tr w:rsidR="005C4FAF" w:rsidRPr="003F5882" w:rsidTr="003312C4">
        <w:tc>
          <w:tcPr>
            <w:tcW w:w="8568" w:type="dxa"/>
            <w:shd w:val="clear" w:color="auto" w:fill="auto"/>
            <w:vAlign w:val="center"/>
          </w:tcPr>
          <w:p w:rsidR="005C4FAF" w:rsidRPr="003F5882" w:rsidRDefault="005C4FAF" w:rsidP="003312C4">
            <w:pPr>
              <w:ind w:left="900"/>
              <w:rPr>
                <w:rFonts w:ascii="Arial" w:hAnsi="Arial" w:cs="Times New Roman"/>
                <w:sz w:val="21"/>
                <w:szCs w:val="22"/>
              </w:rPr>
            </w:pPr>
            <w:r w:rsidRPr="003F5882">
              <w:rPr>
                <w:rFonts w:ascii="Arial" w:hAnsi="Arial" w:cs="Times New Roman"/>
                <w:sz w:val="21"/>
              </w:rPr>
              <w:t>附注</w:t>
            </w:r>
            <w:r w:rsidRPr="003F5882">
              <w:rPr>
                <w:rFonts w:ascii="Arial" w:hAnsi="Arial" w:cs="Times New Roman"/>
                <w:sz w:val="21"/>
              </w:rPr>
              <w:t>23</w:t>
            </w:r>
            <w:r w:rsidRPr="003F5882">
              <w:rPr>
                <w:rFonts w:ascii="Arial" w:hAnsi="Arial" w:cs="Times New Roman"/>
                <w:sz w:val="21"/>
              </w:rPr>
              <w:t>：收入</w:t>
            </w:r>
          </w:p>
        </w:tc>
        <w:tc>
          <w:tcPr>
            <w:tcW w:w="1061" w:type="dxa"/>
            <w:shd w:val="clear" w:color="auto" w:fill="auto"/>
            <w:vAlign w:val="center"/>
          </w:tcPr>
          <w:p w:rsidR="005C4FAF" w:rsidRPr="003F5882" w:rsidRDefault="004813DC" w:rsidP="003312C4">
            <w:pPr>
              <w:jc w:val="right"/>
              <w:rPr>
                <w:rFonts w:ascii="Arial" w:hAnsi="Arial" w:cs="Times New Roman"/>
                <w:sz w:val="21"/>
                <w:szCs w:val="22"/>
              </w:rPr>
            </w:pPr>
            <w:r w:rsidRPr="003F5882">
              <w:rPr>
                <w:rFonts w:ascii="Arial" w:hAnsi="Arial" w:cs="Times New Roman" w:hint="eastAsia"/>
                <w:sz w:val="21"/>
              </w:rPr>
              <w:t>58</w:t>
            </w:r>
          </w:p>
        </w:tc>
      </w:tr>
      <w:tr w:rsidR="005C4FAF" w:rsidRPr="003F5882" w:rsidTr="003312C4">
        <w:tc>
          <w:tcPr>
            <w:tcW w:w="8568" w:type="dxa"/>
            <w:shd w:val="clear" w:color="auto" w:fill="auto"/>
            <w:vAlign w:val="center"/>
          </w:tcPr>
          <w:p w:rsidR="005C4FAF" w:rsidRPr="003F5882" w:rsidRDefault="005C4FAF" w:rsidP="003312C4">
            <w:pPr>
              <w:ind w:left="900"/>
              <w:rPr>
                <w:rFonts w:ascii="Arial" w:hAnsi="Arial" w:cs="Times New Roman"/>
                <w:sz w:val="21"/>
                <w:szCs w:val="22"/>
              </w:rPr>
            </w:pPr>
            <w:r w:rsidRPr="003F5882">
              <w:rPr>
                <w:rFonts w:ascii="Arial" w:hAnsi="Arial" w:cs="Times New Roman"/>
                <w:sz w:val="21"/>
              </w:rPr>
              <w:t>附注</w:t>
            </w:r>
            <w:r w:rsidRPr="003F5882">
              <w:rPr>
                <w:rFonts w:ascii="Arial" w:hAnsi="Arial" w:cs="Times New Roman"/>
                <w:sz w:val="21"/>
              </w:rPr>
              <w:t>24</w:t>
            </w:r>
            <w:r w:rsidRPr="003F5882">
              <w:rPr>
                <w:rFonts w:ascii="Arial" w:hAnsi="Arial" w:cs="Times New Roman"/>
                <w:sz w:val="21"/>
              </w:rPr>
              <w:t>：支出</w:t>
            </w:r>
          </w:p>
        </w:tc>
        <w:tc>
          <w:tcPr>
            <w:tcW w:w="1061" w:type="dxa"/>
            <w:shd w:val="clear" w:color="auto" w:fill="auto"/>
            <w:vAlign w:val="center"/>
          </w:tcPr>
          <w:p w:rsidR="005C4FAF" w:rsidRPr="003F5882" w:rsidRDefault="004813DC" w:rsidP="003312C4">
            <w:pPr>
              <w:jc w:val="right"/>
              <w:rPr>
                <w:rFonts w:ascii="Arial" w:hAnsi="Arial" w:cs="Times New Roman"/>
                <w:sz w:val="21"/>
                <w:szCs w:val="22"/>
              </w:rPr>
            </w:pPr>
            <w:r w:rsidRPr="003F5882">
              <w:rPr>
                <w:rFonts w:ascii="Arial" w:hAnsi="Arial" w:cs="Times New Roman" w:hint="eastAsia"/>
                <w:sz w:val="21"/>
              </w:rPr>
              <w:t>59</w:t>
            </w:r>
          </w:p>
        </w:tc>
      </w:tr>
      <w:tr w:rsidR="005C4FAF" w:rsidRPr="003F5882" w:rsidTr="003312C4">
        <w:tc>
          <w:tcPr>
            <w:tcW w:w="8568" w:type="dxa"/>
            <w:shd w:val="clear" w:color="auto" w:fill="auto"/>
            <w:vAlign w:val="center"/>
          </w:tcPr>
          <w:p w:rsidR="005C4FAF" w:rsidRPr="003F5882" w:rsidRDefault="005C4FAF" w:rsidP="003312C4">
            <w:pPr>
              <w:ind w:left="900"/>
              <w:rPr>
                <w:rFonts w:ascii="Arial" w:hAnsi="Arial" w:cs="Times New Roman"/>
                <w:sz w:val="21"/>
                <w:szCs w:val="22"/>
              </w:rPr>
            </w:pPr>
            <w:r w:rsidRPr="003F5882">
              <w:rPr>
                <w:rFonts w:ascii="Arial" w:hAnsi="Arial" w:cs="Times New Roman"/>
                <w:sz w:val="21"/>
              </w:rPr>
              <w:t>附注</w:t>
            </w:r>
            <w:r w:rsidRPr="003F5882">
              <w:rPr>
                <w:rFonts w:ascii="Arial" w:hAnsi="Arial" w:cs="Times New Roman"/>
                <w:sz w:val="21"/>
              </w:rPr>
              <w:t>25</w:t>
            </w:r>
            <w:r w:rsidRPr="003F5882">
              <w:rPr>
                <w:rFonts w:ascii="Arial" w:hAnsi="Arial" w:cs="Times New Roman"/>
                <w:sz w:val="21"/>
              </w:rPr>
              <w:t>：金融工具</w:t>
            </w:r>
          </w:p>
        </w:tc>
        <w:tc>
          <w:tcPr>
            <w:tcW w:w="1061" w:type="dxa"/>
            <w:shd w:val="clear" w:color="auto" w:fill="auto"/>
            <w:vAlign w:val="center"/>
          </w:tcPr>
          <w:p w:rsidR="005C4FAF" w:rsidRPr="003F5882" w:rsidRDefault="004813DC" w:rsidP="003312C4">
            <w:pPr>
              <w:jc w:val="right"/>
              <w:rPr>
                <w:rFonts w:ascii="Arial" w:hAnsi="Arial" w:cs="Times New Roman"/>
                <w:sz w:val="21"/>
                <w:szCs w:val="22"/>
              </w:rPr>
            </w:pPr>
            <w:r w:rsidRPr="003F5882">
              <w:rPr>
                <w:rFonts w:ascii="Arial" w:hAnsi="Arial" w:cs="Times New Roman" w:hint="eastAsia"/>
                <w:sz w:val="21"/>
              </w:rPr>
              <w:t>60</w:t>
            </w:r>
          </w:p>
        </w:tc>
      </w:tr>
      <w:tr w:rsidR="005C4FAF" w:rsidRPr="003F5882" w:rsidTr="003312C4">
        <w:tc>
          <w:tcPr>
            <w:tcW w:w="8568" w:type="dxa"/>
            <w:shd w:val="clear" w:color="auto" w:fill="auto"/>
            <w:vAlign w:val="center"/>
          </w:tcPr>
          <w:p w:rsidR="005C4FAF" w:rsidRPr="003F5882" w:rsidRDefault="005C4FAF" w:rsidP="003312C4">
            <w:pPr>
              <w:ind w:left="900"/>
              <w:rPr>
                <w:rFonts w:ascii="Arial" w:hAnsi="Arial" w:cs="Times New Roman"/>
                <w:sz w:val="21"/>
                <w:szCs w:val="22"/>
              </w:rPr>
            </w:pPr>
            <w:r w:rsidRPr="003F5882">
              <w:rPr>
                <w:rFonts w:ascii="Arial" w:hAnsi="Arial" w:cs="Times New Roman"/>
                <w:sz w:val="21"/>
              </w:rPr>
              <w:t>附注</w:t>
            </w:r>
            <w:r w:rsidRPr="003F5882">
              <w:rPr>
                <w:rFonts w:ascii="Arial" w:hAnsi="Arial" w:cs="Times New Roman"/>
                <w:sz w:val="21"/>
              </w:rPr>
              <w:t>26</w:t>
            </w:r>
            <w:r w:rsidRPr="003F5882">
              <w:rPr>
                <w:rFonts w:ascii="Arial" w:hAnsi="Arial" w:cs="Times New Roman"/>
                <w:sz w:val="21"/>
              </w:rPr>
              <w:t>：汇兑损益</w:t>
            </w:r>
          </w:p>
        </w:tc>
        <w:tc>
          <w:tcPr>
            <w:tcW w:w="1061" w:type="dxa"/>
            <w:shd w:val="clear" w:color="auto" w:fill="auto"/>
            <w:vAlign w:val="center"/>
          </w:tcPr>
          <w:p w:rsidR="005C4FAF" w:rsidRPr="003F5882" w:rsidRDefault="004813DC" w:rsidP="003312C4">
            <w:pPr>
              <w:jc w:val="right"/>
              <w:rPr>
                <w:rFonts w:ascii="Arial" w:hAnsi="Arial" w:cs="Times New Roman"/>
                <w:sz w:val="21"/>
                <w:szCs w:val="22"/>
              </w:rPr>
            </w:pPr>
            <w:r w:rsidRPr="003F5882">
              <w:rPr>
                <w:rFonts w:ascii="Arial" w:hAnsi="Arial" w:cs="Times New Roman" w:hint="eastAsia"/>
                <w:sz w:val="21"/>
              </w:rPr>
              <w:t>64</w:t>
            </w:r>
          </w:p>
        </w:tc>
      </w:tr>
      <w:tr w:rsidR="005C4FAF" w:rsidRPr="003F5882" w:rsidTr="003312C4">
        <w:tc>
          <w:tcPr>
            <w:tcW w:w="8568" w:type="dxa"/>
            <w:shd w:val="clear" w:color="auto" w:fill="auto"/>
            <w:vAlign w:val="center"/>
          </w:tcPr>
          <w:p w:rsidR="005C4FAF" w:rsidRPr="003F5882" w:rsidRDefault="005C4FAF" w:rsidP="003312C4">
            <w:pPr>
              <w:ind w:left="900"/>
              <w:rPr>
                <w:rFonts w:ascii="Arial" w:hAnsi="Arial" w:cs="Times New Roman"/>
                <w:sz w:val="21"/>
                <w:szCs w:val="22"/>
              </w:rPr>
            </w:pPr>
            <w:r w:rsidRPr="003F5882">
              <w:rPr>
                <w:rFonts w:ascii="Arial" w:hAnsi="Arial" w:cs="Times New Roman"/>
                <w:sz w:val="21"/>
              </w:rPr>
              <w:t>附注</w:t>
            </w:r>
            <w:r w:rsidRPr="003F5882">
              <w:rPr>
                <w:rFonts w:ascii="Arial" w:hAnsi="Arial" w:cs="Times New Roman"/>
                <w:sz w:val="21"/>
              </w:rPr>
              <w:t>27</w:t>
            </w:r>
            <w:r w:rsidRPr="003F5882">
              <w:rPr>
                <w:rFonts w:ascii="Arial" w:hAnsi="Arial" w:cs="Times New Roman"/>
                <w:sz w:val="21"/>
              </w:rPr>
              <w:t>：报告日之后的活动</w:t>
            </w:r>
          </w:p>
        </w:tc>
        <w:tc>
          <w:tcPr>
            <w:tcW w:w="1061" w:type="dxa"/>
            <w:shd w:val="clear" w:color="auto" w:fill="auto"/>
            <w:vAlign w:val="center"/>
          </w:tcPr>
          <w:p w:rsidR="005C4FAF" w:rsidRPr="003F5882" w:rsidRDefault="004813DC" w:rsidP="003312C4">
            <w:pPr>
              <w:jc w:val="right"/>
              <w:rPr>
                <w:rFonts w:ascii="Arial" w:hAnsi="Arial" w:cs="Times New Roman"/>
                <w:sz w:val="21"/>
                <w:szCs w:val="22"/>
              </w:rPr>
            </w:pPr>
            <w:r w:rsidRPr="003F5882">
              <w:rPr>
                <w:rFonts w:ascii="Arial" w:hAnsi="Arial" w:cs="Times New Roman" w:hint="eastAsia"/>
                <w:sz w:val="21"/>
              </w:rPr>
              <w:t>64</w:t>
            </w:r>
          </w:p>
        </w:tc>
      </w:tr>
      <w:tr w:rsidR="005C4FAF" w:rsidRPr="003F5882" w:rsidTr="003312C4">
        <w:tc>
          <w:tcPr>
            <w:tcW w:w="8568" w:type="dxa"/>
            <w:shd w:val="clear" w:color="auto" w:fill="auto"/>
            <w:vAlign w:val="center"/>
          </w:tcPr>
          <w:p w:rsidR="005C4FAF" w:rsidRPr="003F5882" w:rsidRDefault="005C4FAF" w:rsidP="003312C4">
            <w:pPr>
              <w:ind w:left="900"/>
              <w:rPr>
                <w:rFonts w:ascii="Arial" w:hAnsi="Arial" w:cs="Times New Roman"/>
                <w:sz w:val="21"/>
                <w:szCs w:val="22"/>
              </w:rPr>
            </w:pPr>
            <w:r w:rsidRPr="003F5882">
              <w:rPr>
                <w:rFonts w:ascii="Arial" w:hAnsi="Arial" w:cs="Times New Roman"/>
                <w:sz w:val="21"/>
              </w:rPr>
              <w:t>附注</w:t>
            </w:r>
            <w:r w:rsidRPr="003F5882">
              <w:rPr>
                <w:rFonts w:ascii="Arial" w:hAnsi="Arial" w:cs="Times New Roman"/>
                <w:sz w:val="21"/>
              </w:rPr>
              <w:t>28</w:t>
            </w:r>
            <w:r w:rsidRPr="003F5882">
              <w:rPr>
                <w:rFonts w:ascii="Arial" w:hAnsi="Arial" w:cs="Times New Roman"/>
                <w:sz w:val="21"/>
              </w:rPr>
              <w:t>：分部报告</w:t>
            </w:r>
          </w:p>
        </w:tc>
        <w:tc>
          <w:tcPr>
            <w:tcW w:w="1061" w:type="dxa"/>
            <w:shd w:val="clear" w:color="auto" w:fill="auto"/>
            <w:vAlign w:val="center"/>
          </w:tcPr>
          <w:p w:rsidR="005C4FAF" w:rsidRPr="003F5882" w:rsidRDefault="004813DC" w:rsidP="003312C4">
            <w:pPr>
              <w:jc w:val="right"/>
              <w:rPr>
                <w:rFonts w:ascii="Arial" w:hAnsi="Arial" w:cs="Times New Roman"/>
                <w:sz w:val="21"/>
                <w:szCs w:val="22"/>
              </w:rPr>
            </w:pPr>
            <w:r w:rsidRPr="003F5882">
              <w:rPr>
                <w:rFonts w:ascii="Arial" w:hAnsi="Arial" w:cs="Times New Roman" w:hint="eastAsia"/>
                <w:sz w:val="21"/>
              </w:rPr>
              <w:t>65</w:t>
            </w:r>
          </w:p>
        </w:tc>
      </w:tr>
      <w:tr w:rsidR="005C4FAF" w:rsidRPr="003F5882" w:rsidTr="003312C4">
        <w:tc>
          <w:tcPr>
            <w:tcW w:w="8568" w:type="dxa"/>
            <w:shd w:val="clear" w:color="auto" w:fill="auto"/>
            <w:vAlign w:val="center"/>
          </w:tcPr>
          <w:p w:rsidR="005C4FAF" w:rsidRPr="00F453AC" w:rsidRDefault="005C4FAF" w:rsidP="003312C4">
            <w:pPr>
              <w:rPr>
                <w:rFonts w:ascii="Arial" w:eastAsia="SimHei" w:hAnsi="Arial" w:cs="Times New Roman"/>
                <w:sz w:val="21"/>
                <w:szCs w:val="22"/>
              </w:rPr>
            </w:pPr>
            <w:r w:rsidRPr="00F453AC">
              <w:rPr>
                <w:rFonts w:ascii="Arial" w:eastAsia="SimHei" w:hAnsi="Arial" w:cs="Times New Roman"/>
                <w:sz w:val="21"/>
              </w:rPr>
              <w:t>附件</w:t>
            </w:r>
          </w:p>
        </w:tc>
        <w:tc>
          <w:tcPr>
            <w:tcW w:w="1061" w:type="dxa"/>
            <w:shd w:val="clear" w:color="auto" w:fill="auto"/>
            <w:vAlign w:val="center"/>
          </w:tcPr>
          <w:p w:rsidR="005C4FAF" w:rsidRPr="003F5882" w:rsidRDefault="005C4FAF" w:rsidP="003312C4">
            <w:pPr>
              <w:jc w:val="right"/>
              <w:rPr>
                <w:rFonts w:ascii="Arial" w:hAnsi="Arial" w:cs="Times New Roman"/>
                <w:sz w:val="21"/>
                <w:szCs w:val="22"/>
              </w:rPr>
            </w:pPr>
          </w:p>
        </w:tc>
      </w:tr>
      <w:tr w:rsidR="005C4FAF" w:rsidRPr="003F5882" w:rsidTr="003312C4">
        <w:tc>
          <w:tcPr>
            <w:tcW w:w="8568" w:type="dxa"/>
            <w:shd w:val="clear" w:color="auto" w:fill="auto"/>
            <w:vAlign w:val="center"/>
          </w:tcPr>
          <w:p w:rsidR="005C4FAF" w:rsidRPr="003F5882" w:rsidRDefault="005C4FAF" w:rsidP="003312C4">
            <w:pPr>
              <w:rPr>
                <w:rFonts w:ascii="Arial" w:hAnsi="Arial" w:cs="Times New Roman"/>
                <w:sz w:val="21"/>
                <w:szCs w:val="22"/>
              </w:rPr>
            </w:pPr>
            <w:r w:rsidRPr="003F5882">
              <w:rPr>
                <w:rFonts w:ascii="Arial" w:hAnsi="Arial" w:cs="Times New Roman"/>
                <w:sz w:val="21"/>
              </w:rPr>
              <w:t>附件一</w:t>
            </w:r>
            <w:r w:rsidRPr="003F5882">
              <w:rPr>
                <w:rFonts w:ascii="Arial" w:hAnsi="Arial" w:cs="Times New Roman"/>
                <w:sz w:val="21"/>
              </w:rPr>
              <w:t xml:space="preserve"> - </w:t>
            </w:r>
            <w:r w:rsidRPr="003F5882">
              <w:rPr>
                <w:rFonts w:ascii="Arial" w:hAnsi="Arial" w:cs="Times New Roman"/>
                <w:sz w:val="21"/>
              </w:rPr>
              <w:t>按资金来源开列的财务状况表</w:t>
            </w:r>
            <w:r w:rsidR="00F453AC" w:rsidRPr="003F5882">
              <w:rPr>
                <w:rFonts w:ascii="Arial" w:hAnsi="Arial" w:cs="Times New Roman"/>
                <w:sz w:val="21"/>
              </w:rPr>
              <w:t>［</w:t>
            </w:r>
            <w:r w:rsidRPr="003F5882">
              <w:rPr>
                <w:rFonts w:ascii="Arial" w:hAnsi="Arial" w:cs="Times New Roman"/>
                <w:sz w:val="21"/>
              </w:rPr>
              <w:t>未经审计</w:t>
            </w:r>
            <w:r w:rsidR="00F453AC" w:rsidRPr="003F5882">
              <w:rPr>
                <w:rFonts w:ascii="Arial" w:hAnsi="Arial" w:cs="Times New Roman"/>
                <w:sz w:val="21"/>
              </w:rPr>
              <w:t>］</w:t>
            </w:r>
          </w:p>
        </w:tc>
        <w:tc>
          <w:tcPr>
            <w:tcW w:w="1061" w:type="dxa"/>
            <w:shd w:val="clear" w:color="auto" w:fill="auto"/>
            <w:vAlign w:val="center"/>
          </w:tcPr>
          <w:p w:rsidR="005C4FAF" w:rsidRPr="003F5882" w:rsidRDefault="004813DC" w:rsidP="003312C4">
            <w:pPr>
              <w:jc w:val="right"/>
              <w:rPr>
                <w:rFonts w:ascii="Arial" w:hAnsi="Arial" w:cs="Times New Roman"/>
                <w:sz w:val="21"/>
                <w:szCs w:val="22"/>
              </w:rPr>
            </w:pPr>
            <w:r w:rsidRPr="003F5882">
              <w:rPr>
                <w:rFonts w:ascii="Arial" w:hAnsi="Arial" w:cs="Times New Roman" w:hint="eastAsia"/>
                <w:sz w:val="21"/>
              </w:rPr>
              <w:t>67</w:t>
            </w:r>
          </w:p>
        </w:tc>
      </w:tr>
      <w:tr w:rsidR="005C4FAF" w:rsidRPr="003F5882" w:rsidTr="003312C4">
        <w:tc>
          <w:tcPr>
            <w:tcW w:w="8568" w:type="dxa"/>
            <w:shd w:val="clear" w:color="auto" w:fill="auto"/>
            <w:vAlign w:val="center"/>
          </w:tcPr>
          <w:p w:rsidR="005C4FAF" w:rsidRPr="003F5882" w:rsidRDefault="005C4FAF" w:rsidP="003312C4">
            <w:pPr>
              <w:rPr>
                <w:rFonts w:ascii="Arial" w:hAnsi="Arial" w:cs="Times New Roman"/>
                <w:sz w:val="21"/>
                <w:szCs w:val="22"/>
              </w:rPr>
            </w:pPr>
            <w:r w:rsidRPr="003F5882">
              <w:rPr>
                <w:rFonts w:ascii="Arial" w:hAnsi="Arial" w:cs="Times New Roman"/>
                <w:sz w:val="21"/>
              </w:rPr>
              <w:t>附件二</w:t>
            </w:r>
            <w:r w:rsidRPr="003F5882">
              <w:rPr>
                <w:rFonts w:ascii="Arial" w:hAnsi="Arial" w:cs="Times New Roman"/>
                <w:sz w:val="21"/>
              </w:rPr>
              <w:t xml:space="preserve"> - </w:t>
            </w:r>
            <w:r w:rsidRPr="003F5882">
              <w:rPr>
                <w:rFonts w:ascii="Arial" w:hAnsi="Arial" w:cs="Times New Roman"/>
                <w:sz w:val="21"/>
              </w:rPr>
              <w:t>按资金来源开列的财务执行情况表</w:t>
            </w:r>
            <w:r w:rsidR="00F453AC" w:rsidRPr="003F5882">
              <w:rPr>
                <w:rFonts w:ascii="Arial" w:hAnsi="Arial" w:cs="Times New Roman"/>
                <w:sz w:val="21"/>
              </w:rPr>
              <w:t>［</w:t>
            </w:r>
            <w:r w:rsidRPr="003F5882">
              <w:rPr>
                <w:rFonts w:ascii="Arial" w:hAnsi="Arial" w:cs="Times New Roman"/>
                <w:sz w:val="21"/>
              </w:rPr>
              <w:t>未经审计</w:t>
            </w:r>
            <w:r w:rsidR="00F453AC" w:rsidRPr="003F5882">
              <w:rPr>
                <w:rFonts w:ascii="Arial" w:hAnsi="Arial" w:cs="Times New Roman"/>
                <w:sz w:val="21"/>
              </w:rPr>
              <w:t>］</w:t>
            </w:r>
          </w:p>
        </w:tc>
        <w:tc>
          <w:tcPr>
            <w:tcW w:w="1061" w:type="dxa"/>
            <w:shd w:val="clear" w:color="auto" w:fill="auto"/>
            <w:vAlign w:val="center"/>
          </w:tcPr>
          <w:p w:rsidR="005C4FAF" w:rsidRPr="003F5882" w:rsidRDefault="004813DC" w:rsidP="003312C4">
            <w:pPr>
              <w:jc w:val="right"/>
              <w:rPr>
                <w:rFonts w:ascii="Arial" w:hAnsi="Arial" w:cs="Times New Roman"/>
                <w:sz w:val="21"/>
                <w:szCs w:val="22"/>
              </w:rPr>
            </w:pPr>
            <w:r w:rsidRPr="003F5882">
              <w:rPr>
                <w:rFonts w:ascii="Arial" w:hAnsi="Arial" w:cs="Times New Roman" w:hint="eastAsia"/>
                <w:sz w:val="21"/>
              </w:rPr>
              <w:t>68</w:t>
            </w:r>
          </w:p>
        </w:tc>
      </w:tr>
      <w:tr w:rsidR="005C4FAF" w:rsidRPr="003F5882" w:rsidTr="003312C4">
        <w:tc>
          <w:tcPr>
            <w:tcW w:w="8568" w:type="dxa"/>
            <w:shd w:val="clear" w:color="auto" w:fill="auto"/>
            <w:vAlign w:val="center"/>
          </w:tcPr>
          <w:p w:rsidR="005C4FAF" w:rsidRPr="003F5882" w:rsidRDefault="005C4FAF" w:rsidP="003312C4">
            <w:pPr>
              <w:rPr>
                <w:rFonts w:ascii="Arial" w:hAnsi="Arial" w:cs="Times New Roman"/>
                <w:sz w:val="21"/>
                <w:szCs w:val="22"/>
              </w:rPr>
            </w:pPr>
            <w:r w:rsidRPr="003F5882">
              <w:rPr>
                <w:rFonts w:ascii="Arial" w:hAnsi="Arial" w:cs="Times New Roman"/>
                <w:sz w:val="21"/>
              </w:rPr>
              <w:t>附件三</w:t>
            </w:r>
            <w:r w:rsidRPr="003F5882">
              <w:rPr>
                <w:rFonts w:ascii="Arial" w:hAnsi="Arial" w:cs="Times New Roman"/>
                <w:sz w:val="21"/>
              </w:rPr>
              <w:t xml:space="preserve"> - </w:t>
            </w:r>
            <w:r w:rsidRPr="003F5882">
              <w:rPr>
                <w:rFonts w:ascii="Arial" w:hAnsi="Arial" w:cs="Times New Roman"/>
                <w:sz w:val="21"/>
              </w:rPr>
              <w:t>捐助方捐助特别账户</w:t>
            </w:r>
          </w:p>
        </w:tc>
        <w:tc>
          <w:tcPr>
            <w:tcW w:w="1061" w:type="dxa"/>
            <w:shd w:val="clear" w:color="auto" w:fill="auto"/>
            <w:vAlign w:val="center"/>
          </w:tcPr>
          <w:p w:rsidR="005C4FAF" w:rsidRPr="003F5882" w:rsidRDefault="004813DC" w:rsidP="003312C4">
            <w:pPr>
              <w:jc w:val="right"/>
              <w:rPr>
                <w:rFonts w:ascii="Arial" w:hAnsi="Arial" w:cs="Times New Roman"/>
                <w:sz w:val="21"/>
                <w:szCs w:val="22"/>
              </w:rPr>
            </w:pPr>
            <w:r w:rsidRPr="003F5882">
              <w:rPr>
                <w:rFonts w:ascii="Arial" w:hAnsi="Arial" w:cs="Times New Roman" w:hint="eastAsia"/>
                <w:sz w:val="21"/>
              </w:rPr>
              <w:t>69</w:t>
            </w:r>
          </w:p>
        </w:tc>
      </w:tr>
      <w:tr w:rsidR="005C4FAF" w:rsidRPr="003F5882" w:rsidTr="003312C4">
        <w:tc>
          <w:tcPr>
            <w:tcW w:w="8568" w:type="dxa"/>
            <w:shd w:val="clear" w:color="auto" w:fill="auto"/>
            <w:vAlign w:val="center"/>
          </w:tcPr>
          <w:p w:rsidR="005C4FAF" w:rsidRPr="003F5882" w:rsidRDefault="005C4FAF" w:rsidP="003312C4">
            <w:pPr>
              <w:rPr>
                <w:rFonts w:ascii="Arial" w:hAnsi="Arial" w:cs="Times New Roman"/>
                <w:sz w:val="21"/>
                <w:szCs w:val="22"/>
              </w:rPr>
            </w:pPr>
            <w:r w:rsidRPr="003F5882">
              <w:rPr>
                <w:rFonts w:ascii="Arial" w:hAnsi="Arial" w:cs="Times New Roman"/>
                <w:sz w:val="21"/>
              </w:rPr>
              <w:t>附件四</w:t>
            </w:r>
            <w:r w:rsidRPr="003F5882">
              <w:rPr>
                <w:rFonts w:ascii="Arial" w:hAnsi="Arial" w:cs="Times New Roman"/>
                <w:sz w:val="21"/>
              </w:rPr>
              <w:t xml:space="preserve"> - </w:t>
            </w:r>
            <w:proofErr w:type="gramStart"/>
            <w:r w:rsidRPr="003F5882">
              <w:rPr>
                <w:rFonts w:ascii="Arial" w:hAnsi="Arial" w:cs="Times New Roman"/>
                <w:sz w:val="21"/>
              </w:rPr>
              <w:t>惠给金</w:t>
            </w:r>
            <w:proofErr w:type="gramEnd"/>
            <w:r w:rsidRPr="003F5882">
              <w:rPr>
                <w:rFonts w:ascii="Arial" w:hAnsi="Arial" w:cs="Times New Roman"/>
                <w:sz w:val="21"/>
              </w:rPr>
              <w:t>支付</w:t>
            </w:r>
          </w:p>
        </w:tc>
        <w:tc>
          <w:tcPr>
            <w:tcW w:w="1061" w:type="dxa"/>
            <w:shd w:val="clear" w:color="auto" w:fill="auto"/>
            <w:vAlign w:val="center"/>
          </w:tcPr>
          <w:p w:rsidR="005C4FAF" w:rsidRPr="003F5882" w:rsidRDefault="004813DC" w:rsidP="003312C4">
            <w:pPr>
              <w:jc w:val="right"/>
              <w:rPr>
                <w:rFonts w:ascii="Arial" w:hAnsi="Arial" w:cs="Times New Roman"/>
                <w:sz w:val="21"/>
                <w:szCs w:val="22"/>
              </w:rPr>
            </w:pPr>
            <w:r w:rsidRPr="003F5882">
              <w:rPr>
                <w:rFonts w:ascii="Arial" w:hAnsi="Arial" w:cs="Times New Roman" w:hint="eastAsia"/>
                <w:sz w:val="21"/>
              </w:rPr>
              <w:t>70</w:t>
            </w:r>
          </w:p>
        </w:tc>
      </w:tr>
    </w:tbl>
    <w:p w:rsidR="005C4FAF" w:rsidRPr="003F5882" w:rsidRDefault="005C4FAF" w:rsidP="005C4FAF">
      <w:pPr>
        <w:rPr>
          <w:rFonts w:ascii="Arial" w:hAnsi="Arial" w:cs="Times New Roman"/>
        </w:rPr>
      </w:pPr>
    </w:p>
    <w:p w:rsidR="005C4FAF" w:rsidRPr="003F5882" w:rsidRDefault="005C4FAF" w:rsidP="005C4FAF">
      <w:pPr>
        <w:rPr>
          <w:rFonts w:ascii="Arial" w:hAnsi="Arial" w:cs="Times New Roman"/>
          <w:sz w:val="20"/>
          <w:szCs w:val="20"/>
        </w:rPr>
      </w:pPr>
    </w:p>
    <w:p w:rsidR="005C4FAF" w:rsidRPr="003F5882" w:rsidRDefault="005C4FAF" w:rsidP="005C4FAF">
      <w:pPr>
        <w:jc w:val="both"/>
        <w:rPr>
          <w:rFonts w:ascii="Arial" w:hAnsi="Arial" w:cs="Times New Roman"/>
          <w:sz w:val="18"/>
          <w:szCs w:val="18"/>
        </w:rPr>
      </w:pPr>
    </w:p>
    <w:p w:rsidR="005C4FAF" w:rsidRPr="003F5882" w:rsidRDefault="005C4FAF" w:rsidP="005C4FAF">
      <w:pPr>
        <w:jc w:val="both"/>
        <w:rPr>
          <w:rFonts w:ascii="Arial" w:hAnsi="Arial" w:cs="Times New Roman"/>
          <w:sz w:val="18"/>
          <w:szCs w:val="18"/>
        </w:rPr>
      </w:pPr>
    </w:p>
    <w:p w:rsidR="005C4FAF" w:rsidRPr="003F5882" w:rsidRDefault="005C4FAF" w:rsidP="005C4FAF">
      <w:pPr>
        <w:jc w:val="both"/>
        <w:rPr>
          <w:rFonts w:ascii="Arial" w:hAnsi="Arial" w:cs="Times New Roman"/>
          <w:sz w:val="18"/>
          <w:szCs w:val="18"/>
        </w:rPr>
        <w:sectPr w:rsidR="005C4FAF" w:rsidRPr="003F5882" w:rsidSect="003312C4">
          <w:headerReference w:type="default" r:id="rId17"/>
          <w:footerReference w:type="default" r:id="rId18"/>
          <w:headerReference w:type="first" r:id="rId19"/>
          <w:pgSz w:w="11907" w:h="16840" w:code="9"/>
          <w:pgMar w:top="851" w:right="1247" w:bottom="1191" w:left="1247" w:header="709" w:footer="709" w:gutter="0"/>
          <w:pgNumType w:start="1"/>
          <w:cols w:space="708"/>
          <w:titlePg/>
          <w:docGrid w:linePitch="360"/>
        </w:sectPr>
      </w:pPr>
    </w:p>
    <w:p w:rsidR="005C4FAF" w:rsidRPr="00F453AC" w:rsidRDefault="005C4FAF" w:rsidP="00F04843">
      <w:pPr>
        <w:keepNext/>
        <w:spacing w:beforeLines="100" w:before="240" w:afterLines="100" w:after="240" w:line="340" w:lineRule="atLeast"/>
        <w:jc w:val="center"/>
        <w:outlineLvl w:val="0"/>
        <w:rPr>
          <w:rFonts w:ascii="Arial" w:eastAsia="SimHei" w:hAnsi="Arial" w:cs="Times New Roman"/>
          <w:bCs/>
          <w:caps/>
          <w:kern w:val="32"/>
          <w:sz w:val="21"/>
          <w:szCs w:val="22"/>
        </w:rPr>
      </w:pPr>
      <w:bookmarkStart w:id="5" w:name="_Toc292716986"/>
      <w:bookmarkStart w:id="6" w:name="_Toc292717126"/>
      <w:bookmarkStart w:id="7" w:name="_Toc292717463"/>
      <w:r w:rsidRPr="00F453AC">
        <w:rPr>
          <w:rFonts w:ascii="Arial" w:eastAsia="SimHei" w:hAnsi="Arial" w:cs="Times New Roman"/>
          <w:caps/>
          <w:kern w:val="32"/>
          <w:sz w:val="21"/>
        </w:rPr>
        <w:lastRenderedPageBreak/>
        <w:t>年度财务报告</w:t>
      </w:r>
    </w:p>
    <w:p w:rsidR="005C4FAF" w:rsidRPr="00F453AC" w:rsidRDefault="005C4FAF" w:rsidP="00F04843">
      <w:pPr>
        <w:keepNext/>
        <w:overflowPunct w:val="0"/>
        <w:spacing w:beforeLines="100" w:before="240" w:afterLines="50" w:after="120" w:line="340" w:lineRule="atLeast"/>
        <w:jc w:val="both"/>
        <w:outlineLvl w:val="0"/>
        <w:rPr>
          <w:rFonts w:ascii="Arial" w:eastAsia="SimHei" w:hAnsi="Arial" w:cs="Times New Roman"/>
          <w:bCs/>
          <w:kern w:val="40"/>
          <w:sz w:val="21"/>
          <w:szCs w:val="22"/>
        </w:rPr>
      </w:pPr>
      <w:r w:rsidRPr="00F453AC">
        <w:rPr>
          <w:rFonts w:ascii="Arial" w:eastAsia="SimHei" w:hAnsi="Arial" w:cs="Times New Roman"/>
          <w:caps/>
          <w:kern w:val="32"/>
          <w:sz w:val="21"/>
        </w:rPr>
        <w:t>引</w:t>
      </w:r>
      <w:r w:rsidR="00F04843">
        <w:rPr>
          <w:rFonts w:ascii="Arial" w:eastAsia="SimHei" w:hAnsi="Arial" w:cs="Times New Roman" w:hint="eastAsia"/>
          <w:caps/>
          <w:kern w:val="32"/>
          <w:sz w:val="21"/>
        </w:rPr>
        <w:t xml:space="preserve">　</w:t>
      </w:r>
      <w:r w:rsidRPr="00F453AC">
        <w:rPr>
          <w:rFonts w:ascii="Arial" w:eastAsia="SimHei" w:hAnsi="Arial" w:cs="Times New Roman"/>
          <w:caps/>
          <w:kern w:val="32"/>
          <w:sz w:val="21"/>
        </w:rPr>
        <w:t>言</w:t>
      </w:r>
      <w:bookmarkEnd w:id="5"/>
      <w:bookmarkEnd w:id="6"/>
      <w:bookmarkEnd w:id="7"/>
    </w:p>
    <w:p w:rsidR="005C4FAF" w:rsidRPr="00F453AC" w:rsidRDefault="005C4FAF"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0"/>
        </w:rPr>
      </w:pPr>
      <w:r w:rsidRPr="003F5882">
        <w:rPr>
          <w:rFonts w:ascii="Arial" w:hAnsi="Arial" w:cs="Times New Roman"/>
          <w:sz w:val="21"/>
        </w:rPr>
        <w:t>根据《财务条例与细则》条例</w:t>
      </w:r>
      <w:r w:rsidRPr="003F5882">
        <w:rPr>
          <w:rFonts w:ascii="Arial" w:hAnsi="Arial" w:cs="Times New Roman"/>
          <w:sz w:val="21"/>
        </w:rPr>
        <w:t>6.7</w:t>
      </w:r>
      <w:r w:rsidRPr="003F5882">
        <w:rPr>
          <w:rFonts w:ascii="Arial" w:hAnsi="Arial" w:cs="Times New Roman"/>
          <w:sz w:val="21"/>
        </w:rPr>
        <w:t>的规定，现将截至</w:t>
      </w:r>
      <w:r w:rsidRPr="003F5882">
        <w:rPr>
          <w:rFonts w:ascii="Arial" w:hAnsi="Arial" w:cs="Times New Roman"/>
          <w:sz w:val="21"/>
        </w:rPr>
        <w:t>2014</w:t>
      </w:r>
      <w:r w:rsidRPr="003F5882">
        <w:rPr>
          <w:rFonts w:ascii="Arial" w:hAnsi="Arial" w:cs="Times New Roman"/>
          <w:sz w:val="21"/>
        </w:rPr>
        <w:t>年</w:t>
      </w:r>
      <w:r w:rsidRPr="003F5882">
        <w:rPr>
          <w:rFonts w:ascii="Arial" w:hAnsi="Arial" w:cs="Times New Roman"/>
          <w:sz w:val="21"/>
        </w:rPr>
        <w:t>12</w:t>
      </w:r>
      <w:r w:rsidRPr="003F5882">
        <w:rPr>
          <w:rFonts w:ascii="Arial" w:hAnsi="Arial" w:cs="Times New Roman"/>
          <w:sz w:val="21"/>
        </w:rPr>
        <w:t>月</w:t>
      </w:r>
      <w:r w:rsidRPr="003F5882">
        <w:rPr>
          <w:rFonts w:ascii="Arial" w:hAnsi="Arial" w:cs="Times New Roman"/>
          <w:sz w:val="21"/>
        </w:rPr>
        <w:t>31</w:t>
      </w:r>
      <w:r w:rsidRPr="003F5882">
        <w:rPr>
          <w:rFonts w:ascii="Arial" w:hAnsi="Arial" w:cs="Times New Roman"/>
          <w:sz w:val="21"/>
        </w:rPr>
        <w:t>日的世界知识产权组织</w:t>
      </w:r>
      <w:r w:rsidR="00F453AC" w:rsidRPr="003F5882">
        <w:rPr>
          <w:rFonts w:ascii="Arial" w:hAnsi="Arial" w:cs="Times New Roman" w:hint="eastAsia"/>
          <w:sz w:val="21"/>
        </w:rPr>
        <w:t>（</w:t>
      </w:r>
      <w:r w:rsidRPr="003F5882">
        <w:rPr>
          <w:rFonts w:ascii="Arial" w:hAnsi="Arial" w:cs="Times New Roman"/>
          <w:sz w:val="21"/>
        </w:rPr>
        <w:t>WIPO</w:t>
      </w:r>
      <w:r w:rsidR="00F453AC" w:rsidRPr="003F5882">
        <w:rPr>
          <w:rFonts w:ascii="Arial" w:hAnsi="Arial" w:cs="Times New Roman" w:hint="eastAsia"/>
          <w:sz w:val="21"/>
        </w:rPr>
        <w:t>）</w:t>
      </w:r>
      <w:r w:rsidRPr="003F5882">
        <w:rPr>
          <w:rFonts w:ascii="Arial" w:hAnsi="Arial" w:cs="Times New Roman"/>
          <w:sz w:val="21"/>
        </w:rPr>
        <w:t>财务报表提交给</w:t>
      </w:r>
      <w:r w:rsidRPr="003F5882">
        <w:rPr>
          <w:rFonts w:ascii="Arial" w:hAnsi="Arial" w:cs="Times New Roman"/>
          <w:sz w:val="21"/>
        </w:rPr>
        <w:t>WIPO</w:t>
      </w:r>
      <w:r w:rsidRPr="003F5882">
        <w:rPr>
          <w:rFonts w:ascii="Arial" w:hAnsi="Arial" w:cs="Times New Roman"/>
          <w:sz w:val="21"/>
        </w:rPr>
        <w:t>成员国大会。财务报表根据</w:t>
      </w:r>
      <w:r w:rsidR="00E04F07" w:rsidRPr="003F5882">
        <w:rPr>
          <w:rFonts w:ascii="Arial" w:hAnsi="Arial" w:cs="Times New Roman" w:hint="eastAsia"/>
          <w:sz w:val="21"/>
        </w:rPr>
        <w:t>《</w:t>
      </w:r>
      <w:r w:rsidRPr="003F5882">
        <w:rPr>
          <w:rFonts w:ascii="Arial" w:hAnsi="Arial" w:cs="Times New Roman"/>
          <w:sz w:val="21"/>
        </w:rPr>
        <w:t>国际公共部门会计</w:t>
      </w:r>
      <w:r w:rsidR="00E04F07" w:rsidRPr="003F5882">
        <w:rPr>
          <w:rFonts w:ascii="Arial" w:hAnsi="Arial" w:cs="Times New Roman" w:hint="eastAsia"/>
          <w:sz w:val="21"/>
        </w:rPr>
        <w:t>准则》</w:t>
      </w:r>
      <w:r w:rsidR="00F453AC" w:rsidRPr="003F5882">
        <w:rPr>
          <w:rFonts w:ascii="Arial" w:hAnsi="Arial" w:cs="Times New Roman" w:hint="eastAsia"/>
          <w:sz w:val="21"/>
        </w:rPr>
        <w:t>（</w:t>
      </w:r>
      <w:r w:rsidRPr="003F5882">
        <w:rPr>
          <w:rFonts w:ascii="Arial" w:hAnsi="Arial" w:cs="Times New Roman"/>
          <w:sz w:val="21"/>
        </w:rPr>
        <w:t>IPSAS</w:t>
      </w:r>
      <w:r w:rsidR="00F453AC" w:rsidRPr="003F5882">
        <w:rPr>
          <w:rFonts w:ascii="Arial" w:hAnsi="Arial" w:cs="Times New Roman" w:hint="eastAsia"/>
          <w:sz w:val="21"/>
        </w:rPr>
        <w:t>）</w:t>
      </w:r>
      <w:r w:rsidRPr="003F5882">
        <w:rPr>
          <w:rFonts w:ascii="Arial" w:hAnsi="Arial" w:cs="Times New Roman"/>
          <w:sz w:val="21"/>
        </w:rPr>
        <w:t>编制，这是</w:t>
      </w:r>
      <w:r w:rsidRPr="003F5882">
        <w:rPr>
          <w:rFonts w:ascii="Arial" w:hAnsi="Arial" w:cs="Times New Roman"/>
          <w:sz w:val="21"/>
        </w:rPr>
        <w:t>WIPO</w:t>
      </w:r>
      <w:r w:rsidRPr="003F5882">
        <w:rPr>
          <w:rFonts w:ascii="Arial" w:hAnsi="Arial" w:cs="Times New Roman"/>
          <w:sz w:val="21"/>
        </w:rPr>
        <w:t>自</w:t>
      </w:r>
      <w:r w:rsidRPr="003F5882">
        <w:rPr>
          <w:rFonts w:ascii="Arial" w:hAnsi="Arial" w:cs="Times New Roman"/>
          <w:sz w:val="21"/>
        </w:rPr>
        <w:t>2010</w:t>
      </w:r>
      <w:r w:rsidRPr="003F5882">
        <w:rPr>
          <w:rFonts w:ascii="Arial" w:hAnsi="Arial" w:cs="Times New Roman"/>
          <w:sz w:val="21"/>
        </w:rPr>
        <w:t>年</w:t>
      </w:r>
      <w:r w:rsidRPr="003F5882">
        <w:rPr>
          <w:rFonts w:ascii="Arial" w:hAnsi="Arial" w:cs="Times New Roman"/>
          <w:sz w:val="21"/>
        </w:rPr>
        <w:t>1</w:t>
      </w:r>
      <w:r w:rsidRPr="003F5882">
        <w:rPr>
          <w:rFonts w:ascii="Arial" w:hAnsi="Arial" w:cs="Times New Roman"/>
          <w:sz w:val="21"/>
        </w:rPr>
        <w:t>月</w:t>
      </w:r>
      <w:r w:rsidRPr="003F5882">
        <w:rPr>
          <w:rFonts w:ascii="Arial" w:hAnsi="Arial" w:cs="Times New Roman"/>
          <w:sz w:val="21"/>
        </w:rPr>
        <w:t>1</w:t>
      </w:r>
      <w:r w:rsidRPr="003F5882">
        <w:rPr>
          <w:rFonts w:ascii="Arial" w:hAnsi="Arial" w:cs="Times New Roman"/>
          <w:sz w:val="21"/>
        </w:rPr>
        <w:t>日开始实行</w:t>
      </w:r>
      <w:r w:rsidRPr="003F5882">
        <w:rPr>
          <w:rFonts w:ascii="Arial" w:hAnsi="Arial" w:cs="Times New Roman"/>
          <w:sz w:val="21"/>
        </w:rPr>
        <w:t>IPSAS</w:t>
      </w:r>
      <w:r w:rsidRPr="003F5882">
        <w:rPr>
          <w:rFonts w:ascii="Arial" w:hAnsi="Arial" w:cs="Times New Roman"/>
          <w:sz w:val="21"/>
        </w:rPr>
        <w:t>以来编制的第五套采用</w:t>
      </w:r>
      <w:r w:rsidRPr="003F5882">
        <w:rPr>
          <w:rFonts w:ascii="Arial" w:hAnsi="Arial" w:cs="Times New Roman"/>
          <w:sz w:val="21"/>
        </w:rPr>
        <w:t>IPSAS</w:t>
      </w:r>
      <w:r w:rsidRPr="003F5882">
        <w:rPr>
          <w:rFonts w:ascii="Arial" w:hAnsi="Arial" w:cs="Times New Roman"/>
          <w:sz w:val="21"/>
        </w:rPr>
        <w:t>的财务报表。</w:t>
      </w:r>
    </w:p>
    <w:p w:rsidR="005C4FAF" w:rsidRPr="00F453AC" w:rsidRDefault="005C4FAF"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根据《财务条例与细则》</w:t>
      </w:r>
      <w:r w:rsidR="00F453AC" w:rsidRPr="003F5882">
        <w:rPr>
          <w:rFonts w:ascii="Arial" w:hAnsi="Arial" w:cs="Times New Roman" w:hint="eastAsia"/>
          <w:sz w:val="21"/>
        </w:rPr>
        <w:t>（</w:t>
      </w:r>
      <w:r w:rsidR="00416115" w:rsidRPr="003F5882">
        <w:rPr>
          <w:rFonts w:ascii="Arial" w:hAnsi="Arial" w:cs="Times New Roman" w:hint="eastAsia"/>
          <w:sz w:val="21"/>
        </w:rPr>
        <w:t>FRR</w:t>
      </w:r>
      <w:r w:rsidR="00F453AC" w:rsidRPr="003F5882">
        <w:rPr>
          <w:rFonts w:ascii="Arial" w:hAnsi="Arial" w:cs="Times New Roman" w:hint="eastAsia"/>
          <w:sz w:val="21"/>
        </w:rPr>
        <w:t>）</w:t>
      </w:r>
      <w:r w:rsidRPr="003F5882">
        <w:rPr>
          <w:rFonts w:ascii="Arial" w:hAnsi="Arial" w:cs="Times New Roman"/>
          <w:sz w:val="21"/>
        </w:rPr>
        <w:t>条例</w:t>
      </w:r>
      <w:r w:rsidRPr="003F5882">
        <w:rPr>
          <w:rFonts w:ascii="Arial" w:hAnsi="Arial" w:cs="Times New Roman"/>
          <w:sz w:val="21"/>
        </w:rPr>
        <w:t>8.11</w:t>
      </w:r>
      <w:r w:rsidRPr="003F5882">
        <w:rPr>
          <w:rFonts w:ascii="Arial" w:hAnsi="Arial" w:cs="Times New Roman"/>
          <w:sz w:val="21"/>
        </w:rPr>
        <w:t>及附件二的规定，外聘审计员的</w:t>
      </w:r>
      <w:r w:rsidRPr="003F5882">
        <w:rPr>
          <w:rFonts w:ascii="Arial" w:hAnsi="Arial" w:cs="Times New Roman"/>
          <w:sz w:val="21"/>
        </w:rPr>
        <w:t>2014</w:t>
      </w:r>
      <w:r w:rsidRPr="003F5882">
        <w:rPr>
          <w:rFonts w:ascii="Arial" w:hAnsi="Arial" w:cs="Times New Roman"/>
          <w:sz w:val="21"/>
        </w:rPr>
        <w:t>年财务报表审计报告以及对财务报表的意见也一并提交给</w:t>
      </w:r>
      <w:r w:rsidRPr="003F5882">
        <w:rPr>
          <w:rFonts w:ascii="Arial" w:hAnsi="Arial" w:cs="Times New Roman"/>
          <w:sz w:val="21"/>
        </w:rPr>
        <w:t>WIPO</w:t>
      </w:r>
      <w:r w:rsidRPr="003F5882">
        <w:rPr>
          <w:rFonts w:ascii="Arial" w:hAnsi="Arial" w:cs="Times New Roman"/>
          <w:sz w:val="21"/>
        </w:rPr>
        <w:t>成员国大会。</w:t>
      </w:r>
    </w:p>
    <w:p w:rsidR="005C4FAF" w:rsidRPr="00F453AC" w:rsidRDefault="005C4FAF"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财务报表以及对财务报表的讨论与分析都在本年度财务报告中列报。</w:t>
      </w:r>
    </w:p>
    <w:p w:rsidR="005C4FAF" w:rsidRPr="00F04843" w:rsidRDefault="005C4FAF" w:rsidP="00F04843">
      <w:pPr>
        <w:keepNext/>
        <w:overflowPunct w:val="0"/>
        <w:spacing w:beforeLines="100" w:before="240" w:afterLines="50" w:after="120" w:line="340" w:lineRule="atLeast"/>
        <w:jc w:val="both"/>
        <w:outlineLvl w:val="0"/>
        <w:rPr>
          <w:rFonts w:ascii="Arial" w:eastAsia="SimHei" w:hAnsi="Arial" w:cs="Times New Roman"/>
          <w:caps/>
          <w:kern w:val="32"/>
          <w:sz w:val="21"/>
        </w:rPr>
      </w:pPr>
      <w:r w:rsidRPr="00F453AC">
        <w:rPr>
          <w:rFonts w:ascii="Arial" w:eastAsia="SimHei" w:hAnsi="Arial" w:cs="Times New Roman"/>
          <w:caps/>
          <w:kern w:val="32"/>
          <w:sz w:val="21"/>
        </w:rPr>
        <w:t>财务报表讨论与分析</w:t>
      </w:r>
    </w:p>
    <w:p w:rsidR="005C4FAF" w:rsidRPr="00F453AC" w:rsidRDefault="005C4FAF"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WIPO</w:t>
      </w:r>
      <w:r w:rsidRPr="003F5882">
        <w:rPr>
          <w:rFonts w:ascii="Arial" w:hAnsi="Arial" w:cs="Times New Roman"/>
          <w:sz w:val="21"/>
        </w:rPr>
        <w:t>年度财务报告的本部分呈现了对本组织截至</w:t>
      </w:r>
      <w:r w:rsidRPr="003F5882">
        <w:rPr>
          <w:rFonts w:ascii="Arial" w:hAnsi="Arial" w:cs="Times New Roman"/>
          <w:sz w:val="21"/>
        </w:rPr>
        <w:t>201</w:t>
      </w:r>
      <w:r w:rsidR="001E3836" w:rsidRPr="003F5882">
        <w:rPr>
          <w:rFonts w:ascii="Arial" w:hAnsi="Arial" w:cs="Times New Roman" w:hint="eastAsia"/>
          <w:sz w:val="21"/>
        </w:rPr>
        <w:t>4</w:t>
      </w:r>
      <w:r w:rsidRPr="003F5882">
        <w:rPr>
          <w:rFonts w:ascii="Arial" w:hAnsi="Arial" w:cs="Times New Roman"/>
          <w:sz w:val="21"/>
        </w:rPr>
        <w:t>年</w:t>
      </w:r>
      <w:r w:rsidRPr="003F5882">
        <w:rPr>
          <w:rFonts w:ascii="Arial" w:hAnsi="Arial" w:cs="Times New Roman"/>
          <w:sz w:val="21"/>
        </w:rPr>
        <w:t>12</w:t>
      </w:r>
      <w:r w:rsidRPr="003F5882">
        <w:rPr>
          <w:rFonts w:ascii="Arial" w:hAnsi="Arial" w:cs="Times New Roman"/>
          <w:sz w:val="21"/>
        </w:rPr>
        <w:t>月</w:t>
      </w:r>
      <w:r w:rsidRPr="003F5882">
        <w:rPr>
          <w:rFonts w:ascii="Arial" w:hAnsi="Arial" w:cs="Times New Roman"/>
          <w:sz w:val="21"/>
        </w:rPr>
        <w:t>31</w:t>
      </w:r>
      <w:r w:rsidRPr="003F5882">
        <w:rPr>
          <w:rFonts w:ascii="Arial" w:hAnsi="Arial" w:cs="Times New Roman"/>
          <w:sz w:val="21"/>
        </w:rPr>
        <w:t>日的当年运营和环境、财务目标和战略以及财务执行情况和状况的讨论和分析。这些讨论和分析不是</w:t>
      </w:r>
      <w:r w:rsidRPr="003F5882">
        <w:rPr>
          <w:rFonts w:ascii="Arial" w:hAnsi="Arial" w:cs="Times New Roman"/>
          <w:sz w:val="21"/>
        </w:rPr>
        <w:t>WIPO</w:t>
      </w:r>
      <w:r w:rsidRPr="003F5882">
        <w:rPr>
          <w:rFonts w:ascii="Arial" w:hAnsi="Arial" w:cs="Times New Roman"/>
          <w:sz w:val="21"/>
        </w:rPr>
        <w:t>财务报表的组成部分，但应与第</w:t>
      </w:r>
      <w:r w:rsidR="00CA45E3" w:rsidRPr="003F5882">
        <w:rPr>
          <w:rFonts w:ascii="Arial" w:hAnsi="Arial" w:cs="Times New Roman" w:hint="eastAsia"/>
          <w:sz w:val="21"/>
        </w:rPr>
        <w:t>22</w:t>
      </w:r>
      <w:r w:rsidRPr="003F5882">
        <w:rPr>
          <w:rFonts w:ascii="Arial" w:hAnsi="Arial" w:cs="Times New Roman"/>
          <w:sz w:val="21"/>
        </w:rPr>
        <w:t>页至第</w:t>
      </w:r>
      <w:r w:rsidR="00CA45E3" w:rsidRPr="003F5882">
        <w:rPr>
          <w:rFonts w:ascii="Arial" w:hAnsi="Arial" w:cs="Times New Roman" w:hint="eastAsia"/>
          <w:sz w:val="21"/>
        </w:rPr>
        <w:t>66</w:t>
      </w:r>
      <w:r w:rsidRPr="003F5882">
        <w:rPr>
          <w:rFonts w:ascii="Arial" w:hAnsi="Arial" w:cs="Times New Roman"/>
          <w:sz w:val="21"/>
        </w:rPr>
        <w:t>页的</w:t>
      </w:r>
      <w:r w:rsidRPr="003F5882">
        <w:rPr>
          <w:rFonts w:ascii="Arial" w:hAnsi="Arial" w:cs="Times New Roman"/>
          <w:sz w:val="21"/>
        </w:rPr>
        <w:t>WIPO</w:t>
      </w:r>
      <w:r w:rsidRPr="003F5882">
        <w:rPr>
          <w:rFonts w:ascii="Arial" w:hAnsi="Arial" w:cs="Times New Roman"/>
          <w:sz w:val="21"/>
        </w:rPr>
        <w:t>财务报表一起阅读。</w:t>
      </w:r>
    </w:p>
    <w:p w:rsidR="005C4FAF" w:rsidRPr="00F04843" w:rsidRDefault="005C4FAF" w:rsidP="00F04843">
      <w:pPr>
        <w:keepNext/>
        <w:overflowPunct w:val="0"/>
        <w:spacing w:beforeLines="50" w:before="120" w:afterLines="50" w:after="120" w:line="340" w:lineRule="atLeast"/>
        <w:jc w:val="both"/>
        <w:rPr>
          <w:rFonts w:eastAsia="SimSun" w:cs="Times New Roman"/>
          <w:b/>
          <w:sz w:val="21"/>
          <w:szCs w:val="22"/>
        </w:rPr>
      </w:pPr>
      <w:r w:rsidRPr="00F04843">
        <w:rPr>
          <w:rFonts w:eastAsia="SimSun" w:cs="Times New Roman"/>
          <w:b/>
          <w:sz w:val="21"/>
        </w:rPr>
        <w:t>WIPO的运营和环境概述</w:t>
      </w:r>
    </w:p>
    <w:p w:rsidR="005C4FAF" w:rsidRPr="00F453AC" w:rsidRDefault="005C4FAF"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WIPO</w:t>
      </w:r>
      <w:r w:rsidRPr="003F5882">
        <w:rPr>
          <w:rFonts w:ascii="Arial" w:hAnsi="Arial" w:cs="Times New Roman"/>
          <w:sz w:val="21"/>
        </w:rPr>
        <w:t>是关于知识产权服务、政策、信息与合作的全球论坛。它是联合国的一个专</w:t>
      </w:r>
      <w:r w:rsidR="007E1D46" w:rsidRPr="003F5882">
        <w:rPr>
          <w:rFonts w:ascii="Arial" w:hAnsi="Arial" w:cs="Times New Roman" w:hint="eastAsia"/>
          <w:sz w:val="21"/>
        </w:rPr>
        <w:t>门</w:t>
      </w:r>
      <w:r w:rsidRPr="003F5882">
        <w:rPr>
          <w:rFonts w:ascii="Arial" w:hAnsi="Arial" w:cs="Times New Roman"/>
          <w:sz w:val="21"/>
        </w:rPr>
        <w:t>机构，拥有</w:t>
      </w:r>
      <w:r w:rsidRPr="003F5882">
        <w:rPr>
          <w:rFonts w:ascii="Arial" w:hAnsi="Arial" w:cs="Times New Roman"/>
          <w:sz w:val="21"/>
        </w:rPr>
        <w:t>188</w:t>
      </w:r>
      <w:r w:rsidRPr="003F5882">
        <w:rPr>
          <w:rFonts w:ascii="Arial" w:hAnsi="Arial" w:cs="Times New Roman"/>
          <w:sz w:val="21"/>
        </w:rPr>
        <w:t>个成员国。</w:t>
      </w:r>
    </w:p>
    <w:p w:rsidR="005C4FAF" w:rsidRPr="00F453AC" w:rsidRDefault="005C4FAF"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本组织的使命是领导发展兼顾各方利益的有效国际知识产权制度，让创新和创造惠及各国的经济、社会和文化发展。本组织的任务、领导机构和程序载于《</w:t>
      </w:r>
      <w:r w:rsidRPr="003F5882">
        <w:rPr>
          <w:rFonts w:ascii="Arial" w:hAnsi="Arial" w:cs="Times New Roman"/>
          <w:sz w:val="21"/>
        </w:rPr>
        <w:t>WIPO</w:t>
      </w:r>
      <w:r w:rsidRPr="003F5882">
        <w:rPr>
          <w:rFonts w:ascii="Arial" w:hAnsi="Arial" w:cs="Times New Roman"/>
          <w:sz w:val="21"/>
        </w:rPr>
        <w:t>公约》。</w:t>
      </w:r>
      <w:r w:rsidRPr="003F5882">
        <w:rPr>
          <w:rFonts w:ascii="Arial" w:hAnsi="Arial" w:cs="Times New Roman"/>
          <w:sz w:val="21"/>
        </w:rPr>
        <w:t>WIPO</w:t>
      </w:r>
      <w:r w:rsidRPr="003F5882">
        <w:rPr>
          <w:rFonts w:ascii="Arial" w:hAnsi="Arial" w:cs="Times New Roman"/>
          <w:sz w:val="21"/>
        </w:rPr>
        <w:t>根据该公约于</w:t>
      </w:r>
      <w:r w:rsidRPr="003F5882">
        <w:rPr>
          <w:rFonts w:ascii="Arial" w:hAnsi="Arial" w:cs="Times New Roman"/>
          <w:sz w:val="21"/>
        </w:rPr>
        <w:t>1967</w:t>
      </w:r>
      <w:r w:rsidRPr="003F5882">
        <w:rPr>
          <w:rFonts w:ascii="Arial" w:hAnsi="Arial" w:cs="Times New Roman"/>
          <w:sz w:val="21"/>
        </w:rPr>
        <w:t>年建立。</w:t>
      </w:r>
    </w:p>
    <w:p w:rsidR="005C4FAF" w:rsidRPr="00F453AC" w:rsidRDefault="005C4FAF"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WIPO</w:t>
      </w:r>
      <w:r w:rsidRPr="003F5882">
        <w:rPr>
          <w:rFonts w:ascii="Arial" w:hAnsi="Arial" w:cs="Times New Roman"/>
          <w:sz w:val="21"/>
        </w:rPr>
        <w:t>的成员国通过决策机构来决策本组织的方向、预算和活动。</w:t>
      </w:r>
      <w:r w:rsidRPr="003F5882">
        <w:rPr>
          <w:rFonts w:ascii="Arial" w:hAnsi="Arial" w:cs="Times New Roman"/>
          <w:sz w:val="21"/>
        </w:rPr>
        <w:t>WIPO</w:t>
      </w:r>
      <w:r w:rsidRPr="003F5882">
        <w:rPr>
          <w:rFonts w:ascii="Arial" w:hAnsi="Arial" w:cs="Times New Roman"/>
          <w:sz w:val="21"/>
        </w:rPr>
        <w:t>的主要政策和决策机构是大会和协调委员会。大会由同时是</w:t>
      </w:r>
      <w:r w:rsidR="00471850" w:rsidRPr="003F5882">
        <w:rPr>
          <w:rFonts w:ascii="Arial" w:hAnsi="Arial" w:cs="Times New Roman" w:hint="eastAsia"/>
          <w:sz w:val="21"/>
        </w:rPr>
        <w:t>WIPO</w:t>
      </w:r>
      <w:r w:rsidR="00471850" w:rsidRPr="003F5882">
        <w:rPr>
          <w:rFonts w:ascii="Arial" w:hAnsi="Arial" w:cs="Times New Roman" w:hint="eastAsia"/>
          <w:sz w:val="21"/>
        </w:rPr>
        <w:t>管理的</w:t>
      </w:r>
      <w:r w:rsidRPr="003F5882">
        <w:rPr>
          <w:rFonts w:ascii="Arial" w:hAnsi="Arial" w:cs="Times New Roman"/>
          <w:sz w:val="21"/>
        </w:rPr>
        <w:t>各联盟成员的《</w:t>
      </w:r>
      <w:r w:rsidRPr="003F5882">
        <w:rPr>
          <w:rFonts w:ascii="Arial" w:hAnsi="Arial" w:cs="Times New Roman"/>
          <w:sz w:val="21"/>
        </w:rPr>
        <w:t>WIPO</w:t>
      </w:r>
      <w:r w:rsidRPr="003F5882">
        <w:rPr>
          <w:rFonts w:ascii="Arial" w:hAnsi="Arial" w:cs="Times New Roman"/>
          <w:sz w:val="21"/>
        </w:rPr>
        <w:t>公约》成员国组成。协调委员会由巴黎或伯尔尼联盟的执行委员会的当选委员、非</w:t>
      </w:r>
      <w:r w:rsidR="00471850" w:rsidRPr="003F5882">
        <w:rPr>
          <w:rFonts w:ascii="Arial" w:hAnsi="Arial" w:cs="Times New Roman" w:hint="eastAsia"/>
          <w:sz w:val="21"/>
        </w:rPr>
        <w:t>任何</w:t>
      </w:r>
      <w:r w:rsidRPr="003F5882">
        <w:rPr>
          <w:rFonts w:ascii="Arial" w:hAnsi="Arial" w:cs="Times New Roman"/>
          <w:sz w:val="21"/>
        </w:rPr>
        <w:t>联盟成员的《</w:t>
      </w:r>
      <w:r w:rsidRPr="003F5882">
        <w:rPr>
          <w:rFonts w:ascii="Arial" w:hAnsi="Arial" w:cs="Times New Roman"/>
          <w:sz w:val="21"/>
        </w:rPr>
        <w:t>WIPO</w:t>
      </w:r>
      <w:r w:rsidRPr="003F5882">
        <w:rPr>
          <w:rFonts w:ascii="Arial" w:hAnsi="Arial" w:cs="Times New Roman"/>
          <w:sz w:val="21"/>
        </w:rPr>
        <w:t>公约》</w:t>
      </w:r>
      <w:r w:rsidR="007F25D6" w:rsidRPr="003F5882">
        <w:rPr>
          <w:rFonts w:ascii="Arial" w:hAnsi="Arial" w:cs="Times New Roman" w:hint="eastAsia"/>
          <w:sz w:val="21"/>
        </w:rPr>
        <w:t>缔约</w:t>
      </w:r>
      <w:r w:rsidRPr="003F5882">
        <w:rPr>
          <w:rFonts w:ascii="Arial" w:hAnsi="Arial" w:cs="Times New Roman"/>
          <w:sz w:val="21"/>
        </w:rPr>
        <w:t>国的四分之一以及瑞</w:t>
      </w:r>
      <w:r w:rsidR="00471850" w:rsidRPr="003F5882">
        <w:rPr>
          <w:rFonts w:ascii="Arial" w:hAnsi="Arial" w:cs="Times New Roman" w:hint="eastAsia"/>
          <w:sz w:val="21"/>
        </w:rPr>
        <w:t>士</w:t>
      </w:r>
      <w:r w:rsidRPr="003F5882">
        <w:rPr>
          <w:rFonts w:ascii="Arial" w:hAnsi="Arial" w:cs="Times New Roman"/>
          <w:sz w:val="21"/>
        </w:rPr>
        <w:t>组成。瑞</w:t>
      </w:r>
      <w:r w:rsidR="00471850" w:rsidRPr="003F5882">
        <w:rPr>
          <w:rFonts w:ascii="Arial" w:hAnsi="Arial" w:cs="Times New Roman" w:hint="eastAsia"/>
          <w:sz w:val="21"/>
        </w:rPr>
        <w:t>士</w:t>
      </w:r>
      <w:r w:rsidRPr="003F5882">
        <w:rPr>
          <w:rFonts w:ascii="Arial" w:hAnsi="Arial" w:cs="Times New Roman"/>
          <w:sz w:val="21"/>
        </w:rPr>
        <w:t>是本组织总部的所在地。</w:t>
      </w:r>
    </w:p>
    <w:p w:rsidR="005C4FAF" w:rsidRPr="00F453AC" w:rsidRDefault="005C4FAF"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W</w:t>
      </w:r>
      <w:r w:rsidR="00E04F07" w:rsidRPr="003F5882">
        <w:rPr>
          <w:rFonts w:ascii="Arial" w:hAnsi="Arial" w:cs="Times New Roman"/>
          <w:sz w:val="21"/>
        </w:rPr>
        <w:t>I</w:t>
      </w:r>
      <w:r w:rsidRPr="003F5882">
        <w:rPr>
          <w:rFonts w:ascii="Arial" w:hAnsi="Arial" w:cs="Times New Roman"/>
          <w:sz w:val="21"/>
        </w:rPr>
        <w:t>PO</w:t>
      </w:r>
      <w:r w:rsidRPr="003F5882">
        <w:rPr>
          <w:rFonts w:ascii="Arial" w:hAnsi="Arial" w:cs="Times New Roman"/>
          <w:sz w:val="21"/>
        </w:rPr>
        <w:t>总干事</w:t>
      </w:r>
      <w:r w:rsidR="00AA048B" w:rsidRPr="003F5882">
        <w:rPr>
          <w:rFonts w:ascii="Arial" w:hAnsi="Arial" w:cs="Times New Roman" w:hint="eastAsia"/>
          <w:sz w:val="21"/>
        </w:rPr>
        <w:t>在由</w:t>
      </w:r>
      <w:r w:rsidR="00AA048B" w:rsidRPr="003F5882">
        <w:rPr>
          <w:rFonts w:ascii="Arial" w:hAnsi="Arial" w:cs="Times New Roman"/>
          <w:sz w:val="21"/>
        </w:rPr>
        <w:t>协调委员会提名</w:t>
      </w:r>
      <w:r w:rsidR="00AA048B" w:rsidRPr="003F5882">
        <w:rPr>
          <w:rFonts w:ascii="Arial" w:hAnsi="Arial" w:cs="Times New Roman" w:hint="eastAsia"/>
          <w:sz w:val="21"/>
        </w:rPr>
        <w:t>后</w:t>
      </w:r>
      <w:r w:rsidRPr="003F5882">
        <w:rPr>
          <w:rFonts w:ascii="Arial" w:hAnsi="Arial" w:cs="Times New Roman"/>
          <w:sz w:val="21"/>
        </w:rPr>
        <w:t>，</w:t>
      </w:r>
      <w:r w:rsidR="00AA048B" w:rsidRPr="003F5882">
        <w:rPr>
          <w:rFonts w:ascii="Arial" w:hAnsi="Arial" w:cs="Times New Roman" w:hint="eastAsia"/>
          <w:sz w:val="21"/>
        </w:rPr>
        <w:t>由</w:t>
      </w:r>
      <w:r w:rsidRPr="003F5882">
        <w:rPr>
          <w:rFonts w:ascii="Arial" w:hAnsi="Arial" w:cs="Times New Roman"/>
          <w:sz w:val="21"/>
        </w:rPr>
        <w:t>大会任命。总干事是本组织的首席执行官。</w:t>
      </w:r>
      <w:r w:rsidRPr="003F5882">
        <w:rPr>
          <w:rFonts w:ascii="Arial" w:hAnsi="Arial" w:cs="Times New Roman"/>
          <w:sz w:val="21"/>
        </w:rPr>
        <w:t>WIPO</w:t>
      </w:r>
      <w:r w:rsidRPr="003F5882">
        <w:rPr>
          <w:rFonts w:ascii="Arial" w:hAnsi="Arial" w:cs="Times New Roman"/>
          <w:sz w:val="21"/>
        </w:rPr>
        <w:t>的高层管理团队</w:t>
      </w:r>
      <w:r w:rsidR="00F453AC" w:rsidRPr="003F5882">
        <w:rPr>
          <w:rFonts w:ascii="Arial" w:hAnsi="Arial" w:cs="Times New Roman"/>
          <w:sz w:val="21"/>
        </w:rPr>
        <w:t>（</w:t>
      </w:r>
      <w:r w:rsidRPr="003F5882">
        <w:rPr>
          <w:rFonts w:ascii="Arial" w:hAnsi="Arial" w:cs="Times New Roman"/>
          <w:sz w:val="21"/>
        </w:rPr>
        <w:t>由四名副总干事和四名助理总干事，外加法律顾问和人力资源管理部主任组成</w:t>
      </w:r>
      <w:r w:rsidR="00F453AC" w:rsidRPr="003F5882">
        <w:rPr>
          <w:rFonts w:ascii="Arial" w:hAnsi="Arial" w:cs="Times New Roman"/>
          <w:sz w:val="21"/>
        </w:rPr>
        <w:t>）</w:t>
      </w:r>
      <w:r w:rsidRPr="003F5882">
        <w:rPr>
          <w:rFonts w:ascii="Arial" w:hAnsi="Arial" w:cs="Times New Roman"/>
          <w:sz w:val="21"/>
        </w:rPr>
        <w:t>协助总干事制定</w:t>
      </w:r>
      <w:r w:rsidRPr="003F5882">
        <w:rPr>
          <w:rFonts w:ascii="Arial" w:hAnsi="Arial" w:cs="Times New Roman"/>
          <w:sz w:val="21"/>
        </w:rPr>
        <w:t>WIPO</w:t>
      </w:r>
      <w:r w:rsidRPr="003F5882">
        <w:rPr>
          <w:rFonts w:ascii="Arial" w:hAnsi="Arial" w:cs="Times New Roman"/>
          <w:sz w:val="21"/>
        </w:rPr>
        <w:t>各项计划的战略导向，并管理各自的部门和计划，从而确保交付成果符合计划和预算。</w:t>
      </w:r>
    </w:p>
    <w:p w:rsidR="005C4FAF" w:rsidRPr="00F453AC" w:rsidRDefault="005C4FAF"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WIPO</w:t>
      </w:r>
      <w:r w:rsidRPr="003F5882">
        <w:rPr>
          <w:rFonts w:ascii="Arial" w:hAnsi="Arial" w:cs="Times New Roman"/>
          <w:sz w:val="21"/>
        </w:rPr>
        <w:t>的收入主要来自于通过《专利合作条约》</w:t>
      </w:r>
      <w:r w:rsidR="00F453AC" w:rsidRPr="003F5882">
        <w:rPr>
          <w:rFonts w:ascii="Arial" w:hAnsi="Arial" w:cs="Times New Roman" w:hint="eastAsia"/>
          <w:sz w:val="21"/>
        </w:rPr>
        <w:t>（</w:t>
      </w:r>
      <w:r w:rsidRPr="003F5882">
        <w:rPr>
          <w:rFonts w:ascii="Arial" w:hAnsi="Arial" w:cs="Times New Roman"/>
          <w:sz w:val="21"/>
        </w:rPr>
        <w:t>PCT</w:t>
      </w:r>
      <w:r w:rsidR="00F453AC" w:rsidRPr="003F5882">
        <w:rPr>
          <w:rFonts w:ascii="Arial" w:hAnsi="Arial" w:cs="Times New Roman" w:hint="eastAsia"/>
          <w:sz w:val="21"/>
        </w:rPr>
        <w:t>）</w:t>
      </w:r>
      <w:r w:rsidRPr="003F5882">
        <w:rPr>
          <w:rFonts w:ascii="Arial" w:hAnsi="Arial" w:cs="Times New Roman"/>
          <w:sz w:val="21"/>
        </w:rPr>
        <w:t>、马德里和海牙体系向国际注册系统用户提供的付费服务。</w:t>
      </w:r>
      <w:r w:rsidRPr="003F5882">
        <w:rPr>
          <w:rFonts w:ascii="Arial" w:hAnsi="Arial" w:cs="Times New Roman"/>
          <w:sz w:val="21"/>
        </w:rPr>
        <w:t>2014</w:t>
      </w:r>
      <w:r w:rsidRPr="003F5882">
        <w:rPr>
          <w:rFonts w:ascii="Arial" w:hAnsi="Arial" w:cs="Times New Roman"/>
          <w:sz w:val="21"/>
        </w:rPr>
        <w:t>年，这些活动收取的费用占本组织全部收入的</w:t>
      </w:r>
      <w:r w:rsidRPr="003F5882">
        <w:rPr>
          <w:rFonts w:ascii="Arial" w:hAnsi="Arial" w:cs="Times New Roman"/>
          <w:sz w:val="21"/>
        </w:rPr>
        <w:t>91</w:t>
      </w:r>
      <w:r w:rsidR="002A46D2" w:rsidRPr="003F5882">
        <w:rPr>
          <w:rFonts w:ascii="Arial" w:hAnsi="Arial" w:cs="Times New Roman" w:hint="eastAsia"/>
          <w:sz w:val="21"/>
        </w:rPr>
        <w:t>.0</w:t>
      </w:r>
      <w:r w:rsidRPr="003F5882">
        <w:rPr>
          <w:rFonts w:ascii="Arial" w:hAnsi="Arial" w:cs="Times New Roman"/>
          <w:sz w:val="21"/>
        </w:rPr>
        <w:t>%</w:t>
      </w:r>
      <w:r w:rsidRPr="003F5882">
        <w:rPr>
          <w:rFonts w:ascii="Arial" w:hAnsi="Arial" w:cs="Times New Roman"/>
          <w:sz w:val="21"/>
        </w:rPr>
        <w:t>，仅</w:t>
      </w:r>
      <w:r w:rsidRPr="003F5882">
        <w:rPr>
          <w:rFonts w:ascii="Arial" w:hAnsi="Arial" w:cs="Times New Roman"/>
          <w:sz w:val="21"/>
        </w:rPr>
        <w:t>PCT</w:t>
      </w:r>
      <w:r w:rsidRPr="003F5882">
        <w:rPr>
          <w:rFonts w:ascii="Arial" w:hAnsi="Arial" w:cs="Times New Roman"/>
          <w:sz w:val="21"/>
        </w:rPr>
        <w:t>体系费用就占</w:t>
      </w:r>
      <w:r w:rsidRPr="003F5882">
        <w:rPr>
          <w:rFonts w:ascii="Arial" w:hAnsi="Arial" w:cs="Times New Roman"/>
          <w:sz w:val="21"/>
        </w:rPr>
        <w:t>75.2%</w:t>
      </w:r>
      <w:r w:rsidRPr="003F5882">
        <w:rPr>
          <w:rFonts w:ascii="Arial" w:hAnsi="Arial" w:cs="Times New Roman"/>
          <w:sz w:val="21"/>
        </w:rPr>
        <w:t>。</w:t>
      </w:r>
    </w:p>
    <w:p w:rsidR="005C4FAF" w:rsidRPr="00F453AC" w:rsidRDefault="005C4FAF"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这些付费服务收入增长的动力是国际上对知识产权的需求。尽管</w:t>
      </w:r>
      <w:r w:rsidRPr="003F5882">
        <w:rPr>
          <w:rFonts w:ascii="Arial" w:hAnsi="Arial" w:cs="Times New Roman"/>
          <w:sz w:val="21"/>
        </w:rPr>
        <w:t>2008</w:t>
      </w:r>
      <w:r w:rsidRPr="003F5882">
        <w:rPr>
          <w:rFonts w:ascii="Arial" w:hAnsi="Arial" w:cs="Times New Roman"/>
          <w:sz w:val="21"/>
        </w:rPr>
        <w:t>年全球金融危机后经济复苏不均衡，但是自</w:t>
      </w:r>
      <w:r w:rsidRPr="003F5882">
        <w:rPr>
          <w:rFonts w:ascii="Arial" w:hAnsi="Arial" w:cs="Times New Roman"/>
          <w:sz w:val="21"/>
        </w:rPr>
        <w:t>2010</w:t>
      </w:r>
      <w:r w:rsidRPr="003F5882">
        <w:rPr>
          <w:rFonts w:ascii="Arial" w:hAnsi="Arial" w:cs="Times New Roman"/>
          <w:sz w:val="21"/>
        </w:rPr>
        <w:t>年起，全球知识产权备案活动持续增长，然</w:t>
      </w:r>
      <w:r w:rsidR="00A71BFE" w:rsidRPr="003F5882">
        <w:rPr>
          <w:rFonts w:ascii="Arial" w:hAnsi="Arial" w:cs="Times New Roman" w:hint="eastAsia"/>
          <w:sz w:val="21"/>
        </w:rPr>
        <w:t>而</w:t>
      </w:r>
      <w:r w:rsidRPr="003F5882">
        <w:rPr>
          <w:rFonts w:ascii="Arial" w:hAnsi="Arial" w:cs="Times New Roman"/>
          <w:sz w:val="21"/>
        </w:rPr>
        <w:t>知识产权需求仍然受到全球经济表现影响。</w:t>
      </w:r>
      <w:r w:rsidR="00A71BFE" w:rsidRPr="003F5882">
        <w:rPr>
          <w:rFonts w:ascii="Arial" w:hAnsi="Arial" w:cs="Times New Roman" w:hint="eastAsia"/>
          <w:sz w:val="21"/>
        </w:rPr>
        <w:t>可能</w:t>
      </w:r>
      <w:r w:rsidRPr="003F5882">
        <w:rPr>
          <w:rFonts w:ascii="Arial" w:hAnsi="Arial" w:cs="Times New Roman"/>
          <w:sz w:val="21"/>
        </w:rPr>
        <w:t>影响本组织服务收入的其他外部因素包括研究和开发投资水平、技术</w:t>
      </w:r>
      <w:r w:rsidR="00AF51BD" w:rsidRPr="003F5882">
        <w:rPr>
          <w:rFonts w:ascii="Arial" w:hAnsi="Arial" w:cs="Times New Roman" w:hint="eastAsia"/>
          <w:sz w:val="21"/>
        </w:rPr>
        <w:t>可信度</w:t>
      </w:r>
      <w:r w:rsidRPr="003F5882">
        <w:rPr>
          <w:rFonts w:ascii="Arial" w:hAnsi="Arial" w:cs="Times New Roman"/>
          <w:sz w:val="21"/>
        </w:rPr>
        <w:t>水平和汇率波动。尤其是对于</w:t>
      </w:r>
      <w:r w:rsidRPr="003F5882">
        <w:rPr>
          <w:rFonts w:ascii="Arial" w:hAnsi="Arial" w:cs="Times New Roman"/>
          <w:sz w:val="21"/>
        </w:rPr>
        <w:t>PCT</w:t>
      </w:r>
      <w:r w:rsidRPr="003F5882">
        <w:rPr>
          <w:rFonts w:ascii="Arial" w:hAnsi="Arial" w:cs="Times New Roman"/>
          <w:sz w:val="21"/>
        </w:rPr>
        <w:t>体系，其他重要影响因素包括与其他备案路径的服务费用相比</w:t>
      </w:r>
      <w:r w:rsidRPr="003F5882">
        <w:rPr>
          <w:rFonts w:ascii="Arial" w:hAnsi="Arial" w:cs="Times New Roman"/>
          <w:sz w:val="21"/>
        </w:rPr>
        <w:t>PCT</w:t>
      </w:r>
      <w:proofErr w:type="gramStart"/>
      <w:r w:rsidRPr="003F5882">
        <w:rPr>
          <w:rFonts w:ascii="Arial" w:hAnsi="Arial" w:cs="Times New Roman"/>
          <w:sz w:val="21"/>
        </w:rPr>
        <w:t>规</w:t>
      </w:r>
      <w:proofErr w:type="gramEnd"/>
      <w:r w:rsidRPr="003F5882">
        <w:rPr>
          <w:rFonts w:ascii="Arial" w:hAnsi="Arial" w:cs="Times New Roman"/>
          <w:sz w:val="21"/>
        </w:rPr>
        <w:t>费的水平、与其他备案路径相比</w:t>
      </w:r>
      <w:r w:rsidRPr="003F5882">
        <w:rPr>
          <w:rFonts w:ascii="Arial" w:hAnsi="Arial" w:cs="Times New Roman"/>
          <w:sz w:val="21"/>
        </w:rPr>
        <w:t>PCT</w:t>
      </w:r>
      <w:r w:rsidRPr="003F5882">
        <w:rPr>
          <w:rFonts w:ascii="Arial" w:hAnsi="Arial" w:cs="Times New Roman"/>
          <w:sz w:val="21"/>
        </w:rPr>
        <w:t>服务的吸引力和价值、个</w:t>
      </w:r>
      <w:r w:rsidR="00AF51BD" w:rsidRPr="003F5882">
        <w:rPr>
          <w:rFonts w:ascii="Arial" w:hAnsi="Arial" w:cs="Times New Roman" w:hint="eastAsia"/>
          <w:sz w:val="21"/>
        </w:rPr>
        <w:t>别</w:t>
      </w:r>
      <w:r w:rsidRPr="003F5882">
        <w:rPr>
          <w:rFonts w:ascii="Arial" w:hAnsi="Arial" w:cs="Times New Roman"/>
          <w:sz w:val="21"/>
        </w:rPr>
        <w:t>企业专利战略。</w:t>
      </w:r>
    </w:p>
    <w:p w:rsidR="005C4FAF" w:rsidRPr="00F04843" w:rsidRDefault="005C4FAF" w:rsidP="00F04843">
      <w:pPr>
        <w:keepNext/>
        <w:overflowPunct w:val="0"/>
        <w:spacing w:beforeLines="50" w:before="120" w:afterLines="50" w:after="120" w:line="340" w:lineRule="atLeast"/>
        <w:jc w:val="both"/>
        <w:rPr>
          <w:rFonts w:eastAsia="SimSun" w:cs="Times New Roman"/>
          <w:b/>
          <w:sz w:val="21"/>
        </w:rPr>
      </w:pPr>
      <w:r w:rsidRPr="00F04843">
        <w:rPr>
          <w:rFonts w:eastAsia="SimSun" w:cs="Times New Roman"/>
          <w:b/>
          <w:sz w:val="21"/>
        </w:rPr>
        <w:lastRenderedPageBreak/>
        <w:t>WIPO财务目标和战略概述</w:t>
      </w:r>
    </w:p>
    <w:p w:rsidR="005C4FAF" w:rsidRPr="00F453AC" w:rsidRDefault="005C4FAF"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WIPO</w:t>
      </w:r>
      <w:r w:rsidRPr="003F5882">
        <w:rPr>
          <w:rFonts w:ascii="Arial" w:hAnsi="Arial" w:cs="Times New Roman"/>
          <w:sz w:val="21"/>
        </w:rPr>
        <w:t>的财务活动受经大会批准的《财务条例》管辖。《财务细则》由总干事根据《财务条例》规定建立。</w:t>
      </w:r>
      <w:r w:rsidRPr="003F5882">
        <w:rPr>
          <w:rFonts w:ascii="Arial" w:hAnsi="Arial" w:cs="Times New Roman"/>
          <w:sz w:val="21"/>
        </w:rPr>
        <w:t>WIPO</w:t>
      </w:r>
      <w:r w:rsidRPr="003F5882">
        <w:rPr>
          <w:rFonts w:ascii="Arial" w:hAnsi="Arial" w:cs="Times New Roman"/>
          <w:sz w:val="21"/>
        </w:rPr>
        <w:t>的计划和预算委员会</w:t>
      </w:r>
      <w:r w:rsidR="00AF51BD" w:rsidRPr="003F5882">
        <w:rPr>
          <w:rFonts w:ascii="Arial" w:hAnsi="Arial" w:cs="Times New Roman" w:hint="eastAsia"/>
          <w:sz w:val="21"/>
        </w:rPr>
        <w:t>会获知</w:t>
      </w:r>
      <w:r w:rsidRPr="003F5882">
        <w:rPr>
          <w:rFonts w:ascii="Arial" w:hAnsi="Arial" w:cs="Times New Roman"/>
          <w:sz w:val="21"/>
        </w:rPr>
        <w:t>《财务细则》的所有修</w:t>
      </w:r>
      <w:r w:rsidR="00AF51BD" w:rsidRPr="003F5882">
        <w:rPr>
          <w:rFonts w:ascii="Arial" w:hAnsi="Arial" w:cs="Times New Roman" w:hint="eastAsia"/>
          <w:sz w:val="21"/>
        </w:rPr>
        <w:t>改</w:t>
      </w:r>
      <w:r w:rsidRPr="003F5882">
        <w:rPr>
          <w:rFonts w:ascii="Arial" w:hAnsi="Arial" w:cs="Times New Roman"/>
          <w:sz w:val="21"/>
        </w:rPr>
        <w:t>。《财务细则》管辖本组织的所有财务管理活动。总干事向财务主管授予执行《财务条例与细则》的权</w:t>
      </w:r>
      <w:r w:rsidR="00AF51BD" w:rsidRPr="003F5882">
        <w:rPr>
          <w:rFonts w:ascii="Arial" w:hAnsi="Arial" w:cs="Times New Roman" w:hint="eastAsia"/>
          <w:sz w:val="21"/>
        </w:rPr>
        <w:t>限</w:t>
      </w:r>
      <w:r w:rsidRPr="003F5882">
        <w:rPr>
          <w:rFonts w:ascii="Arial" w:hAnsi="Arial" w:cs="Times New Roman"/>
          <w:sz w:val="21"/>
        </w:rPr>
        <w:t>和责任。</w:t>
      </w:r>
    </w:p>
    <w:p w:rsidR="005C4FAF" w:rsidRPr="00F453AC" w:rsidRDefault="005C4FAF"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总干事每两年向成员国呈交一份计划和预算供其审批。计划和预算详细阐述了所有拟议活动的目标、执行措施和预算规划。</w:t>
      </w:r>
      <w:r w:rsidRPr="003F5882">
        <w:rPr>
          <w:rFonts w:ascii="Arial" w:hAnsi="Arial" w:cs="Times New Roman"/>
          <w:sz w:val="21"/>
        </w:rPr>
        <w:t>2013</w:t>
      </w:r>
      <w:r w:rsidRPr="003F5882">
        <w:rPr>
          <w:rFonts w:ascii="Arial" w:hAnsi="Arial" w:cs="Times New Roman"/>
          <w:sz w:val="21"/>
        </w:rPr>
        <w:t>年</w:t>
      </w:r>
      <w:r w:rsidRPr="003F5882">
        <w:rPr>
          <w:rFonts w:ascii="Arial" w:hAnsi="Arial" w:cs="Times New Roman"/>
          <w:sz w:val="21"/>
        </w:rPr>
        <w:t>12</w:t>
      </w:r>
      <w:r w:rsidRPr="003F5882">
        <w:rPr>
          <w:rFonts w:ascii="Arial" w:hAnsi="Arial" w:cs="Times New Roman"/>
          <w:sz w:val="21"/>
        </w:rPr>
        <w:t>月</w:t>
      </w:r>
      <w:r w:rsidRPr="003F5882">
        <w:rPr>
          <w:rFonts w:ascii="Arial" w:hAnsi="Arial" w:cs="Times New Roman"/>
          <w:sz w:val="21"/>
        </w:rPr>
        <w:t>12</w:t>
      </w:r>
      <w:r w:rsidRPr="003F5882">
        <w:rPr>
          <w:rFonts w:ascii="Arial" w:hAnsi="Arial" w:cs="Times New Roman"/>
          <w:sz w:val="21"/>
        </w:rPr>
        <w:t>日召开的</w:t>
      </w:r>
      <w:r w:rsidRPr="003F5882">
        <w:rPr>
          <w:rFonts w:ascii="Arial" w:hAnsi="Arial" w:cs="Times New Roman"/>
          <w:sz w:val="21"/>
        </w:rPr>
        <w:t>WIPO</w:t>
      </w:r>
      <w:r w:rsidRPr="003F5882">
        <w:rPr>
          <w:rFonts w:ascii="Arial" w:hAnsi="Arial" w:cs="Times New Roman"/>
          <w:sz w:val="21"/>
        </w:rPr>
        <w:t>成员国大会核定了</w:t>
      </w:r>
      <w:r w:rsidRPr="003F5882">
        <w:rPr>
          <w:rFonts w:ascii="Arial" w:hAnsi="Arial" w:cs="Times New Roman"/>
          <w:sz w:val="21"/>
        </w:rPr>
        <w:t>2014/15</w:t>
      </w:r>
      <w:r w:rsidRPr="003F5882">
        <w:rPr>
          <w:rFonts w:ascii="Arial" w:hAnsi="Arial" w:cs="Times New Roman"/>
          <w:sz w:val="21"/>
        </w:rPr>
        <w:t>两年期计划和预算。计划和预算在中期战略计划的整体战略框架下提供两年期的规划。</w:t>
      </w:r>
    </w:p>
    <w:p w:rsidR="005C4FAF" w:rsidRPr="00F453AC" w:rsidRDefault="005C4FAF"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本组织采用以结果为导向的管理系统，从而确保按照组织业绩和优先级安排和使用资源。本组织通过绩效指标、目标和基准定期衡量和分析组织绩效。在这种制度下，计划和预算以及中期战略计划都是</w:t>
      </w:r>
      <w:r w:rsidRPr="003F5882">
        <w:rPr>
          <w:rFonts w:ascii="Arial" w:hAnsi="Arial" w:cs="Times New Roman"/>
          <w:sz w:val="21"/>
        </w:rPr>
        <w:t>WIPO</w:t>
      </w:r>
      <w:r w:rsidRPr="003F5882">
        <w:rPr>
          <w:rFonts w:ascii="Arial" w:hAnsi="Arial" w:cs="Times New Roman"/>
          <w:sz w:val="21"/>
        </w:rPr>
        <w:t>规划框架的一部分，框架还包括年度工作计划和单个</w:t>
      </w:r>
      <w:r w:rsidR="00FE0F2D" w:rsidRPr="003F5882">
        <w:rPr>
          <w:rFonts w:ascii="Arial" w:hAnsi="Arial" w:cs="Times New Roman" w:hint="eastAsia"/>
          <w:sz w:val="21"/>
        </w:rPr>
        <w:t>工作人员</w:t>
      </w:r>
      <w:r w:rsidRPr="003F5882">
        <w:rPr>
          <w:rFonts w:ascii="Arial" w:hAnsi="Arial" w:cs="Times New Roman"/>
          <w:sz w:val="21"/>
        </w:rPr>
        <w:t>的目标。</w:t>
      </w:r>
    </w:p>
    <w:p w:rsidR="005C4FAF" w:rsidRPr="00F453AC" w:rsidRDefault="005C4FAF"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本组织根据储备</w:t>
      </w:r>
      <w:proofErr w:type="gramStart"/>
      <w:r w:rsidRPr="003F5882">
        <w:rPr>
          <w:rFonts w:ascii="Arial" w:hAnsi="Arial" w:cs="Times New Roman"/>
          <w:sz w:val="21"/>
        </w:rPr>
        <w:t>金政策</w:t>
      </w:r>
      <w:proofErr w:type="gramEnd"/>
      <w:r w:rsidRPr="003F5882">
        <w:rPr>
          <w:rFonts w:ascii="Arial" w:hAnsi="Arial" w:cs="Times New Roman"/>
          <w:sz w:val="21"/>
        </w:rPr>
        <w:t>管理储备金水平。该政策的一个核心要素是建立一个机制，将要求的储备金水平作为本组织管理下的联盟两年期开支概算的一个百分比。同时，该政策还建立了资本支出和战略</w:t>
      </w:r>
      <w:r w:rsidR="00FE0F2D" w:rsidRPr="003F5882">
        <w:rPr>
          <w:rFonts w:ascii="Arial" w:hAnsi="Arial" w:cs="Times New Roman" w:hint="eastAsia"/>
          <w:sz w:val="21"/>
        </w:rPr>
        <w:t>举措</w:t>
      </w:r>
      <w:r w:rsidRPr="003F5882">
        <w:rPr>
          <w:rFonts w:ascii="Arial" w:hAnsi="Arial" w:cs="Times New Roman"/>
          <w:sz w:val="21"/>
        </w:rPr>
        <w:t>储备金使用的</w:t>
      </w:r>
      <w:r w:rsidR="00FE0F2D" w:rsidRPr="003F5882">
        <w:rPr>
          <w:rFonts w:ascii="Arial" w:hAnsi="Arial" w:cs="Times New Roman" w:hint="eastAsia"/>
          <w:sz w:val="21"/>
        </w:rPr>
        <w:t>原则</w:t>
      </w:r>
      <w:r w:rsidRPr="003F5882">
        <w:rPr>
          <w:rFonts w:ascii="Arial" w:hAnsi="Arial" w:cs="Times New Roman"/>
          <w:sz w:val="21"/>
        </w:rPr>
        <w:t>和批准机制。</w:t>
      </w:r>
    </w:p>
    <w:p w:rsidR="005C4FAF" w:rsidRPr="00F453AC" w:rsidRDefault="005C4FAF"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color w:val="000000"/>
          <w:sz w:val="21"/>
        </w:rPr>
        <w:t>本组织根据其投资政策管理投资。投资政策规定本组织投资管理的主要目标按照重要性顺序应为</w:t>
      </w:r>
      <w:r w:rsidR="00E83775" w:rsidRPr="003F5882">
        <w:rPr>
          <w:rFonts w:ascii="Arial" w:hAnsi="Arial" w:cs="Times New Roman" w:hint="eastAsia"/>
          <w:color w:val="000000"/>
          <w:sz w:val="21"/>
        </w:rPr>
        <w:t>(</w:t>
      </w:r>
      <w:r w:rsidRPr="003F5882">
        <w:rPr>
          <w:rFonts w:ascii="Arial" w:hAnsi="Arial" w:cs="Times New Roman"/>
          <w:color w:val="000000"/>
          <w:sz w:val="21"/>
        </w:rPr>
        <w:t>i</w:t>
      </w:r>
      <w:r w:rsidR="00E83775" w:rsidRPr="003F5882">
        <w:rPr>
          <w:rFonts w:ascii="Arial" w:hAnsi="Arial" w:cs="Times New Roman" w:hint="eastAsia"/>
          <w:color w:val="000000"/>
          <w:sz w:val="21"/>
        </w:rPr>
        <w:t>)</w:t>
      </w:r>
      <w:r w:rsidR="003F5882">
        <w:rPr>
          <w:rFonts w:ascii="Arial" w:hAnsi="Arial" w:cs="Times New Roman"/>
          <w:color w:val="000000"/>
          <w:sz w:val="21"/>
          <w:lang w:val="en-US"/>
        </w:rPr>
        <w:t> </w:t>
      </w:r>
      <w:r w:rsidRPr="003F5882">
        <w:rPr>
          <w:rFonts w:ascii="Arial" w:hAnsi="Arial" w:cs="Times New Roman"/>
          <w:color w:val="000000"/>
          <w:sz w:val="21"/>
        </w:rPr>
        <w:t>资本保存；</w:t>
      </w:r>
      <w:r w:rsidR="00E83775" w:rsidRPr="003F5882">
        <w:rPr>
          <w:rFonts w:ascii="Arial" w:hAnsi="Arial" w:cs="Times New Roman" w:hint="eastAsia"/>
          <w:color w:val="000000"/>
          <w:sz w:val="21"/>
        </w:rPr>
        <w:t>(</w:t>
      </w:r>
      <w:r w:rsidRPr="003F5882">
        <w:rPr>
          <w:rFonts w:ascii="Arial" w:hAnsi="Arial" w:cs="Times New Roman"/>
          <w:color w:val="000000"/>
          <w:sz w:val="21"/>
        </w:rPr>
        <w:t>ii</w:t>
      </w:r>
      <w:r w:rsidR="00E83775" w:rsidRPr="003F5882">
        <w:rPr>
          <w:rFonts w:ascii="Arial" w:hAnsi="Arial" w:cs="Times New Roman" w:hint="eastAsia"/>
          <w:color w:val="000000"/>
          <w:sz w:val="21"/>
        </w:rPr>
        <w:t>)</w:t>
      </w:r>
      <w:r w:rsidR="003F5882">
        <w:rPr>
          <w:rFonts w:ascii="Arial" w:hAnsi="Arial" w:cs="Times New Roman"/>
          <w:color w:val="000000"/>
          <w:sz w:val="21"/>
          <w:lang w:val="en-US"/>
        </w:rPr>
        <w:t> </w:t>
      </w:r>
      <w:r w:rsidRPr="003F5882">
        <w:rPr>
          <w:rFonts w:ascii="Arial" w:hAnsi="Arial" w:cs="Times New Roman"/>
          <w:color w:val="000000"/>
          <w:sz w:val="21"/>
        </w:rPr>
        <w:t>流动性和</w:t>
      </w:r>
      <w:r w:rsidR="00E83775" w:rsidRPr="003F5882">
        <w:rPr>
          <w:rFonts w:ascii="Arial" w:hAnsi="Arial" w:cs="Times New Roman" w:hint="eastAsia"/>
          <w:color w:val="000000"/>
          <w:sz w:val="21"/>
        </w:rPr>
        <w:t>(</w:t>
      </w:r>
      <w:r w:rsidRPr="003F5882">
        <w:rPr>
          <w:rFonts w:ascii="Arial" w:hAnsi="Arial" w:cs="Times New Roman"/>
          <w:color w:val="000000"/>
          <w:sz w:val="21"/>
        </w:rPr>
        <w:t>iii</w:t>
      </w:r>
      <w:r w:rsidR="00E83775" w:rsidRPr="003F5882">
        <w:rPr>
          <w:rFonts w:ascii="Arial" w:hAnsi="Arial" w:cs="Times New Roman" w:hint="eastAsia"/>
          <w:color w:val="000000"/>
          <w:sz w:val="21"/>
        </w:rPr>
        <w:t>)</w:t>
      </w:r>
      <w:r w:rsidR="003F5882">
        <w:rPr>
          <w:rFonts w:ascii="Arial" w:hAnsi="Arial" w:cs="Times New Roman"/>
          <w:color w:val="000000"/>
          <w:sz w:val="21"/>
          <w:lang w:val="en-US"/>
        </w:rPr>
        <w:t> </w:t>
      </w:r>
      <w:r w:rsidR="00E83775" w:rsidRPr="003F5882">
        <w:rPr>
          <w:rFonts w:ascii="Arial" w:hAnsi="Arial" w:cs="Times New Roman" w:hint="eastAsia"/>
          <w:color w:val="000000"/>
          <w:sz w:val="21"/>
        </w:rPr>
        <w:t>(</w:t>
      </w:r>
      <w:r w:rsidRPr="003F5882">
        <w:rPr>
          <w:rFonts w:ascii="Arial" w:hAnsi="Arial" w:cs="Times New Roman"/>
          <w:color w:val="000000"/>
          <w:sz w:val="21"/>
        </w:rPr>
        <w:t>i</w:t>
      </w:r>
      <w:r w:rsidR="00E83775" w:rsidRPr="003F5882">
        <w:rPr>
          <w:rFonts w:ascii="Arial" w:hAnsi="Arial" w:cs="Times New Roman" w:hint="eastAsia"/>
          <w:color w:val="000000"/>
          <w:sz w:val="21"/>
        </w:rPr>
        <w:t>)</w:t>
      </w:r>
      <w:r w:rsidRPr="003F5882">
        <w:rPr>
          <w:rFonts w:ascii="Arial" w:hAnsi="Arial" w:cs="Times New Roman"/>
          <w:color w:val="000000"/>
          <w:sz w:val="21"/>
        </w:rPr>
        <w:t>和</w:t>
      </w:r>
      <w:r w:rsidR="00E83775" w:rsidRPr="003F5882">
        <w:rPr>
          <w:rFonts w:ascii="Arial" w:hAnsi="Arial" w:cs="Times New Roman" w:hint="eastAsia"/>
          <w:color w:val="000000"/>
          <w:sz w:val="21"/>
        </w:rPr>
        <w:t>(</w:t>
      </w:r>
      <w:r w:rsidRPr="003F5882">
        <w:rPr>
          <w:rFonts w:ascii="Arial" w:hAnsi="Arial" w:cs="Times New Roman"/>
          <w:color w:val="000000"/>
          <w:sz w:val="21"/>
        </w:rPr>
        <w:t>ii</w:t>
      </w:r>
      <w:r w:rsidR="00E83775" w:rsidRPr="003F5882">
        <w:rPr>
          <w:rFonts w:ascii="Arial" w:hAnsi="Arial" w:cs="Times New Roman" w:hint="eastAsia"/>
          <w:color w:val="000000"/>
          <w:sz w:val="21"/>
        </w:rPr>
        <w:t>)</w:t>
      </w:r>
      <w:r w:rsidRPr="003F5882">
        <w:rPr>
          <w:rFonts w:ascii="Arial" w:hAnsi="Arial" w:cs="Times New Roman"/>
          <w:color w:val="000000"/>
          <w:sz w:val="21"/>
        </w:rPr>
        <w:t>的约束下的回报率。</w:t>
      </w:r>
    </w:p>
    <w:p w:rsidR="005C4FAF" w:rsidRPr="00CA4DB8" w:rsidRDefault="005C4FAF" w:rsidP="00CA4DB8">
      <w:pPr>
        <w:keepNext/>
        <w:overflowPunct w:val="0"/>
        <w:spacing w:beforeLines="50" w:before="120" w:afterLines="50" w:after="120" w:line="340" w:lineRule="atLeast"/>
        <w:jc w:val="both"/>
        <w:rPr>
          <w:rFonts w:eastAsia="SimSun" w:cs="Times New Roman"/>
          <w:b/>
          <w:sz w:val="21"/>
        </w:rPr>
      </w:pPr>
      <w:r w:rsidRPr="00CA4DB8">
        <w:rPr>
          <w:rFonts w:eastAsia="SimSun" w:cs="Times New Roman"/>
          <w:b/>
          <w:sz w:val="21"/>
        </w:rPr>
        <w:t>财务报表概述</w:t>
      </w:r>
    </w:p>
    <w:p w:rsidR="005C4FAF" w:rsidRPr="00F453AC" w:rsidRDefault="005C4FAF"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按照</w:t>
      </w:r>
      <w:r w:rsidRPr="003F5882">
        <w:rPr>
          <w:rFonts w:ascii="Arial" w:hAnsi="Arial" w:cs="Times New Roman"/>
          <w:sz w:val="21"/>
        </w:rPr>
        <w:t>IPSAS</w:t>
      </w:r>
      <w:r w:rsidRPr="003F5882">
        <w:rPr>
          <w:rFonts w:ascii="Arial" w:hAnsi="Arial" w:cs="Times New Roman"/>
          <w:sz w:val="21"/>
        </w:rPr>
        <w:t>编制的财务报表包括：</w:t>
      </w:r>
    </w:p>
    <w:p w:rsidR="005C4FAF" w:rsidRPr="00F453AC" w:rsidRDefault="005C4FAF" w:rsidP="003F5882">
      <w:pPr>
        <w:numPr>
          <w:ilvl w:val="0"/>
          <w:numId w:val="2"/>
        </w:numPr>
        <w:tabs>
          <w:tab w:val="clear" w:pos="1021"/>
          <w:tab w:val="num" w:pos="720"/>
        </w:tabs>
        <w:overflowPunct w:val="0"/>
        <w:spacing w:afterLines="50" w:after="120" w:line="340" w:lineRule="atLeast"/>
        <w:ind w:left="714" w:hanging="357"/>
        <w:jc w:val="both"/>
        <w:rPr>
          <w:rFonts w:ascii="Arial" w:eastAsia="SimSun" w:hAnsi="Arial" w:cs="Times New Roman"/>
          <w:sz w:val="21"/>
          <w:szCs w:val="22"/>
        </w:rPr>
      </w:pPr>
      <w:r w:rsidRPr="003F5882">
        <w:rPr>
          <w:rFonts w:ascii="Arial" w:hAnsi="Arial" w:cs="Times New Roman"/>
          <w:sz w:val="21"/>
          <w:u w:val="single"/>
        </w:rPr>
        <w:t>财务状况表</w:t>
      </w:r>
      <w:r w:rsidRPr="003F5882">
        <w:rPr>
          <w:rFonts w:ascii="Arial" w:hAnsi="Arial" w:cs="Times New Roman"/>
          <w:sz w:val="21"/>
        </w:rPr>
        <w:t>详细描述本组织的净资产</w:t>
      </w:r>
      <w:r w:rsidR="00F453AC" w:rsidRPr="003F5882">
        <w:rPr>
          <w:rFonts w:ascii="Arial" w:hAnsi="Arial" w:cs="Times New Roman"/>
          <w:sz w:val="21"/>
        </w:rPr>
        <w:t>（</w:t>
      </w:r>
      <w:r w:rsidRPr="003F5882">
        <w:rPr>
          <w:rFonts w:ascii="Arial" w:hAnsi="Arial" w:cs="Times New Roman"/>
          <w:sz w:val="21"/>
        </w:rPr>
        <w:t>总资产和总负债之差</w:t>
      </w:r>
      <w:r w:rsidR="00F453AC" w:rsidRPr="003F5882">
        <w:rPr>
          <w:rFonts w:ascii="Arial" w:hAnsi="Arial" w:cs="Times New Roman"/>
          <w:sz w:val="21"/>
        </w:rPr>
        <w:t>）</w:t>
      </w:r>
      <w:r w:rsidRPr="003F5882">
        <w:rPr>
          <w:rFonts w:ascii="Arial" w:hAnsi="Arial" w:cs="Times New Roman"/>
          <w:sz w:val="21"/>
        </w:rPr>
        <w:t>。该报表提供了本组织财务实力以及可用于支持其未来目标的资源的信息；</w:t>
      </w:r>
    </w:p>
    <w:p w:rsidR="005C4FAF" w:rsidRPr="00F453AC" w:rsidRDefault="005C4FAF" w:rsidP="003F5882">
      <w:pPr>
        <w:numPr>
          <w:ilvl w:val="0"/>
          <w:numId w:val="2"/>
        </w:numPr>
        <w:tabs>
          <w:tab w:val="clear" w:pos="1021"/>
          <w:tab w:val="num" w:pos="720"/>
        </w:tabs>
        <w:overflowPunct w:val="0"/>
        <w:spacing w:afterLines="50" w:after="120" w:line="340" w:lineRule="atLeast"/>
        <w:ind w:left="714" w:hanging="357"/>
        <w:jc w:val="both"/>
        <w:rPr>
          <w:rFonts w:ascii="Arial" w:eastAsia="SimSun" w:hAnsi="Arial" w:cs="Times New Roman"/>
          <w:sz w:val="21"/>
          <w:szCs w:val="22"/>
        </w:rPr>
      </w:pPr>
      <w:r w:rsidRPr="003F5882">
        <w:rPr>
          <w:rFonts w:ascii="Arial" w:hAnsi="Arial" w:cs="Times New Roman"/>
          <w:sz w:val="21"/>
          <w:u w:val="single"/>
        </w:rPr>
        <w:t>财务执行情况表</w:t>
      </w:r>
      <w:r w:rsidRPr="003F5882">
        <w:rPr>
          <w:rFonts w:ascii="Arial" w:hAnsi="Arial" w:cs="Times New Roman"/>
          <w:sz w:val="21"/>
        </w:rPr>
        <w:t>衡量当年的净盈余或赤字</w:t>
      </w:r>
      <w:r w:rsidR="00F453AC" w:rsidRPr="003F5882">
        <w:rPr>
          <w:rFonts w:ascii="Arial" w:hAnsi="Arial" w:cs="Times New Roman"/>
          <w:sz w:val="21"/>
        </w:rPr>
        <w:t>（</w:t>
      </w:r>
      <w:r w:rsidRPr="003F5882">
        <w:rPr>
          <w:rFonts w:ascii="Arial" w:hAnsi="Arial" w:cs="Times New Roman"/>
          <w:sz w:val="21"/>
        </w:rPr>
        <w:t>总收入和总支出之差</w:t>
      </w:r>
      <w:r w:rsidR="00F453AC" w:rsidRPr="003F5882">
        <w:rPr>
          <w:rFonts w:ascii="Arial" w:hAnsi="Arial" w:cs="Times New Roman"/>
          <w:sz w:val="21"/>
        </w:rPr>
        <w:t>）</w:t>
      </w:r>
      <w:r w:rsidRPr="003F5882">
        <w:rPr>
          <w:rFonts w:ascii="Arial" w:hAnsi="Arial" w:cs="Times New Roman"/>
          <w:sz w:val="21"/>
        </w:rPr>
        <w:t>。该报表提供了本组织收入来源及活动开支的信息。年度盈余或赤字按照完全的权责发生制呈报，在本期产生的收入和支出都纳入账目，不管相关的现金何时实际收到或支付；</w:t>
      </w:r>
    </w:p>
    <w:p w:rsidR="005C4FAF" w:rsidRPr="00F453AC" w:rsidRDefault="005C4FAF" w:rsidP="003F5882">
      <w:pPr>
        <w:numPr>
          <w:ilvl w:val="0"/>
          <w:numId w:val="2"/>
        </w:numPr>
        <w:tabs>
          <w:tab w:val="clear" w:pos="1021"/>
          <w:tab w:val="num" w:pos="720"/>
        </w:tabs>
        <w:overflowPunct w:val="0"/>
        <w:spacing w:afterLines="50" w:after="120" w:line="340" w:lineRule="atLeast"/>
        <w:ind w:left="714" w:hanging="357"/>
        <w:jc w:val="both"/>
        <w:rPr>
          <w:rFonts w:ascii="Arial" w:eastAsia="SimSun" w:hAnsi="Arial" w:cs="Times New Roman"/>
          <w:sz w:val="21"/>
          <w:szCs w:val="22"/>
        </w:rPr>
      </w:pPr>
      <w:r w:rsidRPr="003F5882">
        <w:rPr>
          <w:rFonts w:ascii="Arial" w:hAnsi="Arial" w:cs="Times New Roman"/>
          <w:sz w:val="21"/>
          <w:u w:val="single"/>
        </w:rPr>
        <w:t>净资产变动表</w:t>
      </w:r>
      <w:r w:rsidRPr="003F5882">
        <w:rPr>
          <w:rFonts w:ascii="Arial" w:hAnsi="Arial" w:cs="Times New Roman"/>
          <w:sz w:val="21"/>
        </w:rPr>
        <w:t>明</w:t>
      </w:r>
      <w:proofErr w:type="gramStart"/>
      <w:r w:rsidRPr="003F5882">
        <w:rPr>
          <w:rFonts w:ascii="Arial" w:hAnsi="Arial" w:cs="Times New Roman"/>
          <w:sz w:val="21"/>
        </w:rPr>
        <w:t>确当年</w:t>
      </w:r>
      <w:proofErr w:type="gramEnd"/>
      <w:r w:rsidRPr="003F5882">
        <w:rPr>
          <w:rFonts w:ascii="Arial" w:hAnsi="Arial" w:cs="Times New Roman"/>
          <w:sz w:val="21"/>
        </w:rPr>
        <w:t>的净资产变动情况。该报表显示本组织总体财务状况的变动来源，包括本期盈余或赤字引起的变动；</w:t>
      </w:r>
    </w:p>
    <w:p w:rsidR="005C4FAF" w:rsidRPr="00F453AC" w:rsidRDefault="005C4FAF" w:rsidP="003F5882">
      <w:pPr>
        <w:numPr>
          <w:ilvl w:val="0"/>
          <w:numId w:val="2"/>
        </w:numPr>
        <w:tabs>
          <w:tab w:val="clear" w:pos="1021"/>
          <w:tab w:val="num" w:pos="720"/>
        </w:tabs>
        <w:overflowPunct w:val="0"/>
        <w:spacing w:afterLines="50" w:after="120" w:line="340" w:lineRule="atLeast"/>
        <w:ind w:left="714" w:hanging="357"/>
        <w:jc w:val="both"/>
        <w:rPr>
          <w:rFonts w:ascii="Arial" w:eastAsia="SimSun" w:hAnsi="Arial" w:cs="Times New Roman"/>
          <w:sz w:val="21"/>
          <w:szCs w:val="22"/>
        </w:rPr>
      </w:pPr>
      <w:r w:rsidRPr="003F5882">
        <w:rPr>
          <w:rFonts w:ascii="Arial" w:hAnsi="Arial" w:cs="Times New Roman"/>
          <w:sz w:val="21"/>
          <w:u w:val="single"/>
        </w:rPr>
        <w:t>现金流量表</w:t>
      </w:r>
      <w:r w:rsidRPr="003F5882">
        <w:rPr>
          <w:rFonts w:ascii="Arial" w:hAnsi="Arial" w:cs="Times New Roman"/>
          <w:sz w:val="21"/>
        </w:rPr>
        <w:t>呈报当年的运营、投资和融资活动所带来的现金流动情况。该报表提供了当年的现金筹集和使用情况的信息，包括借款和还款以及固定资产的购置和出售。与财务执行情况表不同的是，现金流量表衡量流入本组织的现金和流出现金之差；</w:t>
      </w:r>
    </w:p>
    <w:p w:rsidR="005C4FAF" w:rsidRPr="00F453AC" w:rsidRDefault="005C4FAF" w:rsidP="003F5882">
      <w:pPr>
        <w:numPr>
          <w:ilvl w:val="0"/>
          <w:numId w:val="2"/>
        </w:numPr>
        <w:tabs>
          <w:tab w:val="clear" w:pos="1021"/>
          <w:tab w:val="num" w:pos="720"/>
        </w:tabs>
        <w:overflowPunct w:val="0"/>
        <w:spacing w:afterLines="50" w:after="120" w:line="340" w:lineRule="atLeast"/>
        <w:ind w:left="714" w:hanging="357"/>
        <w:jc w:val="both"/>
        <w:rPr>
          <w:rFonts w:ascii="Arial" w:eastAsia="SimSun" w:hAnsi="Arial" w:cs="Times New Roman"/>
          <w:sz w:val="21"/>
          <w:szCs w:val="22"/>
        </w:rPr>
      </w:pPr>
      <w:r w:rsidRPr="003F5882">
        <w:rPr>
          <w:rFonts w:ascii="Arial" w:hAnsi="Arial" w:cs="Times New Roman"/>
          <w:sz w:val="21"/>
          <w:u w:val="single"/>
        </w:rPr>
        <w:t>预算与实际对比表</w:t>
      </w:r>
      <w:r w:rsidRPr="003F5882">
        <w:rPr>
          <w:rFonts w:ascii="Arial" w:hAnsi="Arial" w:cs="Times New Roman"/>
          <w:sz w:val="21"/>
        </w:rPr>
        <w:t>呈报计划和预算下的预算额和当年实际发生额之间的对比。该报表按预算制编制，这是一种修正的权责发生制，反映了资源的获取和使用在多大程度上按照核准的预算进行；</w:t>
      </w:r>
    </w:p>
    <w:p w:rsidR="005C4FAF" w:rsidRPr="00F453AC" w:rsidRDefault="005C4FAF" w:rsidP="003F5882">
      <w:pPr>
        <w:numPr>
          <w:ilvl w:val="0"/>
          <w:numId w:val="2"/>
        </w:numPr>
        <w:tabs>
          <w:tab w:val="clear" w:pos="1021"/>
          <w:tab w:val="num" w:pos="720"/>
        </w:tabs>
        <w:overflowPunct w:val="0"/>
        <w:spacing w:afterLines="50" w:after="120" w:line="340" w:lineRule="atLeast"/>
        <w:ind w:left="714" w:hanging="357"/>
        <w:jc w:val="both"/>
        <w:rPr>
          <w:rFonts w:ascii="Arial" w:eastAsia="SimSun" w:hAnsi="Arial" w:cs="Times New Roman"/>
          <w:sz w:val="21"/>
          <w:szCs w:val="22"/>
        </w:rPr>
      </w:pPr>
      <w:r w:rsidRPr="003F5882">
        <w:rPr>
          <w:rFonts w:ascii="Arial" w:hAnsi="Arial" w:cs="Times New Roman"/>
          <w:sz w:val="21"/>
          <w:u w:val="single"/>
        </w:rPr>
        <w:t>财务报表附注</w:t>
      </w:r>
      <w:r w:rsidRPr="003F5882">
        <w:rPr>
          <w:rFonts w:ascii="Arial" w:hAnsi="Arial" w:cs="Times New Roman"/>
          <w:sz w:val="21"/>
        </w:rPr>
        <w:t>帮助理解主要的财务报表。附注包括重大会计政策的概述及其他解释性信息，同时也披露</w:t>
      </w:r>
      <w:r w:rsidRPr="003F5882">
        <w:rPr>
          <w:rFonts w:ascii="Arial" w:hAnsi="Arial" w:cs="Times New Roman"/>
          <w:sz w:val="21"/>
        </w:rPr>
        <w:t>IPSAS</w:t>
      </w:r>
      <w:r w:rsidRPr="003F5882">
        <w:rPr>
          <w:rFonts w:ascii="Arial" w:hAnsi="Arial" w:cs="Times New Roman"/>
          <w:sz w:val="21"/>
        </w:rPr>
        <w:t>要求的、在主要财务报表中未直接载明的信息。</w:t>
      </w:r>
    </w:p>
    <w:p w:rsidR="005C4FAF" w:rsidRPr="00CA4DB8" w:rsidRDefault="005C4FAF" w:rsidP="00CA4DB8">
      <w:pPr>
        <w:keepNext/>
        <w:overflowPunct w:val="0"/>
        <w:spacing w:beforeLines="50" w:before="120" w:afterLines="50" w:after="120" w:line="340" w:lineRule="atLeast"/>
        <w:jc w:val="both"/>
        <w:rPr>
          <w:rFonts w:eastAsia="SimSun" w:cs="Times New Roman"/>
          <w:b/>
          <w:sz w:val="21"/>
        </w:rPr>
      </w:pPr>
      <w:r w:rsidRPr="00CA4DB8">
        <w:rPr>
          <w:rFonts w:eastAsia="SimSun" w:cs="Times New Roman"/>
          <w:b/>
          <w:sz w:val="21"/>
        </w:rPr>
        <w:t>财务报表要点</w:t>
      </w:r>
    </w:p>
    <w:p w:rsidR="005C4FAF" w:rsidRPr="00F453AC" w:rsidRDefault="005C4FAF"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根据</w:t>
      </w:r>
      <w:r w:rsidRPr="003F5882">
        <w:rPr>
          <w:rFonts w:ascii="Arial" w:hAnsi="Arial" w:cs="Times New Roman"/>
          <w:sz w:val="21"/>
        </w:rPr>
        <w:t>IPASA</w:t>
      </w:r>
      <w:r w:rsidRPr="003F5882">
        <w:rPr>
          <w:rFonts w:ascii="Arial" w:hAnsi="Arial" w:cs="Times New Roman"/>
          <w:sz w:val="21"/>
        </w:rPr>
        <w:t>编制的</w:t>
      </w:r>
      <w:r w:rsidRPr="003F5882">
        <w:rPr>
          <w:rFonts w:ascii="Arial" w:hAnsi="Arial" w:cs="Times New Roman"/>
          <w:sz w:val="21"/>
        </w:rPr>
        <w:t>2014</w:t>
      </w:r>
      <w:r w:rsidRPr="003F5882">
        <w:rPr>
          <w:rFonts w:ascii="Arial" w:hAnsi="Arial" w:cs="Times New Roman"/>
          <w:sz w:val="21"/>
        </w:rPr>
        <w:t>年</w:t>
      </w:r>
      <w:r w:rsidRPr="003F5882">
        <w:rPr>
          <w:rFonts w:ascii="Arial" w:hAnsi="Arial" w:cs="Times New Roman"/>
          <w:sz w:val="21"/>
        </w:rPr>
        <w:t>WIPO</w:t>
      </w:r>
      <w:r w:rsidRPr="003F5882">
        <w:rPr>
          <w:rFonts w:ascii="Arial" w:hAnsi="Arial" w:cs="Times New Roman"/>
          <w:sz w:val="21"/>
        </w:rPr>
        <w:t>财务报表显示，当年盈余为</w:t>
      </w:r>
      <w:r w:rsidRPr="003F5882">
        <w:rPr>
          <w:rFonts w:ascii="Arial" w:hAnsi="Arial" w:cs="Times New Roman"/>
          <w:sz w:val="21"/>
        </w:rPr>
        <w:t>3,700</w:t>
      </w:r>
      <w:r w:rsidRPr="003F5882">
        <w:rPr>
          <w:rFonts w:ascii="Arial" w:hAnsi="Arial" w:cs="Times New Roman"/>
          <w:sz w:val="21"/>
        </w:rPr>
        <w:t>万瑞郎，相应的净资产从</w:t>
      </w:r>
      <w:r w:rsidRPr="003F5882">
        <w:rPr>
          <w:rFonts w:ascii="Arial" w:hAnsi="Arial" w:cs="Times New Roman"/>
          <w:sz w:val="21"/>
        </w:rPr>
        <w:t>2013</w:t>
      </w:r>
      <w:r w:rsidRPr="003F5882">
        <w:rPr>
          <w:rFonts w:ascii="Arial" w:hAnsi="Arial" w:cs="Times New Roman"/>
          <w:sz w:val="21"/>
        </w:rPr>
        <w:t>年的</w:t>
      </w:r>
      <w:r w:rsidRPr="003F5882">
        <w:rPr>
          <w:rFonts w:ascii="Arial" w:hAnsi="Arial" w:cs="Times New Roman"/>
          <w:sz w:val="21"/>
        </w:rPr>
        <w:t>2.088</w:t>
      </w:r>
      <w:r w:rsidRPr="003F5882">
        <w:rPr>
          <w:rFonts w:ascii="Arial" w:hAnsi="Arial" w:cs="Times New Roman"/>
          <w:sz w:val="21"/>
        </w:rPr>
        <w:t>亿瑞郎增加到截至</w:t>
      </w:r>
      <w:r w:rsidRPr="003F5882">
        <w:rPr>
          <w:rFonts w:ascii="Arial" w:hAnsi="Arial" w:cs="Times New Roman"/>
          <w:sz w:val="21"/>
        </w:rPr>
        <w:t>2014</w:t>
      </w:r>
      <w:r w:rsidRPr="003F5882">
        <w:rPr>
          <w:rFonts w:ascii="Arial" w:hAnsi="Arial" w:cs="Times New Roman"/>
          <w:sz w:val="21"/>
        </w:rPr>
        <w:t>年</w:t>
      </w:r>
      <w:r w:rsidRPr="003F5882">
        <w:rPr>
          <w:rFonts w:ascii="Arial" w:hAnsi="Arial" w:cs="Times New Roman"/>
          <w:sz w:val="21"/>
        </w:rPr>
        <w:t>12</w:t>
      </w:r>
      <w:r w:rsidRPr="003F5882">
        <w:rPr>
          <w:rFonts w:ascii="Arial" w:hAnsi="Arial" w:cs="Times New Roman"/>
          <w:sz w:val="21"/>
        </w:rPr>
        <w:t>月</w:t>
      </w:r>
      <w:r w:rsidRPr="003F5882">
        <w:rPr>
          <w:rFonts w:ascii="Arial" w:hAnsi="Arial" w:cs="Times New Roman"/>
          <w:sz w:val="21"/>
        </w:rPr>
        <w:t>31</w:t>
      </w:r>
      <w:r w:rsidRPr="003F5882">
        <w:rPr>
          <w:rFonts w:ascii="Arial" w:hAnsi="Arial" w:cs="Times New Roman"/>
          <w:sz w:val="21"/>
        </w:rPr>
        <w:t>日的</w:t>
      </w:r>
      <w:r w:rsidRPr="003F5882">
        <w:rPr>
          <w:rFonts w:ascii="Arial" w:hAnsi="Arial" w:cs="Times New Roman"/>
          <w:sz w:val="21"/>
        </w:rPr>
        <w:t>2.458</w:t>
      </w:r>
      <w:r w:rsidRPr="003F5882">
        <w:rPr>
          <w:rFonts w:ascii="Arial" w:hAnsi="Arial" w:cs="Times New Roman"/>
          <w:sz w:val="21"/>
        </w:rPr>
        <w:t>亿瑞郎。</w:t>
      </w:r>
    </w:p>
    <w:p w:rsidR="005C4FAF" w:rsidRPr="00F453AC" w:rsidRDefault="005C4FAF"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lastRenderedPageBreak/>
        <w:t>2013</w:t>
      </w:r>
      <w:r w:rsidRPr="003F5882">
        <w:rPr>
          <w:rFonts w:ascii="Arial" w:hAnsi="Arial" w:cs="Times New Roman"/>
          <w:sz w:val="21"/>
        </w:rPr>
        <w:t>年盈余为</w:t>
      </w:r>
      <w:r w:rsidRPr="003F5882">
        <w:rPr>
          <w:rFonts w:ascii="Arial" w:hAnsi="Arial" w:cs="Times New Roman"/>
          <w:sz w:val="21"/>
        </w:rPr>
        <w:t>1,510</w:t>
      </w:r>
      <w:r w:rsidRPr="003F5882">
        <w:rPr>
          <w:rFonts w:ascii="Arial" w:hAnsi="Arial" w:cs="Times New Roman"/>
          <w:sz w:val="21"/>
        </w:rPr>
        <w:t>万瑞郎，相比之下</w:t>
      </w:r>
      <w:r w:rsidRPr="003F5882">
        <w:rPr>
          <w:rFonts w:ascii="Arial" w:hAnsi="Arial" w:cs="Times New Roman"/>
          <w:sz w:val="21"/>
        </w:rPr>
        <w:t>2014</w:t>
      </w:r>
      <w:r w:rsidRPr="003F5882">
        <w:rPr>
          <w:rFonts w:ascii="Arial" w:hAnsi="Arial" w:cs="Times New Roman"/>
          <w:sz w:val="21"/>
        </w:rPr>
        <w:t>年盈余为</w:t>
      </w:r>
      <w:r w:rsidRPr="003F5882">
        <w:rPr>
          <w:rFonts w:ascii="Arial" w:hAnsi="Arial" w:cs="Times New Roman"/>
          <w:sz w:val="21"/>
        </w:rPr>
        <w:t>3,700</w:t>
      </w:r>
      <w:r w:rsidRPr="003F5882">
        <w:rPr>
          <w:rFonts w:ascii="Arial" w:hAnsi="Arial" w:cs="Times New Roman"/>
          <w:sz w:val="21"/>
        </w:rPr>
        <w:t>万瑞郎。与</w:t>
      </w:r>
      <w:r w:rsidRPr="003F5882">
        <w:rPr>
          <w:rFonts w:ascii="Arial" w:hAnsi="Arial" w:cs="Times New Roman"/>
          <w:sz w:val="21"/>
        </w:rPr>
        <w:t>2013</w:t>
      </w:r>
      <w:r w:rsidRPr="003F5882">
        <w:rPr>
          <w:rFonts w:ascii="Arial" w:hAnsi="Arial" w:cs="Times New Roman"/>
          <w:sz w:val="21"/>
        </w:rPr>
        <w:t>年数据相比，</w:t>
      </w:r>
      <w:r w:rsidRPr="003F5882">
        <w:rPr>
          <w:rFonts w:ascii="Arial" w:hAnsi="Arial" w:cs="Times New Roman"/>
          <w:sz w:val="21"/>
        </w:rPr>
        <w:t>2014</w:t>
      </w:r>
      <w:r w:rsidRPr="003F5882">
        <w:rPr>
          <w:rFonts w:ascii="Arial" w:hAnsi="Arial" w:cs="Times New Roman"/>
          <w:sz w:val="21"/>
        </w:rPr>
        <w:t>年的总收入增长了</w:t>
      </w:r>
      <w:r w:rsidRPr="003F5882">
        <w:rPr>
          <w:rFonts w:ascii="Arial" w:hAnsi="Arial" w:cs="Times New Roman"/>
          <w:sz w:val="21"/>
        </w:rPr>
        <w:t>1,860</w:t>
      </w:r>
      <w:r w:rsidRPr="003F5882">
        <w:rPr>
          <w:rFonts w:ascii="Arial" w:hAnsi="Arial" w:cs="Times New Roman"/>
          <w:sz w:val="21"/>
        </w:rPr>
        <w:t>万瑞郎，主要因为</w:t>
      </w:r>
      <w:r w:rsidRPr="003F5882">
        <w:rPr>
          <w:rFonts w:ascii="Arial" w:hAnsi="Arial" w:cs="Times New Roman"/>
          <w:sz w:val="21"/>
        </w:rPr>
        <w:t>PCT</w:t>
      </w:r>
      <w:r w:rsidRPr="003F5882">
        <w:rPr>
          <w:rFonts w:ascii="Arial" w:hAnsi="Arial" w:cs="Times New Roman"/>
          <w:sz w:val="21"/>
        </w:rPr>
        <w:t>体系规费收入增加了</w:t>
      </w:r>
      <w:r w:rsidRPr="003F5882">
        <w:rPr>
          <w:rFonts w:ascii="Arial" w:hAnsi="Arial" w:cs="Times New Roman"/>
          <w:sz w:val="21"/>
        </w:rPr>
        <w:t>2,110</w:t>
      </w:r>
      <w:r w:rsidRPr="003F5882">
        <w:rPr>
          <w:rFonts w:ascii="Arial" w:hAnsi="Arial" w:cs="Times New Roman"/>
          <w:sz w:val="21"/>
        </w:rPr>
        <w:t>万瑞郎，但被其他</w:t>
      </w:r>
      <w:r w:rsidRPr="003F5882">
        <w:rPr>
          <w:rFonts w:ascii="Arial" w:hAnsi="Arial" w:cs="Times New Roman"/>
          <w:sz w:val="21"/>
        </w:rPr>
        <w:t>/</w:t>
      </w:r>
      <w:r w:rsidRPr="003F5882">
        <w:rPr>
          <w:rFonts w:ascii="Arial" w:hAnsi="Arial" w:cs="Times New Roman"/>
          <w:sz w:val="21"/>
        </w:rPr>
        <w:t>杂项收入减少</w:t>
      </w:r>
      <w:r w:rsidRPr="003F5882">
        <w:rPr>
          <w:rFonts w:ascii="Arial" w:hAnsi="Arial" w:cs="Times New Roman"/>
          <w:sz w:val="21"/>
        </w:rPr>
        <w:t>320</w:t>
      </w:r>
      <w:r w:rsidRPr="003F5882">
        <w:rPr>
          <w:rFonts w:ascii="Arial" w:hAnsi="Arial" w:cs="Times New Roman"/>
          <w:sz w:val="21"/>
        </w:rPr>
        <w:t>万瑞郎所部分抵消。和</w:t>
      </w:r>
      <w:r w:rsidRPr="003F5882">
        <w:rPr>
          <w:rFonts w:ascii="Arial" w:hAnsi="Arial" w:cs="Times New Roman"/>
          <w:sz w:val="21"/>
        </w:rPr>
        <w:t>2013</w:t>
      </w:r>
      <w:r w:rsidRPr="003F5882">
        <w:rPr>
          <w:rFonts w:ascii="Arial" w:hAnsi="Arial" w:cs="Times New Roman"/>
          <w:sz w:val="21"/>
        </w:rPr>
        <w:t>年相比，总支出下降了</w:t>
      </w:r>
      <w:r w:rsidRPr="003F5882">
        <w:rPr>
          <w:rFonts w:ascii="Arial" w:hAnsi="Arial" w:cs="Times New Roman"/>
          <w:sz w:val="21"/>
        </w:rPr>
        <w:t>330</w:t>
      </w:r>
      <w:r w:rsidRPr="003F5882">
        <w:rPr>
          <w:rFonts w:ascii="Arial" w:hAnsi="Arial" w:cs="Times New Roman"/>
          <w:sz w:val="21"/>
        </w:rPr>
        <w:t>万瑞郎。尽管人事</w:t>
      </w:r>
      <w:r w:rsidR="001F344E" w:rsidRPr="003F5882">
        <w:rPr>
          <w:rFonts w:ascii="Arial" w:hAnsi="Arial" w:cs="Times New Roman" w:hint="eastAsia"/>
          <w:sz w:val="21"/>
        </w:rPr>
        <w:t>费用</w:t>
      </w:r>
      <w:r w:rsidRPr="003F5882">
        <w:rPr>
          <w:rFonts w:ascii="Arial" w:hAnsi="Arial" w:cs="Times New Roman"/>
          <w:sz w:val="21"/>
        </w:rPr>
        <w:t>上涨了</w:t>
      </w:r>
      <w:r w:rsidRPr="003F5882">
        <w:rPr>
          <w:rFonts w:ascii="Arial" w:hAnsi="Arial" w:cs="Times New Roman"/>
          <w:sz w:val="21"/>
        </w:rPr>
        <w:t>240</w:t>
      </w:r>
      <w:r w:rsidRPr="003F5882">
        <w:rPr>
          <w:rFonts w:ascii="Arial" w:hAnsi="Arial" w:cs="Times New Roman"/>
          <w:sz w:val="21"/>
        </w:rPr>
        <w:t>万瑞郎，但是差旅和研究金、用品和材料、订约承办事务和业务费用均比上一年度低。</w:t>
      </w:r>
    </w:p>
    <w:p w:rsidR="005C4FAF" w:rsidRPr="00F453AC" w:rsidRDefault="005C4FAF"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WIPO</w:t>
      </w:r>
      <w:r w:rsidRPr="003F5882">
        <w:rPr>
          <w:rFonts w:ascii="Arial" w:hAnsi="Arial" w:cs="Times New Roman"/>
          <w:sz w:val="21"/>
        </w:rPr>
        <w:t>的总资产从截至</w:t>
      </w:r>
      <w:r w:rsidRPr="003F5882">
        <w:rPr>
          <w:rFonts w:ascii="Arial" w:hAnsi="Arial" w:cs="Times New Roman"/>
          <w:sz w:val="21"/>
        </w:rPr>
        <w:t>2013</w:t>
      </w:r>
      <w:r w:rsidRPr="003F5882">
        <w:rPr>
          <w:rFonts w:ascii="Arial" w:hAnsi="Arial" w:cs="Times New Roman"/>
          <w:sz w:val="21"/>
        </w:rPr>
        <w:t>年</w:t>
      </w:r>
      <w:r w:rsidRPr="003F5882">
        <w:rPr>
          <w:rFonts w:ascii="Arial" w:hAnsi="Arial" w:cs="Times New Roman"/>
          <w:sz w:val="21"/>
        </w:rPr>
        <w:t>12</w:t>
      </w:r>
      <w:r w:rsidRPr="003F5882">
        <w:rPr>
          <w:rFonts w:ascii="Arial" w:hAnsi="Arial" w:cs="Times New Roman"/>
          <w:sz w:val="21"/>
        </w:rPr>
        <w:t>月的</w:t>
      </w:r>
      <w:r w:rsidRPr="003F5882">
        <w:rPr>
          <w:rFonts w:ascii="Arial" w:hAnsi="Arial" w:cs="Times New Roman"/>
          <w:sz w:val="21"/>
        </w:rPr>
        <w:t>9.006</w:t>
      </w:r>
      <w:r w:rsidRPr="003F5882">
        <w:rPr>
          <w:rFonts w:ascii="Arial" w:hAnsi="Arial" w:cs="Times New Roman"/>
          <w:sz w:val="21"/>
        </w:rPr>
        <w:t>亿瑞郎增长至截至</w:t>
      </w:r>
      <w:r w:rsidRPr="003F5882">
        <w:rPr>
          <w:rFonts w:ascii="Arial" w:hAnsi="Arial" w:cs="Times New Roman"/>
          <w:sz w:val="21"/>
        </w:rPr>
        <w:t>2014</w:t>
      </w:r>
      <w:r w:rsidRPr="003F5882">
        <w:rPr>
          <w:rFonts w:ascii="Arial" w:hAnsi="Arial" w:cs="Times New Roman"/>
          <w:sz w:val="21"/>
        </w:rPr>
        <w:t>年</w:t>
      </w:r>
      <w:r w:rsidRPr="003F5882">
        <w:rPr>
          <w:rFonts w:ascii="Arial" w:hAnsi="Arial" w:cs="Times New Roman"/>
          <w:sz w:val="21"/>
        </w:rPr>
        <w:t>12</w:t>
      </w:r>
      <w:r w:rsidRPr="003F5882">
        <w:rPr>
          <w:rFonts w:ascii="Arial" w:hAnsi="Arial" w:cs="Times New Roman"/>
          <w:sz w:val="21"/>
        </w:rPr>
        <w:t>月</w:t>
      </w:r>
      <w:r w:rsidRPr="003F5882">
        <w:rPr>
          <w:rFonts w:ascii="Arial" w:hAnsi="Arial" w:cs="Times New Roman"/>
          <w:sz w:val="21"/>
        </w:rPr>
        <w:t>31</w:t>
      </w:r>
      <w:r w:rsidRPr="003F5882">
        <w:rPr>
          <w:rFonts w:ascii="Arial" w:hAnsi="Arial" w:cs="Times New Roman"/>
          <w:sz w:val="21"/>
        </w:rPr>
        <w:t>日的</w:t>
      </w:r>
      <w:r w:rsidRPr="003F5882">
        <w:rPr>
          <w:rFonts w:ascii="Arial" w:hAnsi="Arial" w:cs="Times New Roman"/>
          <w:sz w:val="21"/>
        </w:rPr>
        <w:t>9.694</w:t>
      </w:r>
      <w:r w:rsidRPr="003F5882">
        <w:rPr>
          <w:rFonts w:ascii="Arial" w:hAnsi="Arial" w:cs="Times New Roman"/>
          <w:sz w:val="21"/>
        </w:rPr>
        <w:t>亿瑞郎。最显著的是，截至</w:t>
      </w:r>
      <w:r w:rsidRPr="003F5882">
        <w:rPr>
          <w:rFonts w:ascii="Arial" w:hAnsi="Arial" w:cs="Times New Roman"/>
          <w:sz w:val="21"/>
        </w:rPr>
        <w:t>2014</w:t>
      </w:r>
      <w:r w:rsidRPr="003F5882">
        <w:rPr>
          <w:rFonts w:ascii="Arial" w:hAnsi="Arial" w:cs="Times New Roman"/>
          <w:sz w:val="21"/>
        </w:rPr>
        <w:t>年</w:t>
      </w:r>
      <w:r w:rsidRPr="003F5882">
        <w:rPr>
          <w:rFonts w:ascii="Arial" w:hAnsi="Arial" w:cs="Times New Roman"/>
          <w:sz w:val="21"/>
        </w:rPr>
        <w:t>12</w:t>
      </w:r>
      <w:r w:rsidRPr="003F5882">
        <w:rPr>
          <w:rFonts w:ascii="Arial" w:hAnsi="Arial" w:cs="Times New Roman"/>
          <w:sz w:val="21"/>
        </w:rPr>
        <w:t>月</w:t>
      </w:r>
      <w:r w:rsidRPr="003F5882">
        <w:rPr>
          <w:rFonts w:ascii="Arial" w:hAnsi="Arial" w:cs="Times New Roman"/>
          <w:sz w:val="21"/>
        </w:rPr>
        <w:t>31</w:t>
      </w:r>
      <w:r w:rsidRPr="003F5882">
        <w:rPr>
          <w:rFonts w:ascii="Arial" w:hAnsi="Arial" w:cs="Times New Roman"/>
          <w:sz w:val="21"/>
        </w:rPr>
        <w:t>日，现金及现金等价物总计为</w:t>
      </w:r>
      <w:r w:rsidRPr="003F5882">
        <w:rPr>
          <w:rFonts w:ascii="Arial" w:hAnsi="Arial" w:cs="Times New Roman"/>
          <w:sz w:val="21"/>
        </w:rPr>
        <w:t>4.745</w:t>
      </w:r>
      <w:r w:rsidRPr="003F5882">
        <w:rPr>
          <w:rFonts w:ascii="Arial" w:hAnsi="Arial" w:cs="Times New Roman"/>
          <w:sz w:val="21"/>
        </w:rPr>
        <w:t>亿瑞郎</w:t>
      </w:r>
      <w:r w:rsidR="00F453AC" w:rsidRPr="003F5882">
        <w:rPr>
          <w:rFonts w:ascii="Arial" w:hAnsi="Arial" w:cs="Times New Roman"/>
          <w:sz w:val="21"/>
        </w:rPr>
        <w:t>（</w:t>
      </w:r>
      <w:r w:rsidRPr="003F5882">
        <w:rPr>
          <w:rFonts w:ascii="Arial" w:hAnsi="Arial" w:cs="Times New Roman"/>
          <w:sz w:val="21"/>
        </w:rPr>
        <w:t>占总资产的</w:t>
      </w:r>
      <w:r w:rsidRPr="003F5882">
        <w:rPr>
          <w:rFonts w:ascii="Arial" w:hAnsi="Arial" w:cs="Times New Roman"/>
          <w:sz w:val="21"/>
        </w:rPr>
        <w:t>48.9%</w:t>
      </w:r>
      <w:r w:rsidR="00F453AC" w:rsidRPr="003F5882">
        <w:rPr>
          <w:rFonts w:ascii="Arial" w:hAnsi="Arial" w:cs="Times New Roman"/>
          <w:sz w:val="21"/>
        </w:rPr>
        <w:t>）</w:t>
      </w:r>
      <w:r w:rsidRPr="003F5882">
        <w:rPr>
          <w:rFonts w:ascii="Arial" w:hAnsi="Arial" w:cs="Times New Roman"/>
          <w:sz w:val="21"/>
        </w:rPr>
        <w:t>，与上一年度相比增幅为</w:t>
      </w:r>
      <w:r w:rsidRPr="003F5882">
        <w:rPr>
          <w:rFonts w:ascii="Arial" w:hAnsi="Arial" w:cs="Times New Roman"/>
          <w:sz w:val="21"/>
        </w:rPr>
        <w:t>6</w:t>
      </w:r>
      <w:r w:rsidR="00E04F07" w:rsidRPr="003F5882">
        <w:rPr>
          <w:rFonts w:ascii="Arial" w:hAnsi="Arial" w:cs="Times New Roman" w:hint="eastAsia"/>
          <w:sz w:val="21"/>
        </w:rPr>
        <w:t>,</w:t>
      </w:r>
      <w:r w:rsidRPr="003F5882">
        <w:rPr>
          <w:rFonts w:ascii="Arial" w:hAnsi="Arial" w:cs="Times New Roman"/>
          <w:sz w:val="21"/>
        </w:rPr>
        <w:t>460</w:t>
      </w:r>
      <w:proofErr w:type="gramStart"/>
      <w:r w:rsidRPr="003F5882">
        <w:rPr>
          <w:rFonts w:ascii="Arial" w:hAnsi="Arial" w:cs="Times New Roman"/>
          <w:sz w:val="21"/>
        </w:rPr>
        <w:t>万瑞</w:t>
      </w:r>
      <w:proofErr w:type="gramEnd"/>
      <w:r w:rsidRPr="003F5882">
        <w:rPr>
          <w:rFonts w:ascii="Arial" w:hAnsi="Arial" w:cs="Times New Roman"/>
          <w:sz w:val="21"/>
        </w:rPr>
        <w:t>郎。本组织保持了相当多的固定资产投资，包括土地、楼宇、投资财产、无形资产和设备，账面净值总额为</w:t>
      </w:r>
      <w:r w:rsidRPr="003F5882">
        <w:rPr>
          <w:rFonts w:ascii="Arial" w:hAnsi="Arial" w:cs="Times New Roman"/>
          <w:sz w:val="21"/>
        </w:rPr>
        <w:t>4.197</w:t>
      </w:r>
      <w:r w:rsidRPr="003F5882">
        <w:rPr>
          <w:rFonts w:ascii="Arial" w:hAnsi="Arial" w:cs="Times New Roman"/>
          <w:sz w:val="21"/>
        </w:rPr>
        <w:t>亿瑞郎</w:t>
      </w:r>
      <w:r w:rsidR="00F453AC" w:rsidRPr="003F5882">
        <w:rPr>
          <w:rFonts w:ascii="Arial" w:hAnsi="Arial" w:cs="Times New Roman"/>
          <w:sz w:val="21"/>
        </w:rPr>
        <w:t>（</w:t>
      </w:r>
      <w:r w:rsidRPr="003F5882">
        <w:rPr>
          <w:rFonts w:ascii="Arial" w:hAnsi="Arial" w:cs="Times New Roman"/>
          <w:sz w:val="21"/>
        </w:rPr>
        <w:t>占总资产的</w:t>
      </w:r>
      <w:r w:rsidRPr="003F5882">
        <w:rPr>
          <w:rFonts w:ascii="Arial" w:hAnsi="Arial" w:cs="Times New Roman"/>
          <w:sz w:val="21"/>
        </w:rPr>
        <w:t>43.3%</w:t>
      </w:r>
      <w:r w:rsidR="00F453AC" w:rsidRPr="003F5882">
        <w:rPr>
          <w:rFonts w:ascii="Arial" w:hAnsi="Arial" w:cs="Times New Roman"/>
          <w:sz w:val="21"/>
        </w:rPr>
        <w:t>）</w:t>
      </w:r>
      <w:r w:rsidRPr="003F5882">
        <w:rPr>
          <w:rFonts w:ascii="Arial" w:hAnsi="Arial" w:cs="Times New Roman"/>
          <w:sz w:val="21"/>
        </w:rPr>
        <w:t>。</w:t>
      </w:r>
      <w:r w:rsidRPr="003F5882">
        <w:rPr>
          <w:rFonts w:ascii="Arial" w:hAnsi="Arial" w:cs="Times New Roman"/>
          <w:sz w:val="21"/>
        </w:rPr>
        <w:t>2014</w:t>
      </w:r>
      <w:r w:rsidRPr="003F5882">
        <w:rPr>
          <w:rFonts w:ascii="Arial" w:hAnsi="Arial" w:cs="Times New Roman"/>
          <w:sz w:val="21"/>
        </w:rPr>
        <w:t>年，固定资产投资继续保持增长，账面净值总额比</w:t>
      </w:r>
      <w:r w:rsidRPr="003F5882">
        <w:rPr>
          <w:rFonts w:ascii="Arial" w:hAnsi="Arial" w:cs="Times New Roman"/>
          <w:sz w:val="21"/>
        </w:rPr>
        <w:t>2013</w:t>
      </w:r>
      <w:r w:rsidRPr="003F5882">
        <w:rPr>
          <w:rFonts w:ascii="Arial" w:hAnsi="Arial" w:cs="Times New Roman"/>
          <w:sz w:val="21"/>
        </w:rPr>
        <w:t>年年底增长了</w:t>
      </w:r>
      <w:r w:rsidRPr="003F5882">
        <w:rPr>
          <w:rFonts w:ascii="Arial" w:hAnsi="Arial" w:cs="Times New Roman"/>
          <w:sz w:val="21"/>
        </w:rPr>
        <w:t>2,330</w:t>
      </w:r>
      <w:r w:rsidRPr="003F5882">
        <w:rPr>
          <w:rFonts w:ascii="Arial" w:hAnsi="Arial" w:cs="Times New Roman"/>
          <w:sz w:val="21"/>
        </w:rPr>
        <w:t>万瑞郎。新会议厅建设项目以及</w:t>
      </w:r>
      <w:r w:rsidR="007B516A" w:rsidRPr="003F5882">
        <w:rPr>
          <w:rFonts w:ascii="Arial" w:hAnsi="Arial" w:cs="Times New Roman" w:hint="eastAsia"/>
          <w:sz w:val="21"/>
        </w:rPr>
        <w:t>阿·鲍格胥楼</w:t>
      </w:r>
      <w:r w:rsidRPr="003F5882">
        <w:rPr>
          <w:rFonts w:ascii="Arial" w:hAnsi="Arial" w:cs="Times New Roman"/>
          <w:sz w:val="21"/>
        </w:rPr>
        <w:t>改进工程在本年度完成。新会议厅如今已投入使用，并且以使用寿命计算折旧。安保施工项目，包括新的通道中心和安全参数</w:t>
      </w:r>
      <w:r w:rsidR="007C0F20" w:rsidRPr="003F5882">
        <w:rPr>
          <w:rFonts w:ascii="Arial" w:hAnsi="Arial" w:cs="Times New Roman" w:hint="eastAsia"/>
          <w:sz w:val="21"/>
        </w:rPr>
        <w:t>，</w:t>
      </w:r>
      <w:r w:rsidRPr="003F5882">
        <w:rPr>
          <w:rFonts w:ascii="Arial" w:hAnsi="Arial" w:cs="Times New Roman"/>
          <w:sz w:val="21"/>
        </w:rPr>
        <w:t>预计在</w:t>
      </w:r>
      <w:r w:rsidRPr="003F5882">
        <w:rPr>
          <w:rFonts w:ascii="Arial" w:hAnsi="Arial" w:cs="Times New Roman"/>
          <w:sz w:val="21"/>
        </w:rPr>
        <w:t>2015</w:t>
      </w:r>
      <w:r w:rsidRPr="003F5882">
        <w:rPr>
          <w:rFonts w:ascii="Arial" w:hAnsi="Arial" w:cs="Times New Roman"/>
          <w:sz w:val="21"/>
        </w:rPr>
        <w:t>年上半年完工。</w:t>
      </w:r>
    </w:p>
    <w:p w:rsidR="005C4FAF" w:rsidRPr="00F453AC" w:rsidRDefault="005C4FAF"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截至</w:t>
      </w:r>
      <w:r w:rsidRPr="003F5882">
        <w:rPr>
          <w:rFonts w:ascii="Arial" w:hAnsi="Arial" w:cs="Times New Roman"/>
          <w:sz w:val="21"/>
        </w:rPr>
        <w:t>2014</w:t>
      </w:r>
      <w:r w:rsidRPr="003F5882">
        <w:rPr>
          <w:rFonts w:ascii="Arial" w:hAnsi="Arial" w:cs="Times New Roman"/>
          <w:sz w:val="21"/>
        </w:rPr>
        <w:t>年</w:t>
      </w:r>
      <w:r w:rsidRPr="003F5882">
        <w:rPr>
          <w:rFonts w:ascii="Arial" w:hAnsi="Arial" w:cs="Times New Roman"/>
          <w:sz w:val="21"/>
        </w:rPr>
        <w:t>12</w:t>
      </w:r>
      <w:r w:rsidRPr="003F5882">
        <w:rPr>
          <w:rFonts w:ascii="Arial" w:hAnsi="Arial" w:cs="Times New Roman"/>
          <w:sz w:val="21"/>
        </w:rPr>
        <w:t>月</w:t>
      </w:r>
      <w:r w:rsidRPr="003F5882">
        <w:rPr>
          <w:rFonts w:ascii="Arial" w:hAnsi="Arial" w:cs="Times New Roman"/>
          <w:sz w:val="21"/>
        </w:rPr>
        <w:t>31</w:t>
      </w:r>
      <w:r w:rsidRPr="003F5882">
        <w:rPr>
          <w:rFonts w:ascii="Arial" w:hAnsi="Arial" w:cs="Times New Roman"/>
          <w:sz w:val="21"/>
        </w:rPr>
        <w:t>日，本组织的主要负债是</w:t>
      </w:r>
      <w:r w:rsidRPr="003F5882">
        <w:rPr>
          <w:rFonts w:ascii="Arial" w:hAnsi="Arial" w:cs="Times New Roman"/>
          <w:sz w:val="21"/>
        </w:rPr>
        <w:t>3.587</w:t>
      </w:r>
      <w:r w:rsidRPr="003F5882">
        <w:rPr>
          <w:rFonts w:ascii="Arial" w:hAnsi="Arial" w:cs="Times New Roman"/>
          <w:sz w:val="21"/>
        </w:rPr>
        <w:t>亿瑞郎的应付及预收账款</w:t>
      </w:r>
      <w:r w:rsidR="00F453AC" w:rsidRPr="003F5882">
        <w:rPr>
          <w:rFonts w:ascii="Arial" w:hAnsi="Arial" w:cs="Times New Roman" w:hint="eastAsia"/>
          <w:sz w:val="21"/>
        </w:rPr>
        <w:t>（</w:t>
      </w:r>
      <w:r w:rsidRPr="003F5882">
        <w:rPr>
          <w:rFonts w:ascii="Arial" w:hAnsi="Arial" w:cs="Times New Roman"/>
          <w:sz w:val="21"/>
        </w:rPr>
        <w:t>占总负债的</w:t>
      </w:r>
      <w:r w:rsidRPr="003F5882">
        <w:rPr>
          <w:rFonts w:ascii="Arial" w:hAnsi="Arial" w:cs="Times New Roman"/>
          <w:sz w:val="21"/>
        </w:rPr>
        <w:t>49.6%</w:t>
      </w:r>
      <w:r w:rsidR="00F453AC" w:rsidRPr="003F5882">
        <w:rPr>
          <w:rFonts w:ascii="Arial" w:hAnsi="Arial" w:cs="Times New Roman" w:hint="eastAsia"/>
          <w:sz w:val="21"/>
        </w:rPr>
        <w:t>）</w:t>
      </w:r>
      <w:r w:rsidRPr="003F5882">
        <w:rPr>
          <w:rFonts w:ascii="Arial" w:hAnsi="Arial" w:cs="Times New Roman"/>
          <w:sz w:val="21"/>
        </w:rPr>
        <w:t>、</w:t>
      </w:r>
      <w:r w:rsidRPr="003F5882">
        <w:rPr>
          <w:rFonts w:ascii="Arial" w:hAnsi="Arial" w:cs="Times New Roman"/>
          <w:sz w:val="21"/>
        </w:rPr>
        <w:t>1.612</w:t>
      </w:r>
      <w:r w:rsidRPr="003F5882">
        <w:rPr>
          <w:rFonts w:ascii="Arial" w:hAnsi="Arial" w:cs="Times New Roman"/>
          <w:sz w:val="21"/>
        </w:rPr>
        <w:t>亿瑞郎的雇员福利负债</w:t>
      </w:r>
      <w:r w:rsidR="00F453AC" w:rsidRPr="003F5882">
        <w:rPr>
          <w:rFonts w:ascii="Arial" w:hAnsi="Arial" w:cs="Times New Roman" w:hint="eastAsia"/>
          <w:sz w:val="21"/>
        </w:rPr>
        <w:t>（</w:t>
      </w:r>
      <w:r w:rsidRPr="003F5882">
        <w:rPr>
          <w:rFonts w:ascii="Arial" w:hAnsi="Arial" w:cs="Times New Roman"/>
          <w:sz w:val="21"/>
        </w:rPr>
        <w:t>占</w:t>
      </w:r>
      <w:r w:rsidR="007C0F20" w:rsidRPr="003F5882">
        <w:rPr>
          <w:rFonts w:ascii="Arial" w:hAnsi="Arial" w:cs="Times New Roman" w:hint="eastAsia"/>
          <w:sz w:val="21"/>
        </w:rPr>
        <w:t>总负债的</w:t>
      </w:r>
      <w:r w:rsidRPr="003F5882">
        <w:rPr>
          <w:rFonts w:ascii="Arial" w:hAnsi="Arial" w:cs="Times New Roman"/>
          <w:sz w:val="21"/>
        </w:rPr>
        <w:t>22.3%</w:t>
      </w:r>
      <w:r w:rsidR="00F453AC" w:rsidRPr="003F5882">
        <w:rPr>
          <w:rFonts w:ascii="Arial" w:hAnsi="Arial" w:cs="Times New Roman" w:hint="eastAsia"/>
          <w:sz w:val="21"/>
        </w:rPr>
        <w:t>）</w:t>
      </w:r>
      <w:r w:rsidRPr="003F5882">
        <w:rPr>
          <w:rFonts w:ascii="Arial" w:hAnsi="Arial" w:cs="Times New Roman"/>
          <w:sz w:val="21"/>
        </w:rPr>
        <w:t>和</w:t>
      </w:r>
      <w:r w:rsidRPr="003F5882">
        <w:rPr>
          <w:rFonts w:ascii="Arial" w:hAnsi="Arial" w:cs="Times New Roman"/>
          <w:sz w:val="21"/>
        </w:rPr>
        <w:t>1.392</w:t>
      </w:r>
      <w:r w:rsidRPr="003F5882">
        <w:rPr>
          <w:rFonts w:ascii="Arial" w:hAnsi="Arial" w:cs="Times New Roman"/>
          <w:sz w:val="21"/>
        </w:rPr>
        <w:t>亿瑞郎的借款</w:t>
      </w:r>
      <w:r w:rsidR="00F453AC" w:rsidRPr="003F5882">
        <w:rPr>
          <w:rFonts w:ascii="Arial" w:hAnsi="Arial" w:cs="Times New Roman" w:hint="eastAsia"/>
          <w:sz w:val="21"/>
        </w:rPr>
        <w:t>（</w:t>
      </w:r>
      <w:r w:rsidRPr="003F5882">
        <w:rPr>
          <w:rFonts w:ascii="Arial" w:hAnsi="Arial" w:cs="Times New Roman"/>
          <w:sz w:val="21"/>
        </w:rPr>
        <w:t>占</w:t>
      </w:r>
      <w:r w:rsidRPr="003F5882">
        <w:rPr>
          <w:rFonts w:ascii="Arial" w:hAnsi="Arial" w:cs="Times New Roman"/>
          <w:sz w:val="21"/>
        </w:rPr>
        <w:t>19.2%</w:t>
      </w:r>
      <w:r w:rsidR="00F453AC" w:rsidRPr="003F5882">
        <w:rPr>
          <w:rFonts w:ascii="Arial" w:hAnsi="Arial" w:cs="Times New Roman" w:hint="eastAsia"/>
          <w:sz w:val="21"/>
        </w:rPr>
        <w:t>）</w:t>
      </w:r>
      <w:r w:rsidRPr="003F5882">
        <w:rPr>
          <w:rFonts w:ascii="Arial" w:hAnsi="Arial" w:cs="Times New Roman"/>
          <w:sz w:val="21"/>
        </w:rPr>
        <w:t>。</w:t>
      </w:r>
    </w:p>
    <w:p w:rsidR="005C4FAF" w:rsidRPr="00CA4DB8" w:rsidRDefault="005C4FAF" w:rsidP="00CA4DB8">
      <w:pPr>
        <w:keepNext/>
        <w:overflowPunct w:val="0"/>
        <w:spacing w:beforeLines="50" w:before="120" w:afterLines="50" w:after="120" w:line="340" w:lineRule="atLeast"/>
        <w:jc w:val="both"/>
        <w:rPr>
          <w:rFonts w:eastAsia="SimSun" w:cs="Times New Roman"/>
          <w:b/>
          <w:sz w:val="21"/>
        </w:rPr>
      </w:pPr>
      <w:r w:rsidRPr="00CA4DB8">
        <w:rPr>
          <w:rFonts w:eastAsia="SimSun" w:cs="Times New Roman"/>
          <w:b/>
          <w:sz w:val="21"/>
        </w:rPr>
        <w:t>财务执行情况</w:t>
      </w:r>
    </w:p>
    <w:p w:rsidR="005C4FAF" w:rsidRPr="00F453AC" w:rsidRDefault="005C4FAF"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本组织</w:t>
      </w:r>
      <w:r w:rsidRPr="003F5882">
        <w:rPr>
          <w:rFonts w:ascii="Arial" w:hAnsi="Arial" w:cs="Times New Roman"/>
          <w:sz w:val="21"/>
        </w:rPr>
        <w:t>2014</w:t>
      </w:r>
      <w:r w:rsidRPr="003F5882">
        <w:rPr>
          <w:rFonts w:ascii="Arial" w:hAnsi="Arial" w:cs="Times New Roman"/>
          <w:sz w:val="21"/>
        </w:rPr>
        <w:t>年的结果显示，当年盈余</w:t>
      </w:r>
      <w:r w:rsidRPr="003F5882">
        <w:rPr>
          <w:rFonts w:ascii="Arial" w:hAnsi="Arial" w:cs="Times New Roman"/>
          <w:sz w:val="21"/>
        </w:rPr>
        <w:t>3</w:t>
      </w:r>
      <w:r w:rsidR="00061502" w:rsidRPr="003F5882">
        <w:rPr>
          <w:rFonts w:ascii="Arial" w:hAnsi="Arial" w:cs="Times New Roman" w:hint="eastAsia"/>
          <w:sz w:val="21"/>
        </w:rPr>
        <w:t>,</w:t>
      </w:r>
      <w:r w:rsidRPr="003F5882">
        <w:rPr>
          <w:rFonts w:ascii="Arial" w:hAnsi="Arial" w:cs="Times New Roman"/>
          <w:sz w:val="21"/>
        </w:rPr>
        <w:t>700</w:t>
      </w:r>
      <w:r w:rsidRPr="003F5882">
        <w:rPr>
          <w:rFonts w:ascii="Arial" w:hAnsi="Arial" w:cs="Times New Roman"/>
          <w:sz w:val="21"/>
        </w:rPr>
        <w:t>万瑞郎，总收入为</w:t>
      </w:r>
      <w:r w:rsidRPr="003F5882">
        <w:rPr>
          <w:rFonts w:ascii="Arial" w:hAnsi="Arial" w:cs="Times New Roman"/>
          <w:sz w:val="21"/>
        </w:rPr>
        <w:t>3.702</w:t>
      </w:r>
      <w:r w:rsidRPr="003F5882">
        <w:rPr>
          <w:rFonts w:ascii="Arial" w:hAnsi="Arial" w:cs="Times New Roman"/>
          <w:sz w:val="21"/>
        </w:rPr>
        <w:t>亿瑞郎，总支出为</w:t>
      </w:r>
      <w:r w:rsidRPr="003F5882">
        <w:rPr>
          <w:rFonts w:ascii="Arial" w:hAnsi="Arial" w:cs="Times New Roman"/>
          <w:sz w:val="21"/>
        </w:rPr>
        <w:t>3.332</w:t>
      </w:r>
      <w:r w:rsidRPr="003F5882">
        <w:rPr>
          <w:rFonts w:ascii="Arial" w:hAnsi="Arial" w:cs="Times New Roman"/>
          <w:sz w:val="21"/>
        </w:rPr>
        <w:t>亿瑞郎。相比之下，</w:t>
      </w:r>
      <w:r w:rsidRPr="003F5882">
        <w:rPr>
          <w:rFonts w:ascii="Arial" w:hAnsi="Arial" w:cs="Times New Roman"/>
          <w:sz w:val="21"/>
        </w:rPr>
        <w:t>2013</w:t>
      </w:r>
      <w:r w:rsidRPr="003F5882">
        <w:rPr>
          <w:rFonts w:ascii="Arial" w:hAnsi="Arial" w:cs="Times New Roman"/>
          <w:sz w:val="21"/>
        </w:rPr>
        <w:t>年盈余为</w:t>
      </w:r>
      <w:r w:rsidRPr="003F5882">
        <w:rPr>
          <w:rFonts w:ascii="Arial" w:hAnsi="Arial" w:cs="Times New Roman"/>
          <w:sz w:val="21"/>
        </w:rPr>
        <w:t>1,510</w:t>
      </w:r>
      <w:r w:rsidRPr="003F5882">
        <w:rPr>
          <w:rFonts w:ascii="Arial" w:hAnsi="Arial" w:cs="Times New Roman"/>
          <w:sz w:val="21"/>
        </w:rPr>
        <w:t>万瑞郎，总收入为</w:t>
      </w:r>
      <w:r w:rsidRPr="003F5882">
        <w:rPr>
          <w:rFonts w:ascii="Arial" w:hAnsi="Arial" w:cs="Times New Roman"/>
          <w:sz w:val="21"/>
        </w:rPr>
        <w:t>3.516</w:t>
      </w:r>
      <w:r w:rsidRPr="003F5882">
        <w:rPr>
          <w:rFonts w:ascii="Arial" w:hAnsi="Arial" w:cs="Times New Roman"/>
          <w:sz w:val="21"/>
        </w:rPr>
        <w:t>亿瑞郎，总支出为</w:t>
      </w:r>
      <w:r w:rsidRPr="003F5882">
        <w:rPr>
          <w:rFonts w:ascii="Arial" w:hAnsi="Arial" w:cs="Times New Roman"/>
          <w:sz w:val="21"/>
        </w:rPr>
        <w:t>3.365</w:t>
      </w:r>
      <w:r w:rsidRPr="003F5882">
        <w:rPr>
          <w:rFonts w:ascii="Arial" w:hAnsi="Arial" w:cs="Times New Roman"/>
          <w:sz w:val="21"/>
        </w:rPr>
        <w:t>亿瑞郎。</w:t>
      </w:r>
    </w:p>
    <w:p w:rsidR="005C4FAF" w:rsidRPr="00F453AC" w:rsidRDefault="005C4FAF"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采用修正的权责发生制</w:t>
      </w:r>
      <w:r w:rsidR="00F453AC" w:rsidRPr="003F5882">
        <w:rPr>
          <w:rFonts w:ascii="Arial" w:hAnsi="Arial" w:cs="Times New Roman" w:hint="eastAsia"/>
          <w:sz w:val="21"/>
        </w:rPr>
        <w:t>（</w:t>
      </w:r>
      <w:r w:rsidRPr="003F5882">
        <w:rPr>
          <w:rFonts w:ascii="Arial" w:hAnsi="Arial" w:cs="Times New Roman"/>
          <w:sz w:val="21"/>
        </w:rPr>
        <w:t>即</w:t>
      </w:r>
      <w:proofErr w:type="gramStart"/>
      <w:r w:rsidRPr="003F5882">
        <w:rPr>
          <w:rFonts w:ascii="Arial" w:hAnsi="Arial" w:cs="Times New Roman"/>
          <w:sz w:val="21"/>
        </w:rPr>
        <w:t>未依据</w:t>
      </w:r>
      <w:proofErr w:type="gramEnd"/>
      <w:r w:rsidRPr="003F5882">
        <w:rPr>
          <w:rFonts w:ascii="Arial" w:hAnsi="Arial" w:cs="Times New Roman"/>
          <w:sz w:val="21"/>
        </w:rPr>
        <w:t>IPSAS</w:t>
      </w:r>
      <w:r w:rsidRPr="003F5882">
        <w:rPr>
          <w:rFonts w:ascii="Arial" w:hAnsi="Arial" w:cs="Times New Roman"/>
          <w:sz w:val="21"/>
        </w:rPr>
        <w:t>进行调整</w:t>
      </w:r>
      <w:r w:rsidR="00F453AC" w:rsidRPr="003F5882">
        <w:rPr>
          <w:rFonts w:ascii="Arial" w:hAnsi="Arial" w:cs="Times New Roman" w:hint="eastAsia"/>
          <w:sz w:val="21"/>
        </w:rPr>
        <w:t>）</w:t>
      </w:r>
      <w:r w:rsidRPr="003F5882">
        <w:rPr>
          <w:rFonts w:ascii="Arial" w:hAnsi="Arial" w:cs="Times New Roman"/>
          <w:sz w:val="21"/>
        </w:rPr>
        <w:t>编制的</w:t>
      </w:r>
      <w:r w:rsidRPr="003F5882">
        <w:rPr>
          <w:rFonts w:ascii="Arial" w:hAnsi="Arial" w:cs="Times New Roman"/>
          <w:sz w:val="21"/>
        </w:rPr>
        <w:t>2014</w:t>
      </w:r>
      <w:r w:rsidRPr="003F5882">
        <w:rPr>
          <w:rFonts w:ascii="Arial" w:hAnsi="Arial" w:cs="Times New Roman"/>
          <w:sz w:val="21"/>
        </w:rPr>
        <w:t>年计划和预算结果为盈余</w:t>
      </w:r>
      <w:r w:rsidRPr="003F5882">
        <w:rPr>
          <w:rFonts w:ascii="Arial" w:hAnsi="Arial" w:cs="Times New Roman"/>
          <w:sz w:val="21"/>
        </w:rPr>
        <w:t>6,990</w:t>
      </w:r>
      <w:proofErr w:type="gramStart"/>
      <w:r w:rsidRPr="003F5882">
        <w:rPr>
          <w:rFonts w:ascii="Arial" w:hAnsi="Arial" w:cs="Times New Roman"/>
          <w:sz w:val="21"/>
        </w:rPr>
        <w:t>万瑞</w:t>
      </w:r>
      <w:proofErr w:type="gramEnd"/>
      <w:r w:rsidRPr="003F5882">
        <w:rPr>
          <w:rFonts w:ascii="Arial" w:hAnsi="Arial" w:cs="Times New Roman"/>
          <w:sz w:val="21"/>
        </w:rPr>
        <w:t>郎。本组织</w:t>
      </w:r>
      <w:r w:rsidRPr="003F5882">
        <w:rPr>
          <w:rFonts w:ascii="Arial" w:hAnsi="Arial" w:cs="Times New Roman"/>
          <w:sz w:val="21"/>
        </w:rPr>
        <w:t>2014</w:t>
      </w:r>
      <w:r w:rsidRPr="003F5882">
        <w:rPr>
          <w:rFonts w:ascii="Arial" w:hAnsi="Arial" w:cs="Times New Roman"/>
          <w:sz w:val="21"/>
        </w:rPr>
        <w:t>年依据</w:t>
      </w:r>
      <w:r w:rsidRPr="003F5882">
        <w:rPr>
          <w:rFonts w:ascii="Arial" w:hAnsi="Arial" w:cs="Times New Roman"/>
          <w:sz w:val="21"/>
        </w:rPr>
        <w:t>IPSAS</w:t>
      </w:r>
      <w:r w:rsidRPr="003F5882">
        <w:rPr>
          <w:rFonts w:ascii="Arial" w:hAnsi="Arial" w:cs="Times New Roman"/>
          <w:sz w:val="21"/>
        </w:rPr>
        <w:t>进行核算的结果包括特别账户、由储备金资助的项目以及根据</w:t>
      </w:r>
      <w:r w:rsidRPr="003F5882">
        <w:rPr>
          <w:rFonts w:ascii="Arial" w:hAnsi="Arial" w:cs="Times New Roman"/>
          <w:sz w:val="21"/>
        </w:rPr>
        <w:t>IPSAS</w:t>
      </w:r>
      <w:r w:rsidRPr="003F5882">
        <w:rPr>
          <w:rFonts w:ascii="Arial" w:hAnsi="Arial" w:cs="Times New Roman"/>
          <w:sz w:val="21"/>
        </w:rPr>
        <w:t>标准采用完全的权责发生制进行相关调整产生的影响。</w:t>
      </w:r>
    </w:p>
    <w:p w:rsidR="005C4FAF" w:rsidRPr="00F453AC" w:rsidRDefault="005C4FAF" w:rsidP="003F5882">
      <w:pPr>
        <w:keepNext/>
        <w:spacing w:afterLines="50" w:after="120" w:line="340" w:lineRule="atLeast"/>
        <w:jc w:val="center"/>
        <w:rPr>
          <w:rFonts w:ascii="Arial" w:eastAsia="SimSun" w:hAnsi="Arial" w:cs="Times New Roman"/>
          <w:sz w:val="21"/>
          <w:szCs w:val="22"/>
          <w:u w:val="single"/>
        </w:rPr>
      </w:pPr>
      <w:r w:rsidRPr="003F5882">
        <w:rPr>
          <w:rFonts w:ascii="Arial" w:hAnsi="Arial" w:cs="Times New Roman"/>
          <w:sz w:val="21"/>
          <w:u w:val="single"/>
        </w:rPr>
        <w:t>按供资来源开列的财务执行情况概览</w:t>
      </w:r>
    </w:p>
    <w:p w:rsidR="005C4FAF" w:rsidRPr="00F453AC" w:rsidRDefault="003F5882" w:rsidP="003F5882">
      <w:pPr>
        <w:spacing w:afterLines="50" w:after="120" w:line="340" w:lineRule="atLeast"/>
        <w:jc w:val="center"/>
        <w:rPr>
          <w:rFonts w:ascii="Arial" w:eastAsia="SimSun" w:hAnsi="Arial" w:cs="Times New Roman"/>
        </w:rPr>
      </w:pPr>
      <w:r w:rsidRPr="003F5882">
        <w:rPr>
          <w:noProof/>
          <w:lang w:val="en-US" w:bidi="ar-SA"/>
        </w:rPr>
        <w:drawing>
          <wp:inline distT="0" distB="0" distL="0" distR="0" wp14:anchorId="3E5FEED3" wp14:editId="0159F803">
            <wp:extent cx="5977255" cy="1474985"/>
            <wp:effectExtent l="0" t="0" r="4445"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77255" cy="1474985"/>
                    </a:xfrm>
                    <a:prstGeom prst="rect">
                      <a:avLst/>
                    </a:prstGeom>
                    <a:noFill/>
                    <a:ln>
                      <a:noFill/>
                    </a:ln>
                  </pic:spPr>
                </pic:pic>
              </a:graphicData>
            </a:graphic>
          </wp:inline>
        </w:drawing>
      </w:r>
    </w:p>
    <w:p w:rsidR="005C4FAF" w:rsidRPr="00F453AC" w:rsidRDefault="005C4FAF"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下图摘要说明了计划和预算的</w:t>
      </w:r>
      <w:r w:rsidRPr="003F5882">
        <w:rPr>
          <w:rFonts w:ascii="Arial" w:hAnsi="Arial" w:cs="Times New Roman"/>
          <w:sz w:val="21"/>
        </w:rPr>
        <w:t>6,990</w:t>
      </w:r>
      <w:proofErr w:type="gramStart"/>
      <w:r w:rsidRPr="003F5882">
        <w:rPr>
          <w:rFonts w:ascii="Arial" w:hAnsi="Arial" w:cs="Times New Roman"/>
          <w:sz w:val="21"/>
        </w:rPr>
        <w:t>万瑞</w:t>
      </w:r>
      <w:proofErr w:type="gramEnd"/>
      <w:r w:rsidRPr="003F5882">
        <w:rPr>
          <w:rFonts w:ascii="Arial" w:hAnsi="Arial" w:cs="Times New Roman"/>
          <w:sz w:val="21"/>
        </w:rPr>
        <w:t>郎盈余和按照</w:t>
      </w:r>
      <w:r w:rsidRPr="003F5882">
        <w:rPr>
          <w:rFonts w:ascii="Arial" w:hAnsi="Arial" w:cs="Times New Roman"/>
          <w:sz w:val="21"/>
        </w:rPr>
        <w:t>IPSAS</w:t>
      </w:r>
      <w:r w:rsidRPr="003F5882">
        <w:rPr>
          <w:rFonts w:ascii="Arial" w:hAnsi="Arial" w:cs="Times New Roman"/>
          <w:sz w:val="21"/>
        </w:rPr>
        <w:t>编制的整个组织的</w:t>
      </w:r>
      <w:r w:rsidRPr="003F5882">
        <w:rPr>
          <w:rFonts w:ascii="Arial" w:hAnsi="Arial" w:cs="Times New Roman"/>
          <w:sz w:val="21"/>
        </w:rPr>
        <w:t>3,700</w:t>
      </w:r>
      <w:proofErr w:type="gramStart"/>
      <w:r w:rsidRPr="003F5882">
        <w:rPr>
          <w:rFonts w:ascii="Arial" w:hAnsi="Arial" w:cs="Times New Roman"/>
          <w:sz w:val="21"/>
        </w:rPr>
        <w:t>万瑞</w:t>
      </w:r>
      <w:proofErr w:type="gramEnd"/>
      <w:r w:rsidRPr="003F5882">
        <w:rPr>
          <w:rFonts w:ascii="Arial" w:hAnsi="Arial" w:cs="Times New Roman"/>
          <w:sz w:val="21"/>
        </w:rPr>
        <w:t>郎盈余之间的主要差别</w:t>
      </w:r>
      <w:r w:rsidR="00611D86" w:rsidRPr="003F5882">
        <w:rPr>
          <w:rFonts w:ascii="Arial" w:hAnsi="Arial" w:cs="Times New Roman" w:hint="eastAsia"/>
          <w:sz w:val="21"/>
        </w:rPr>
        <w:t>：</w:t>
      </w:r>
    </w:p>
    <w:p w:rsidR="005C4FAF" w:rsidRPr="00F453AC" w:rsidRDefault="005C4FAF" w:rsidP="003F5882">
      <w:pPr>
        <w:keepNext/>
        <w:spacing w:afterLines="50" w:after="120" w:line="340" w:lineRule="atLeast"/>
        <w:jc w:val="center"/>
        <w:rPr>
          <w:rFonts w:ascii="Arial" w:eastAsia="SimSun" w:hAnsi="Arial" w:cs="Times New Roman"/>
          <w:sz w:val="21"/>
          <w:szCs w:val="22"/>
          <w:u w:val="single"/>
        </w:rPr>
      </w:pPr>
      <w:r w:rsidRPr="003F5882">
        <w:rPr>
          <w:rFonts w:ascii="Arial" w:hAnsi="Arial" w:cs="Times New Roman"/>
          <w:sz w:val="21"/>
          <w:u w:val="single"/>
        </w:rPr>
        <w:lastRenderedPageBreak/>
        <w:t>2014</w:t>
      </w:r>
      <w:r w:rsidRPr="003F5882">
        <w:rPr>
          <w:rFonts w:ascii="Arial" w:hAnsi="Arial" w:cs="Times New Roman"/>
          <w:sz w:val="21"/>
          <w:u w:val="single"/>
        </w:rPr>
        <w:t>年从预算结果转向</w:t>
      </w:r>
      <w:r w:rsidRPr="003F5882">
        <w:rPr>
          <w:rFonts w:ascii="Arial" w:hAnsi="Arial" w:cs="Times New Roman"/>
          <w:sz w:val="21"/>
          <w:u w:val="single"/>
        </w:rPr>
        <w:t>IPSAS</w:t>
      </w:r>
      <w:r w:rsidRPr="003F5882">
        <w:rPr>
          <w:rFonts w:ascii="Arial" w:hAnsi="Arial" w:cs="Times New Roman"/>
          <w:sz w:val="21"/>
          <w:u w:val="single"/>
        </w:rPr>
        <w:t>结果</w:t>
      </w:r>
    </w:p>
    <w:p w:rsidR="00051289" w:rsidRPr="00F453AC" w:rsidRDefault="005273FB" w:rsidP="005273FB">
      <w:pPr>
        <w:spacing w:afterLines="50" w:after="120" w:line="340" w:lineRule="atLeast"/>
        <w:jc w:val="center"/>
        <w:rPr>
          <w:rFonts w:ascii="Arial" w:eastAsia="SimSun" w:hAnsi="Arial" w:cs="Times New Roman"/>
          <w:sz w:val="21"/>
          <w:szCs w:val="22"/>
        </w:rPr>
      </w:pPr>
      <w:r w:rsidRPr="005273FB">
        <w:rPr>
          <w:noProof/>
          <w:lang w:val="en-US" w:bidi="ar-SA"/>
        </w:rPr>
        <w:drawing>
          <wp:inline distT="0" distB="0" distL="0" distR="0" wp14:anchorId="2AD594CE" wp14:editId="5EBA7BC6">
            <wp:extent cx="5977255" cy="3288665"/>
            <wp:effectExtent l="0" t="0" r="4445" b="6985"/>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77255" cy="3288665"/>
                    </a:xfrm>
                    <a:prstGeom prst="rect">
                      <a:avLst/>
                    </a:prstGeom>
                    <a:noFill/>
                    <a:ln>
                      <a:noFill/>
                    </a:ln>
                  </pic:spPr>
                </pic:pic>
              </a:graphicData>
            </a:graphic>
          </wp:inline>
        </w:drawing>
      </w:r>
    </w:p>
    <w:p w:rsidR="005C4FAF" w:rsidRPr="00F453AC" w:rsidRDefault="005C4FAF"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按照</w:t>
      </w:r>
      <w:r w:rsidRPr="003F5882">
        <w:rPr>
          <w:rFonts w:ascii="Arial" w:hAnsi="Arial" w:cs="Times New Roman"/>
          <w:sz w:val="21"/>
        </w:rPr>
        <w:t>IPSAS</w:t>
      </w:r>
      <w:r w:rsidRPr="003F5882">
        <w:rPr>
          <w:rFonts w:ascii="Arial" w:hAnsi="Arial" w:cs="Times New Roman"/>
          <w:sz w:val="21"/>
        </w:rPr>
        <w:t>编制的</w:t>
      </w:r>
      <w:r w:rsidRPr="003F5882">
        <w:rPr>
          <w:rFonts w:ascii="Arial" w:hAnsi="Arial" w:cs="Times New Roman"/>
          <w:sz w:val="21"/>
        </w:rPr>
        <w:t>WIPO</w:t>
      </w:r>
      <w:r w:rsidRPr="003F5882">
        <w:rPr>
          <w:rFonts w:ascii="Arial" w:hAnsi="Arial" w:cs="Times New Roman"/>
          <w:sz w:val="21"/>
        </w:rPr>
        <w:t>财务报表包括整个组织的所有领域和活动。在采用</w:t>
      </w:r>
      <w:r w:rsidRPr="003F5882">
        <w:rPr>
          <w:rFonts w:ascii="Arial" w:hAnsi="Arial" w:cs="Times New Roman"/>
          <w:sz w:val="21"/>
        </w:rPr>
        <w:t>IPSAS</w:t>
      </w:r>
      <w:r w:rsidRPr="003F5882">
        <w:rPr>
          <w:rFonts w:ascii="Arial" w:hAnsi="Arial" w:cs="Times New Roman"/>
          <w:sz w:val="21"/>
        </w:rPr>
        <w:t>进行调整前，纳入结算的有特别账户</w:t>
      </w:r>
      <w:r w:rsidR="00F453AC" w:rsidRPr="003F5882">
        <w:rPr>
          <w:rFonts w:ascii="Arial" w:hAnsi="Arial" w:cs="Times New Roman" w:hint="eastAsia"/>
          <w:sz w:val="21"/>
        </w:rPr>
        <w:t>（</w:t>
      </w:r>
      <w:r w:rsidRPr="003F5882">
        <w:rPr>
          <w:rFonts w:ascii="Arial" w:hAnsi="Arial" w:cs="Times New Roman"/>
          <w:sz w:val="21"/>
        </w:rPr>
        <w:t>盈余</w:t>
      </w:r>
      <w:r w:rsidRPr="003F5882">
        <w:rPr>
          <w:rFonts w:ascii="Arial" w:hAnsi="Arial" w:cs="Times New Roman"/>
          <w:sz w:val="21"/>
        </w:rPr>
        <w:t>80</w:t>
      </w:r>
      <w:proofErr w:type="gramStart"/>
      <w:r w:rsidRPr="003F5882">
        <w:rPr>
          <w:rFonts w:ascii="Arial" w:hAnsi="Arial" w:cs="Times New Roman"/>
          <w:sz w:val="21"/>
        </w:rPr>
        <w:t>万瑞</w:t>
      </w:r>
      <w:proofErr w:type="gramEnd"/>
      <w:r w:rsidRPr="003F5882">
        <w:rPr>
          <w:rFonts w:ascii="Arial" w:hAnsi="Arial" w:cs="Times New Roman"/>
          <w:sz w:val="21"/>
        </w:rPr>
        <w:t>郎</w:t>
      </w:r>
      <w:r w:rsidR="00F453AC" w:rsidRPr="003F5882">
        <w:rPr>
          <w:rFonts w:ascii="Arial" w:hAnsi="Arial" w:cs="Times New Roman" w:hint="eastAsia"/>
          <w:sz w:val="21"/>
        </w:rPr>
        <w:t>）</w:t>
      </w:r>
      <w:r w:rsidRPr="003F5882">
        <w:rPr>
          <w:rFonts w:ascii="Arial" w:hAnsi="Arial" w:cs="Times New Roman"/>
          <w:sz w:val="21"/>
        </w:rPr>
        <w:t>和储备金供资项目</w:t>
      </w:r>
      <w:r w:rsidR="00F453AC" w:rsidRPr="003F5882">
        <w:rPr>
          <w:rFonts w:ascii="Arial" w:hAnsi="Arial" w:cs="Times New Roman" w:hint="eastAsia"/>
          <w:sz w:val="21"/>
        </w:rPr>
        <w:t>（</w:t>
      </w:r>
      <w:r w:rsidRPr="003F5882">
        <w:rPr>
          <w:rFonts w:ascii="Arial" w:hAnsi="Arial" w:cs="Times New Roman"/>
          <w:sz w:val="21"/>
        </w:rPr>
        <w:t>赤字</w:t>
      </w:r>
      <w:r w:rsidRPr="003F5882">
        <w:rPr>
          <w:rFonts w:ascii="Arial" w:hAnsi="Arial" w:cs="Times New Roman"/>
          <w:sz w:val="21"/>
        </w:rPr>
        <w:t>3,520</w:t>
      </w:r>
      <w:proofErr w:type="gramStart"/>
      <w:r w:rsidRPr="003F5882">
        <w:rPr>
          <w:rFonts w:ascii="Arial" w:hAnsi="Arial" w:cs="Times New Roman"/>
          <w:sz w:val="21"/>
        </w:rPr>
        <w:t>万瑞</w:t>
      </w:r>
      <w:proofErr w:type="gramEnd"/>
      <w:r w:rsidRPr="003F5882">
        <w:rPr>
          <w:rFonts w:ascii="Arial" w:hAnsi="Arial" w:cs="Times New Roman"/>
          <w:sz w:val="21"/>
        </w:rPr>
        <w:t>郎</w:t>
      </w:r>
      <w:r w:rsidR="00F453AC" w:rsidRPr="003F5882">
        <w:rPr>
          <w:rFonts w:ascii="Arial" w:hAnsi="Arial" w:cs="Times New Roman" w:hint="eastAsia"/>
          <w:sz w:val="21"/>
        </w:rPr>
        <w:t>）</w:t>
      </w:r>
      <w:r w:rsidRPr="003F5882">
        <w:rPr>
          <w:rFonts w:ascii="Arial" w:hAnsi="Arial" w:cs="Times New Roman"/>
          <w:sz w:val="21"/>
        </w:rPr>
        <w:t>。这构成了预算结算和按照</w:t>
      </w:r>
      <w:r w:rsidRPr="003F5882">
        <w:rPr>
          <w:rFonts w:ascii="Arial" w:hAnsi="Arial" w:cs="Times New Roman"/>
          <w:sz w:val="21"/>
        </w:rPr>
        <w:t>IPSAS</w:t>
      </w:r>
      <w:r w:rsidRPr="003F5882">
        <w:rPr>
          <w:rFonts w:ascii="Arial" w:hAnsi="Arial" w:cs="Times New Roman"/>
          <w:sz w:val="21"/>
        </w:rPr>
        <w:t>编制的财务报表盈余之间的</w:t>
      </w:r>
      <w:r w:rsidR="00E04F07" w:rsidRPr="003F5882">
        <w:rPr>
          <w:rFonts w:ascii="Arial" w:hAnsi="Arial" w:cs="Times New Roman" w:hint="eastAsia"/>
          <w:sz w:val="21"/>
        </w:rPr>
        <w:t>“</w:t>
      </w:r>
      <w:r w:rsidRPr="003F5882">
        <w:rPr>
          <w:rFonts w:ascii="Arial" w:hAnsi="Arial" w:cs="Times New Roman"/>
          <w:sz w:val="21"/>
        </w:rPr>
        <w:t>实体差异</w:t>
      </w:r>
      <w:r w:rsidR="00E04F07" w:rsidRPr="003F5882">
        <w:rPr>
          <w:rFonts w:ascii="Arial" w:hAnsi="Arial" w:cs="Times New Roman" w:hint="eastAsia"/>
          <w:sz w:val="21"/>
        </w:rPr>
        <w:t>”</w:t>
      </w:r>
      <w:r w:rsidRPr="003F5882">
        <w:rPr>
          <w:rFonts w:ascii="Arial" w:hAnsi="Arial" w:cs="Times New Roman"/>
          <w:sz w:val="21"/>
        </w:rPr>
        <w:t>。</w:t>
      </w:r>
    </w:p>
    <w:p w:rsidR="005C4FAF" w:rsidRPr="00F453AC" w:rsidRDefault="005C4FAF"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按照</w:t>
      </w:r>
      <w:r w:rsidRPr="003F5882">
        <w:rPr>
          <w:rFonts w:ascii="Arial" w:hAnsi="Arial" w:cs="Times New Roman"/>
          <w:sz w:val="21"/>
        </w:rPr>
        <w:t>IPSAS</w:t>
      </w:r>
      <w:r w:rsidRPr="003F5882">
        <w:rPr>
          <w:rFonts w:ascii="Arial" w:hAnsi="Arial" w:cs="Times New Roman"/>
          <w:sz w:val="21"/>
        </w:rPr>
        <w:t>采用完全的权责发生制导致若干</w:t>
      </w:r>
      <w:r w:rsidR="00E04F07" w:rsidRPr="003F5882">
        <w:rPr>
          <w:rFonts w:ascii="Arial" w:hAnsi="Arial" w:cs="Times New Roman" w:hint="eastAsia"/>
          <w:sz w:val="21"/>
        </w:rPr>
        <w:t>“</w:t>
      </w:r>
      <w:r w:rsidRPr="003F5882">
        <w:rPr>
          <w:rFonts w:ascii="Arial" w:hAnsi="Arial" w:cs="Times New Roman"/>
          <w:sz w:val="21"/>
        </w:rPr>
        <w:t>会计基准差异</w:t>
      </w:r>
      <w:r w:rsidR="00E04F07" w:rsidRPr="003F5882">
        <w:rPr>
          <w:rFonts w:ascii="Arial" w:hAnsi="Arial" w:cs="Times New Roman" w:hint="eastAsia"/>
          <w:sz w:val="21"/>
        </w:rPr>
        <w:t>”</w:t>
      </w:r>
      <w:r w:rsidRPr="003F5882">
        <w:rPr>
          <w:rFonts w:ascii="Arial" w:hAnsi="Arial" w:cs="Times New Roman"/>
          <w:sz w:val="21"/>
        </w:rPr>
        <w:t>，从而影响到当年的结果。这些调整的净影响是</w:t>
      </w:r>
      <w:r w:rsidRPr="003F5882">
        <w:rPr>
          <w:rFonts w:ascii="Arial" w:hAnsi="Arial" w:cs="Times New Roman"/>
          <w:sz w:val="21"/>
        </w:rPr>
        <w:t>150</w:t>
      </w:r>
      <w:r w:rsidRPr="003F5882">
        <w:rPr>
          <w:rFonts w:ascii="Arial" w:hAnsi="Arial" w:cs="Times New Roman"/>
          <w:sz w:val="21"/>
        </w:rPr>
        <w:t>万瑞郎的盈余</w:t>
      </w:r>
      <w:r w:rsidR="00D71275" w:rsidRPr="003F5882">
        <w:rPr>
          <w:rFonts w:ascii="Arial" w:hAnsi="Arial" w:cs="Times New Roman" w:hint="eastAsia"/>
          <w:sz w:val="21"/>
        </w:rPr>
        <w:t>：</w:t>
      </w:r>
    </w:p>
    <w:p w:rsidR="005C4FAF" w:rsidRPr="00F453AC" w:rsidRDefault="005C4FAF" w:rsidP="003F5882">
      <w:pPr>
        <w:numPr>
          <w:ilvl w:val="0"/>
          <w:numId w:val="2"/>
        </w:numPr>
        <w:tabs>
          <w:tab w:val="clear" w:pos="1021"/>
          <w:tab w:val="num" w:pos="720"/>
        </w:tabs>
        <w:overflowPunct w:val="0"/>
        <w:spacing w:afterLines="50" w:after="120" w:line="340" w:lineRule="atLeast"/>
        <w:ind w:left="714" w:hanging="357"/>
        <w:jc w:val="both"/>
        <w:rPr>
          <w:rFonts w:ascii="Arial" w:eastAsia="SimSun" w:hAnsi="Arial" w:cs="Times New Roman"/>
          <w:sz w:val="21"/>
          <w:szCs w:val="22"/>
        </w:rPr>
      </w:pPr>
      <w:r w:rsidRPr="003F5882">
        <w:rPr>
          <w:rFonts w:ascii="Arial" w:hAnsi="Arial" w:cs="Times New Roman"/>
          <w:sz w:val="21"/>
        </w:rPr>
        <w:t>根据</w:t>
      </w:r>
      <w:r w:rsidRPr="003F5882">
        <w:rPr>
          <w:rFonts w:ascii="Arial" w:hAnsi="Arial" w:cs="Times New Roman"/>
          <w:sz w:val="21"/>
        </w:rPr>
        <w:t>IPSAS</w:t>
      </w:r>
      <w:r w:rsidRPr="003F5882">
        <w:rPr>
          <w:rFonts w:ascii="Arial" w:hAnsi="Arial" w:cs="Times New Roman"/>
          <w:sz w:val="21"/>
        </w:rPr>
        <w:t>，只要符合捐赠协议的条件且支出按照工作计划发生，特别账户自愿捐款产生的收入被确认。如收到的捐款超过履行工作的开支，捐款则视为递延收入负债，这导致当年结算减少了</w:t>
      </w:r>
      <w:r w:rsidRPr="003F5882">
        <w:rPr>
          <w:rFonts w:ascii="Arial" w:hAnsi="Arial" w:cs="Times New Roman"/>
          <w:sz w:val="21"/>
        </w:rPr>
        <w:t>80</w:t>
      </w:r>
      <w:r w:rsidRPr="003F5882">
        <w:rPr>
          <w:rFonts w:ascii="Arial" w:hAnsi="Arial" w:cs="Times New Roman"/>
          <w:sz w:val="21"/>
        </w:rPr>
        <w:t>万瑞郎。</w:t>
      </w:r>
    </w:p>
    <w:p w:rsidR="005C4FAF" w:rsidRPr="00F453AC" w:rsidRDefault="005C4FAF" w:rsidP="003F5882">
      <w:pPr>
        <w:numPr>
          <w:ilvl w:val="0"/>
          <w:numId w:val="2"/>
        </w:numPr>
        <w:tabs>
          <w:tab w:val="clear" w:pos="1021"/>
          <w:tab w:val="num" w:pos="720"/>
        </w:tabs>
        <w:overflowPunct w:val="0"/>
        <w:spacing w:afterLines="50" w:after="120" w:line="340" w:lineRule="atLeast"/>
        <w:ind w:left="714" w:hanging="357"/>
        <w:jc w:val="both"/>
        <w:rPr>
          <w:rFonts w:ascii="Arial" w:eastAsia="SimSun" w:hAnsi="Arial" w:cs="Times New Roman"/>
          <w:sz w:val="21"/>
          <w:szCs w:val="22"/>
        </w:rPr>
      </w:pPr>
      <w:r w:rsidRPr="003F5882">
        <w:rPr>
          <w:rFonts w:ascii="Arial" w:hAnsi="Arial" w:cs="Times New Roman"/>
          <w:sz w:val="21"/>
        </w:rPr>
        <w:t>在采用</w:t>
      </w:r>
      <w:r w:rsidRPr="003F5882">
        <w:rPr>
          <w:rFonts w:ascii="Arial" w:hAnsi="Arial" w:cs="Times New Roman"/>
          <w:sz w:val="21"/>
        </w:rPr>
        <w:t>IPSAS</w:t>
      </w:r>
      <w:r w:rsidRPr="003F5882">
        <w:rPr>
          <w:rFonts w:ascii="Arial" w:hAnsi="Arial" w:cs="Times New Roman"/>
          <w:sz w:val="21"/>
        </w:rPr>
        <w:t>时，规费产生的收入要递延到该笔规费被认为已挣到时才入账。就国际申请而言，入账时间为最后公布日。在</w:t>
      </w:r>
      <w:r w:rsidRPr="003F5882">
        <w:rPr>
          <w:rFonts w:ascii="Arial" w:hAnsi="Arial" w:cs="Times New Roman"/>
          <w:sz w:val="21"/>
        </w:rPr>
        <w:t>PCT</w:t>
      </w:r>
      <w:r w:rsidRPr="003F5882">
        <w:rPr>
          <w:rFonts w:ascii="Arial" w:hAnsi="Arial" w:cs="Times New Roman"/>
          <w:sz w:val="21"/>
        </w:rPr>
        <w:t>申请方面，还确认了应收账款，即申请已经提交，但本组织尚未收到</w:t>
      </w:r>
      <w:proofErr w:type="gramStart"/>
      <w:r w:rsidRPr="003F5882">
        <w:rPr>
          <w:rFonts w:ascii="Arial" w:hAnsi="Arial" w:cs="Times New Roman"/>
          <w:sz w:val="21"/>
        </w:rPr>
        <w:t>规</w:t>
      </w:r>
      <w:proofErr w:type="gramEnd"/>
      <w:r w:rsidRPr="003F5882">
        <w:rPr>
          <w:rFonts w:ascii="Arial" w:hAnsi="Arial" w:cs="Times New Roman"/>
          <w:sz w:val="21"/>
        </w:rPr>
        <w:t>费。</w:t>
      </w:r>
    </w:p>
    <w:p w:rsidR="005C4FAF" w:rsidRPr="00F453AC" w:rsidRDefault="00F453AC" w:rsidP="003F5882">
      <w:pPr>
        <w:overflowPunct w:val="0"/>
        <w:spacing w:afterLines="50" w:after="120" w:line="340" w:lineRule="atLeast"/>
        <w:ind w:left="720"/>
        <w:jc w:val="both"/>
        <w:rPr>
          <w:rFonts w:ascii="Arial" w:eastAsia="SimSun" w:hAnsi="Arial" w:cs="Times New Roman"/>
          <w:sz w:val="21"/>
          <w:szCs w:val="20"/>
        </w:rPr>
      </w:pPr>
      <w:r w:rsidRPr="003F5882">
        <w:rPr>
          <w:rFonts w:ascii="Arial" w:hAnsi="Arial" w:cs="Times New Roman" w:hint="eastAsia"/>
          <w:sz w:val="21"/>
        </w:rPr>
        <w:t>（</w:t>
      </w:r>
      <w:r w:rsidR="005C4FAF" w:rsidRPr="003F5882">
        <w:rPr>
          <w:rFonts w:ascii="Arial" w:hAnsi="Arial" w:cs="Times New Roman"/>
          <w:sz w:val="21"/>
        </w:rPr>
        <w:t>PCT</w:t>
      </w:r>
      <w:r w:rsidR="005C4FAF" w:rsidRPr="003F5882">
        <w:rPr>
          <w:rFonts w:ascii="Arial" w:hAnsi="Arial" w:cs="Times New Roman"/>
          <w:sz w:val="21"/>
        </w:rPr>
        <w:t>、商标、工业品外观设计</w:t>
      </w:r>
      <w:r w:rsidRPr="003F5882">
        <w:rPr>
          <w:rFonts w:ascii="Arial" w:hAnsi="Arial" w:cs="Times New Roman" w:hint="eastAsia"/>
          <w:sz w:val="21"/>
        </w:rPr>
        <w:t>）</w:t>
      </w:r>
      <w:proofErr w:type="gramStart"/>
      <w:r w:rsidR="005C4FAF" w:rsidRPr="003F5882">
        <w:rPr>
          <w:rFonts w:ascii="Arial" w:hAnsi="Arial" w:cs="Times New Roman"/>
          <w:sz w:val="21"/>
        </w:rPr>
        <w:t>规费递延收入</w:t>
      </w:r>
      <w:proofErr w:type="gramEnd"/>
      <w:r w:rsidR="005C4FAF" w:rsidRPr="003F5882">
        <w:rPr>
          <w:rFonts w:ascii="Arial" w:hAnsi="Arial" w:cs="Times New Roman"/>
          <w:sz w:val="21"/>
        </w:rPr>
        <w:t>余额从</w:t>
      </w:r>
      <w:r w:rsidR="005C4FAF" w:rsidRPr="003F5882">
        <w:rPr>
          <w:rFonts w:ascii="Arial" w:hAnsi="Arial" w:cs="Times New Roman"/>
          <w:sz w:val="21"/>
        </w:rPr>
        <w:t>2013</w:t>
      </w:r>
      <w:r w:rsidR="005C4FAF" w:rsidRPr="003F5882">
        <w:rPr>
          <w:rFonts w:ascii="Arial" w:hAnsi="Arial" w:cs="Times New Roman"/>
          <w:sz w:val="21"/>
        </w:rPr>
        <w:t>年</w:t>
      </w:r>
      <w:r w:rsidR="005C4FAF" w:rsidRPr="003F5882">
        <w:rPr>
          <w:rFonts w:ascii="Arial" w:hAnsi="Arial" w:cs="Times New Roman"/>
          <w:sz w:val="21"/>
        </w:rPr>
        <w:t>12</w:t>
      </w:r>
      <w:r w:rsidR="005C4FAF" w:rsidRPr="003F5882">
        <w:rPr>
          <w:rFonts w:ascii="Arial" w:hAnsi="Arial" w:cs="Times New Roman"/>
          <w:sz w:val="21"/>
        </w:rPr>
        <w:t>月</w:t>
      </w:r>
      <w:r w:rsidR="005C4FAF" w:rsidRPr="003F5882">
        <w:rPr>
          <w:rFonts w:ascii="Arial" w:hAnsi="Arial" w:cs="Times New Roman"/>
          <w:sz w:val="21"/>
        </w:rPr>
        <w:t>31</w:t>
      </w:r>
      <w:r w:rsidR="005C4FAF" w:rsidRPr="003F5882">
        <w:rPr>
          <w:rFonts w:ascii="Arial" w:hAnsi="Arial" w:cs="Times New Roman"/>
          <w:sz w:val="21"/>
        </w:rPr>
        <w:t>日的</w:t>
      </w:r>
      <w:r w:rsidR="005C4FAF" w:rsidRPr="003F5882">
        <w:rPr>
          <w:rFonts w:ascii="Arial" w:hAnsi="Arial" w:cs="Times New Roman"/>
          <w:sz w:val="21"/>
        </w:rPr>
        <w:t>1.985</w:t>
      </w:r>
      <w:r w:rsidR="005C4FAF" w:rsidRPr="003F5882">
        <w:rPr>
          <w:rFonts w:ascii="Arial" w:hAnsi="Arial" w:cs="Times New Roman"/>
          <w:sz w:val="21"/>
        </w:rPr>
        <w:t>亿瑞郎增加至</w:t>
      </w:r>
      <w:r w:rsidR="005C4FAF" w:rsidRPr="003F5882">
        <w:rPr>
          <w:rFonts w:ascii="Arial" w:hAnsi="Arial" w:cs="Times New Roman"/>
          <w:sz w:val="21"/>
        </w:rPr>
        <w:t>2014</w:t>
      </w:r>
      <w:r w:rsidR="005C4FAF" w:rsidRPr="003F5882">
        <w:rPr>
          <w:rFonts w:ascii="Arial" w:hAnsi="Arial" w:cs="Times New Roman"/>
          <w:sz w:val="21"/>
        </w:rPr>
        <w:t>年</w:t>
      </w:r>
      <w:r w:rsidR="005C4FAF" w:rsidRPr="003F5882">
        <w:rPr>
          <w:rFonts w:ascii="Arial" w:hAnsi="Arial" w:cs="Times New Roman"/>
          <w:sz w:val="21"/>
        </w:rPr>
        <w:t>12</w:t>
      </w:r>
      <w:r w:rsidR="005C4FAF" w:rsidRPr="003F5882">
        <w:rPr>
          <w:rFonts w:ascii="Arial" w:hAnsi="Arial" w:cs="Times New Roman"/>
          <w:sz w:val="21"/>
        </w:rPr>
        <w:t>月</w:t>
      </w:r>
      <w:r w:rsidR="005C4FAF" w:rsidRPr="003F5882">
        <w:rPr>
          <w:rFonts w:ascii="Arial" w:hAnsi="Arial" w:cs="Times New Roman"/>
          <w:sz w:val="21"/>
        </w:rPr>
        <w:t>31</w:t>
      </w:r>
      <w:r w:rsidR="005C4FAF" w:rsidRPr="003F5882">
        <w:rPr>
          <w:rFonts w:ascii="Arial" w:hAnsi="Arial" w:cs="Times New Roman"/>
          <w:sz w:val="21"/>
        </w:rPr>
        <w:t>日的</w:t>
      </w:r>
      <w:r w:rsidR="005C4FAF" w:rsidRPr="003F5882">
        <w:rPr>
          <w:rFonts w:ascii="Arial" w:hAnsi="Arial" w:cs="Times New Roman"/>
          <w:sz w:val="21"/>
        </w:rPr>
        <w:t>2.037</w:t>
      </w:r>
      <w:r w:rsidR="005C4FAF" w:rsidRPr="003F5882">
        <w:rPr>
          <w:rFonts w:ascii="Arial" w:hAnsi="Arial" w:cs="Times New Roman"/>
          <w:sz w:val="21"/>
        </w:rPr>
        <w:t>亿瑞郎。在同一时期，</w:t>
      </w:r>
      <w:r w:rsidR="005C4FAF" w:rsidRPr="003F5882">
        <w:rPr>
          <w:rFonts w:ascii="Arial" w:hAnsi="Arial" w:cs="Times New Roman"/>
          <w:sz w:val="21"/>
        </w:rPr>
        <w:t>PCT</w:t>
      </w:r>
      <w:r w:rsidR="005C4FAF" w:rsidRPr="003F5882">
        <w:rPr>
          <w:rFonts w:ascii="Arial" w:hAnsi="Arial" w:cs="Times New Roman"/>
          <w:sz w:val="21"/>
        </w:rPr>
        <w:t>规费应收账款从</w:t>
      </w:r>
      <w:r w:rsidR="005C4FAF" w:rsidRPr="003F5882">
        <w:rPr>
          <w:rFonts w:ascii="Arial" w:hAnsi="Arial" w:cs="Times New Roman"/>
          <w:sz w:val="21"/>
        </w:rPr>
        <w:t>6,240</w:t>
      </w:r>
      <w:r w:rsidR="005C4FAF" w:rsidRPr="003F5882">
        <w:rPr>
          <w:rFonts w:ascii="Arial" w:hAnsi="Arial" w:cs="Times New Roman"/>
          <w:sz w:val="21"/>
        </w:rPr>
        <w:t>万瑞郎</w:t>
      </w:r>
      <w:r w:rsidR="005A1605" w:rsidRPr="003F5882">
        <w:rPr>
          <w:rFonts w:ascii="Arial" w:hAnsi="Arial" w:cs="Times New Roman" w:hint="eastAsia"/>
          <w:sz w:val="21"/>
        </w:rPr>
        <w:t>降低</w:t>
      </w:r>
      <w:r w:rsidR="005C4FAF" w:rsidRPr="003F5882">
        <w:rPr>
          <w:rFonts w:ascii="Arial" w:hAnsi="Arial" w:cs="Times New Roman"/>
          <w:sz w:val="21"/>
        </w:rPr>
        <w:t>到</w:t>
      </w:r>
      <w:r w:rsidR="005C4FAF" w:rsidRPr="003F5882">
        <w:rPr>
          <w:rFonts w:ascii="Arial" w:hAnsi="Arial" w:cs="Times New Roman"/>
          <w:sz w:val="21"/>
        </w:rPr>
        <w:t>4,670</w:t>
      </w:r>
      <w:r w:rsidR="005C4FAF" w:rsidRPr="003F5882">
        <w:rPr>
          <w:rFonts w:ascii="Arial" w:hAnsi="Arial" w:cs="Times New Roman"/>
          <w:sz w:val="21"/>
        </w:rPr>
        <w:t>万瑞郎。应收账款的下降部分是由于</w:t>
      </w:r>
      <w:r w:rsidR="005C4FAF" w:rsidRPr="003F5882">
        <w:rPr>
          <w:rFonts w:ascii="Arial" w:hAnsi="Arial" w:cs="Times New Roman"/>
          <w:sz w:val="21"/>
        </w:rPr>
        <w:t>2014</w:t>
      </w:r>
      <w:r w:rsidR="005C4FAF" w:rsidRPr="003F5882">
        <w:rPr>
          <w:rFonts w:ascii="Arial" w:hAnsi="Arial" w:cs="Times New Roman"/>
          <w:sz w:val="21"/>
        </w:rPr>
        <w:t>年</w:t>
      </w:r>
      <w:r w:rsidR="005C4FAF" w:rsidRPr="003F5882">
        <w:rPr>
          <w:rFonts w:ascii="Arial" w:hAnsi="Arial" w:cs="Times New Roman"/>
          <w:sz w:val="21"/>
        </w:rPr>
        <w:t>12</w:t>
      </w:r>
      <w:r w:rsidR="005C4FAF" w:rsidRPr="003F5882">
        <w:rPr>
          <w:rFonts w:ascii="Arial" w:hAnsi="Arial" w:cs="Times New Roman"/>
          <w:sz w:val="21"/>
        </w:rPr>
        <w:t>月</w:t>
      </w:r>
      <w:r w:rsidR="005C4FAF" w:rsidRPr="003F5882">
        <w:rPr>
          <w:rFonts w:ascii="Arial" w:hAnsi="Arial" w:cs="Times New Roman"/>
          <w:sz w:val="21"/>
        </w:rPr>
        <w:t>31</w:t>
      </w:r>
      <w:r w:rsidR="005C4FAF" w:rsidRPr="003F5882">
        <w:rPr>
          <w:rFonts w:ascii="Arial" w:hAnsi="Arial" w:cs="Times New Roman"/>
          <w:sz w:val="21"/>
        </w:rPr>
        <w:t>日</w:t>
      </w:r>
      <w:r w:rsidR="005C4FAF" w:rsidRPr="003F5882">
        <w:rPr>
          <w:rFonts w:ascii="Arial" w:hAnsi="Arial" w:cs="Times New Roman"/>
          <w:sz w:val="21"/>
        </w:rPr>
        <w:t>PCT</w:t>
      </w:r>
      <w:r w:rsidR="005C4FAF" w:rsidRPr="003F5882">
        <w:rPr>
          <w:rFonts w:ascii="Arial" w:hAnsi="Arial" w:cs="Times New Roman"/>
          <w:sz w:val="21"/>
        </w:rPr>
        <w:t>往来账户被部分抵消，抵消金额为</w:t>
      </w:r>
      <w:r w:rsidR="005C4FAF" w:rsidRPr="003F5882">
        <w:rPr>
          <w:rFonts w:ascii="Arial" w:hAnsi="Arial" w:cs="Times New Roman"/>
          <w:sz w:val="21"/>
        </w:rPr>
        <w:t>390</w:t>
      </w:r>
      <w:r w:rsidR="005C4FAF" w:rsidRPr="003F5882">
        <w:rPr>
          <w:rFonts w:ascii="Arial" w:hAnsi="Arial" w:cs="Times New Roman"/>
          <w:sz w:val="21"/>
        </w:rPr>
        <w:t>万瑞郎，其中部分往来账户余额被确认为与申请有关。净影响是收入降低了</w:t>
      </w:r>
      <w:r w:rsidR="005C4FAF" w:rsidRPr="003F5882">
        <w:rPr>
          <w:rFonts w:ascii="Arial" w:hAnsi="Arial" w:cs="Times New Roman"/>
          <w:sz w:val="21"/>
        </w:rPr>
        <w:t>1,700</w:t>
      </w:r>
      <w:r w:rsidR="005C4FAF" w:rsidRPr="003F5882">
        <w:rPr>
          <w:rFonts w:ascii="Arial" w:hAnsi="Arial" w:cs="Times New Roman"/>
          <w:sz w:val="21"/>
        </w:rPr>
        <w:t>万瑞郎。</w:t>
      </w:r>
    </w:p>
    <w:p w:rsidR="005C4FAF" w:rsidRPr="00F453AC" w:rsidRDefault="005C4FAF" w:rsidP="003F5882">
      <w:pPr>
        <w:overflowPunct w:val="0"/>
        <w:spacing w:afterLines="50" w:after="120" w:line="340" w:lineRule="atLeast"/>
        <w:ind w:left="720"/>
        <w:jc w:val="both"/>
        <w:rPr>
          <w:rFonts w:ascii="Arial" w:eastAsia="SimSun" w:hAnsi="Arial" w:cs="Times New Roman"/>
          <w:sz w:val="21"/>
          <w:szCs w:val="22"/>
        </w:rPr>
      </w:pPr>
      <w:r w:rsidRPr="003F5882">
        <w:rPr>
          <w:rFonts w:ascii="Arial" w:hAnsi="Arial" w:cs="Times New Roman"/>
          <w:sz w:val="21"/>
        </w:rPr>
        <w:t>2014</w:t>
      </w:r>
      <w:r w:rsidRPr="003F5882">
        <w:rPr>
          <w:rFonts w:ascii="Arial" w:hAnsi="Arial" w:cs="Times New Roman"/>
          <w:sz w:val="21"/>
        </w:rPr>
        <w:t>年期间，国际组织不动产基金会</w:t>
      </w:r>
      <w:r w:rsidR="00F453AC" w:rsidRPr="003F5882">
        <w:rPr>
          <w:rFonts w:ascii="Arial" w:hAnsi="Arial" w:cs="Times New Roman" w:hint="eastAsia"/>
          <w:sz w:val="21"/>
        </w:rPr>
        <w:t>（</w:t>
      </w:r>
      <w:r w:rsidRPr="003F5882">
        <w:rPr>
          <w:rFonts w:ascii="Arial" w:hAnsi="Arial" w:cs="Times New Roman"/>
          <w:sz w:val="21"/>
        </w:rPr>
        <w:t>FIPOI</w:t>
      </w:r>
      <w:r w:rsidR="00F453AC" w:rsidRPr="003F5882">
        <w:rPr>
          <w:rFonts w:ascii="Arial" w:hAnsi="Arial" w:cs="Times New Roman" w:hint="eastAsia"/>
          <w:sz w:val="21"/>
        </w:rPr>
        <w:t>）</w:t>
      </w:r>
      <w:r w:rsidRPr="003F5882">
        <w:rPr>
          <w:rFonts w:ascii="Arial" w:hAnsi="Arial" w:cs="Times New Roman"/>
          <w:sz w:val="21"/>
        </w:rPr>
        <w:t>为安保建筑的供资中也有</w:t>
      </w:r>
      <w:r w:rsidRPr="003F5882">
        <w:rPr>
          <w:rFonts w:ascii="Arial" w:hAnsi="Arial" w:cs="Times New Roman"/>
          <w:sz w:val="21"/>
        </w:rPr>
        <w:t>110</w:t>
      </w:r>
      <w:proofErr w:type="gramStart"/>
      <w:r w:rsidRPr="003F5882">
        <w:rPr>
          <w:rFonts w:ascii="Arial" w:hAnsi="Arial" w:cs="Times New Roman"/>
          <w:sz w:val="21"/>
        </w:rPr>
        <w:t>万瑞</w:t>
      </w:r>
      <w:proofErr w:type="gramEnd"/>
      <w:r w:rsidRPr="003F5882">
        <w:rPr>
          <w:rFonts w:ascii="Arial" w:hAnsi="Arial" w:cs="Times New Roman"/>
          <w:sz w:val="21"/>
        </w:rPr>
        <w:t>郎被</w:t>
      </w:r>
      <w:proofErr w:type="gramStart"/>
      <w:r w:rsidRPr="003F5882">
        <w:rPr>
          <w:rFonts w:ascii="Arial" w:hAnsi="Arial" w:cs="Times New Roman"/>
          <w:sz w:val="21"/>
        </w:rPr>
        <w:t>确认为递延</w:t>
      </w:r>
      <w:proofErr w:type="gramEnd"/>
      <w:r w:rsidRPr="003F5882">
        <w:rPr>
          <w:rFonts w:ascii="Arial" w:hAnsi="Arial" w:cs="Times New Roman"/>
          <w:sz w:val="21"/>
        </w:rPr>
        <w:t>收入。总的来说，递</w:t>
      </w:r>
      <w:proofErr w:type="gramStart"/>
      <w:r w:rsidRPr="003F5882">
        <w:rPr>
          <w:rFonts w:ascii="Arial" w:hAnsi="Arial" w:cs="Times New Roman"/>
          <w:sz w:val="21"/>
        </w:rPr>
        <w:t>延收入</w:t>
      </w:r>
      <w:proofErr w:type="gramEnd"/>
      <w:r w:rsidRPr="003F5882">
        <w:rPr>
          <w:rFonts w:ascii="Arial" w:hAnsi="Arial" w:cs="Times New Roman"/>
          <w:sz w:val="21"/>
        </w:rPr>
        <w:t>所涉的</w:t>
      </w:r>
      <w:r w:rsidRPr="003F5882">
        <w:rPr>
          <w:rFonts w:ascii="Arial" w:hAnsi="Arial" w:cs="Times New Roman"/>
          <w:sz w:val="21"/>
        </w:rPr>
        <w:t>1,810</w:t>
      </w:r>
      <w:proofErr w:type="gramStart"/>
      <w:r w:rsidRPr="003F5882">
        <w:rPr>
          <w:rFonts w:ascii="Arial" w:hAnsi="Arial" w:cs="Times New Roman"/>
          <w:sz w:val="21"/>
        </w:rPr>
        <w:t>万瑞郎调整</w:t>
      </w:r>
      <w:proofErr w:type="gramEnd"/>
      <w:r w:rsidRPr="003F5882">
        <w:rPr>
          <w:rFonts w:ascii="Arial" w:hAnsi="Arial" w:cs="Times New Roman"/>
          <w:sz w:val="21"/>
        </w:rPr>
        <w:t>由以下部分组成：</w:t>
      </w:r>
    </w:p>
    <w:p w:rsidR="005C4FAF" w:rsidRPr="00F453AC" w:rsidRDefault="005C4FAF" w:rsidP="003F5882">
      <w:pPr>
        <w:keepNext/>
        <w:spacing w:afterLines="50" w:after="120" w:line="340" w:lineRule="atLeast"/>
        <w:jc w:val="center"/>
        <w:rPr>
          <w:rFonts w:ascii="Arial" w:eastAsia="SimSun" w:hAnsi="Arial" w:cs="Times New Roman"/>
          <w:sz w:val="21"/>
          <w:szCs w:val="22"/>
          <w:u w:val="single"/>
        </w:rPr>
      </w:pPr>
      <w:r w:rsidRPr="003F5882">
        <w:rPr>
          <w:rFonts w:ascii="Arial" w:hAnsi="Arial" w:cs="Times New Roman"/>
          <w:sz w:val="21"/>
          <w:u w:val="single"/>
        </w:rPr>
        <w:lastRenderedPageBreak/>
        <w:t>2014</w:t>
      </w:r>
      <w:r w:rsidRPr="003F5882">
        <w:rPr>
          <w:rFonts w:ascii="Arial" w:hAnsi="Arial" w:cs="Times New Roman"/>
          <w:sz w:val="21"/>
          <w:u w:val="single"/>
        </w:rPr>
        <w:t>年收入递</w:t>
      </w:r>
      <w:proofErr w:type="gramStart"/>
      <w:r w:rsidRPr="003F5882">
        <w:rPr>
          <w:rFonts w:ascii="Arial" w:hAnsi="Arial" w:cs="Times New Roman"/>
          <w:sz w:val="21"/>
          <w:u w:val="single"/>
        </w:rPr>
        <w:t>延依据</w:t>
      </w:r>
      <w:proofErr w:type="gramEnd"/>
      <w:r w:rsidRPr="003F5882">
        <w:rPr>
          <w:rFonts w:ascii="Arial" w:hAnsi="Arial" w:cs="Times New Roman"/>
          <w:sz w:val="21"/>
          <w:u w:val="single"/>
        </w:rPr>
        <w:t>IPSAS</w:t>
      </w:r>
      <w:r w:rsidRPr="003F5882">
        <w:rPr>
          <w:rFonts w:ascii="Arial" w:hAnsi="Arial" w:cs="Times New Roman"/>
          <w:sz w:val="21"/>
          <w:u w:val="single"/>
        </w:rPr>
        <w:t>进行调整的摘要</w:t>
      </w:r>
    </w:p>
    <w:p w:rsidR="005C4FAF" w:rsidRPr="00F453AC" w:rsidRDefault="005273FB" w:rsidP="005273FB">
      <w:pPr>
        <w:spacing w:afterLines="50" w:after="120" w:line="340" w:lineRule="atLeast"/>
        <w:jc w:val="center"/>
        <w:rPr>
          <w:rFonts w:ascii="Arial" w:eastAsia="SimSun" w:hAnsi="Arial" w:cs="Times New Roman"/>
          <w:sz w:val="21"/>
          <w:szCs w:val="22"/>
        </w:rPr>
      </w:pPr>
      <w:r w:rsidRPr="005273FB">
        <w:rPr>
          <w:noProof/>
          <w:lang w:val="en-US" w:bidi="ar-SA"/>
        </w:rPr>
        <w:drawing>
          <wp:inline distT="0" distB="0" distL="0" distR="0">
            <wp:extent cx="3971290" cy="1419225"/>
            <wp:effectExtent l="0" t="0" r="0" b="9525"/>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71290" cy="1419225"/>
                    </a:xfrm>
                    <a:prstGeom prst="rect">
                      <a:avLst/>
                    </a:prstGeom>
                    <a:noFill/>
                    <a:ln>
                      <a:noFill/>
                    </a:ln>
                  </pic:spPr>
                </pic:pic>
              </a:graphicData>
            </a:graphic>
          </wp:inline>
        </w:drawing>
      </w:r>
    </w:p>
    <w:p w:rsidR="005C4FAF" w:rsidRPr="00F453AC" w:rsidRDefault="005C4FAF" w:rsidP="003F5882">
      <w:pPr>
        <w:numPr>
          <w:ilvl w:val="0"/>
          <w:numId w:val="2"/>
        </w:numPr>
        <w:tabs>
          <w:tab w:val="clear" w:pos="1021"/>
          <w:tab w:val="num" w:pos="720"/>
        </w:tabs>
        <w:overflowPunct w:val="0"/>
        <w:spacing w:afterLines="50" w:after="120" w:line="340" w:lineRule="atLeast"/>
        <w:ind w:left="714" w:hanging="357"/>
        <w:jc w:val="both"/>
        <w:rPr>
          <w:rFonts w:ascii="Arial" w:eastAsia="SimSun" w:hAnsi="Arial" w:cs="Times New Roman"/>
          <w:sz w:val="21"/>
          <w:szCs w:val="22"/>
        </w:rPr>
      </w:pPr>
      <w:r w:rsidRPr="003F5882">
        <w:rPr>
          <w:rFonts w:ascii="Arial" w:hAnsi="Arial" w:cs="Times New Roman"/>
          <w:sz w:val="21"/>
        </w:rPr>
        <w:t>依据</w:t>
      </w:r>
      <w:r w:rsidRPr="003F5882">
        <w:rPr>
          <w:rFonts w:ascii="Arial" w:hAnsi="Arial" w:cs="Times New Roman"/>
          <w:sz w:val="21"/>
        </w:rPr>
        <w:t>IPSAS</w:t>
      </w:r>
      <w:r w:rsidRPr="003F5882">
        <w:rPr>
          <w:rFonts w:ascii="Arial" w:hAnsi="Arial" w:cs="Times New Roman"/>
          <w:sz w:val="21"/>
        </w:rPr>
        <w:t>的</w:t>
      </w:r>
      <w:r w:rsidRPr="003F5882">
        <w:rPr>
          <w:rFonts w:ascii="Arial" w:hAnsi="Arial" w:cs="Times New Roman"/>
          <w:sz w:val="21"/>
        </w:rPr>
        <w:t>2014</w:t>
      </w:r>
      <w:r w:rsidRPr="003F5882">
        <w:rPr>
          <w:rFonts w:ascii="Arial" w:hAnsi="Arial" w:cs="Times New Roman"/>
          <w:sz w:val="21"/>
        </w:rPr>
        <w:t>年结算包括办公楼与设备的折旧支出以及无形资产的摊销费，因为这些资产的成本被分摊至其整个使用寿命。当年的折旧和摊销支出为</w:t>
      </w:r>
      <w:r w:rsidRPr="003F5882">
        <w:rPr>
          <w:rFonts w:ascii="Arial" w:hAnsi="Arial" w:cs="Times New Roman"/>
          <w:sz w:val="21"/>
        </w:rPr>
        <w:t>910</w:t>
      </w:r>
      <w:r w:rsidRPr="003F5882">
        <w:rPr>
          <w:rFonts w:ascii="Arial" w:hAnsi="Arial" w:cs="Times New Roman"/>
          <w:sz w:val="21"/>
        </w:rPr>
        <w:t>万瑞郎。</w:t>
      </w:r>
    </w:p>
    <w:p w:rsidR="005C4FAF" w:rsidRPr="00F453AC" w:rsidRDefault="005C4FAF" w:rsidP="003F5882">
      <w:pPr>
        <w:numPr>
          <w:ilvl w:val="0"/>
          <w:numId w:val="2"/>
        </w:numPr>
        <w:tabs>
          <w:tab w:val="clear" w:pos="1021"/>
          <w:tab w:val="num" w:pos="720"/>
        </w:tabs>
        <w:overflowPunct w:val="0"/>
        <w:spacing w:afterLines="50" w:after="120" w:line="340" w:lineRule="atLeast"/>
        <w:ind w:left="714" w:hanging="357"/>
        <w:jc w:val="both"/>
        <w:rPr>
          <w:rFonts w:ascii="Arial" w:eastAsia="SimSun" w:hAnsi="Arial" w:cs="Times New Roman"/>
          <w:sz w:val="21"/>
          <w:szCs w:val="22"/>
        </w:rPr>
      </w:pPr>
      <w:r w:rsidRPr="003F5882">
        <w:rPr>
          <w:rFonts w:ascii="Arial" w:hAnsi="Arial" w:cs="Times New Roman"/>
          <w:sz w:val="21"/>
        </w:rPr>
        <w:t>IPSAS</w:t>
      </w:r>
      <w:r w:rsidRPr="003F5882">
        <w:rPr>
          <w:rFonts w:ascii="Arial" w:hAnsi="Arial" w:cs="Times New Roman"/>
          <w:sz w:val="21"/>
        </w:rPr>
        <w:t>要求，应将工作人员已经赚得、但尚未支付的雇员福利确认为本组织的负债。依据</w:t>
      </w:r>
      <w:r w:rsidRPr="003F5882">
        <w:rPr>
          <w:rFonts w:ascii="Arial" w:hAnsi="Arial" w:cs="Times New Roman"/>
          <w:sz w:val="21"/>
        </w:rPr>
        <w:t>IPSAS</w:t>
      </w:r>
      <w:r w:rsidRPr="003F5882">
        <w:rPr>
          <w:rFonts w:ascii="Arial" w:hAnsi="Arial" w:cs="Times New Roman"/>
          <w:sz w:val="21"/>
        </w:rPr>
        <w:t>进行调整使财务报表中确认的总负债与按照</w:t>
      </w:r>
      <w:r w:rsidRPr="003F5882">
        <w:rPr>
          <w:rFonts w:ascii="Arial" w:hAnsi="Arial" w:cs="Times New Roman"/>
          <w:sz w:val="21"/>
        </w:rPr>
        <w:t>IPSAS</w:t>
      </w:r>
      <w:r w:rsidRPr="003F5882">
        <w:rPr>
          <w:rFonts w:ascii="Arial" w:hAnsi="Arial" w:cs="Times New Roman"/>
          <w:sz w:val="21"/>
        </w:rPr>
        <w:t>进行负债计算的结果一致，包括由外部精算师的计算结果。</w:t>
      </w:r>
      <w:r w:rsidRPr="003F5882">
        <w:rPr>
          <w:rFonts w:ascii="Arial" w:hAnsi="Arial" w:cs="Times New Roman"/>
          <w:sz w:val="21"/>
        </w:rPr>
        <w:t>2014</w:t>
      </w:r>
      <w:r w:rsidRPr="003F5882">
        <w:rPr>
          <w:rFonts w:ascii="Arial" w:hAnsi="Arial" w:cs="Times New Roman"/>
          <w:sz w:val="21"/>
        </w:rPr>
        <w:t>年，根据</w:t>
      </w:r>
      <w:r w:rsidRPr="003F5882">
        <w:rPr>
          <w:rFonts w:ascii="Arial" w:hAnsi="Arial" w:cs="Times New Roman"/>
          <w:sz w:val="21"/>
        </w:rPr>
        <w:t>IPSAS</w:t>
      </w:r>
      <w:r w:rsidRPr="003F5882">
        <w:rPr>
          <w:rFonts w:ascii="Arial" w:hAnsi="Arial" w:cs="Times New Roman"/>
          <w:sz w:val="21"/>
        </w:rPr>
        <w:t>确认的雇员福利负债</w:t>
      </w:r>
      <w:r w:rsidR="00F453AC" w:rsidRPr="003F5882">
        <w:rPr>
          <w:rFonts w:ascii="Arial" w:hAnsi="Arial" w:cs="Times New Roman"/>
          <w:sz w:val="21"/>
        </w:rPr>
        <w:t>（</w:t>
      </w:r>
      <w:r w:rsidRPr="003F5882">
        <w:rPr>
          <w:rFonts w:ascii="Arial" w:hAnsi="Arial" w:cs="Times New Roman"/>
          <w:sz w:val="21"/>
        </w:rPr>
        <w:t>离职后健康保险</w:t>
      </w:r>
      <w:r w:rsidRPr="003F5882">
        <w:rPr>
          <w:rFonts w:ascii="Arial" w:hAnsi="Arial" w:cs="Times New Roman"/>
          <w:sz w:val="21"/>
        </w:rPr>
        <w:t>-ASHI</w:t>
      </w:r>
      <w:r w:rsidRPr="003F5882">
        <w:rPr>
          <w:rFonts w:ascii="Arial" w:hAnsi="Arial" w:cs="Times New Roman"/>
          <w:sz w:val="21"/>
        </w:rPr>
        <w:t>、回国补助金和差旅费、累计年假、回籍假、加班和关闭的养恤基金</w:t>
      </w:r>
      <w:r w:rsidR="00F453AC" w:rsidRPr="003F5882">
        <w:rPr>
          <w:rFonts w:ascii="Arial" w:hAnsi="Arial" w:cs="Times New Roman"/>
          <w:sz w:val="21"/>
        </w:rPr>
        <w:t>）</w:t>
      </w:r>
      <w:r w:rsidRPr="003F5882">
        <w:rPr>
          <w:rFonts w:ascii="Arial" w:hAnsi="Arial" w:cs="Times New Roman"/>
          <w:sz w:val="21"/>
        </w:rPr>
        <w:t>增加了</w:t>
      </w:r>
      <w:r w:rsidRPr="003F5882">
        <w:rPr>
          <w:rFonts w:ascii="Arial" w:hAnsi="Arial" w:cs="Times New Roman"/>
          <w:sz w:val="21"/>
        </w:rPr>
        <w:t>1,020</w:t>
      </w:r>
      <w:proofErr w:type="gramStart"/>
      <w:r w:rsidRPr="003F5882">
        <w:rPr>
          <w:rFonts w:ascii="Arial" w:hAnsi="Arial" w:cs="Times New Roman"/>
          <w:sz w:val="21"/>
        </w:rPr>
        <w:t>万瑞</w:t>
      </w:r>
      <w:proofErr w:type="gramEnd"/>
      <w:r w:rsidRPr="003F5882">
        <w:rPr>
          <w:rFonts w:ascii="Arial" w:hAnsi="Arial" w:cs="Times New Roman"/>
          <w:sz w:val="21"/>
        </w:rPr>
        <w:t>郎。依照计划和预算，</w:t>
      </w:r>
      <w:r w:rsidRPr="003F5882">
        <w:rPr>
          <w:rFonts w:ascii="Arial" w:hAnsi="Arial" w:cs="Times New Roman"/>
          <w:sz w:val="21"/>
        </w:rPr>
        <w:t>6.0%</w:t>
      </w:r>
      <w:r w:rsidRPr="003F5882">
        <w:rPr>
          <w:rFonts w:ascii="Arial" w:hAnsi="Arial" w:cs="Times New Roman"/>
          <w:sz w:val="21"/>
        </w:rPr>
        <w:t>的计提费用用于提供离职后雇员福利的员额成本。</w:t>
      </w:r>
      <w:r w:rsidRPr="003F5882">
        <w:rPr>
          <w:rFonts w:ascii="Arial" w:hAnsi="Arial" w:cs="Times New Roman"/>
          <w:sz w:val="21"/>
        </w:rPr>
        <w:t>2014</w:t>
      </w:r>
      <w:r w:rsidRPr="003F5882">
        <w:rPr>
          <w:rFonts w:ascii="Arial" w:hAnsi="Arial" w:cs="Times New Roman"/>
          <w:sz w:val="21"/>
        </w:rPr>
        <w:t>年期间，扣减当期离职后雇员支出</w:t>
      </w:r>
      <w:r w:rsidR="00F453AC" w:rsidRPr="003F5882">
        <w:rPr>
          <w:rFonts w:ascii="Arial" w:hAnsi="Arial" w:cs="Times New Roman"/>
          <w:sz w:val="21"/>
        </w:rPr>
        <w:t>（</w:t>
      </w:r>
      <w:r w:rsidRPr="003F5882">
        <w:rPr>
          <w:rFonts w:ascii="Arial" w:hAnsi="Arial" w:cs="Times New Roman"/>
          <w:sz w:val="21"/>
        </w:rPr>
        <w:t>主要是本组织缴纳的退休人员</w:t>
      </w:r>
      <w:r w:rsidRPr="003F5882">
        <w:rPr>
          <w:rFonts w:ascii="Arial" w:hAnsi="Arial" w:cs="Times New Roman"/>
          <w:sz w:val="21"/>
        </w:rPr>
        <w:t>ASHI</w:t>
      </w:r>
      <w:r w:rsidRPr="003F5882">
        <w:rPr>
          <w:rFonts w:ascii="Arial" w:hAnsi="Arial" w:cs="Times New Roman"/>
          <w:sz w:val="21"/>
        </w:rPr>
        <w:t>保费</w:t>
      </w:r>
      <w:r w:rsidR="00F453AC" w:rsidRPr="003F5882">
        <w:rPr>
          <w:rFonts w:ascii="Arial" w:hAnsi="Arial" w:cs="Times New Roman"/>
          <w:sz w:val="21"/>
        </w:rPr>
        <w:t>）</w:t>
      </w:r>
      <w:r w:rsidRPr="003F5882">
        <w:rPr>
          <w:rFonts w:ascii="Arial" w:hAnsi="Arial" w:cs="Times New Roman"/>
          <w:sz w:val="21"/>
        </w:rPr>
        <w:t>后，该计提费用产生了</w:t>
      </w:r>
      <w:r w:rsidRPr="003F5882">
        <w:rPr>
          <w:rFonts w:ascii="Arial" w:hAnsi="Arial" w:cs="Times New Roman"/>
          <w:sz w:val="21"/>
        </w:rPr>
        <w:t>740</w:t>
      </w:r>
      <w:proofErr w:type="gramStart"/>
      <w:r w:rsidRPr="003F5882">
        <w:rPr>
          <w:rFonts w:ascii="Arial" w:hAnsi="Arial" w:cs="Times New Roman"/>
          <w:sz w:val="21"/>
        </w:rPr>
        <w:t>万瑞</w:t>
      </w:r>
      <w:proofErr w:type="gramEnd"/>
      <w:r w:rsidRPr="003F5882">
        <w:rPr>
          <w:rFonts w:ascii="Arial" w:hAnsi="Arial" w:cs="Times New Roman"/>
          <w:sz w:val="21"/>
        </w:rPr>
        <w:t>郎准备金。因此，为了抵偿员工福利负债增长</w:t>
      </w:r>
      <w:r w:rsidRPr="003F5882">
        <w:rPr>
          <w:rFonts w:ascii="Arial" w:hAnsi="Arial" w:cs="Times New Roman"/>
          <w:sz w:val="21"/>
        </w:rPr>
        <w:t>1,020</w:t>
      </w:r>
      <w:r w:rsidRPr="003F5882">
        <w:rPr>
          <w:rFonts w:ascii="Arial" w:hAnsi="Arial" w:cs="Times New Roman"/>
          <w:sz w:val="21"/>
        </w:rPr>
        <w:t>万瑞郎的剩余部分而依据</w:t>
      </w:r>
      <w:r w:rsidRPr="003F5882">
        <w:rPr>
          <w:rFonts w:ascii="Arial" w:hAnsi="Arial" w:cs="Times New Roman"/>
          <w:sz w:val="21"/>
        </w:rPr>
        <w:t>IPSAS</w:t>
      </w:r>
      <w:r w:rsidRPr="003F5882">
        <w:rPr>
          <w:rFonts w:ascii="Arial" w:hAnsi="Arial" w:cs="Times New Roman"/>
          <w:sz w:val="21"/>
        </w:rPr>
        <w:t>进行调整的金额为</w:t>
      </w:r>
      <w:r w:rsidRPr="003F5882">
        <w:rPr>
          <w:rFonts w:ascii="Arial" w:hAnsi="Arial" w:cs="Times New Roman"/>
          <w:sz w:val="21"/>
        </w:rPr>
        <w:t>280</w:t>
      </w:r>
      <w:r w:rsidRPr="003F5882">
        <w:rPr>
          <w:rFonts w:ascii="Arial" w:hAnsi="Arial" w:cs="Times New Roman"/>
          <w:sz w:val="21"/>
        </w:rPr>
        <w:t>万瑞郎。</w:t>
      </w:r>
    </w:p>
    <w:p w:rsidR="005C4FAF" w:rsidRPr="00F453AC" w:rsidRDefault="005C4FAF" w:rsidP="003F5882">
      <w:pPr>
        <w:numPr>
          <w:ilvl w:val="0"/>
          <w:numId w:val="2"/>
        </w:numPr>
        <w:tabs>
          <w:tab w:val="clear" w:pos="1021"/>
          <w:tab w:val="num" w:pos="720"/>
        </w:tabs>
        <w:overflowPunct w:val="0"/>
        <w:spacing w:afterLines="50" w:after="120" w:line="340" w:lineRule="atLeast"/>
        <w:ind w:left="714" w:hanging="357"/>
        <w:jc w:val="both"/>
        <w:rPr>
          <w:rFonts w:ascii="Arial" w:eastAsia="SimSun" w:hAnsi="Arial" w:cs="Times New Roman"/>
          <w:sz w:val="21"/>
          <w:szCs w:val="22"/>
        </w:rPr>
      </w:pPr>
      <w:r w:rsidRPr="003F5882">
        <w:rPr>
          <w:rFonts w:ascii="Arial" w:hAnsi="Arial" w:cs="Times New Roman"/>
          <w:sz w:val="21"/>
        </w:rPr>
        <w:t>其他依据</w:t>
      </w:r>
      <w:r w:rsidRPr="003F5882">
        <w:rPr>
          <w:rFonts w:ascii="Arial" w:hAnsi="Arial" w:cs="Times New Roman"/>
          <w:sz w:val="21"/>
        </w:rPr>
        <w:t>IPSAS</w:t>
      </w:r>
      <w:r w:rsidRPr="003F5882">
        <w:rPr>
          <w:rFonts w:ascii="Arial" w:hAnsi="Arial" w:cs="Times New Roman"/>
          <w:sz w:val="21"/>
        </w:rPr>
        <w:t>进行的调整涉及库存下降</w:t>
      </w:r>
      <w:r w:rsidR="00F453AC" w:rsidRPr="003F5882">
        <w:rPr>
          <w:rFonts w:ascii="Arial" w:hAnsi="Arial" w:cs="Times New Roman"/>
          <w:sz w:val="21"/>
        </w:rPr>
        <w:t>（</w:t>
      </w:r>
      <w:r w:rsidRPr="003F5882">
        <w:rPr>
          <w:rFonts w:ascii="Arial" w:hAnsi="Arial" w:cs="Times New Roman"/>
          <w:sz w:val="21"/>
        </w:rPr>
        <w:t>产生</w:t>
      </w:r>
      <w:r w:rsidRPr="003F5882">
        <w:rPr>
          <w:rFonts w:ascii="Arial" w:hAnsi="Arial" w:cs="Times New Roman"/>
          <w:sz w:val="21"/>
        </w:rPr>
        <w:t>40</w:t>
      </w:r>
      <w:proofErr w:type="gramStart"/>
      <w:r w:rsidRPr="003F5882">
        <w:rPr>
          <w:rFonts w:ascii="Arial" w:hAnsi="Arial" w:cs="Times New Roman"/>
          <w:sz w:val="21"/>
        </w:rPr>
        <w:t>万瑞</w:t>
      </w:r>
      <w:proofErr w:type="gramEnd"/>
      <w:r w:rsidRPr="003F5882">
        <w:rPr>
          <w:rFonts w:ascii="Arial" w:hAnsi="Arial" w:cs="Times New Roman"/>
          <w:sz w:val="21"/>
        </w:rPr>
        <w:t>郎的支出</w:t>
      </w:r>
      <w:r w:rsidR="00F453AC" w:rsidRPr="003F5882">
        <w:rPr>
          <w:rFonts w:ascii="Arial" w:hAnsi="Arial" w:cs="Times New Roman"/>
          <w:sz w:val="21"/>
        </w:rPr>
        <w:t>）</w:t>
      </w:r>
      <w:r w:rsidRPr="003F5882">
        <w:rPr>
          <w:rFonts w:ascii="Arial" w:hAnsi="Arial" w:cs="Times New Roman"/>
          <w:sz w:val="21"/>
        </w:rPr>
        <w:t>和分摊会费应收账款</w:t>
      </w:r>
      <w:proofErr w:type="gramStart"/>
      <w:r w:rsidRPr="003F5882">
        <w:rPr>
          <w:rFonts w:ascii="Arial" w:hAnsi="Arial" w:cs="Times New Roman"/>
          <w:sz w:val="21"/>
        </w:rPr>
        <w:t>的备抵金</w:t>
      </w:r>
      <w:proofErr w:type="gramEnd"/>
      <w:r w:rsidRPr="003F5882">
        <w:rPr>
          <w:rFonts w:ascii="Arial" w:hAnsi="Arial" w:cs="Times New Roman"/>
          <w:sz w:val="21"/>
        </w:rPr>
        <w:t>下降</w:t>
      </w:r>
      <w:r w:rsidR="00F453AC" w:rsidRPr="003F5882">
        <w:rPr>
          <w:rFonts w:ascii="Arial" w:hAnsi="Arial" w:cs="Times New Roman"/>
          <w:sz w:val="21"/>
        </w:rPr>
        <w:t>（</w:t>
      </w:r>
      <w:r w:rsidRPr="003F5882">
        <w:rPr>
          <w:rFonts w:ascii="Arial" w:hAnsi="Arial" w:cs="Times New Roman"/>
          <w:sz w:val="21"/>
        </w:rPr>
        <w:t>产生</w:t>
      </w:r>
      <w:r w:rsidRPr="003F5882">
        <w:rPr>
          <w:rFonts w:ascii="Arial" w:hAnsi="Arial" w:cs="Times New Roman"/>
          <w:sz w:val="21"/>
        </w:rPr>
        <w:t>30</w:t>
      </w:r>
      <w:proofErr w:type="gramStart"/>
      <w:r w:rsidRPr="003F5882">
        <w:rPr>
          <w:rFonts w:ascii="Arial" w:hAnsi="Arial" w:cs="Times New Roman"/>
          <w:sz w:val="21"/>
        </w:rPr>
        <w:t>万瑞</w:t>
      </w:r>
      <w:proofErr w:type="gramEnd"/>
      <w:r w:rsidRPr="003F5882">
        <w:rPr>
          <w:rFonts w:ascii="Arial" w:hAnsi="Arial" w:cs="Times New Roman"/>
          <w:sz w:val="21"/>
        </w:rPr>
        <w:t>郎的收入</w:t>
      </w:r>
      <w:r w:rsidR="00F453AC" w:rsidRPr="003F5882">
        <w:rPr>
          <w:rFonts w:ascii="Arial" w:hAnsi="Arial" w:cs="Times New Roman"/>
          <w:sz w:val="21"/>
        </w:rPr>
        <w:t>）</w:t>
      </w:r>
      <w:r w:rsidRPr="003F5882">
        <w:rPr>
          <w:rFonts w:ascii="Arial" w:hAnsi="Arial" w:cs="Times New Roman"/>
          <w:sz w:val="21"/>
        </w:rPr>
        <w:t>。</w:t>
      </w:r>
    </w:p>
    <w:p w:rsidR="005C4FAF" w:rsidRPr="00F453AC" w:rsidRDefault="005C4FAF" w:rsidP="003F5882">
      <w:pPr>
        <w:numPr>
          <w:ilvl w:val="0"/>
          <w:numId w:val="2"/>
        </w:numPr>
        <w:tabs>
          <w:tab w:val="clear" w:pos="1021"/>
          <w:tab w:val="num" w:pos="720"/>
        </w:tabs>
        <w:overflowPunct w:val="0"/>
        <w:spacing w:afterLines="50" w:after="120" w:line="340" w:lineRule="atLeast"/>
        <w:ind w:left="714" w:hanging="357"/>
        <w:jc w:val="both"/>
        <w:rPr>
          <w:rFonts w:ascii="Arial" w:eastAsia="SimSun" w:hAnsi="Arial" w:cs="Times New Roman"/>
          <w:sz w:val="21"/>
          <w:szCs w:val="22"/>
        </w:rPr>
      </w:pPr>
      <w:r w:rsidRPr="003F5882">
        <w:rPr>
          <w:rFonts w:ascii="Arial" w:hAnsi="Arial" w:cs="Times New Roman"/>
          <w:sz w:val="21"/>
        </w:rPr>
        <w:t>根据</w:t>
      </w:r>
      <w:r w:rsidRPr="003F5882">
        <w:rPr>
          <w:rFonts w:ascii="Arial" w:hAnsi="Arial" w:cs="Times New Roman"/>
          <w:sz w:val="21"/>
        </w:rPr>
        <w:t>IPSAS</w:t>
      </w:r>
      <w:r w:rsidRPr="003F5882">
        <w:rPr>
          <w:rFonts w:ascii="Arial" w:hAnsi="Arial" w:cs="Times New Roman"/>
          <w:sz w:val="21"/>
        </w:rPr>
        <w:t>，与办公楼建设和改善有关的费用已转化为资本，使</w:t>
      </w:r>
      <w:r w:rsidRPr="003F5882">
        <w:rPr>
          <w:rFonts w:ascii="Arial" w:hAnsi="Arial" w:cs="Times New Roman"/>
          <w:sz w:val="21"/>
        </w:rPr>
        <w:t>2014</w:t>
      </w:r>
      <w:r w:rsidRPr="003F5882">
        <w:rPr>
          <w:rFonts w:ascii="Arial" w:hAnsi="Arial" w:cs="Times New Roman"/>
          <w:sz w:val="21"/>
        </w:rPr>
        <w:t>年的支出减少</w:t>
      </w:r>
      <w:r w:rsidRPr="003F5882">
        <w:rPr>
          <w:rFonts w:ascii="Arial" w:hAnsi="Arial" w:cs="Times New Roman"/>
          <w:sz w:val="21"/>
        </w:rPr>
        <w:t>3,040</w:t>
      </w:r>
      <w:r w:rsidRPr="003F5882">
        <w:rPr>
          <w:rFonts w:ascii="Arial" w:hAnsi="Arial" w:cs="Times New Roman"/>
          <w:sz w:val="21"/>
        </w:rPr>
        <w:t>万瑞郎。同样，根据</w:t>
      </w:r>
      <w:r w:rsidRPr="003F5882">
        <w:rPr>
          <w:rFonts w:ascii="Arial" w:hAnsi="Arial" w:cs="Times New Roman"/>
          <w:sz w:val="21"/>
        </w:rPr>
        <w:t>IPSAS</w:t>
      </w:r>
      <w:r w:rsidRPr="003F5882">
        <w:rPr>
          <w:rFonts w:ascii="Arial" w:hAnsi="Arial" w:cs="Times New Roman"/>
          <w:sz w:val="21"/>
        </w:rPr>
        <w:t>，特定设备和软件的购置也转化成资本，使当年支出减少了</w:t>
      </w:r>
      <w:r w:rsidRPr="003F5882">
        <w:rPr>
          <w:rFonts w:ascii="Arial" w:hAnsi="Arial" w:cs="Times New Roman"/>
          <w:sz w:val="21"/>
        </w:rPr>
        <w:t>200</w:t>
      </w:r>
      <w:r w:rsidRPr="003F5882">
        <w:rPr>
          <w:rFonts w:ascii="Arial" w:hAnsi="Arial" w:cs="Times New Roman"/>
          <w:sz w:val="21"/>
        </w:rPr>
        <w:t>万瑞郎。</w:t>
      </w:r>
    </w:p>
    <w:p w:rsidR="005C4FAF" w:rsidRPr="003F5882" w:rsidRDefault="005C4FAF" w:rsidP="003F5882">
      <w:pPr>
        <w:keepNext/>
        <w:spacing w:afterLines="50" w:after="120" w:line="340" w:lineRule="atLeast"/>
        <w:jc w:val="both"/>
        <w:rPr>
          <w:rFonts w:ascii="Arial" w:eastAsia="KaiTi" w:hAnsi="Arial" w:cs="Times New Roman"/>
          <w:b/>
          <w:i/>
          <w:sz w:val="21"/>
          <w:szCs w:val="20"/>
        </w:rPr>
      </w:pPr>
      <w:r w:rsidRPr="003F5882">
        <w:rPr>
          <w:rFonts w:ascii="Arial" w:eastAsia="KaiTi" w:hAnsi="Arial" w:cs="Times New Roman"/>
          <w:b/>
          <w:i/>
          <w:sz w:val="21"/>
        </w:rPr>
        <w:t>收入分析</w:t>
      </w:r>
    </w:p>
    <w:p w:rsidR="005C4FAF" w:rsidRPr="00F453AC" w:rsidRDefault="005C4FAF" w:rsidP="005273FB">
      <w:pPr>
        <w:keepNext/>
        <w:spacing w:line="340" w:lineRule="atLeast"/>
        <w:jc w:val="center"/>
        <w:rPr>
          <w:rFonts w:ascii="Arial" w:eastAsia="SimSun" w:hAnsi="Arial" w:cs="Times New Roman"/>
          <w:sz w:val="21"/>
          <w:szCs w:val="20"/>
          <w:u w:val="single"/>
        </w:rPr>
      </w:pPr>
      <w:r w:rsidRPr="003F5882">
        <w:rPr>
          <w:rFonts w:ascii="Arial" w:hAnsi="Arial" w:cs="Times New Roman"/>
          <w:sz w:val="21"/>
          <w:u w:val="single"/>
        </w:rPr>
        <w:t>2014</w:t>
      </w:r>
      <w:r w:rsidRPr="003F5882">
        <w:rPr>
          <w:rFonts w:ascii="Arial" w:hAnsi="Arial" w:cs="Times New Roman"/>
          <w:sz w:val="21"/>
          <w:u w:val="single"/>
        </w:rPr>
        <w:t>年</w:t>
      </w:r>
      <w:r w:rsidRPr="003F5882">
        <w:rPr>
          <w:rFonts w:ascii="Arial" w:hAnsi="Arial" w:cs="Times New Roman"/>
          <w:sz w:val="21"/>
          <w:u w:val="single"/>
        </w:rPr>
        <w:t>IPSAS</w:t>
      </w:r>
      <w:r w:rsidRPr="003F5882">
        <w:rPr>
          <w:rFonts w:ascii="Arial" w:hAnsi="Arial" w:cs="Times New Roman"/>
          <w:sz w:val="21"/>
          <w:u w:val="single"/>
        </w:rPr>
        <w:t>制的收入构成</w:t>
      </w:r>
    </w:p>
    <w:p w:rsidR="005C4FAF" w:rsidRPr="005273FB" w:rsidRDefault="00F453AC" w:rsidP="005273FB">
      <w:pPr>
        <w:keepNext/>
        <w:spacing w:afterLines="50" w:after="120" w:line="340" w:lineRule="atLeast"/>
        <w:jc w:val="center"/>
        <w:rPr>
          <w:rFonts w:ascii="Arial" w:eastAsia="KaiTi" w:hAnsi="Arial" w:cs="Times New Roman"/>
          <w:i/>
          <w:sz w:val="21"/>
          <w:szCs w:val="20"/>
        </w:rPr>
      </w:pPr>
      <w:r w:rsidRPr="005273FB">
        <w:rPr>
          <w:rFonts w:ascii="Arial" w:eastAsia="KaiTi" w:hAnsi="Arial" w:cs="Times New Roman" w:hint="eastAsia"/>
          <w:i/>
          <w:sz w:val="21"/>
        </w:rPr>
        <w:t>（</w:t>
      </w:r>
      <w:r w:rsidR="005C4FAF" w:rsidRPr="005273FB">
        <w:rPr>
          <w:rFonts w:ascii="Arial" w:eastAsia="KaiTi" w:hAnsi="Arial" w:cs="Times New Roman"/>
          <w:i/>
          <w:sz w:val="21"/>
        </w:rPr>
        <w:t>单位：百</w:t>
      </w:r>
      <w:proofErr w:type="gramStart"/>
      <w:r w:rsidR="005C4FAF" w:rsidRPr="005273FB">
        <w:rPr>
          <w:rFonts w:ascii="Arial" w:eastAsia="KaiTi" w:hAnsi="Arial" w:cs="Times New Roman"/>
          <w:i/>
          <w:sz w:val="21"/>
        </w:rPr>
        <w:t>万瑞</w:t>
      </w:r>
      <w:proofErr w:type="gramEnd"/>
      <w:r w:rsidR="005C4FAF" w:rsidRPr="005273FB">
        <w:rPr>
          <w:rFonts w:ascii="Arial" w:eastAsia="KaiTi" w:hAnsi="Arial" w:cs="Times New Roman"/>
          <w:i/>
          <w:sz w:val="21"/>
        </w:rPr>
        <w:t>郎</w:t>
      </w:r>
      <w:r w:rsidRPr="005273FB">
        <w:rPr>
          <w:rFonts w:ascii="Arial" w:eastAsia="KaiTi" w:hAnsi="Arial" w:cs="Times New Roman" w:hint="eastAsia"/>
          <w:i/>
          <w:sz w:val="21"/>
        </w:rPr>
        <w:t>）</w:t>
      </w:r>
    </w:p>
    <w:p w:rsidR="005C4FAF" w:rsidRPr="003F5882" w:rsidRDefault="005273FB" w:rsidP="005273FB">
      <w:pPr>
        <w:spacing w:afterLines="50" w:after="120" w:line="340" w:lineRule="atLeast"/>
        <w:jc w:val="center"/>
        <w:rPr>
          <w:rFonts w:ascii="Arial" w:eastAsia="KaiTi" w:hAnsi="Arial" w:cs="Times New Roman"/>
          <w:sz w:val="21"/>
          <w:szCs w:val="22"/>
        </w:rPr>
      </w:pPr>
      <w:r w:rsidRPr="005273FB">
        <w:rPr>
          <w:noProof/>
          <w:lang w:val="en-US" w:bidi="ar-SA"/>
        </w:rPr>
        <w:drawing>
          <wp:inline distT="0" distB="0" distL="0" distR="0" wp14:anchorId="4BC41227" wp14:editId="3BF9460C">
            <wp:extent cx="5977255" cy="2907463"/>
            <wp:effectExtent l="0" t="0" r="4445" b="762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77255" cy="2907463"/>
                    </a:xfrm>
                    <a:prstGeom prst="rect">
                      <a:avLst/>
                    </a:prstGeom>
                    <a:noFill/>
                    <a:ln>
                      <a:noFill/>
                    </a:ln>
                  </pic:spPr>
                </pic:pic>
              </a:graphicData>
            </a:graphic>
          </wp:inline>
        </w:drawing>
      </w:r>
    </w:p>
    <w:p w:rsidR="005C4FAF" w:rsidRPr="00F453AC" w:rsidRDefault="005C4FAF"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lastRenderedPageBreak/>
        <w:t>本组织</w:t>
      </w:r>
      <w:r w:rsidRPr="003F5882">
        <w:rPr>
          <w:rFonts w:ascii="Arial" w:hAnsi="Arial" w:cs="Times New Roman"/>
          <w:sz w:val="21"/>
        </w:rPr>
        <w:t>2014</w:t>
      </w:r>
      <w:r w:rsidRPr="003F5882">
        <w:rPr>
          <w:rFonts w:ascii="Arial" w:hAnsi="Arial" w:cs="Times New Roman"/>
          <w:sz w:val="21"/>
        </w:rPr>
        <w:t>年的总收入为</w:t>
      </w:r>
      <w:r w:rsidRPr="003F5882">
        <w:rPr>
          <w:rFonts w:ascii="Arial" w:hAnsi="Arial" w:cs="Times New Roman"/>
          <w:sz w:val="21"/>
        </w:rPr>
        <w:t>3.702</w:t>
      </w:r>
      <w:r w:rsidRPr="003F5882">
        <w:rPr>
          <w:rFonts w:ascii="Arial" w:hAnsi="Arial" w:cs="Times New Roman"/>
          <w:sz w:val="21"/>
        </w:rPr>
        <w:t>亿瑞郎，与</w:t>
      </w:r>
      <w:r w:rsidRPr="003F5882">
        <w:rPr>
          <w:rFonts w:ascii="Arial" w:hAnsi="Arial" w:cs="Times New Roman"/>
          <w:sz w:val="21"/>
        </w:rPr>
        <w:t>2013</w:t>
      </w:r>
      <w:r w:rsidRPr="003F5882">
        <w:rPr>
          <w:rFonts w:ascii="Arial" w:hAnsi="Arial" w:cs="Times New Roman"/>
          <w:sz w:val="21"/>
        </w:rPr>
        <w:t>年</w:t>
      </w:r>
      <w:r w:rsidRPr="003F5882">
        <w:rPr>
          <w:rFonts w:ascii="Arial" w:hAnsi="Arial" w:cs="Times New Roman"/>
          <w:sz w:val="21"/>
        </w:rPr>
        <w:t>3.516</w:t>
      </w:r>
      <w:r w:rsidRPr="003F5882">
        <w:rPr>
          <w:rFonts w:ascii="Arial" w:hAnsi="Arial" w:cs="Times New Roman"/>
          <w:sz w:val="21"/>
        </w:rPr>
        <w:t>亿瑞郎的总收入相比，增收</w:t>
      </w:r>
      <w:r w:rsidRPr="003F5882">
        <w:rPr>
          <w:rFonts w:ascii="Arial" w:hAnsi="Arial" w:cs="Times New Roman"/>
          <w:sz w:val="21"/>
        </w:rPr>
        <w:t>5.3%</w:t>
      </w:r>
      <w:r w:rsidRPr="003F5882">
        <w:rPr>
          <w:rFonts w:ascii="Arial" w:hAnsi="Arial" w:cs="Times New Roman"/>
          <w:sz w:val="21"/>
        </w:rPr>
        <w:t>。</w:t>
      </w:r>
      <w:r w:rsidRPr="003F5882">
        <w:rPr>
          <w:rFonts w:ascii="Arial" w:hAnsi="Arial" w:cs="Times New Roman"/>
          <w:sz w:val="21"/>
        </w:rPr>
        <w:t>2014</w:t>
      </w:r>
      <w:r w:rsidRPr="003F5882">
        <w:rPr>
          <w:rFonts w:ascii="Arial" w:hAnsi="Arial" w:cs="Times New Roman"/>
          <w:sz w:val="21"/>
        </w:rPr>
        <w:t>年收入的最大来源是</w:t>
      </w:r>
      <w:r w:rsidRPr="003F5882">
        <w:rPr>
          <w:rFonts w:ascii="Arial" w:hAnsi="Arial" w:cs="Times New Roman"/>
          <w:sz w:val="21"/>
        </w:rPr>
        <w:t>PCT</w:t>
      </w:r>
      <w:r w:rsidRPr="003F5882">
        <w:rPr>
          <w:rFonts w:ascii="Arial" w:hAnsi="Arial" w:cs="Times New Roman"/>
          <w:sz w:val="21"/>
        </w:rPr>
        <w:t>体系的收费，占总收入的</w:t>
      </w:r>
      <w:r w:rsidRPr="003F5882">
        <w:rPr>
          <w:rFonts w:ascii="Arial" w:hAnsi="Arial" w:cs="Times New Roman"/>
          <w:sz w:val="21"/>
        </w:rPr>
        <w:t>75.2%</w:t>
      </w:r>
      <w:r w:rsidR="00A61802" w:rsidRPr="003F5882">
        <w:rPr>
          <w:rFonts w:ascii="Arial" w:hAnsi="Arial" w:cs="Times New Roman" w:hint="eastAsia"/>
          <w:sz w:val="21"/>
        </w:rPr>
        <w:t>，</w:t>
      </w:r>
      <w:r w:rsidRPr="003F5882">
        <w:rPr>
          <w:rFonts w:ascii="Arial" w:hAnsi="Arial" w:cs="Times New Roman"/>
          <w:sz w:val="21"/>
        </w:rPr>
        <w:t>比</w:t>
      </w:r>
      <w:r w:rsidRPr="003F5882">
        <w:rPr>
          <w:rFonts w:ascii="Arial" w:hAnsi="Arial" w:cs="Times New Roman"/>
          <w:sz w:val="21"/>
        </w:rPr>
        <w:t>2013</w:t>
      </w:r>
      <w:r w:rsidRPr="003F5882">
        <w:rPr>
          <w:rFonts w:ascii="Arial" w:hAnsi="Arial" w:cs="Times New Roman"/>
          <w:sz w:val="21"/>
        </w:rPr>
        <w:t>年</w:t>
      </w:r>
      <w:r w:rsidRPr="003F5882">
        <w:rPr>
          <w:rFonts w:ascii="Arial" w:hAnsi="Arial" w:cs="Times New Roman"/>
          <w:sz w:val="21"/>
        </w:rPr>
        <w:t>PCT</w:t>
      </w:r>
      <w:r w:rsidRPr="003F5882">
        <w:rPr>
          <w:rFonts w:ascii="Arial" w:hAnsi="Arial" w:cs="Times New Roman"/>
          <w:sz w:val="21"/>
        </w:rPr>
        <w:t>体系收费收入增加了</w:t>
      </w:r>
      <w:r w:rsidRPr="003F5882">
        <w:rPr>
          <w:rFonts w:ascii="Arial" w:hAnsi="Arial" w:cs="Times New Roman"/>
          <w:sz w:val="21"/>
        </w:rPr>
        <w:t>8.2%</w:t>
      </w:r>
      <w:r w:rsidRPr="003F5882">
        <w:rPr>
          <w:rFonts w:ascii="Arial" w:hAnsi="Arial" w:cs="Times New Roman"/>
          <w:sz w:val="21"/>
        </w:rPr>
        <w:t>。</w:t>
      </w:r>
    </w:p>
    <w:p w:rsidR="005C4FAF" w:rsidRPr="00F453AC" w:rsidRDefault="005C4FAF"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尽管比</w:t>
      </w:r>
      <w:r w:rsidRPr="003F5882">
        <w:rPr>
          <w:rFonts w:ascii="Arial" w:hAnsi="Arial" w:cs="Times New Roman"/>
          <w:sz w:val="21"/>
        </w:rPr>
        <w:t>2013</w:t>
      </w:r>
      <w:r w:rsidRPr="003F5882">
        <w:rPr>
          <w:rFonts w:ascii="Arial" w:hAnsi="Arial" w:cs="Times New Roman"/>
          <w:sz w:val="21"/>
        </w:rPr>
        <w:t>年下跌了</w:t>
      </w:r>
      <w:r w:rsidRPr="003F5882">
        <w:rPr>
          <w:rFonts w:ascii="Arial" w:hAnsi="Arial" w:cs="Times New Roman"/>
          <w:sz w:val="21"/>
        </w:rPr>
        <w:t>30</w:t>
      </w:r>
      <w:proofErr w:type="gramStart"/>
      <w:r w:rsidRPr="003F5882">
        <w:rPr>
          <w:rFonts w:ascii="Arial" w:hAnsi="Arial" w:cs="Times New Roman"/>
          <w:sz w:val="21"/>
        </w:rPr>
        <w:t>万瑞</w:t>
      </w:r>
      <w:proofErr w:type="gramEnd"/>
      <w:r w:rsidRPr="003F5882">
        <w:rPr>
          <w:rFonts w:ascii="Arial" w:hAnsi="Arial" w:cs="Times New Roman"/>
          <w:sz w:val="21"/>
        </w:rPr>
        <w:t>郎，但是马德里体系</w:t>
      </w:r>
      <w:proofErr w:type="gramStart"/>
      <w:r w:rsidRPr="003F5882">
        <w:rPr>
          <w:rFonts w:ascii="Arial" w:hAnsi="Arial" w:cs="Times New Roman"/>
          <w:sz w:val="21"/>
        </w:rPr>
        <w:t>规</w:t>
      </w:r>
      <w:proofErr w:type="gramEnd"/>
      <w:r w:rsidRPr="003F5882">
        <w:rPr>
          <w:rFonts w:ascii="Arial" w:hAnsi="Arial" w:cs="Times New Roman"/>
          <w:sz w:val="21"/>
        </w:rPr>
        <w:t>费仍是</w:t>
      </w:r>
      <w:r w:rsidRPr="003F5882">
        <w:rPr>
          <w:rFonts w:ascii="Arial" w:hAnsi="Arial" w:cs="Times New Roman"/>
          <w:sz w:val="21"/>
        </w:rPr>
        <w:t>2014</w:t>
      </w:r>
      <w:r w:rsidRPr="003F5882">
        <w:rPr>
          <w:rFonts w:ascii="Arial" w:hAnsi="Arial" w:cs="Times New Roman"/>
          <w:sz w:val="21"/>
        </w:rPr>
        <w:t>年本组织收入的第二大来源，占总收入的</w:t>
      </w:r>
      <w:r w:rsidRPr="003F5882">
        <w:rPr>
          <w:rFonts w:ascii="Arial" w:hAnsi="Arial" w:cs="Times New Roman"/>
          <w:sz w:val="21"/>
        </w:rPr>
        <w:t>14.9%</w:t>
      </w:r>
      <w:r w:rsidRPr="003F5882">
        <w:rPr>
          <w:rFonts w:ascii="Arial" w:hAnsi="Arial" w:cs="Times New Roman"/>
          <w:sz w:val="21"/>
        </w:rPr>
        <w:t>。海牙体系</w:t>
      </w:r>
      <w:proofErr w:type="gramStart"/>
      <w:r w:rsidRPr="003F5882">
        <w:rPr>
          <w:rFonts w:ascii="Arial" w:hAnsi="Arial" w:cs="Times New Roman"/>
          <w:sz w:val="21"/>
        </w:rPr>
        <w:t>规</w:t>
      </w:r>
      <w:proofErr w:type="gramEnd"/>
      <w:r w:rsidRPr="003F5882">
        <w:rPr>
          <w:rFonts w:ascii="Arial" w:hAnsi="Arial" w:cs="Times New Roman"/>
          <w:sz w:val="21"/>
        </w:rPr>
        <w:t>费、分摊会费、自愿捐款和其他收入</w:t>
      </w:r>
      <w:r w:rsidR="00F453AC" w:rsidRPr="003F5882">
        <w:rPr>
          <w:rFonts w:ascii="Arial" w:hAnsi="Arial" w:cs="Times New Roman"/>
          <w:sz w:val="21"/>
        </w:rPr>
        <w:t>（</w:t>
      </w:r>
      <w:r w:rsidRPr="003F5882">
        <w:rPr>
          <w:rFonts w:ascii="Arial" w:hAnsi="Arial" w:cs="Times New Roman"/>
          <w:sz w:val="21"/>
        </w:rPr>
        <w:t>投资、出版物、仲裁与调解、杂项收入和其他收费</w:t>
      </w:r>
      <w:r w:rsidR="00F453AC" w:rsidRPr="003F5882">
        <w:rPr>
          <w:rFonts w:ascii="Arial" w:hAnsi="Arial" w:cs="Times New Roman"/>
          <w:sz w:val="21"/>
        </w:rPr>
        <w:t>）</w:t>
      </w:r>
      <w:r w:rsidRPr="003F5882">
        <w:rPr>
          <w:rFonts w:ascii="Arial" w:hAnsi="Arial" w:cs="Times New Roman"/>
          <w:sz w:val="21"/>
        </w:rPr>
        <w:t>占本组织总收入的剩余</w:t>
      </w:r>
      <w:r w:rsidRPr="003F5882">
        <w:rPr>
          <w:rFonts w:ascii="Arial" w:hAnsi="Arial" w:cs="Times New Roman"/>
          <w:sz w:val="21"/>
        </w:rPr>
        <w:t>9.9%</w:t>
      </w:r>
      <w:r w:rsidRPr="003F5882">
        <w:rPr>
          <w:rFonts w:ascii="Arial" w:hAnsi="Arial" w:cs="Times New Roman"/>
          <w:sz w:val="21"/>
        </w:rPr>
        <w:t>。下表为与上一年度相比收入类型变化摘要</w:t>
      </w:r>
      <w:r w:rsidR="001852D6" w:rsidRPr="003F5882">
        <w:rPr>
          <w:rFonts w:ascii="Arial" w:hAnsi="Arial" w:cs="Times New Roman" w:hint="eastAsia"/>
          <w:sz w:val="21"/>
        </w:rPr>
        <w:t>。</w:t>
      </w:r>
    </w:p>
    <w:p w:rsidR="005C4FAF" w:rsidRPr="00F453AC" w:rsidRDefault="005C4FAF" w:rsidP="003F5882">
      <w:pPr>
        <w:keepNext/>
        <w:spacing w:afterLines="50" w:after="120" w:line="340" w:lineRule="atLeast"/>
        <w:jc w:val="center"/>
        <w:rPr>
          <w:rFonts w:ascii="Arial" w:eastAsia="SimSun" w:hAnsi="Arial" w:cs="Times New Roman"/>
          <w:sz w:val="21"/>
          <w:szCs w:val="22"/>
          <w:u w:val="single"/>
        </w:rPr>
      </w:pPr>
      <w:r w:rsidRPr="003F5882">
        <w:rPr>
          <w:rFonts w:ascii="Arial" w:hAnsi="Arial" w:cs="Times New Roman"/>
          <w:sz w:val="21"/>
          <w:u w:val="single"/>
        </w:rPr>
        <w:t>201</w:t>
      </w:r>
      <w:r w:rsidR="001852D6" w:rsidRPr="003F5882">
        <w:rPr>
          <w:rFonts w:ascii="Arial" w:hAnsi="Arial" w:cs="Times New Roman" w:hint="eastAsia"/>
          <w:sz w:val="21"/>
          <w:u w:val="single"/>
        </w:rPr>
        <w:t>4</w:t>
      </w:r>
      <w:r w:rsidRPr="003F5882">
        <w:rPr>
          <w:rFonts w:ascii="Arial" w:hAnsi="Arial" w:cs="Times New Roman"/>
          <w:sz w:val="21"/>
          <w:u w:val="single"/>
        </w:rPr>
        <w:t>年和</w:t>
      </w:r>
      <w:r w:rsidRPr="003F5882">
        <w:rPr>
          <w:rFonts w:ascii="Arial" w:hAnsi="Arial" w:cs="Times New Roman"/>
          <w:sz w:val="21"/>
          <w:u w:val="single"/>
        </w:rPr>
        <w:t>201</w:t>
      </w:r>
      <w:r w:rsidR="001852D6" w:rsidRPr="003F5882">
        <w:rPr>
          <w:rFonts w:ascii="Arial" w:hAnsi="Arial" w:cs="Times New Roman" w:hint="eastAsia"/>
          <w:sz w:val="21"/>
          <w:u w:val="single"/>
        </w:rPr>
        <w:t>3</w:t>
      </w:r>
      <w:r w:rsidR="00E04F07" w:rsidRPr="003F5882">
        <w:rPr>
          <w:rFonts w:ascii="Arial" w:hAnsi="Arial" w:cs="Times New Roman" w:hint="eastAsia"/>
          <w:sz w:val="21"/>
          <w:u w:val="single"/>
        </w:rPr>
        <w:t>年</w:t>
      </w:r>
      <w:r w:rsidRPr="003F5882">
        <w:rPr>
          <w:rFonts w:ascii="Arial" w:hAnsi="Arial" w:cs="Times New Roman"/>
          <w:sz w:val="21"/>
          <w:u w:val="single"/>
        </w:rPr>
        <w:t>相比的收入变化</w:t>
      </w:r>
    </w:p>
    <w:p w:rsidR="00850567" w:rsidRPr="00F453AC" w:rsidRDefault="005273FB" w:rsidP="005273FB">
      <w:pPr>
        <w:spacing w:afterLines="50" w:after="120" w:line="340" w:lineRule="atLeast"/>
        <w:jc w:val="center"/>
        <w:rPr>
          <w:rFonts w:ascii="Arial" w:eastAsia="SimSun" w:hAnsi="Arial" w:cs="Times New Roman"/>
          <w:sz w:val="21"/>
          <w:szCs w:val="22"/>
        </w:rPr>
      </w:pPr>
      <w:r w:rsidRPr="005273FB">
        <w:rPr>
          <w:noProof/>
          <w:lang w:val="en-US" w:bidi="ar-SA"/>
        </w:rPr>
        <w:drawing>
          <wp:inline distT="0" distB="0" distL="0" distR="0">
            <wp:extent cx="5970905" cy="330263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70905" cy="3302635"/>
                    </a:xfrm>
                    <a:prstGeom prst="rect">
                      <a:avLst/>
                    </a:prstGeom>
                    <a:noFill/>
                    <a:ln>
                      <a:noFill/>
                    </a:ln>
                  </pic:spPr>
                </pic:pic>
              </a:graphicData>
            </a:graphic>
          </wp:inline>
        </w:drawing>
      </w:r>
    </w:p>
    <w:p w:rsidR="005C4FAF" w:rsidRPr="00F453AC" w:rsidRDefault="005C4FAF"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2014</w:t>
      </w:r>
      <w:r w:rsidRPr="003F5882">
        <w:rPr>
          <w:rFonts w:ascii="Arial" w:hAnsi="Arial" w:cs="Times New Roman"/>
          <w:sz w:val="21"/>
        </w:rPr>
        <w:t>年的</w:t>
      </w:r>
      <w:r w:rsidRPr="003F5882">
        <w:rPr>
          <w:rFonts w:ascii="Arial" w:hAnsi="Arial" w:cs="Times New Roman"/>
          <w:sz w:val="21"/>
        </w:rPr>
        <w:t>PCT</w:t>
      </w:r>
      <w:r w:rsidRPr="003F5882">
        <w:rPr>
          <w:rFonts w:ascii="Arial" w:hAnsi="Arial" w:cs="Times New Roman"/>
          <w:sz w:val="21"/>
        </w:rPr>
        <w:t>活动继续增加，</w:t>
      </w:r>
      <w:r w:rsidRPr="003F5882">
        <w:rPr>
          <w:rFonts w:ascii="Arial" w:hAnsi="Arial" w:cs="Times New Roman"/>
          <w:sz w:val="21"/>
        </w:rPr>
        <w:t>2014</w:t>
      </w:r>
      <w:r w:rsidRPr="003F5882">
        <w:rPr>
          <w:rFonts w:ascii="Arial" w:hAnsi="Arial" w:cs="Times New Roman"/>
          <w:sz w:val="21"/>
        </w:rPr>
        <w:t>年的总申请量为</w:t>
      </w:r>
      <w:r w:rsidRPr="003F5882">
        <w:rPr>
          <w:rFonts w:ascii="Arial" w:hAnsi="Arial" w:cs="Times New Roman"/>
          <w:sz w:val="21"/>
        </w:rPr>
        <w:t>214,900</w:t>
      </w:r>
      <w:r w:rsidR="00F453AC" w:rsidRPr="003F5882">
        <w:rPr>
          <w:rFonts w:ascii="Arial" w:hAnsi="Arial" w:cs="Times New Roman"/>
          <w:sz w:val="21"/>
        </w:rPr>
        <w:t>（</w:t>
      </w:r>
      <w:r w:rsidRPr="003F5882">
        <w:rPr>
          <w:rFonts w:ascii="Arial" w:hAnsi="Arial" w:cs="Times New Roman"/>
          <w:sz w:val="21"/>
        </w:rPr>
        <w:t>根据</w:t>
      </w:r>
      <w:r w:rsidRPr="003F5882">
        <w:rPr>
          <w:rFonts w:ascii="Arial" w:hAnsi="Arial" w:cs="Times New Roman"/>
          <w:sz w:val="21"/>
        </w:rPr>
        <w:t>2015</w:t>
      </w:r>
      <w:r w:rsidRPr="003F5882">
        <w:rPr>
          <w:rFonts w:ascii="Arial" w:hAnsi="Arial" w:cs="Times New Roman"/>
          <w:sz w:val="21"/>
        </w:rPr>
        <w:t>年</w:t>
      </w:r>
      <w:r w:rsidRPr="003F5882">
        <w:rPr>
          <w:rFonts w:ascii="Arial" w:hAnsi="Arial" w:cs="Times New Roman"/>
          <w:sz w:val="21"/>
        </w:rPr>
        <w:t>2</w:t>
      </w:r>
      <w:r w:rsidRPr="003F5882">
        <w:rPr>
          <w:rFonts w:ascii="Arial" w:hAnsi="Arial" w:cs="Times New Roman"/>
          <w:sz w:val="21"/>
        </w:rPr>
        <w:t>月编制的概算</w:t>
      </w:r>
      <w:r w:rsidR="00F453AC" w:rsidRPr="003F5882">
        <w:rPr>
          <w:rFonts w:ascii="Arial" w:hAnsi="Arial" w:cs="Times New Roman"/>
          <w:sz w:val="21"/>
        </w:rPr>
        <w:t>）</w:t>
      </w:r>
      <w:r w:rsidRPr="003F5882">
        <w:rPr>
          <w:rFonts w:ascii="Arial" w:hAnsi="Arial" w:cs="Times New Roman"/>
          <w:sz w:val="21"/>
        </w:rPr>
        <w:t>。</w:t>
      </w:r>
      <w:r w:rsidRPr="003F5882">
        <w:rPr>
          <w:rFonts w:ascii="Arial" w:hAnsi="Arial" w:cs="Times New Roman"/>
          <w:sz w:val="21"/>
        </w:rPr>
        <w:t>PCT</w:t>
      </w:r>
      <w:r w:rsidRPr="003F5882">
        <w:rPr>
          <w:rFonts w:ascii="Arial" w:hAnsi="Arial" w:cs="Times New Roman"/>
          <w:sz w:val="21"/>
        </w:rPr>
        <w:t>申请水平是</w:t>
      </w:r>
      <w:r w:rsidRPr="003F5882">
        <w:rPr>
          <w:rFonts w:ascii="Arial" w:hAnsi="Arial" w:cs="Times New Roman"/>
          <w:sz w:val="21"/>
        </w:rPr>
        <w:t>PCT</w:t>
      </w:r>
      <w:r w:rsidRPr="003F5882">
        <w:rPr>
          <w:rFonts w:ascii="Arial" w:hAnsi="Arial" w:cs="Times New Roman"/>
          <w:sz w:val="21"/>
        </w:rPr>
        <w:t>体系规费收入水平的直接指标，自</w:t>
      </w:r>
      <w:r w:rsidRPr="003F5882">
        <w:rPr>
          <w:rFonts w:ascii="Arial" w:hAnsi="Arial" w:cs="Times New Roman"/>
          <w:sz w:val="21"/>
        </w:rPr>
        <w:t>2010</w:t>
      </w:r>
      <w:r w:rsidRPr="003F5882">
        <w:rPr>
          <w:rFonts w:ascii="Arial" w:hAnsi="Arial" w:cs="Times New Roman"/>
          <w:sz w:val="21"/>
        </w:rPr>
        <w:t>年起逐年增长。根据</w:t>
      </w:r>
      <w:r w:rsidRPr="003F5882">
        <w:rPr>
          <w:rFonts w:ascii="Arial" w:hAnsi="Arial" w:cs="Times New Roman"/>
          <w:sz w:val="21"/>
        </w:rPr>
        <w:t>2015</w:t>
      </w:r>
      <w:r w:rsidRPr="003F5882">
        <w:rPr>
          <w:rFonts w:ascii="Arial" w:hAnsi="Arial" w:cs="Times New Roman"/>
          <w:sz w:val="21"/>
        </w:rPr>
        <w:t>年</w:t>
      </w:r>
      <w:r w:rsidRPr="003F5882">
        <w:rPr>
          <w:rFonts w:ascii="Arial" w:hAnsi="Arial" w:cs="Times New Roman"/>
          <w:sz w:val="21"/>
        </w:rPr>
        <w:t>1</w:t>
      </w:r>
      <w:r w:rsidRPr="003F5882">
        <w:rPr>
          <w:rFonts w:ascii="Arial" w:hAnsi="Arial" w:cs="Times New Roman"/>
          <w:sz w:val="21"/>
        </w:rPr>
        <w:t>月编制的预测显示，申请有望在未来三年继续增长</w:t>
      </w:r>
      <w:r w:rsidR="00BF026B" w:rsidRPr="003F5882">
        <w:rPr>
          <w:rFonts w:ascii="Arial" w:hAnsi="Arial" w:cs="Times New Roman" w:hint="eastAsia"/>
          <w:sz w:val="21"/>
        </w:rPr>
        <w:t>：</w:t>
      </w:r>
    </w:p>
    <w:p w:rsidR="005C4FAF" w:rsidRPr="00F453AC" w:rsidRDefault="005C4FAF" w:rsidP="003F5882">
      <w:pPr>
        <w:keepNext/>
        <w:spacing w:afterLines="50" w:after="120" w:line="340" w:lineRule="atLeast"/>
        <w:jc w:val="center"/>
        <w:rPr>
          <w:rFonts w:ascii="Arial" w:eastAsia="SimSun" w:hAnsi="Arial" w:cs="Times New Roman"/>
          <w:sz w:val="21"/>
          <w:szCs w:val="22"/>
          <w:u w:val="single"/>
        </w:rPr>
      </w:pPr>
      <w:r w:rsidRPr="003F5882">
        <w:rPr>
          <w:rFonts w:ascii="Arial" w:hAnsi="Arial" w:cs="Times New Roman"/>
          <w:sz w:val="21"/>
          <w:u w:val="single"/>
        </w:rPr>
        <w:t>2010</w:t>
      </w:r>
      <w:r w:rsidRPr="003F5882">
        <w:rPr>
          <w:rFonts w:ascii="Arial" w:hAnsi="Arial" w:cs="Times New Roman"/>
          <w:sz w:val="21"/>
          <w:u w:val="single"/>
        </w:rPr>
        <w:t>年至</w:t>
      </w:r>
      <w:r w:rsidRPr="003F5882">
        <w:rPr>
          <w:rFonts w:ascii="Arial" w:hAnsi="Arial" w:cs="Times New Roman"/>
          <w:sz w:val="21"/>
          <w:u w:val="single"/>
        </w:rPr>
        <w:t>2017</w:t>
      </w:r>
      <w:r w:rsidRPr="003F5882">
        <w:rPr>
          <w:rFonts w:ascii="Arial" w:hAnsi="Arial" w:cs="Times New Roman"/>
          <w:sz w:val="21"/>
          <w:u w:val="single"/>
        </w:rPr>
        <w:t>年</w:t>
      </w:r>
      <w:r w:rsidR="00695D01" w:rsidRPr="003F5882">
        <w:rPr>
          <w:rFonts w:ascii="Arial" w:hAnsi="Arial" w:cs="Times New Roman" w:hint="eastAsia"/>
          <w:sz w:val="21"/>
          <w:u w:val="single"/>
        </w:rPr>
        <w:t>逐年</w:t>
      </w:r>
      <w:r w:rsidRPr="003F5882">
        <w:rPr>
          <w:rFonts w:ascii="Arial" w:hAnsi="Arial" w:cs="Times New Roman"/>
          <w:sz w:val="21"/>
          <w:u w:val="single"/>
        </w:rPr>
        <w:t>PCT</w:t>
      </w:r>
      <w:r w:rsidRPr="003F5882">
        <w:rPr>
          <w:rFonts w:ascii="Arial" w:hAnsi="Arial" w:cs="Times New Roman"/>
          <w:sz w:val="21"/>
          <w:u w:val="single"/>
        </w:rPr>
        <w:t>申请情况</w:t>
      </w:r>
    </w:p>
    <w:p w:rsidR="005C4FAF" w:rsidRPr="00F453AC" w:rsidRDefault="005273FB" w:rsidP="005273FB">
      <w:pPr>
        <w:spacing w:line="340" w:lineRule="atLeast"/>
        <w:jc w:val="center"/>
        <w:rPr>
          <w:rFonts w:ascii="Arial" w:eastAsia="SimSun" w:hAnsi="Arial" w:cs="Times New Roman"/>
          <w:sz w:val="21"/>
          <w:szCs w:val="22"/>
        </w:rPr>
      </w:pPr>
      <w:r w:rsidRPr="005273FB">
        <w:rPr>
          <w:noProof/>
          <w:lang w:val="en-US" w:bidi="ar-SA"/>
        </w:rPr>
        <w:drawing>
          <wp:inline distT="0" distB="0" distL="0" distR="0">
            <wp:extent cx="4558665" cy="259969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58665" cy="2599690"/>
                    </a:xfrm>
                    <a:prstGeom prst="rect">
                      <a:avLst/>
                    </a:prstGeom>
                    <a:noFill/>
                    <a:ln>
                      <a:noFill/>
                    </a:ln>
                  </pic:spPr>
                </pic:pic>
              </a:graphicData>
            </a:graphic>
          </wp:inline>
        </w:drawing>
      </w:r>
    </w:p>
    <w:p w:rsidR="005C4FAF" w:rsidRPr="00F453AC" w:rsidRDefault="005C4FAF"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lastRenderedPageBreak/>
        <w:t>PCT</w:t>
      </w:r>
      <w:r w:rsidRPr="003F5882">
        <w:rPr>
          <w:rFonts w:ascii="Arial" w:hAnsi="Arial" w:cs="Times New Roman"/>
          <w:sz w:val="21"/>
        </w:rPr>
        <w:t>收入主要包括国际申请费用</w:t>
      </w:r>
      <w:r w:rsidR="00F453AC" w:rsidRPr="003F5882">
        <w:rPr>
          <w:rFonts w:ascii="Arial" w:hAnsi="Arial" w:cs="Times New Roman"/>
          <w:sz w:val="21"/>
        </w:rPr>
        <w:t>（</w:t>
      </w:r>
      <w:r w:rsidRPr="003F5882">
        <w:rPr>
          <w:rFonts w:ascii="Arial" w:hAnsi="Arial" w:cs="Times New Roman"/>
          <w:sz w:val="21"/>
        </w:rPr>
        <w:t>基本费用，加上</w:t>
      </w:r>
      <w:r w:rsidR="006208DD" w:rsidRPr="003F5882">
        <w:rPr>
          <w:rFonts w:ascii="Arial" w:hAnsi="Arial" w:cs="Times New Roman" w:hint="eastAsia"/>
          <w:sz w:val="21"/>
        </w:rPr>
        <w:t>补充</w:t>
      </w:r>
      <w:r w:rsidRPr="003F5882">
        <w:rPr>
          <w:rFonts w:ascii="Arial" w:hAnsi="Arial" w:cs="Times New Roman"/>
          <w:sz w:val="21"/>
        </w:rPr>
        <w:t>页</w:t>
      </w:r>
      <w:r w:rsidR="006208DD" w:rsidRPr="003F5882">
        <w:rPr>
          <w:rFonts w:ascii="Arial" w:hAnsi="Arial" w:cs="Times New Roman" w:hint="eastAsia"/>
          <w:sz w:val="21"/>
        </w:rPr>
        <w:t>面</w:t>
      </w:r>
      <w:r w:rsidRPr="003F5882">
        <w:rPr>
          <w:rFonts w:ascii="Arial" w:hAnsi="Arial" w:cs="Times New Roman"/>
          <w:sz w:val="21"/>
        </w:rPr>
        <w:t>费，减去电子申请和最不发达国家优惠</w:t>
      </w:r>
      <w:r w:rsidR="00F453AC" w:rsidRPr="003F5882">
        <w:rPr>
          <w:rFonts w:ascii="Arial" w:hAnsi="Arial" w:cs="Times New Roman"/>
          <w:sz w:val="21"/>
        </w:rPr>
        <w:t>）</w:t>
      </w:r>
      <w:r w:rsidRPr="003F5882">
        <w:rPr>
          <w:rFonts w:ascii="Arial" w:hAnsi="Arial" w:cs="Times New Roman"/>
          <w:sz w:val="21"/>
        </w:rPr>
        <w:t>。</w:t>
      </w:r>
      <w:r w:rsidRPr="003F5882">
        <w:rPr>
          <w:rFonts w:ascii="Arial" w:hAnsi="Arial" w:cs="Times New Roman"/>
          <w:sz w:val="21"/>
        </w:rPr>
        <w:t>PCT</w:t>
      </w:r>
      <w:r w:rsidRPr="003F5882">
        <w:rPr>
          <w:rFonts w:ascii="Arial" w:hAnsi="Arial" w:cs="Times New Roman"/>
          <w:sz w:val="21"/>
        </w:rPr>
        <w:t>体系</w:t>
      </w:r>
      <w:proofErr w:type="gramStart"/>
      <w:r w:rsidRPr="003F5882">
        <w:rPr>
          <w:rFonts w:ascii="Arial" w:hAnsi="Arial" w:cs="Times New Roman"/>
          <w:sz w:val="21"/>
        </w:rPr>
        <w:t>规</w:t>
      </w:r>
      <w:proofErr w:type="gramEnd"/>
      <w:r w:rsidRPr="003F5882">
        <w:rPr>
          <w:rFonts w:ascii="Arial" w:hAnsi="Arial" w:cs="Times New Roman"/>
          <w:sz w:val="21"/>
        </w:rPr>
        <w:t>费</w:t>
      </w:r>
      <w:r w:rsidR="006208DD" w:rsidRPr="003F5882">
        <w:rPr>
          <w:rFonts w:ascii="Arial" w:hAnsi="Arial" w:cs="Times New Roman" w:hint="eastAsia"/>
          <w:sz w:val="21"/>
        </w:rPr>
        <w:t>收入</w:t>
      </w:r>
      <w:r w:rsidRPr="003F5882">
        <w:rPr>
          <w:rFonts w:ascii="Arial" w:hAnsi="Arial" w:cs="Times New Roman"/>
          <w:sz w:val="21"/>
        </w:rPr>
        <w:t>总数还包括其他费用</w:t>
      </w:r>
      <w:r w:rsidR="00F453AC" w:rsidRPr="003F5882">
        <w:rPr>
          <w:rFonts w:ascii="Arial" w:hAnsi="Arial" w:cs="Times New Roman"/>
          <w:sz w:val="21"/>
        </w:rPr>
        <w:t>（</w:t>
      </w:r>
      <w:r w:rsidRPr="003F5882">
        <w:rPr>
          <w:rFonts w:ascii="Arial" w:hAnsi="Arial" w:cs="Times New Roman"/>
          <w:sz w:val="21"/>
        </w:rPr>
        <w:t>包括手续费和转让费</w:t>
      </w:r>
      <w:r w:rsidR="00F453AC" w:rsidRPr="003F5882">
        <w:rPr>
          <w:rFonts w:ascii="Arial" w:hAnsi="Arial" w:cs="Times New Roman"/>
          <w:sz w:val="21"/>
        </w:rPr>
        <w:t>）</w:t>
      </w:r>
      <w:r w:rsidRPr="003F5882">
        <w:rPr>
          <w:rFonts w:ascii="Arial" w:hAnsi="Arial" w:cs="Times New Roman"/>
          <w:sz w:val="21"/>
        </w:rPr>
        <w:t>和汇兑损益：</w:t>
      </w:r>
    </w:p>
    <w:p w:rsidR="005C4FAF" w:rsidRPr="00F453AC" w:rsidRDefault="005C4FAF" w:rsidP="003F5882">
      <w:pPr>
        <w:keepNext/>
        <w:spacing w:afterLines="50" w:after="120" w:line="340" w:lineRule="atLeast"/>
        <w:jc w:val="center"/>
        <w:rPr>
          <w:rFonts w:ascii="Arial" w:eastAsia="SimSun" w:hAnsi="Arial" w:cs="Times New Roman"/>
          <w:sz w:val="21"/>
          <w:szCs w:val="22"/>
          <w:u w:val="single"/>
        </w:rPr>
      </w:pPr>
      <w:r w:rsidRPr="003F5882">
        <w:rPr>
          <w:rFonts w:ascii="Arial" w:hAnsi="Arial" w:cs="Times New Roman"/>
          <w:sz w:val="21"/>
          <w:u w:val="single"/>
        </w:rPr>
        <w:t>2012</w:t>
      </w:r>
      <w:r w:rsidRPr="003F5882">
        <w:rPr>
          <w:rFonts w:ascii="Arial" w:hAnsi="Arial" w:cs="Times New Roman"/>
          <w:sz w:val="21"/>
          <w:u w:val="single"/>
        </w:rPr>
        <w:t>年至</w:t>
      </w:r>
      <w:r w:rsidRPr="003F5882">
        <w:rPr>
          <w:rFonts w:ascii="Arial" w:hAnsi="Arial" w:cs="Times New Roman"/>
          <w:sz w:val="21"/>
          <w:u w:val="single"/>
        </w:rPr>
        <w:t>2014</w:t>
      </w:r>
      <w:r w:rsidRPr="003F5882">
        <w:rPr>
          <w:rFonts w:ascii="Arial" w:hAnsi="Arial" w:cs="Times New Roman"/>
          <w:sz w:val="21"/>
          <w:u w:val="single"/>
        </w:rPr>
        <w:t>年</w:t>
      </w:r>
      <w:r w:rsidRPr="003F5882">
        <w:rPr>
          <w:rFonts w:ascii="Arial" w:hAnsi="Arial" w:cs="Times New Roman"/>
          <w:sz w:val="21"/>
          <w:u w:val="single"/>
        </w:rPr>
        <w:t>PCT</w:t>
      </w:r>
      <w:r w:rsidRPr="003F5882">
        <w:rPr>
          <w:rFonts w:ascii="Arial" w:hAnsi="Arial" w:cs="Times New Roman"/>
          <w:sz w:val="21"/>
          <w:u w:val="single"/>
        </w:rPr>
        <w:t>体系</w:t>
      </w:r>
      <w:proofErr w:type="gramStart"/>
      <w:r w:rsidRPr="003F5882">
        <w:rPr>
          <w:rFonts w:ascii="Arial" w:hAnsi="Arial" w:cs="Times New Roman"/>
          <w:sz w:val="21"/>
          <w:u w:val="single"/>
        </w:rPr>
        <w:t>规</w:t>
      </w:r>
      <w:proofErr w:type="gramEnd"/>
      <w:r w:rsidRPr="003F5882">
        <w:rPr>
          <w:rFonts w:ascii="Arial" w:hAnsi="Arial" w:cs="Times New Roman"/>
          <w:sz w:val="21"/>
          <w:u w:val="single"/>
        </w:rPr>
        <w:t>费详情</w:t>
      </w:r>
    </w:p>
    <w:p w:rsidR="005C4FAF" w:rsidRPr="00F453AC" w:rsidRDefault="005273FB" w:rsidP="005273FB">
      <w:pPr>
        <w:spacing w:afterLines="50" w:after="120" w:line="340" w:lineRule="atLeast"/>
        <w:jc w:val="center"/>
        <w:rPr>
          <w:rFonts w:ascii="Arial" w:eastAsia="SimSun" w:hAnsi="Arial" w:cs="Times New Roman"/>
          <w:sz w:val="21"/>
          <w:szCs w:val="22"/>
        </w:rPr>
      </w:pPr>
      <w:r w:rsidRPr="005273FB">
        <w:rPr>
          <w:noProof/>
          <w:lang w:val="en-US" w:bidi="ar-SA"/>
        </w:rPr>
        <w:drawing>
          <wp:inline distT="0" distB="0" distL="0" distR="0">
            <wp:extent cx="4988560" cy="1562735"/>
            <wp:effectExtent l="0" t="0" r="254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988560" cy="1562735"/>
                    </a:xfrm>
                    <a:prstGeom prst="rect">
                      <a:avLst/>
                    </a:prstGeom>
                    <a:noFill/>
                    <a:ln>
                      <a:noFill/>
                    </a:ln>
                  </pic:spPr>
                </pic:pic>
              </a:graphicData>
            </a:graphic>
          </wp:inline>
        </w:drawing>
      </w:r>
    </w:p>
    <w:p w:rsidR="005C4FAF" w:rsidRPr="00F453AC" w:rsidRDefault="005C4FAF"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在</w:t>
      </w:r>
      <w:r w:rsidRPr="003F5882">
        <w:rPr>
          <w:rFonts w:ascii="Arial" w:hAnsi="Arial" w:cs="Times New Roman"/>
          <w:sz w:val="21"/>
        </w:rPr>
        <w:t>IPSAS</w:t>
      </w:r>
      <w:r w:rsidRPr="003F5882">
        <w:rPr>
          <w:rFonts w:ascii="Arial" w:hAnsi="Arial" w:cs="Times New Roman"/>
          <w:sz w:val="21"/>
        </w:rPr>
        <w:t>财务报表中，</w:t>
      </w:r>
      <w:r w:rsidRPr="003F5882">
        <w:rPr>
          <w:rFonts w:ascii="Arial" w:hAnsi="Arial" w:cs="Times New Roman"/>
          <w:sz w:val="21"/>
        </w:rPr>
        <w:t>PCT</w:t>
      </w:r>
      <w:r w:rsidRPr="003F5882">
        <w:rPr>
          <w:rFonts w:ascii="Arial" w:hAnsi="Arial" w:cs="Times New Roman"/>
          <w:sz w:val="21"/>
        </w:rPr>
        <w:t>国际申请费用的收入仅在申请公布之日入账。在多数情况下，</w:t>
      </w:r>
      <w:r w:rsidRPr="003F5882">
        <w:rPr>
          <w:rFonts w:ascii="Arial" w:hAnsi="Arial" w:cs="Times New Roman"/>
          <w:sz w:val="21"/>
        </w:rPr>
        <w:t>PCT</w:t>
      </w:r>
      <w:r w:rsidRPr="003F5882">
        <w:rPr>
          <w:rFonts w:ascii="Arial" w:hAnsi="Arial" w:cs="Times New Roman"/>
          <w:sz w:val="21"/>
        </w:rPr>
        <w:t>国际申请在提交后六个月予以公布。在申请时，收费记入应收余额，直至本组织已收到收费。每份申请均计入递延收入负债直到申请公布为止。这与计划和预算的预算结果不同，在后者中，收入在本组织收到现金支付费用时被确认。</w:t>
      </w:r>
      <w:r w:rsidR="00E7458E" w:rsidRPr="003F5882">
        <w:rPr>
          <w:rFonts w:ascii="Arial" w:hAnsi="Arial" w:cs="Times New Roman" w:hint="eastAsia"/>
          <w:sz w:val="21"/>
        </w:rPr>
        <w:t>从按照</w:t>
      </w:r>
      <w:r w:rsidR="00E7458E" w:rsidRPr="003F5882">
        <w:rPr>
          <w:rFonts w:ascii="Arial" w:hAnsi="Arial" w:cs="Times New Roman"/>
          <w:sz w:val="21"/>
        </w:rPr>
        <w:t>IPSAS</w:t>
      </w:r>
      <w:r w:rsidR="00E7458E" w:rsidRPr="003F5882">
        <w:rPr>
          <w:rFonts w:ascii="Arial" w:hAnsi="Arial" w:cs="Times New Roman" w:hint="eastAsia"/>
          <w:sz w:val="21"/>
        </w:rPr>
        <w:t>入账的</w:t>
      </w:r>
      <w:r w:rsidRPr="003F5882">
        <w:rPr>
          <w:rFonts w:ascii="Arial" w:hAnsi="Arial" w:cs="Times New Roman"/>
          <w:sz w:val="21"/>
        </w:rPr>
        <w:t>PCT</w:t>
      </w:r>
      <w:r w:rsidRPr="003F5882">
        <w:rPr>
          <w:rFonts w:ascii="Arial" w:hAnsi="Arial" w:cs="Times New Roman"/>
          <w:sz w:val="21"/>
        </w:rPr>
        <w:t>国际申请费用产生的收入，</w:t>
      </w:r>
      <w:r w:rsidR="00E7458E" w:rsidRPr="003F5882">
        <w:rPr>
          <w:rFonts w:ascii="Arial" w:hAnsi="Arial" w:cs="Times New Roman" w:hint="eastAsia"/>
          <w:sz w:val="21"/>
        </w:rPr>
        <w:t>就</w:t>
      </w:r>
      <w:r w:rsidRPr="003F5882">
        <w:rPr>
          <w:rFonts w:ascii="Arial" w:hAnsi="Arial" w:cs="Times New Roman"/>
          <w:sz w:val="21"/>
        </w:rPr>
        <w:t>可以看出该收入随着年度出版物的增加而增长：</w:t>
      </w:r>
    </w:p>
    <w:p w:rsidR="005C4FAF" w:rsidRPr="00F453AC" w:rsidRDefault="005C4FAF" w:rsidP="003F5882">
      <w:pPr>
        <w:keepNext/>
        <w:spacing w:afterLines="50" w:after="120" w:line="340" w:lineRule="atLeast"/>
        <w:jc w:val="center"/>
        <w:rPr>
          <w:rFonts w:ascii="Arial" w:eastAsia="SimSun" w:hAnsi="Arial" w:cs="Times New Roman"/>
          <w:sz w:val="21"/>
          <w:szCs w:val="22"/>
          <w:u w:val="single"/>
        </w:rPr>
      </w:pPr>
      <w:r w:rsidRPr="003F5882">
        <w:rPr>
          <w:rFonts w:ascii="Arial" w:hAnsi="Arial" w:cs="Times New Roman"/>
          <w:sz w:val="21"/>
          <w:u w:val="single"/>
        </w:rPr>
        <w:t>2012</w:t>
      </w:r>
      <w:r w:rsidRPr="003F5882">
        <w:rPr>
          <w:rFonts w:ascii="Arial" w:hAnsi="Arial" w:cs="Times New Roman"/>
          <w:sz w:val="21"/>
          <w:u w:val="single"/>
        </w:rPr>
        <w:t>年至</w:t>
      </w:r>
      <w:r w:rsidRPr="003F5882">
        <w:rPr>
          <w:rFonts w:ascii="Arial" w:hAnsi="Arial" w:cs="Times New Roman"/>
          <w:sz w:val="21"/>
          <w:u w:val="single"/>
        </w:rPr>
        <w:t>2014</w:t>
      </w:r>
      <w:r w:rsidRPr="003F5882">
        <w:rPr>
          <w:rFonts w:ascii="Arial" w:hAnsi="Arial" w:cs="Times New Roman"/>
          <w:sz w:val="21"/>
          <w:u w:val="single"/>
        </w:rPr>
        <w:t>年</w:t>
      </w:r>
      <w:r w:rsidRPr="003F5882">
        <w:rPr>
          <w:rFonts w:ascii="Arial" w:hAnsi="Arial" w:cs="Times New Roman"/>
          <w:sz w:val="21"/>
          <w:u w:val="single"/>
        </w:rPr>
        <w:t>PCT</w:t>
      </w:r>
      <w:r w:rsidRPr="003F5882">
        <w:rPr>
          <w:rFonts w:ascii="Arial" w:hAnsi="Arial" w:cs="Times New Roman"/>
          <w:sz w:val="21"/>
          <w:u w:val="single"/>
        </w:rPr>
        <w:t>国际申请费用和出版物</w:t>
      </w:r>
    </w:p>
    <w:p w:rsidR="005C4FAF" w:rsidRPr="00F453AC" w:rsidRDefault="005273FB" w:rsidP="005273FB">
      <w:pPr>
        <w:spacing w:afterLines="50" w:after="120" w:line="340" w:lineRule="atLeast"/>
        <w:jc w:val="center"/>
        <w:rPr>
          <w:rFonts w:ascii="Arial" w:eastAsia="SimSun" w:hAnsi="Arial" w:cs="Times New Roman"/>
          <w:sz w:val="21"/>
          <w:szCs w:val="22"/>
        </w:rPr>
      </w:pPr>
      <w:r w:rsidRPr="005273FB">
        <w:rPr>
          <w:noProof/>
          <w:lang w:val="en-US" w:bidi="ar-SA"/>
        </w:rPr>
        <w:drawing>
          <wp:inline distT="0" distB="0" distL="0" distR="0">
            <wp:extent cx="5588635" cy="297497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588635" cy="2974975"/>
                    </a:xfrm>
                    <a:prstGeom prst="rect">
                      <a:avLst/>
                    </a:prstGeom>
                    <a:noFill/>
                    <a:ln>
                      <a:noFill/>
                    </a:ln>
                  </pic:spPr>
                </pic:pic>
              </a:graphicData>
            </a:graphic>
          </wp:inline>
        </w:drawing>
      </w:r>
    </w:p>
    <w:p w:rsidR="005C4FAF" w:rsidRPr="00F453AC" w:rsidRDefault="005C4FAF"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当</w:t>
      </w:r>
      <w:r w:rsidRPr="003F5882">
        <w:rPr>
          <w:rFonts w:ascii="Arial" w:hAnsi="Arial" w:cs="Times New Roman"/>
          <w:sz w:val="21"/>
        </w:rPr>
        <w:t>PCT</w:t>
      </w:r>
      <w:r w:rsidRPr="003F5882">
        <w:rPr>
          <w:rFonts w:ascii="Arial" w:hAnsi="Arial" w:cs="Times New Roman"/>
          <w:sz w:val="21"/>
        </w:rPr>
        <w:t>国际申请费用</w:t>
      </w:r>
      <w:proofErr w:type="gramStart"/>
      <w:r w:rsidRPr="003F5882">
        <w:rPr>
          <w:rFonts w:ascii="Arial" w:hAnsi="Arial" w:cs="Times New Roman"/>
          <w:sz w:val="21"/>
        </w:rPr>
        <w:t>以除瑞郎</w:t>
      </w:r>
      <w:proofErr w:type="gramEnd"/>
      <w:r w:rsidR="001F702E" w:rsidRPr="003F5882">
        <w:rPr>
          <w:rFonts w:ascii="Arial" w:hAnsi="Arial" w:cs="Times New Roman" w:hint="eastAsia"/>
          <w:sz w:val="21"/>
        </w:rPr>
        <w:t>以</w:t>
      </w:r>
      <w:r w:rsidRPr="003F5882">
        <w:rPr>
          <w:rFonts w:ascii="Arial" w:hAnsi="Arial" w:cs="Times New Roman"/>
          <w:sz w:val="21"/>
        </w:rPr>
        <w:t>外</w:t>
      </w:r>
      <w:r w:rsidR="001F702E" w:rsidRPr="003F5882">
        <w:rPr>
          <w:rFonts w:ascii="Arial" w:hAnsi="Arial" w:cs="Times New Roman" w:hint="eastAsia"/>
          <w:sz w:val="21"/>
        </w:rPr>
        <w:t>的</w:t>
      </w:r>
      <w:r w:rsidRPr="003F5882">
        <w:rPr>
          <w:rFonts w:ascii="Arial" w:hAnsi="Arial" w:cs="Times New Roman"/>
          <w:sz w:val="21"/>
        </w:rPr>
        <w:t>货币收取的时候则产生汇兑损益。</w:t>
      </w:r>
      <w:r w:rsidRPr="003F5882">
        <w:rPr>
          <w:rFonts w:ascii="Arial" w:hAnsi="Arial" w:cs="Times New Roman"/>
          <w:sz w:val="21"/>
        </w:rPr>
        <w:t>WIPO</w:t>
      </w:r>
      <w:r w:rsidRPr="003F5882">
        <w:rPr>
          <w:rFonts w:ascii="Arial" w:hAnsi="Arial" w:cs="Times New Roman"/>
          <w:sz w:val="21"/>
        </w:rPr>
        <w:t>每年设立以各种货币计价的等值费用金额。申请当日适用的等值金额决定</w:t>
      </w:r>
      <w:r w:rsidR="001F702E" w:rsidRPr="003F5882">
        <w:rPr>
          <w:rFonts w:ascii="Arial" w:hAnsi="Arial" w:cs="Times New Roman" w:hint="eastAsia"/>
          <w:sz w:val="21"/>
        </w:rPr>
        <w:t>申请人</w:t>
      </w:r>
      <w:r w:rsidRPr="003F5882">
        <w:rPr>
          <w:rFonts w:ascii="Arial" w:hAnsi="Arial" w:cs="Times New Roman"/>
          <w:sz w:val="21"/>
        </w:rPr>
        <w:t>以当地货币支付申请费用的金额。</w:t>
      </w:r>
      <w:r w:rsidRPr="003F5882">
        <w:rPr>
          <w:rFonts w:ascii="Arial" w:hAnsi="Arial" w:cs="Times New Roman"/>
          <w:sz w:val="21"/>
        </w:rPr>
        <w:t>WIPO</w:t>
      </w:r>
      <w:r w:rsidRPr="003F5882">
        <w:rPr>
          <w:rFonts w:ascii="Arial" w:hAnsi="Arial" w:cs="Times New Roman"/>
          <w:sz w:val="21"/>
        </w:rPr>
        <w:t>以瑞郎确认的实际金额由其收到付款之日的联合国业务汇率</w:t>
      </w:r>
      <w:r w:rsidR="00F453AC" w:rsidRPr="003F5882">
        <w:rPr>
          <w:rFonts w:ascii="Arial" w:hAnsi="Arial" w:cs="Times New Roman"/>
          <w:sz w:val="21"/>
        </w:rPr>
        <w:t>（</w:t>
      </w:r>
      <w:r w:rsidRPr="003F5882">
        <w:rPr>
          <w:rFonts w:ascii="Arial" w:hAnsi="Arial" w:cs="Times New Roman"/>
          <w:sz w:val="21"/>
        </w:rPr>
        <w:t>UNORE</w:t>
      </w:r>
      <w:r w:rsidR="00F453AC" w:rsidRPr="003F5882">
        <w:rPr>
          <w:rFonts w:ascii="Arial" w:hAnsi="Arial" w:cs="Times New Roman"/>
          <w:sz w:val="21"/>
        </w:rPr>
        <w:t>）</w:t>
      </w:r>
      <w:r w:rsidRPr="003F5882">
        <w:rPr>
          <w:rFonts w:ascii="Arial" w:hAnsi="Arial" w:cs="Times New Roman"/>
          <w:sz w:val="21"/>
        </w:rPr>
        <w:t>决定。当等值瑞郎费用与付款之日以瑞郎标价的实际金额之间出现差额时即产生费用的汇兑损益。在</w:t>
      </w:r>
      <w:r w:rsidRPr="003F5882">
        <w:rPr>
          <w:rFonts w:ascii="Arial" w:hAnsi="Arial" w:cs="Times New Roman"/>
          <w:sz w:val="21"/>
        </w:rPr>
        <w:t>2014</w:t>
      </w:r>
      <w:r w:rsidRPr="003F5882">
        <w:rPr>
          <w:rFonts w:ascii="Arial" w:hAnsi="Arial" w:cs="Times New Roman"/>
          <w:sz w:val="21"/>
        </w:rPr>
        <w:t>年，本组织</w:t>
      </w:r>
      <w:r w:rsidR="006936B7" w:rsidRPr="003F5882">
        <w:rPr>
          <w:rFonts w:ascii="Arial" w:hAnsi="Arial" w:cs="Times New Roman" w:hint="eastAsia"/>
          <w:sz w:val="21"/>
        </w:rPr>
        <w:t>已</w:t>
      </w:r>
      <w:r w:rsidR="001F702E" w:rsidRPr="003F5882">
        <w:rPr>
          <w:rFonts w:ascii="Arial" w:hAnsi="Arial" w:cs="Times New Roman" w:hint="eastAsia"/>
          <w:sz w:val="21"/>
        </w:rPr>
        <w:t>收</w:t>
      </w:r>
      <w:r w:rsidRPr="003F5882">
        <w:rPr>
          <w:rFonts w:ascii="Arial" w:hAnsi="Arial" w:cs="Times New Roman"/>
          <w:sz w:val="21"/>
        </w:rPr>
        <w:t>PCT</w:t>
      </w:r>
      <w:r w:rsidRPr="003F5882">
        <w:rPr>
          <w:rFonts w:ascii="Arial" w:hAnsi="Arial" w:cs="Times New Roman"/>
          <w:sz w:val="21"/>
        </w:rPr>
        <w:t>费用</w:t>
      </w:r>
      <w:r w:rsidR="00F453AC" w:rsidRPr="003F5882">
        <w:rPr>
          <w:rFonts w:ascii="Arial" w:hAnsi="Arial" w:cs="Times New Roman"/>
          <w:sz w:val="21"/>
        </w:rPr>
        <w:t>（</w:t>
      </w:r>
      <w:r w:rsidRPr="003F5882">
        <w:rPr>
          <w:rFonts w:ascii="Arial" w:hAnsi="Arial" w:cs="Times New Roman"/>
          <w:sz w:val="21"/>
        </w:rPr>
        <w:t>国际申请费和手续费</w:t>
      </w:r>
      <w:r w:rsidR="00F453AC" w:rsidRPr="003F5882">
        <w:rPr>
          <w:rFonts w:ascii="Arial" w:hAnsi="Arial" w:cs="Times New Roman"/>
          <w:sz w:val="21"/>
        </w:rPr>
        <w:t>）</w:t>
      </w:r>
      <w:r w:rsidRPr="003F5882">
        <w:rPr>
          <w:rFonts w:ascii="Arial" w:hAnsi="Arial" w:cs="Times New Roman"/>
          <w:sz w:val="21"/>
        </w:rPr>
        <w:t>的净汇兑损失</w:t>
      </w:r>
      <w:r w:rsidRPr="003F5882">
        <w:rPr>
          <w:rFonts w:ascii="Arial" w:hAnsi="Arial" w:cs="Times New Roman"/>
          <w:sz w:val="21"/>
        </w:rPr>
        <w:t>170</w:t>
      </w:r>
      <w:proofErr w:type="gramStart"/>
      <w:r w:rsidRPr="003F5882">
        <w:rPr>
          <w:rFonts w:ascii="Arial" w:hAnsi="Arial" w:cs="Times New Roman"/>
          <w:sz w:val="21"/>
        </w:rPr>
        <w:t>万瑞</w:t>
      </w:r>
      <w:proofErr w:type="gramEnd"/>
      <w:r w:rsidRPr="003F5882">
        <w:rPr>
          <w:rFonts w:ascii="Arial" w:hAnsi="Arial" w:cs="Times New Roman"/>
          <w:sz w:val="21"/>
        </w:rPr>
        <w:t>郎。该损失主要涉及日元费用</w:t>
      </w:r>
      <w:r w:rsidR="00F453AC" w:rsidRPr="003F5882">
        <w:rPr>
          <w:rFonts w:ascii="Arial" w:hAnsi="Arial" w:cs="Times New Roman"/>
          <w:sz w:val="21"/>
        </w:rPr>
        <w:t>（</w:t>
      </w:r>
      <w:r w:rsidRPr="003F5882">
        <w:rPr>
          <w:rFonts w:ascii="Arial" w:hAnsi="Arial" w:cs="Times New Roman"/>
          <w:sz w:val="21"/>
        </w:rPr>
        <w:t>损失</w:t>
      </w:r>
      <w:r w:rsidRPr="003F5882">
        <w:rPr>
          <w:rFonts w:ascii="Arial" w:hAnsi="Arial" w:cs="Times New Roman"/>
          <w:sz w:val="21"/>
        </w:rPr>
        <w:t>130</w:t>
      </w:r>
      <w:proofErr w:type="gramStart"/>
      <w:r w:rsidRPr="003F5882">
        <w:rPr>
          <w:rFonts w:ascii="Arial" w:hAnsi="Arial" w:cs="Times New Roman"/>
          <w:sz w:val="21"/>
        </w:rPr>
        <w:t>万瑞</w:t>
      </w:r>
      <w:proofErr w:type="gramEnd"/>
      <w:r w:rsidRPr="003F5882">
        <w:rPr>
          <w:rFonts w:ascii="Arial" w:hAnsi="Arial" w:cs="Times New Roman"/>
          <w:sz w:val="21"/>
        </w:rPr>
        <w:t>郎</w:t>
      </w:r>
      <w:r w:rsidR="00F453AC" w:rsidRPr="003F5882">
        <w:rPr>
          <w:rFonts w:ascii="Arial" w:hAnsi="Arial" w:cs="Times New Roman"/>
          <w:sz w:val="21"/>
        </w:rPr>
        <w:t>）</w:t>
      </w:r>
      <w:r w:rsidRPr="003F5882">
        <w:rPr>
          <w:rFonts w:ascii="Arial" w:hAnsi="Arial" w:cs="Times New Roman"/>
          <w:sz w:val="21"/>
        </w:rPr>
        <w:t>。在</w:t>
      </w:r>
      <w:r w:rsidRPr="003F5882">
        <w:rPr>
          <w:rFonts w:ascii="Arial" w:hAnsi="Arial" w:cs="Times New Roman"/>
          <w:sz w:val="21"/>
        </w:rPr>
        <w:t>2013</w:t>
      </w:r>
      <w:r w:rsidRPr="003F5882">
        <w:rPr>
          <w:rFonts w:ascii="Arial" w:hAnsi="Arial" w:cs="Times New Roman"/>
          <w:sz w:val="21"/>
        </w:rPr>
        <w:t>年，本组织</w:t>
      </w:r>
      <w:r w:rsidR="006936B7" w:rsidRPr="003F5882">
        <w:rPr>
          <w:rFonts w:ascii="Arial" w:hAnsi="Arial" w:cs="Times New Roman" w:hint="eastAsia"/>
          <w:sz w:val="21"/>
        </w:rPr>
        <w:t>已</w:t>
      </w:r>
      <w:r w:rsidR="001F702E" w:rsidRPr="003F5882">
        <w:rPr>
          <w:rFonts w:ascii="Arial" w:hAnsi="Arial" w:cs="Times New Roman" w:hint="eastAsia"/>
          <w:sz w:val="21"/>
        </w:rPr>
        <w:t>收</w:t>
      </w:r>
      <w:r w:rsidRPr="003F5882">
        <w:rPr>
          <w:rFonts w:ascii="Arial" w:hAnsi="Arial" w:cs="Times New Roman"/>
          <w:sz w:val="21"/>
        </w:rPr>
        <w:t>PCT</w:t>
      </w:r>
      <w:r w:rsidRPr="003F5882">
        <w:rPr>
          <w:rFonts w:ascii="Arial" w:hAnsi="Arial" w:cs="Times New Roman"/>
          <w:sz w:val="21"/>
        </w:rPr>
        <w:t>费用的净汇兑损失</w:t>
      </w:r>
      <w:r w:rsidRPr="003F5882">
        <w:rPr>
          <w:rFonts w:ascii="Arial" w:hAnsi="Arial" w:cs="Times New Roman"/>
          <w:sz w:val="21"/>
        </w:rPr>
        <w:t>600</w:t>
      </w:r>
      <w:r w:rsidRPr="003F5882">
        <w:rPr>
          <w:rFonts w:ascii="Arial" w:hAnsi="Arial" w:cs="Times New Roman"/>
          <w:sz w:val="21"/>
        </w:rPr>
        <w:t>万瑞郎，而在</w:t>
      </w:r>
      <w:r w:rsidRPr="003F5882">
        <w:rPr>
          <w:rFonts w:ascii="Arial" w:hAnsi="Arial" w:cs="Times New Roman"/>
          <w:sz w:val="21"/>
        </w:rPr>
        <w:t>2012</w:t>
      </w:r>
      <w:r w:rsidRPr="003F5882">
        <w:rPr>
          <w:rFonts w:ascii="Arial" w:hAnsi="Arial" w:cs="Times New Roman"/>
          <w:sz w:val="21"/>
        </w:rPr>
        <w:t>年，本组织实现净汇兑收益</w:t>
      </w:r>
      <w:r w:rsidRPr="003F5882">
        <w:rPr>
          <w:rFonts w:ascii="Arial" w:hAnsi="Arial" w:cs="Times New Roman"/>
          <w:sz w:val="21"/>
        </w:rPr>
        <w:t>750</w:t>
      </w:r>
      <w:r w:rsidRPr="003F5882">
        <w:rPr>
          <w:rFonts w:ascii="Arial" w:hAnsi="Arial" w:cs="Times New Roman"/>
          <w:sz w:val="21"/>
        </w:rPr>
        <w:t>万瑞郎：</w:t>
      </w:r>
    </w:p>
    <w:p w:rsidR="005C4FAF" w:rsidRPr="00F453AC" w:rsidRDefault="005C4FAF" w:rsidP="003F5882">
      <w:pPr>
        <w:keepNext/>
        <w:spacing w:afterLines="50" w:after="120" w:line="340" w:lineRule="atLeast"/>
        <w:jc w:val="center"/>
        <w:rPr>
          <w:rFonts w:ascii="Arial" w:eastAsia="SimSun" w:hAnsi="Arial" w:cs="Times New Roman"/>
          <w:sz w:val="21"/>
          <w:szCs w:val="22"/>
          <w:u w:val="single"/>
        </w:rPr>
      </w:pPr>
      <w:r w:rsidRPr="003F5882">
        <w:rPr>
          <w:rFonts w:ascii="Arial" w:hAnsi="Arial" w:cs="Times New Roman"/>
          <w:sz w:val="21"/>
          <w:u w:val="single"/>
        </w:rPr>
        <w:lastRenderedPageBreak/>
        <w:t>2012</w:t>
      </w:r>
      <w:r w:rsidRPr="003F5882">
        <w:rPr>
          <w:rFonts w:ascii="Arial" w:hAnsi="Arial" w:cs="Times New Roman"/>
          <w:sz w:val="21"/>
          <w:u w:val="single"/>
        </w:rPr>
        <w:t>年至</w:t>
      </w:r>
      <w:r w:rsidRPr="003F5882">
        <w:rPr>
          <w:rFonts w:ascii="Arial" w:hAnsi="Arial" w:cs="Times New Roman"/>
          <w:sz w:val="21"/>
          <w:u w:val="single"/>
        </w:rPr>
        <w:t>2014</w:t>
      </w:r>
      <w:r w:rsidRPr="003F5882">
        <w:rPr>
          <w:rFonts w:ascii="Arial" w:hAnsi="Arial" w:cs="Times New Roman"/>
          <w:sz w:val="21"/>
          <w:u w:val="single"/>
        </w:rPr>
        <w:t>年</w:t>
      </w:r>
      <w:r w:rsidR="006936B7" w:rsidRPr="003F5882">
        <w:rPr>
          <w:rFonts w:ascii="Arial" w:hAnsi="Arial" w:cs="Times New Roman" w:hint="eastAsia"/>
          <w:sz w:val="21"/>
          <w:u w:val="single"/>
        </w:rPr>
        <w:t>已收</w:t>
      </w:r>
      <w:r w:rsidRPr="003F5882">
        <w:rPr>
          <w:rFonts w:ascii="Arial" w:hAnsi="Arial" w:cs="Times New Roman"/>
          <w:sz w:val="21"/>
          <w:u w:val="single"/>
        </w:rPr>
        <w:t>PCT</w:t>
      </w:r>
      <w:r w:rsidRPr="003F5882">
        <w:rPr>
          <w:rFonts w:ascii="Arial" w:hAnsi="Arial" w:cs="Times New Roman"/>
          <w:sz w:val="21"/>
          <w:u w:val="single"/>
        </w:rPr>
        <w:t>费用汇兑</w:t>
      </w:r>
      <w:r w:rsidR="006936B7" w:rsidRPr="003F5882">
        <w:rPr>
          <w:rFonts w:ascii="Arial" w:hAnsi="Arial" w:cs="Times New Roman" w:hint="eastAsia"/>
          <w:sz w:val="21"/>
          <w:u w:val="single"/>
        </w:rPr>
        <w:t>益</w:t>
      </w:r>
      <w:r w:rsidR="006936B7" w:rsidRPr="003F5882">
        <w:rPr>
          <w:rFonts w:ascii="Arial" w:hAnsi="Arial" w:cs="Times New Roman" w:hint="eastAsia"/>
          <w:sz w:val="21"/>
          <w:u w:val="single"/>
        </w:rPr>
        <w:t>/</w:t>
      </w:r>
      <w:r w:rsidR="00F453AC" w:rsidRPr="003F5882">
        <w:rPr>
          <w:rFonts w:ascii="Arial" w:hAnsi="Arial" w:cs="Times New Roman" w:hint="eastAsia"/>
          <w:sz w:val="21"/>
          <w:u w:val="single"/>
        </w:rPr>
        <w:t>（</w:t>
      </w:r>
      <w:r w:rsidR="006936B7" w:rsidRPr="003F5882">
        <w:rPr>
          <w:rFonts w:ascii="Arial" w:hAnsi="Arial" w:cs="Times New Roman" w:hint="eastAsia"/>
          <w:sz w:val="21"/>
          <w:u w:val="single"/>
        </w:rPr>
        <w:t>损</w:t>
      </w:r>
      <w:r w:rsidR="00F453AC" w:rsidRPr="003F5882">
        <w:rPr>
          <w:rFonts w:ascii="Arial" w:hAnsi="Arial" w:cs="Times New Roman" w:hint="eastAsia"/>
          <w:sz w:val="21"/>
          <w:u w:val="single"/>
        </w:rPr>
        <w:t>）</w:t>
      </w:r>
      <w:r w:rsidRPr="003F5882">
        <w:rPr>
          <w:rFonts w:ascii="Arial" w:hAnsi="Arial" w:cs="Times New Roman"/>
          <w:sz w:val="21"/>
          <w:u w:val="single"/>
        </w:rPr>
        <w:t>详情</w:t>
      </w:r>
    </w:p>
    <w:p w:rsidR="005C4FAF" w:rsidRPr="00F453AC" w:rsidRDefault="005273FB" w:rsidP="005273FB">
      <w:pPr>
        <w:spacing w:afterLines="50" w:after="120" w:line="340" w:lineRule="atLeast"/>
        <w:jc w:val="center"/>
        <w:rPr>
          <w:rFonts w:ascii="Arial" w:eastAsia="SimSun" w:hAnsi="Arial" w:cs="Times New Roman"/>
          <w:sz w:val="21"/>
          <w:szCs w:val="22"/>
        </w:rPr>
      </w:pPr>
      <w:r w:rsidRPr="005273FB">
        <w:rPr>
          <w:noProof/>
          <w:lang w:val="en-US" w:bidi="ar-SA"/>
        </w:rPr>
        <w:drawing>
          <wp:inline distT="0" distB="0" distL="0" distR="0">
            <wp:extent cx="5083810" cy="1535430"/>
            <wp:effectExtent l="0" t="0" r="254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083810" cy="1535430"/>
                    </a:xfrm>
                    <a:prstGeom prst="rect">
                      <a:avLst/>
                    </a:prstGeom>
                    <a:noFill/>
                    <a:ln>
                      <a:noFill/>
                    </a:ln>
                  </pic:spPr>
                </pic:pic>
              </a:graphicData>
            </a:graphic>
          </wp:inline>
        </w:drawing>
      </w:r>
    </w:p>
    <w:p w:rsidR="005C4FAF" w:rsidRPr="00F453AC" w:rsidRDefault="005C4FAF"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本组织每年根据前一年十月</w:t>
      </w:r>
      <w:r w:rsidR="001F6BD3" w:rsidRPr="003F5882">
        <w:rPr>
          <w:rFonts w:ascii="Arial" w:hAnsi="Arial" w:cs="Times New Roman" w:hint="eastAsia"/>
          <w:sz w:val="21"/>
        </w:rPr>
        <w:t>份</w:t>
      </w:r>
      <w:r w:rsidRPr="003F5882">
        <w:rPr>
          <w:rFonts w:ascii="Arial" w:hAnsi="Arial" w:cs="Times New Roman"/>
          <w:sz w:val="21"/>
        </w:rPr>
        <w:t>的</w:t>
      </w:r>
      <w:r w:rsidR="001F6BD3" w:rsidRPr="003F5882">
        <w:rPr>
          <w:rFonts w:ascii="Arial" w:hAnsi="Arial" w:cs="Times New Roman" w:hint="eastAsia"/>
          <w:sz w:val="21"/>
        </w:rPr>
        <w:t>第</w:t>
      </w:r>
      <w:r w:rsidRPr="003F5882">
        <w:rPr>
          <w:rFonts w:ascii="Arial" w:hAnsi="Arial" w:cs="Times New Roman"/>
          <w:sz w:val="21"/>
        </w:rPr>
        <w:t>一个星期一的汇率</w:t>
      </w:r>
      <w:proofErr w:type="gramStart"/>
      <w:r w:rsidRPr="003F5882">
        <w:rPr>
          <w:rFonts w:ascii="Arial" w:hAnsi="Arial" w:cs="Times New Roman"/>
          <w:sz w:val="21"/>
        </w:rPr>
        <w:t>确定除瑞郎</w:t>
      </w:r>
      <w:proofErr w:type="gramEnd"/>
      <w:r w:rsidRPr="003F5882">
        <w:rPr>
          <w:rFonts w:ascii="Arial" w:hAnsi="Arial" w:cs="Times New Roman"/>
          <w:sz w:val="21"/>
        </w:rPr>
        <w:t>以外其他货币计价的等值费用金额。如果本年度其他货币与瑞郎之间的兑换汇率在连续四个以上星期五变动</w:t>
      </w:r>
      <w:r w:rsidRPr="003F5882">
        <w:rPr>
          <w:rFonts w:ascii="Arial" w:hAnsi="Arial" w:cs="Times New Roman"/>
          <w:sz w:val="21"/>
        </w:rPr>
        <w:t>5.0%</w:t>
      </w:r>
      <w:r w:rsidRPr="003F5882">
        <w:rPr>
          <w:rFonts w:ascii="Arial" w:hAnsi="Arial" w:cs="Times New Roman"/>
          <w:sz w:val="21"/>
        </w:rPr>
        <w:t>或以上，则等值金额可以重新设定。下表显示</w:t>
      </w:r>
      <w:r w:rsidRPr="003F5882">
        <w:rPr>
          <w:rFonts w:ascii="Arial" w:hAnsi="Arial" w:cs="Times New Roman"/>
          <w:sz w:val="21"/>
        </w:rPr>
        <w:t>2012</w:t>
      </w:r>
      <w:r w:rsidRPr="003F5882">
        <w:rPr>
          <w:rFonts w:ascii="Arial" w:hAnsi="Arial" w:cs="Times New Roman"/>
          <w:sz w:val="21"/>
        </w:rPr>
        <w:t>年至</w:t>
      </w:r>
      <w:r w:rsidRPr="003F5882">
        <w:rPr>
          <w:rFonts w:ascii="Arial" w:hAnsi="Arial" w:cs="Times New Roman"/>
          <w:sz w:val="21"/>
        </w:rPr>
        <w:t>2014</w:t>
      </w:r>
      <w:r w:rsidRPr="003F5882">
        <w:rPr>
          <w:rFonts w:ascii="Arial" w:hAnsi="Arial" w:cs="Times New Roman"/>
          <w:sz w:val="21"/>
        </w:rPr>
        <w:t>年用于确定等值金额的美元、日元和欧元汇率与这三种货币的</w:t>
      </w:r>
      <w:r w:rsidRPr="003F5882">
        <w:rPr>
          <w:rFonts w:ascii="Arial" w:hAnsi="Arial" w:cs="Times New Roman"/>
          <w:sz w:val="21"/>
        </w:rPr>
        <w:t>UNORE</w:t>
      </w:r>
      <w:r w:rsidRPr="003F5882">
        <w:rPr>
          <w:rFonts w:ascii="Arial" w:hAnsi="Arial" w:cs="Times New Roman"/>
          <w:sz w:val="21"/>
        </w:rPr>
        <w:t>之间的差异：</w:t>
      </w:r>
    </w:p>
    <w:p w:rsidR="005C4FAF" w:rsidRPr="00F453AC" w:rsidRDefault="005C4FAF" w:rsidP="003F5882">
      <w:pPr>
        <w:keepNext/>
        <w:spacing w:afterLines="50" w:after="120" w:line="340" w:lineRule="atLeast"/>
        <w:jc w:val="center"/>
        <w:rPr>
          <w:rFonts w:ascii="Arial" w:eastAsia="SimSun" w:hAnsi="Arial" w:cs="Times New Roman"/>
          <w:sz w:val="21"/>
          <w:szCs w:val="22"/>
          <w:u w:val="single"/>
        </w:rPr>
      </w:pPr>
      <w:r w:rsidRPr="003F5882">
        <w:rPr>
          <w:rFonts w:ascii="Arial" w:hAnsi="Arial" w:cs="Times New Roman"/>
          <w:sz w:val="21"/>
          <w:u w:val="single"/>
        </w:rPr>
        <w:t>美元</w:t>
      </w:r>
      <w:r w:rsidR="00E04F07" w:rsidRPr="003F5882">
        <w:rPr>
          <w:rFonts w:ascii="Arial" w:hAnsi="Arial" w:cs="Times New Roman" w:hint="eastAsia"/>
          <w:sz w:val="21"/>
          <w:u w:val="single"/>
        </w:rPr>
        <w:t>——</w:t>
      </w:r>
      <w:r w:rsidRPr="003F5882">
        <w:rPr>
          <w:rFonts w:ascii="Arial" w:hAnsi="Arial" w:cs="Times New Roman"/>
          <w:sz w:val="21"/>
          <w:u w:val="single"/>
        </w:rPr>
        <w:t>2012</w:t>
      </w:r>
      <w:r w:rsidRPr="003F5882">
        <w:rPr>
          <w:rFonts w:ascii="Arial" w:hAnsi="Arial" w:cs="Times New Roman"/>
          <w:sz w:val="21"/>
          <w:u w:val="single"/>
        </w:rPr>
        <w:t>年至</w:t>
      </w:r>
      <w:r w:rsidRPr="003F5882">
        <w:rPr>
          <w:rFonts w:ascii="Arial" w:hAnsi="Arial" w:cs="Times New Roman"/>
          <w:sz w:val="21"/>
          <w:u w:val="single"/>
        </w:rPr>
        <w:t>2014</w:t>
      </w:r>
      <w:r w:rsidRPr="003F5882">
        <w:rPr>
          <w:rFonts w:ascii="Arial" w:hAnsi="Arial" w:cs="Times New Roman"/>
          <w:sz w:val="21"/>
          <w:u w:val="single"/>
        </w:rPr>
        <w:t>年等值</w:t>
      </w:r>
      <w:proofErr w:type="gramStart"/>
      <w:r w:rsidRPr="003F5882">
        <w:rPr>
          <w:rFonts w:ascii="Arial" w:hAnsi="Arial" w:cs="Times New Roman"/>
          <w:sz w:val="21"/>
          <w:u w:val="single"/>
        </w:rPr>
        <w:t>金额汇率</w:t>
      </w:r>
      <w:proofErr w:type="gramEnd"/>
      <w:r w:rsidRPr="003F5882">
        <w:rPr>
          <w:rFonts w:ascii="Arial" w:hAnsi="Arial" w:cs="Times New Roman"/>
          <w:sz w:val="21"/>
          <w:u w:val="single"/>
        </w:rPr>
        <w:t>与</w:t>
      </w:r>
      <w:r w:rsidRPr="003F5882">
        <w:rPr>
          <w:rFonts w:ascii="Arial" w:hAnsi="Arial" w:cs="Times New Roman"/>
          <w:sz w:val="21"/>
          <w:u w:val="single"/>
        </w:rPr>
        <w:t>UNORE</w:t>
      </w:r>
      <w:r w:rsidRPr="003F5882">
        <w:rPr>
          <w:rFonts w:ascii="Arial" w:hAnsi="Arial" w:cs="Times New Roman"/>
          <w:sz w:val="21"/>
          <w:u w:val="single"/>
        </w:rPr>
        <w:t>对比情况</w:t>
      </w:r>
    </w:p>
    <w:p w:rsidR="005C4FAF" w:rsidRPr="00F453AC" w:rsidRDefault="00907170" w:rsidP="00907170">
      <w:pPr>
        <w:spacing w:afterLines="50" w:after="120" w:line="340" w:lineRule="atLeast"/>
        <w:jc w:val="center"/>
        <w:rPr>
          <w:rFonts w:ascii="Arial" w:eastAsia="SimSun" w:hAnsi="Arial" w:cs="Times New Roman"/>
        </w:rPr>
      </w:pPr>
      <w:r w:rsidRPr="00907170">
        <w:rPr>
          <w:noProof/>
          <w:lang w:val="en-US" w:bidi="ar-SA"/>
        </w:rPr>
        <w:drawing>
          <wp:inline distT="0" distB="0" distL="0" distR="0">
            <wp:extent cx="4428490" cy="2572385"/>
            <wp:effectExtent l="0" t="0" r="0" b="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428490" cy="2572385"/>
                    </a:xfrm>
                    <a:prstGeom prst="rect">
                      <a:avLst/>
                    </a:prstGeom>
                    <a:noFill/>
                    <a:ln>
                      <a:noFill/>
                    </a:ln>
                  </pic:spPr>
                </pic:pic>
              </a:graphicData>
            </a:graphic>
          </wp:inline>
        </w:drawing>
      </w:r>
    </w:p>
    <w:p w:rsidR="005C4FAF" w:rsidRPr="00F453AC" w:rsidRDefault="005C4FAF" w:rsidP="003F5882">
      <w:pPr>
        <w:keepNext/>
        <w:spacing w:afterLines="50" w:after="120" w:line="340" w:lineRule="atLeast"/>
        <w:jc w:val="center"/>
        <w:rPr>
          <w:rFonts w:ascii="Arial" w:eastAsia="SimSun" w:hAnsi="Arial" w:cs="Times New Roman"/>
          <w:sz w:val="21"/>
          <w:szCs w:val="22"/>
          <w:u w:val="single"/>
        </w:rPr>
      </w:pPr>
      <w:r w:rsidRPr="003F5882">
        <w:rPr>
          <w:rFonts w:ascii="Arial" w:hAnsi="Arial" w:cs="Times New Roman"/>
          <w:sz w:val="21"/>
          <w:u w:val="single"/>
        </w:rPr>
        <w:t>日元</w:t>
      </w:r>
      <w:r w:rsidR="00E04F07" w:rsidRPr="003F5882">
        <w:rPr>
          <w:rFonts w:ascii="Arial" w:hAnsi="Arial" w:cs="Times New Roman" w:hint="eastAsia"/>
          <w:sz w:val="21"/>
          <w:u w:val="single"/>
        </w:rPr>
        <w:t>——</w:t>
      </w:r>
      <w:r w:rsidRPr="003F5882">
        <w:rPr>
          <w:rFonts w:ascii="Arial" w:hAnsi="Arial" w:cs="Times New Roman"/>
          <w:sz w:val="21"/>
          <w:u w:val="single"/>
        </w:rPr>
        <w:t>2012</w:t>
      </w:r>
      <w:r w:rsidRPr="003F5882">
        <w:rPr>
          <w:rFonts w:ascii="Arial" w:hAnsi="Arial" w:cs="Times New Roman"/>
          <w:sz w:val="21"/>
          <w:u w:val="single"/>
        </w:rPr>
        <w:t>年至</w:t>
      </w:r>
      <w:r w:rsidRPr="003F5882">
        <w:rPr>
          <w:rFonts w:ascii="Arial" w:hAnsi="Arial" w:cs="Times New Roman"/>
          <w:sz w:val="21"/>
          <w:u w:val="single"/>
        </w:rPr>
        <w:t>2014</w:t>
      </w:r>
      <w:r w:rsidRPr="003F5882">
        <w:rPr>
          <w:rFonts w:ascii="Arial" w:hAnsi="Arial" w:cs="Times New Roman"/>
          <w:sz w:val="21"/>
          <w:u w:val="single"/>
        </w:rPr>
        <w:t>年等值</w:t>
      </w:r>
      <w:proofErr w:type="gramStart"/>
      <w:r w:rsidRPr="003F5882">
        <w:rPr>
          <w:rFonts w:ascii="Arial" w:hAnsi="Arial" w:cs="Times New Roman"/>
          <w:sz w:val="21"/>
          <w:u w:val="single"/>
        </w:rPr>
        <w:t>金额汇率</w:t>
      </w:r>
      <w:proofErr w:type="gramEnd"/>
      <w:r w:rsidRPr="003F5882">
        <w:rPr>
          <w:rFonts w:ascii="Arial" w:hAnsi="Arial" w:cs="Times New Roman"/>
          <w:sz w:val="21"/>
          <w:u w:val="single"/>
        </w:rPr>
        <w:t>与</w:t>
      </w:r>
      <w:r w:rsidRPr="003F5882">
        <w:rPr>
          <w:rFonts w:ascii="Arial" w:hAnsi="Arial" w:cs="Times New Roman"/>
          <w:sz w:val="21"/>
          <w:u w:val="single"/>
        </w:rPr>
        <w:t>UNORE</w:t>
      </w:r>
      <w:r w:rsidRPr="003F5882">
        <w:rPr>
          <w:rFonts w:ascii="Arial" w:hAnsi="Arial" w:cs="Times New Roman"/>
          <w:sz w:val="21"/>
          <w:u w:val="single"/>
        </w:rPr>
        <w:t>对比情况</w:t>
      </w:r>
    </w:p>
    <w:p w:rsidR="005C4FAF" w:rsidRPr="003F5882" w:rsidRDefault="00907170" w:rsidP="00907170">
      <w:pPr>
        <w:spacing w:afterLines="50" w:after="120" w:line="340" w:lineRule="atLeast"/>
        <w:jc w:val="center"/>
        <w:rPr>
          <w:rFonts w:ascii="Arial" w:hAnsi="Arial" w:cs="Times New Roman"/>
          <w:noProof/>
        </w:rPr>
      </w:pPr>
      <w:r w:rsidRPr="00907170">
        <w:rPr>
          <w:noProof/>
          <w:lang w:val="en-US" w:bidi="ar-SA"/>
        </w:rPr>
        <w:drawing>
          <wp:inline distT="0" distB="0" distL="0" distR="0">
            <wp:extent cx="4572000" cy="2736215"/>
            <wp:effectExtent l="0" t="0" r="0" b="6985"/>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72000" cy="2736215"/>
                    </a:xfrm>
                    <a:prstGeom prst="rect">
                      <a:avLst/>
                    </a:prstGeom>
                    <a:noFill/>
                    <a:ln>
                      <a:noFill/>
                    </a:ln>
                  </pic:spPr>
                </pic:pic>
              </a:graphicData>
            </a:graphic>
          </wp:inline>
        </w:drawing>
      </w:r>
    </w:p>
    <w:p w:rsidR="005C4FAF" w:rsidRPr="00F453AC" w:rsidRDefault="005C4FAF" w:rsidP="003F5882">
      <w:pPr>
        <w:keepNext/>
        <w:spacing w:afterLines="50" w:after="120" w:line="340" w:lineRule="atLeast"/>
        <w:jc w:val="center"/>
        <w:rPr>
          <w:rFonts w:ascii="Arial" w:eastAsia="SimSun" w:hAnsi="Arial" w:cs="Times New Roman"/>
          <w:sz w:val="21"/>
          <w:szCs w:val="22"/>
          <w:u w:val="single"/>
        </w:rPr>
      </w:pPr>
      <w:r w:rsidRPr="003F5882">
        <w:rPr>
          <w:rFonts w:ascii="Arial" w:hAnsi="Arial" w:cs="Times New Roman"/>
          <w:sz w:val="21"/>
          <w:u w:val="single"/>
        </w:rPr>
        <w:lastRenderedPageBreak/>
        <w:t>欧元</w:t>
      </w:r>
      <w:r w:rsidR="00E04F07" w:rsidRPr="003F5882">
        <w:rPr>
          <w:rFonts w:ascii="Arial" w:hAnsi="Arial" w:cs="Times New Roman" w:hint="eastAsia"/>
          <w:sz w:val="21"/>
          <w:u w:val="single"/>
        </w:rPr>
        <w:t>——</w:t>
      </w:r>
      <w:r w:rsidRPr="003F5882">
        <w:rPr>
          <w:rFonts w:ascii="Arial" w:hAnsi="Arial" w:cs="Times New Roman"/>
          <w:sz w:val="21"/>
          <w:u w:val="single"/>
        </w:rPr>
        <w:t>2012</w:t>
      </w:r>
      <w:r w:rsidRPr="003F5882">
        <w:rPr>
          <w:rFonts w:ascii="Arial" w:hAnsi="Arial" w:cs="Times New Roman"/>
          <w:sz w:val="21"/>
          <w:u w:val="single"/>
        </w:rPr>
        <w:t>年至</w:t>
      </w:r>
      <w:r w:rsidRPr="003F5882">
        <w:rPr>
          <w:rFonts w:ascii="Arial" w:hAnsi="Arial" w:cs="Times New Roman"/>
          <w:sz w:val="21"/>
          <w:u w:val="single"/>
        </w:rPr>
        <w:t>2014</w:t>
      </w:r>
      <w:r w:rsidRPr="003F5882">
        <w:rPr>
          <w:rFonts w:ascii="Arial" w:hAnsi="Arial" w:cs="Times New Roman"/>
          <w:sz w:val="21"/>
          <w:u w:val="single"/>
        </w:rPr>
        <w:t>年等值</w:t>
      </w:r>
      <w:proofErr w:type="gramStart"/>
      <w:r w:rsidRPr="003F5882">
        <w:rPr>
          <w:rFonts w:ascii="Arial" w:hAnsi="Arial" w:cs="Times New Roman"/>
          <w:sz w:val="21"/>
          <w:u w:val="single"/>
        </w:rPr>
        <w:t>金额汇率</w:t>
      </w:r>
      <w:proofErr w:type="gramEnd"/>
      <w:r w:rsidRPr="003F5882">
        <w:rPr>
          <w:rFonts w:ascii="Arial" w:hAnsi="Arial" w:cs="Times New Roman"/>
          <w:sz w:val="21"/>
          <w:u w:val="single"/>
        </w:rPr>
        <w:t>与</w:t>
      </w:r>
      <w:r w:rsidRPr="003F5882">
        <w:rPr>
          <w:rFonts w:ascii="Arial" w:hAnsi="Arial" w:cs="Times New Roman"/>
          <w:sz w:val="21"/>
          <w:u w:val="single"/>
        </w:rPr>
        <w:t>UNORE</w:t>
      </w:r>
      <w:r w:rsidRPr="003F5882">
        <w:rPr>
          <w:rFonts w:ascii="Arial" w:hAnsi="Arial" w:cs="Times New Roman"/>
          <w:sz w:val="21"/>
          <w:u w:val="single"/>
        </w:rPr>
        <w:t>对比情况</w:t>
      </w:r>
    </w:p>
    <w:p w:rsidR="005C4FAF" w:rsidRPr="00F453AC" w:rsidRDefault="00E8494E" w:rsidP="00E8494E">
      <w:pPr>
        <w:spacing w:afterLines="50" w:after="120" w:line="340" w:lineRule="atLeast"/>
        <w:jc w:val="center"/>
        <w:rPr>
          <w:rFonts w:ascii="Arial" w:eastAsia="SimSun" w:hAnsi="Arial" w:cs="Times New Roman"/>
          <w:sz w:val="21"/>
          <w:szCs w:val="22"/>
        </w:rPr>
      </w:pPr>
      <w:r w:rsidRPr="00E8494E">
        <w:rPr>
          <w:noProof/>
          <w:lang w:val="en-US" w:bidi="ar-SA"/>
        </w:rPr>
        <w:drawing>
          <wp:inline distT="0" distB="0" distL="0" distR="0">
            <wp:extent cx="4517390" cy="2640965"/>
            <wp:effectExtent l="0" t="0" r="0" b="6985"/>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17390" cy="2640965"/>
                    </a:xfrm>
                    <a:prstGeom prst="rect">
                      <a:avLst/>
                    </a:prstGeom>
                    <a:noFill/>
                    <a:ln>
                      <a:noFill/>
                    </a:ln>
                  </pic:spPr>
                </pic:pic>
              </a:graphicData>
            </a:graphic>
          </wp:inline>
        </w:drawing>
      </w:r>
    </w:p>
    <w:p w:rsidR="005A383E" w:rsidRPr="00F453AC" w:rsidRDefault="005A383E"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2011</w:t>
      </w:r>
      <w:r w:rsidRPr="003F5882">
        <w:rPr>
          <w:rFonts w:ascii="Arial" w:hAnsi="Arial" w:cs="Times New Roman"/>
          <w:sz w:val="21"/>
        </w:rPr>
        <w:t>年</w:t>
      </w:r>
      <w:r w:rsidRPr="003F5882">
        <w:rPr>
          <w:rFonts w:ascii="Arial" w:hAnsi="Arial" w:cs="Times New Roman"/>
          <w:sz w:val="21"/>
        </w:rPr>
        <w:t>9</w:t>
      </w:r>
      <w:r w:rsidRPr="003F5882">
        <w:rPr>
          <w:rFonts w:ascii="Arial" w:hAnsi="Arial" w:cs="Times New Roman"/>
          <w:sz w:val="21"/>
        </w:rPr>
        <w:t>月，瑞士国家银行</w:t>
      </w:r>
      <w:r w:rsidR="00F453AC" w:rsidRPr="003F5882">
        <w:rPr>
          <w:rFonts w:ascii="Arial" w:hAnsi="Arial" w:cs="Times New Roman"/>
          <w:sz w:val="21"/>
        </w:rPr>
        <w:t>（</w:t>
      </w:r>
      <w:r w:rsidRPr="003F5882">
        <w:rPr>
          <w:rFonts w:ascii="Arial" w:hAnsi="Arial" w:cs="Times New Roman"/>
          <w:sz w:val="21"/>
        </w:rPr>
        <w:t>SNB</w:t>
      </w:r>
      <w:r w:rsidR="00F453AC" w:rsidRPr="003F5882">
        <w:rPr>
          <w:rFonts w:ascii="Arial" w:hAnsi="Arial" w:cs="Times New Roman"/>
          <w:sz w:val="21"/>
        </w:rPr>
        <w:t>）</w:t>
      </w:r>
      <w:r w:rsidRPr="003F5882">
        <w:rPr>
          <w:rFonts w:ascii="Arial" w:hAnsi="Arial" w:cs="Times New Roman"/>
          <w:sz w:val="21"/>
        </w:rPr>
        <w:t>出台</w:t>
      </w:r>
      <w:r w:rsidR="00235C78" w:rsidRPr="003F5882">
        <w:rPr>
          <w:rFonts w:ascii="Arial" w:hAnsi="Arial" w:cs="Times New Roman" w:hint="eastAsia"/>
          <w:sz w:val="21"/>
        </w:rPr>
        <w:t>了</w:t>
      </w:r>
      <w:r w:rsidRPr="003F5882">
        <w:rPr>
          <w:rFonts w:ascii="Arial" w:hAnsi="Arial" w:cs="Times New Roman"/>
          <w:sz w:val="21"/>
        </w:rPr>
        <w:t>一项政策，规定欧元兑瑞郎的最低汇率为</w:t>
      </w:r>
      <w:r w:rsidRPr="003F5882">
        <w:rPr>
          <w:rFonts w:ascii="Arial" w:hAnsi="Arial" w:cs="Times New Roman"/>
          <w:sz w:val="21"/>
        </w:rPr>
        <w:t>1</w:t>
      </w:r>
      <w:r w:rsidRPr="003F5882">
        <w:rPr>
          <w:rFonts w:ascii="Arial" w:hAnsi="Arial" w:cs="Times New Roman"/>
          <w:sz w:val="21"/>
        </w:rPr>
        <w:t>欧元兑</w:t>
      </w:r>
      <w:r w:rsidRPr="003F5882">
        <w:rPr>
          <w:rFonts w:ascii="Arial" w:hAnsi="Arial" w:cs="Times New Roman"/>
          <w:sz w:val="21"/>
        </w:rPr>
        <w:t>1.2</w:t>
      </w:r>
      <w:r w:rsidRPr="003F5882">
        <w:rPr>
          <w:rFonts w:ascii="Arial" w:hAnsi="Arial" w:cs="Times New Roman"/>
          <w:sz w:val="21"/>
        </w:rPr>
        <w:t>瑞郎。该政策有效地</w:t>
      </w:r>
      <w:r w:rsidR="00D0312D" w:rsidRPr="003F5882">
        <w:rPr>
          <w:rFonts w:ascii="Arial" w:hAnsi="Arial" w:cs="Times New Roman" w:hint="eastAsia"/>
          <w:sz w:val="21"/>
        </w:rPr>
        <w:t>限制</w:t>
      </w:r>
      <w:r w:rsidRPr="003F5882">
        <w:rPr>
          <w:rFonts w:ascii="Arial" w:hAnsi="Arial" w:cs="Times New Roman"/>
          <w:sz w:val="21"/>
        </w:rPr>
        <w:t>了本组织</w:t>
      </w:r>
      <w:r w:rsidR="00D0312D" w:rsidRPr="003F5882">
        <w:rPr>
          <w:rFonts w:ascii="Arial" w:hAnsi="Arial" w:cs="Times New Roman" w:hint="eastAsia"/>
          <w:sz w:val="21"/>
        </w:rPr>
        <w:t>在</w:t>
      </w:r>
      <w:r w:rsidRPr="003F5882">
        <w:rPr>
          <w:rFonts w:ascii="Arial" w:hAnsi="Arial" w:cs="Times New Roman"/>
          <w:sz w:val="21"/>
        </w:rPr>
        <w:t>欧元费用收入</w:t>
      </w:r>
      <w:r w:rsidR="00D0312D" w:rsidRPr="003F5882">
        <w:rPr>
          <w:rFonts w:ascii="Arial" w:hAnsi="Arial" w:cs="Times New Roman" w:hint="eastAsia"/>
          <w:sz w:val="21"/>
        </w:rPr>
        <w:t>方面遭受</w:t>
      </w:r>
      <w:r w:rsidRPr="003F5882">
        <w:rPr>
          <w:rFonts w:ascii="Arial" w:hAnsi="Arial" w:cs="Times New Roman"/>
          <w:sz w:val="21"/>
        </w:rPr>
        <w:t>汇兑损失。但是，</w:t>
      </w:r>
      <w:r w:rsidRPr="003F5882">
        <w:rPr>
          <w:rFonts w:ascii="Arial" w:hAnsi="Arial" w:cs="Times New Roman"/>
          <w:sz w:val="21"/>
        </w:rPr>
        <w:t>2015</w:t>
      </w:r>
      <w:r w:rsidRPr="003F5882">
        <w:rPr>
          <w:rFonts w:ascii="Arial" w:hAnsi="Arial" w:cs="Times New Roman"/>
          <w:sz w:val="21"/>
        </w:rPr>
        <w:t>年</w:t>
      </w:r>
      <w:r w:rsidRPr="003F5882">
        <w:rPr>
          <w:rFonts w:ascii="Arial" w:hAnsi="Arial" w:cs="Times New Roman"/>
          <w:sz w:val="21"/>
        </w:rPr>
        <w:t>1</w:t>
      </w:r>
      <w:r w:rsidRPr="003F5882">
        <w:rPr>
          <w:rFonts w:ascii="Arial" w:hAnsi="Arial" w:cs="Times New Roman"/>
          <w:sz w:val="21"/>
        </w:rPr>
        <w:t>月</w:t>
      </w:r>
      <w:r w:rsidRPr="003F5882">
        <w:rPr>
          <w:rFonts w:ascii="Arial" w:hAnsi="Arial" w:cs="Times New Roman"/>
          <w:sz w:val="21"/>
        </w:rPr>
        <w:t>15</w:t>
      </w:r>
      <w:r w:rsidRPr="003F5882">
        <w:rPr>
          <w:rFonts w:ascii="Arial" w:hAnsi="Arial" w:cs="Times New Roman"/>
          <w:sz w:val="21"/>
        </w:rPr>
        <w:t>日，</w:t>
      </w:r>
      <w:r w:rsidRPr="003F5882">
        <w:rPr>
          <w:rFonts w:ascii="Arial" w:hAnsi="Arial" w:cs="Times New Roman"/>
          <w:sz w:val="21"/>
        </w:rPr>
        <w:t>SNB</w:t>
      </w:r>
      <w:r w:rsidRPr="003F5882">
        <w:rPr>
          <w:rFonts w:ascii="Arial" w:hAnsi="Arial" w:cs="Times New Roman"/>
          <w:sz w:val="21"/>
        </w:rPr>
        <w:t>宣布中止该政策。随后，瑞郎价值大幅上涨，货币市场上其他货币兑瑞郎平均损失</w:t>
      </w:r>
      <w:r w:rsidRPr="003F5882">
        <w:rPr>
          <w:rFonts w:ascii="Arial" w:hAnsi="Arial" w:cs="Times New Roman"/>
          <w:sz w:val="21"/>
        </w:rPr>
        <w:t>15</w:t>
      </w:r>
      <w:r w:rsidR="00D0312D" w:rsidRPr="003F5882">
        <w:rPr>
          <w:rFonts w:ascii="Arial" w:hAnsi="Arial" w:cs="Times New Roman" w:hint="eastAsia"/>
          <w:sz w:val="21"/>
        </w:rPr>
        <w:t>.0</w:t>
      </w:r>
      <w:r w:rsidRPr="003F5882">
        <w:rPr>
          <w:rFonts w:ascii="Arial" w:hAnsi="Arial" w:cs="Times New Roman"/>
          <w:sz w:val="21"/>
        </w:rPr>
        <w:t>%</w:t>
      </w:r>
      <w:r w:rsidRPr="003F5882">
        <w:rPr>
          <w:rFonts w:ascii="Arial" w:hAnsi="Arial" w:cs="Times New Roman"/>
          <w:sz w:val="21"/>
        </w:rPr>
        <w:t>。下表概述了</w:t>
      </w:r>
      <w:r w:rsidRPr="003F5882">
        <w:rPr>
          <w:rFonts w:ascii="Arial" w:hAnsi="Arial" w:cs="Times New Roman"/>
          <w:sz w:val="21"/>
        </w:rPr>
        <w:t>SNB</w:t>
      </w:r>
      <w:r w:rsidRPr="003F5882">
        <w:rPr>
          <w:rFonts w:ascii="Arial" w:hAnsi="Arial" w:cs="Times New Roman"/>
          <w:sz w:val="21"/>
        </w:rPr>
        <w:t>公告后，</w:t>
      </w:r>
      <w:r w:rsidRPr="003F5882">
        <w:rPr>
          <w:rFonts w:ascii="Arial" w:hAnsi="Arial" w:cs="Times New Roman"/>
          <w:sz w:val="21"/>
        </w:rPr>
        <w:t>2014</w:t>
      </w:r>
      <w:r w:rsidRPr="003F5882">
        <w:rPr>
          <w:rFonts w:ascii="Arial" w:hAnsi="Arial" w:cs="Times New Roman"/>
          <w:sz w:val="21"/>
        </w:rPr>
        <w:t>年底和</w:t>
      </w:r>
      <w:r w:rsidRPr="003F5882">
        <w:rPr>
          <w:rFonts w:ascii="Arial" w:hAnsi="Arial" w:cs="Times New Roman"/>
          <w:sz w:val="21"/>
        </w:rPr>
        <w:t>2015</w:t>
      </w:r>
      <w:r w:rsidRPr="003F5882">
        <w:rPr>
          <w:rFonts w:ascii="Arial" w:hAnsi="Arial" w:cs="Times New Roman"/>
          <w:sz w:val="21"/>
        </w:rPr>
        <w:t>年初用于确定等值申请费用金额的美元、日元和欧元汇率与</w:t>
      </w:r>
      <w:r w:rsidRPr="003F5882">
        <w:rPr>
          <w:rFonts w:ascii="Arial" w:hAnsi="Arial" w:cs="Times New Roman"/>
          <w:sz w:val="21"/>
        </w:rPr>
        <w:t>UNORE</w:t>
      </w:r>
      <w:r w:rsidRPr="003F5882">
        <w:rPr>
          <w:rFonts w:ascii="Arial" w:hAnsi="Arial" w:cs="Times New Roman"/>
          <w:sz w:val="21"/>
        </w:rPr>
        <w:t>之间的差异：</w:t>
      </w:r>
    </w:p>
    <w:p w:rsidR="005A383E" w:rsidRPr="00F453AC" w:rsidRDefault="00E8494E" w:rsidP="00E8494E">
      <w:pPr>
        <w:spacing w:afterLines="50" w:after="120" w:line="340" w:lineRule="atLeast"/>
        <w:jc w:val="center"/>
        <w:rPr>
          <w:rFonts w:ascii="Arial" w:eastAsia="SimSun" w:hAnsi="Arial" w:cs="Times New Roman"/>
        </w:rPr>
      </w:pPr>
      <w:r w:rsidRPr="00E8494E">
        <w:rPr>
          <w:noProof/>
          <w:lang w:val="en-US" w:bidi="ar-SA"/>
        </w:rPr>
        <w:drawing>
          <wp:inline distT="0" distB="0" distL="0" distR="0" wp14:anchorId="443CD146" wp14:editId="6C353D13">
            <wp:extent cx="5977255" cy="2553977"/>
            <wp:effectExtent l="0" t="0" r="4445"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77255" cy="2553977"/>
                    </a:xfrm>
                    <a:prstGeom prst="rect">
                      <a:avLst/>
                    </a:prstGeom>
                    <a:noFill/>
                    <a:ln>
                      <a:noFill/>
                    </a:ln>
                  </pic:spPr>
                </pic:pic>
              </a:graphicData>
            </a:graphic>
          </wp:inline>
        </w:drawing>
      </w:r>
    </w:p>
    <w:p w:rsidR="005A383E" w:rsidRPr="003F5882" w:rsidRDefault="005A383E" w:rsidP="00F04843">
      <w:pPr>
        <w:numPr>
          <w:ilvl w:val="0"/>
          <w:numId w:val="1"/>
        </w:numPr>
        <w:tabs>
          <w:tab w:val="clear" w:pos="567"/>
        </w:tabs>
        <w:overflowPunct w:val="0"/>
        <w:spacing w:afterLines="50" w:after="120" w:line="340" w:lineRule="atLeast"/>
        <w:jc w:val="both"/>
        <w:rPr>
          <w:rFonts w:ascii="Arial" w:hAnsi="Arial" w:cs="Times New Roman"/>
          <w:sz w:val="21"/>
        </w:rPr>
      </w:pPr>
      <w:r w:rsidRPr="003F5882">
        <w:rPr>
          <w:rFonts w:ascii="Arial" w:hAnsi="Arial" w:cs="Times New Roman"/>
          <w:sz w:val="21"/>
        </w:rPr>
        <w:t>WIPO</w:t>
      </w:r>
      <w:r w:rsidRPr="003F5882">
        <w:rPr>
          <w:rFonts w:ascii="Arial" w:hAnsi="Arial" w:cs="Times New Roman"/>
          <w:sz w:val="21"/>
        </w:rPr>
        <w:t>预计</w:t>
      </w:r>
      <w:r w:rsidR="00BC092F" w:rsidRPr="003F5882">
        <w:rPr>
          <w:rFonts w:ascii="Arial" w:hAnsi="Arial" w:cs="Times New Roman" w:hint="eastAsia"/>
          <w:sz w:val="21"/>
        </w:rPr>
        <w:t>会</w:t>
      </w:r>
      <w:r w:rsidRPr="003F5882">
        <w:rPr>
          <w:rFonts w:ascii="Arial" w:hAnsi="Arial" w:cs="Times New Roman"/>
          <w:sz w:val="21"/>
        </w:rPr>
        <w:t>在</w:t>
      </w:r>
      <w:r w:rsidRPr="003F5882">
        <w:rPr>
          <w:rFonts w:ascii="Arial" w:hAnsi="Arial" w:cs="Times New Roman"/>
          <w:sz w:val="21"/>
        </w:rPr>
        <w:t>SNB</w:t>
      </w:r>
      <w:r w:rsidRPr="003F5882">
        <w:rPr>
          <w:rFonts w:ascii="Arial" w:hAnsi="Arial" w:cs="Times New Roman"/>
          <w:sz w:val="21"/>
        </w:rPr>
        <w:t>公告前未支付的</w:t>
      </w:r>
      <w:r w:rsidRPr="003F5882">
        <w:rPr>
          <w:rFonts w:ascii="Arial" w:hAnsi="Arial" w:cs="Times New Roman"/>
          <w:sz w:val="21"/>
        </w:rPr>
        <w:t>2014</w:t>
      </w:r>
      <w:r w:rsidRPr="003F5882">
        <w:rPr>
          <w:rFonts w:ascii="Arial" w:hAnsi="Arial" w:cs="Times New Roman"/>
          <w:sz w:val="21"/>
        </w:rPr>
        <w:t>年申请以及在</w:t>
      </w:r>
      <w:r w:rsidRPr="003F5882">
        <w:rPr>
          <w:rFonts w:ascii="Arial" w:hAnsi="Arial" w:cs="Times New Roman"/>
          <w:sz w:val="21"/>
        </w:rPr>
        <w:t>2015</w:t>
      </w:r>
      <w:r w:rsidRPr="003F5882">
        <w:rPr>
          <w:rFonts w:ascii="Arial" w:hAnsi="Arial" w:cs="Times New Roman"/>
          <w:sz w:val="21"/>
        </w:rPr>
        <w:t>年</w:t>
      </w:r>
      <w:r w:rsidRPr="003F5882">
        <w:rPr>
          <w:rFonts w:ascii="Arial" w:hAnsi="Arial" w:cs="Times New Roman"/>
          <w:sz w:val="21"/>
        </w:rPr>
        <w:t>4</w:t>
      </w:r>
      <w:r w:rsidRPr="003F5882">
        <w:rPr>
          <w:rFonts w:ascii="Arial" w:hAnsi="Arial" w:cs="Times New Roman"/>
          <w:sz w:val="21"/>
        </w:rPr>
        <w:t>月</w:t>
      </w:r>
      <w:r w:rsidRPr="003F5882">
        <w:rPr>
          <w:rFonts w:ascii="Arial" w:hAnsi="Arial" w:cs="Times New Roman"/>
          <w:sz w:val="21"/>
        </w:rPr>
        <w:t>1</w:t>
      </w:r>
      <w:r w:rsidRPr="003F5882">
        <w:rPr>
          <w:rFonts w:ascii="Arial" w:hAnsi="Arial" w:cs="Times New Roman"/>
          <w:sz w:val="21"/>
        </w:rPr>
        <w:t>日起实施新的等值金额前</w:t>
      </w:r>
      <w:r w:rsidR="00BC092F" w:rsidRPr="003F5882">
        <w:rPr>
          <w:rFonts w:ascii="Arial" w:hAnsi="Arial" w:cs="Times New Roman" w:hint="eastAsia"/>
          <w:sz w:val="21"/>
        </w:rPr>
        <w:t>、</w:t>
      </w:r>
      <w:r w:rsidRPr="003F5882">
        <w:rPr>
          <w:rFonts w:ascii="Arial" w:hAnsi="Arial" w:cs="Times New Roman"/>
          <w:sz w:val="21"/>
        </w:rPr>
        <w:t>2015</w:t>
      </w:r>
      <w:r w:rsidRPr="003F5882">
        <w:rPr>
          <w:rFonts w:ascii="Arial" w:hAnsi="Arial" w:cs="Times New Roman"/>
          <w:sz w:val="21"/>
        </w:rPr>
        <w:t>年前三个月提出的申请方面蒙受汇兑损失。这些申请费用预计</w:t>
      </w:r>
      <w:r w:rsidR="00BC092F" w:rsidRPr="003F5882">
        <w:rPr>
          <w:rFonts w:ascii="Arial" w:hAnsi="Arial" w:cs="Times New Roman" w:hint="eastAsia"/>
          <w:sz w:val="21"/>
        </w:rPr>
        <w:t>将</w:t>
      </w:r>
      <w:r w:rsidRPr="003F5882">
        <w:rPr>
          <w:rFonts w:ascii="Arial" w:hAnsi="Arial" w:cs="Times New Roman"/>
          <w:sz w:val="21"/>
        </w:rPr>
        <w:t>在</w:t>
      </w:r>
      <w:r w:rsidRPr="003F5882">
        <w:rPr>
          <w:rFonts w:ascii="Arial" w:hAnsi="Arial" w:cs="Times New Roman"/>
          <w:sz w:val="21"/>
        </w:rPr>
        <w:t>2015</w:t>
      </w:r>
      <w:r w:rsidRPr="003F5882">
        <w:rPr>
          <w:rFonts w:ascii="Arial" w:hAnsi="Arial" w:cs="Times New Roman"/>
          <w:sz w:val="21"/>
        </w:rPr>
        <w:t>年前五个月期间收取，因此损失的程度取决于现金流入模式和未来汇率。</w:t>
      </w:r>
      <w:r w:rsidR="00BC092F" w:rsidRPr="003F5882">
        <w:rPr>
          <w:rFonts w:ascii="Arial" w:hAnsi="Arial" w:cs="Times New Roman" w:hint="eastAsia"/>
          <w:sz w:val="21"/>
        </w:rPr>
        <w:t>有人</w:t>
      </w:r>
      <w:r w:rsidRPr="003F5882">
        <w:rPr>
          <w:rFonts w:ascii="Arial" w:hAnsi="Arial" w:cs="Times New Roman"/>
          <w:sz w:val="21"/>
        </w:rPr>
        <w:t>注意</w:t>
      </w:r>
      <w:r w:rsidR="00BC092F" w:rsidRPr="003F5882">
        <w:rPr>
          <w:rFonts w:ascii="Arial" w:hAnsi="Arial" w:cs="Times New Roman" w:hint="eastAsia"/>
          <w:sz w:val="21"/>
        </w:rPr>
        <w:t>到，已宣布的</w:t>
      </w:r>
      <w:r w:rsidRPr="003F5882">
        <w:rPr>
          <w:rFonts w:ascii="Arial" w:hAnsi="Arial" w:cs="Times New Roman"/>
          <w:sz w:val="21"/>
        </w:rPr>
        <w:t>自</w:t>
      </w:r>
      <w:r w:rsidRPr="003F5882">
        <w:rPr>
          <w:rFonts w:ascii="Arial" w:hAnsi="Arial" w:cs="Times New Roman"/>
          <w:sz w:val="21"/>
        </w:rPr>
        <w:t>2015</w:t>
      </w:r>
      <w:r w:rsidRPr="003F5882">
        <w:rPr>
          <w:rFonts w:ascii="Arial" w:hAnsi="Arial" w:cs="Times New Roman"/>
          <w:sz w:val="21"/>
        </w:rPr>
        <w:t>年</w:t>
      </w:r>
      <w:r w:rsidRPr="003F5882">
        <w:rPr>
          <w:rFonts w:ascii="Arial" w:hAnsi="Arial" w:cs="Times New Roman"/>
          <w:sz w:val="21"/>
        </w:rPr>
        <w:t>4</w:t>
      </w:r>
      <w:r w:rsidRPr="003F5882">
        <w:rPr>
          <w:rFonts w:ascii="Arial" w:hAnsi="Arial" w:cs="Times New Roman"/>
          <w:sz w:val="21"/>
        </w:rPr>
        <w:t>月</w:t>
      </w:r>
      <w:r w:rsidRPr="003F5882">
        <w:rPr>
          <w:rFonts w:ascii="Arial" w:hAnsi="Arial" w:cs="Times New Roman"/>
          <w:sz w:val="21"/>
        </w:rPr>
        <w:t>1</w:t>
      </w:r>
      <w:r w:rsidRPr="003F5882">
        <w:rPr>
          <w:rFonts w:ascii="Arial" w:hAnsi="Arial" w:cs="Times New Roman"/>
          <w:sz w:val="21"/>
        </w:rPr>
        <w:t>日起生效的新的等值金额包括欧元，但不包括美元和日元。由于其价值</w:t>
      </w:r>
      <w:r w:rsidR="00BC092F" w:rsidRPr="003F5882">
        <w:rPr>
          <w:rFonts w:ascii="Arial" w:hAnsi="Arial" w:cs="Times New Roman" w:hint="eastAsia"/>
          <w:sz w:val="21"/>
        </w:rPr>
        <w:t>相对于</w:t>
      </w:r>
      <w:r w:rsidRPr="003F5882">
        <w:rPr>
          <w:rFonts w:ascii="Arial" w:hAnsi="Arial" w:cs="Times New Roman"/>
          <w:sz w:val="21"/>
        </w:rPr>
        <w:t>瑞郎</w:t>
      </w:r>
      <w:r w:rsidR="00BC092F" w:rsidRPr="003F5882">
        <w:rPr>
          <w:rFonts w:ascii="Arial" w:hAnsi="Arial" w:cs="Times New Roman" w:hint="eastAsia"/>
          <w:sz w:val="21"/>
        </w:rPr>
        <w:t>而言</w:t>
      </w:r>
      <w:r w:rsidRPr="003F5882">
        <w:rPr>
          <w:rFonts w:ascii="Arial" w:hAnsi="Arial" w:cs="Times New Roman"/>
          <w:sz w:val="21"/>
        </w:rPr>
        <w:t>已大部分复苏，因此美元和日元不满足设定新等值金额的条件。预计在</w:t>
      </w:r>
      <w:r w:rsidRPr="003F5882">
        <w:rPr>
          <w:rFonts w:ascii="Arial" w:hAnsi="Arial" w:cs="Times New Roman"/>
          <w:sz w:val="21"/>
        </w:rPr>
        <w:t>SNB</w:t>
      </w:r>
      <w:r w:rsidRPr="003F5882">
        <w:rPr>
          <w:rFonts w:ascii="Arial" w:hAnsi="Arial" w:cs="Times New Roman"/>
          <w:sz w:val="21"/>
        </w:rPr>
        <w:t>公告后，</w:t>
      </w:r>
      <w:r w:rsidRPr="003F5882">
        <w:rPr>
          <w:rFonts w:ascii="Arial" w:hAnsi="Arial" w:cs="Times New Roman"/>
          <w:sz w:val="21"/>
        </w:rPr>
        <w:t>WIPO</w:t>
      </w:r>
      <w:r w:rsidRPr="003F5882">
        <w:rPr>
          <w:rFonts w:ascii="Arial" w:hAnsi="Arial" w:cs="Times New Roman"/>
          <w:sz w:val="21"/>
        </w:rPr>
        <w:t>在</w:t>
      </w:r>
      <w:r w:rsidRPr="003F5882">
        <w:rPr>
          <w:rFonts w:ascii="Arial" w:hAnsi="Arial" w:cs="Times New Roman"/>
          <w:sz w:val="21"/>
        </w:rPr>
        <w:t>2015</w:t>
      </w:r>
      <w:r w:rsidRPr="003F5882">
        <w:rPr>
          <w:rFonts w:ascii="Arial" w:hAnsi="Arial" w:cs="Times New Roman"/>
          <w:sz w:val="21"/>
        </w:rPr>
        <w:t>年前五个月收取的</w:t>
      </w:r>
      <w:r w:rsidRPr="003F5882">
        <w:rPr>
          <w:rFonts w:ascii="Arial" w:hAnsi="Arial" w:cs="Times New Roman"/>
          <w:sz w:val="21"/>
        </w:rPr>
        <w:t>PCT</w:t>
      </w:r>
      <w:r w:rsidRPr="003F5882">
        <w:rPr>
          <w:rFonts w:ascii="Arial" w:hAnsi="Arial" w:cs="Times New Roman"/>
          <w:sz w:val="21"/>
        </w:rPr>
        <w:t>国际申请费用</w:t>
      </w:r>
      <w:r w:rsidR="00BC092F" w:rsidRPr="003F5882">
        <w:rPr>
          <w:rFonts w:ascii="Arial" w:hAnsi="Arial" w:cs="Times New Roman" w:hint="eastAsia"/>
          <w:sz w:val="21"/>
        </w:rPr>
        <w:t>方面</w:t>
      </w:r>
      <w:r w:rsidRPr="003F5882">
        <w:rPr>
          <w:rFonts w:ascii="Arial" w:hAnsi="Arial" w:cs="Times New Roman"/>
          <w:sz w:val="21"/>
        </w:rPr>
        <w:t>会遭受</w:t>
      </w:r>
      <w:r w:rsidRPr="003F5882">
        <w:rPr>
          <w:rFonts w:ascii="Arial" w:hAnsi="Arial" w:cs="Times New Roman"/>
          <w:sz w:val="21"/>
        </w:rPr>
        <w:t>200</w:t>
      </w:r>
      <w:r w:rsidRPr="003F5882">
        <w:rPr>
          <w:rFonts w:ascii="Arial" w:hAnsi="Arial" w:cs="Times New Roman"/>
          <w:sz w:val="21"/>
        </w:rPr>
        <w:t>万瑞郎到</w:t>
      </w:r>
      <w:r w:rsidRPr="003F5882">
        <w:rPr>
          <w:rFonts w:ascii="Arial" w:hAnsi="Arial" w:cs="Times New Roman"/>
          <w:sz w:val="21"/>
        </w:rPr>
        <w:t>500</w:t>
      </w:r>
      <w:r w:rsidRPr="003F5882">
        <w:rPr>
          <w:rFonts w:ascii="Arial" w:hAnsi="Arial" w:cs="Times New Roman"/>
          <w:sz w:val="21"/>
        </w:rPr>
        <w:t>万瑞郎的汇兑损失。</w:t>
      </w:r>
    </w:p>
    <w:p w:rsidR="005A383E" w:rsidRPr="003F5882" w:rsidRDefault="005A383E" w:rsidP="00F04843">
      <w:pPr>
        <w:numPr>
          <w:ilvl w:val="0"/>
          <w:numId w:val="1"/>
        </w:numPr>
        <w:tabs>
          <w:tab w:val="clear" w:pos="567"/>
        </w:tabs>
        <w:overflowPunct w:val="0"/>
        <w:spacing w:afterLines="50" w:after="120" w:line="340" w:lineRule="atLeast"/>
        <w:jc w:val="both"/>
        <w:rPr>
          <w:rFonts w:ascii="Arial" w:hAnsi="Arial" w:cs="Times New Roman"/>
          <w:sz w:val="21"/>
        </w:rPr>
      </w:pPr>
      <w:r w:rsidRPr="003F5882">
        <w:rPr>
          <w:rFonts w:ascii="Arial" w:hAnsi="Arial" w:cs="Times New Roman"/>
          <w:sz w:val="21"/>
        </w:rPr>
        <w:t>马德里体系规费主要包括注册或续展申请的基本费用和后</w:t>
      </w:r>
      <w:r w:rsidR="00BC092F" w:rsidRPr="003F5882">
        <w:rPr>
          <w:rFonts w:ascii="Arial" w:hAnsi="Arial" w:cs="Times New Roman" w:hint="eastAsia"/>
          <w:sz w:val="21"/>
        </w:rPr>
        <w:t>期</w:t>
      </w:r>
      <w:r w:rsidRPr="003F5882">
        <w:rPr>
          <w:rFonts w:ascii="Arial" w:hAnsi="Arial" w:cs="Times New Roman"/>
          <w:sz w:val="21"/>
        </w:rPr>
        <w:t>指定的费用</w:t>
      </w:r>
      <w:r w:rsidR="00BC092F" w:rsidRPr="003F5882">
        <w:rPr>
          <w:rFonts w:ascii="Arial" w:hAnsi="Arial" w:cs="Times New Roman" w:hint="eastAsia"/>
          <w:sz w:val="21"/>
        </w:rPr>
        <w:t>：</w:t>
      </w:r>
    </w:p>
    <w:p w:rsidR="005A383E" w:rsidRPr="00F453AC" w:rsidRDefault="005A383E" w:rsidP="003F5882">
      <w:pPr>
        <w:keepNext/>
        <w:spacing w:afterLines="50" w:after="120" w:line="340" w:lineRule="atLeast"/>
        <w:jc w:val="center"/>
        <w:rPr>
          <w:rFonts w:ascii="Arial" w:eastAsia="SimSun" w:hAnsi="Arial" w:cs="Times New Roman"/>
          <w:sz w:val="21"/>
          <w:szCs w:val="22"/>
          <w:u w:val="single"/>
        </w:rPr>
      </w:pPr>
      <w:r w:rsidRPr="003F5882">
        <w:rPr>
          <w:rFonts w:ascii="Arial" w:hAnsi="Arial" w:cs="Times New Roman"/>
          <w:sz w:val="21"/>
          <w:u w:val="single"/>
        </w:rPr>
        <w:lastRenderedPageBreak/>
        <w:t>2012</w:t>
      </w:r>
      <w:r w:rsidRPr="003F5882">
        <w:rPr>
          <w:rFonts w:ascii="Arial" w:hAnsi="Arial" w:cs="Times New Roman"/>
          <w:sz w:val="21"/>
          <w:u w:val="single"/>
        </w:rPr>
        <w:t>年至</w:t>
      </w:r>
      <w:r w:rsidRPr="003F5882">
        <w:rPr>
          <w:rFonts w:ascii="Arial" w:hAnsi="Arial" w:cs="Times New Roman"/>
          <w:sz w:val="21"/>
          <w:u w:val="single"/>
        </w:rPr>
        <w:t>2014</w:t>
      </w:r>
      <w:r w:rsidRPr="003F5882">
        <w:rPr>
          <w:rFonts w:ascii="Arial" w:hAnsi="Arial" w:cs="Times New Roman"/>
          <w:sz w:val="21"/>
          <w:u w:val="single"/>
        </w:rPr>
        <w:t>年马德里体系</w:t>
      </w:r>
      <w:proofErr w:type="gramStart"/>
      <w:r w:rsidRPr="003F5882">
        <w:rPr>
          <w:rFonts w:ascii="Arial" w:hAnsi="Arial" w:cs="Times New Roman"/>
          <w:sz w:val="21"/>
          <w:u w:val="single"/>
        </w:rPr>
        <w:t>规</w:t>
      </w:r>
      <w:proofErr w:type="gramEnd"/>
      <w:r w:rsidRPr="003F5882">
        <w:rPr>
          <w:rFonts w:ascii="Arial" w:hAnsi="Arial" w:cs="Times New Roman"/>
          <w:sz w:val="21"/>
          <w:u w:val="single"/>
        </w:rPr>
        <w:t>费详情</w:t>
      </w:r>
    </w:p>
    <w:p w:rsidR="005A383E" w:rsidRPr="00F453AC" w:rsidRDefault="00E8494E" w:rsidP="00E8494E">
      <w:pPr>
        <w:spacing w:afterLines="50" w:after="120" w:line="340" w:lineRule="atLeast"/>
        <w:jc w:val="center"/>
        <w:rPr>
          <w:rFonts w:ascii="Arial" w:eastAsia="SimSun" w:hAnsi="Arial" w:cs="Times New Roman"/>
          <w:sz w:val="21"/>
          <w:szCs w:val="22"/>
        </w:rPr>
      </w:pPr>
      <w:r w:rsidRPr="00E8494E">
        <w:rPr>
          <w:noProof/>
          <w:lang w:val="en-US" w:bidi="ar-SA"/>
        </w:rPr>
        <w:drawing>
          <wp:inline distT="0" distB="0" distL="0" distR="0">
            <wp:extent cx="4988560" cy="1419225"/>
            <wp:effectExtent l="0" t="0" r="254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988560" cy="1419225"/>
                    </a:xfrm>
                    <a:prstGeom prst="rect">
                      <a:avLst/>
                    </a:prstGeom>
                    <a:noFill/>
                    <a:ln>
                      <a:noFill/>
                    </a:ln>
                  </pic:spPr>
                </pic:pic>
              </a:graphicData>
            </a:graphic>
          </wp:inline>
        </w:drawing>
      </w:r>
    </w:p>
    <w:p w:rsidR="005A383E" w:rsidRPr="00F453AC" w:rsidRDefault="005A383E"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依据</w:t>
      </w:r>
      <w:r w:rsidRPr="003F5882">
        <w:rPr>
          <w:rFonts w:ascii="Arial" w:hAnsi="Arial" w:cs="Times New Roman"/>
          <w:sz w:val="21"/>
        </w:rPr>
        <w:t>IPSAS</w:t>
      </w:r>
      <w:r w:rsidRPr="003F5882">
        <w:rPr>
          <w:rFonts w:ascii="Arial" w:hAnsi="Arial" w:cs="Times New Roman"/>
          <w:sz w:val="21"/>
        </w:rPr>
        <w:t>，马德里的注册、续展和后</w:t>
      </w:r>
      <w:r w:rsidR="00BC092F" w:rsidRPr="003F5882">
        <w:rPr>
          <w:rFonts w:ascii="Arial" w:hAnsi="Arial" w:cs="Times New Roman" w:hint="eastAsia"/>
          <w:sz w:val="21"/>
        </w:rPr>
        <w:t>期</w:t>
      </w:r>
      <w:r w:rsidRPr="003F5882">
        <w:rPr>
          <w:rFonts w:ascii="Arial" w:hAnsi="Arial" w:cs="Times New Roman"/>
          <w:sz w:val="21"/>
        </w:rPr>
        <w:t>指定的费用收入在财务报表中要到公布之日才入账。根据</w:t>
      </w:r>
      <w:r w:rsidRPr="003F5882">
        <w:rPr>
          <w:rFonts w:ascii="Arial" w:hAnsi="Arial" w:cs="Times New Roman"/>
          <w:sz w:val="21"/>
        </w:rPr>
        <w:t>IPSAS</w:t>
      </w:r>
      <w:r w:rsidR="00BC092F" w:rsidRPr="003F5882">
        <w:rPr>
          <w:rFonts w:ascii="Arial" w:hAnsi="Arial" w:cs="Times New Roman" w:hint="eastAsia"/>
          <w:sz w:val="21"/>
        </w:rPr>
        <w:t>入账</w:t>
      </w:r>
      <w:r w:rsidRPr="003F5882">
        <w:rPr>
          <w:rFonts w:ascii="Arial" w:hAnsi="Arial" w:cs="Times New Roman"/>
          <w:sz w:val="21"/>
        </w:rPr>
        <w:t>的注册和续展收入</w:t>
      </w:r>
      <w:r w:rsidR="00F453AC" w:rsidRPr="003F5882">
        <w:rPr>
          <w:rFonts w:ascii="Arial" w:hAnsi="Arial" w:cs="Times New Roman"/>
          <w:sz w:val="21"/>
        </w:rPr>
        <w:t>（</w:t>
      </w:r>
      <w:r w:rsidRPr="003F5882">
        <w:rPr>
          <w:rFonts w:ascii="Arial" w:hAnsi="Arial" w:cs="Times New Roman"/>
          <w:sz w:val="21"/>
        </w:rPr>
        <w:t>但是不包括其他费用</w:t>
      </w:r>
      <w:r w:rsidR="00F453AC" w:rsidRPr="003F5882">
        <w:rPr>
          <w:rFonts w:ascii="Arial" w:hAnsi="Arial" w:cs="Times New Roman"/>
          <w:sz w:val="21"/>
        </w:rPr>
        <w:t>）</w:t>
      </w:r>
      <w:r w:rsidRPr="003F5882">
        <w:rPr>
          <w:rFonts w:ascii="Arial" w:hAnsi="Arial" w:cs="Times New Roman"/>
          <w:sz w:val="21"/>
        </w:rPr>
        <w:t>随着注册和续展数目逐年增长而增长</w:t>
      </w:r>
      <w:r w:rsidR="00BC092F" w:rsidRPr="003F5882">
        <w:rPr>
          <w:rFonts w:ascii="Arial" w:hAnsi="Arial" w:cs="Times New Roman" w:hint="eastAsia"/>
          <w:sz w:val="21"/>
        </w:rPr>
        <w:t>：</w:t>
      </w:r>
    </w:p>
    <w:p w:rsidR="005A383E" w:rsidRPr="00F453AC" w:rsidRDefault="005A383E" w:rsidP="003F5882">
      <w:pPr>
        <w:keepNext/>
        <w:spacing w:afterLines="50" w:after="120" w:line="340" w:lineRule="atLeast"/>
        <w:jc w:val="center"/>
        <w:rPr>
          <w:rFonts w:ascii="Arial" w:hAnsi="Arial" w:cs="Times New Roman"/>
          <w:sz w:val="21"/>
          <w:u w:val="single"/>
        </w:rPr>
      </w:pPr>
      <w:r w:rsidRPr="00F453AC">
        <w:rPr>
          <w:rFonts w:ascii="Arial" w:hAnsi="Arial" w:cs="Times New Roman"/>
          <w:sz w:val="21"/>
          <w:u w:val="single"/>
        </w:rPr>
        <w:t>马德里</w:t>
      </w:r>
      <w:r w:rsidR="00E04F07" w:rsidRPr="00F453AC">
        <w:rPr>
          <w:rFonts w:ascii="Arial" w:hAnsi="Arial" w:cs="Times New Roman" w:hint="eastAsia"/>
          <w:sz w:val="21"/>
          <w:u w:val="single"/>
        </w:rPr>
        <w:t>——</w:t>
      </w:r>
      <w:r w:rsidRPr="00F453AC">
        <w:rPr>
          <w:rFonts w:ascii="Arial" w:hAnsi="Arial" w:cs="Times New Roman"/>
          <w:sz w:val="21"/>
          <w:u w:val="single"/>
        </w:rPr>
        <w:t>2012</w:t>
      </w:r>
      <w:r w:rsidRPr="00F453AC">
        <w:rPr>
          <w:rFonts w:ascii="Arial" w:hAnsi="Arial" w:cs="Times New Roman"/>
          <w:sz w:val="21"/>
          <w:u w:val="single"/>
        </w:rPr>
        <w:t>年至</w:t>
      </w:r>
      <w:r w:rsidRPr="00F453AC">
        <w:rPr>
          <w:rFonts w:ascii="Arial" w:hAnsi="Arial" w:cs="Times New Roman"/>
          <w:sz w:val="21"/>
          <w:u w:val="single"/>
        </w:rPr>
        <w:t>2014</w:t>
      </w:r>
      <w:r w:rsidRPr="00F453AC">
        <w:rPr>
          <w:rFonts w:ascii="Arial" w:hAnsi="Arial" w:cs="Times New Roman"/>
          <w:sz w:val="21"/>
          <w:u w:val="single"/>
        </w:rPr>
        <w:t>年基本费用和注册</w:t>
      </w:r>
      <w:r w:rsidRPr="00F453AC">
        <w:rPr>
          <w:rFonts w:ascii="Arial" w:hAnsi="Arial" w:cs="Times New Roman"/>
          <w:sz w:val="21"/>
          <w:u w:val="single"/>
        </w:rPr>
        <w:t>/</w:t>
      </w:r>
      <w:r w:rsidRPr="00F453AC">
        <w:rPr>
          <w:rFonts w:ascii="Arial" w:hAnsi="Arial" w:cs="Times New Roman"/>
          <w:sz w:val="21"/>
          <w:u w:val="single"/>
        </w:rPr>
        <w:t>续展</w:t>
      </w:r>
    </w:p>
    <w:p w:rsidR="005A383E" w:rsidRPr="00F453AC" w:rsidRDefault="00E8494E" w:rsidP="00E8494E">
      <w:pPr>
        <w:spacing w:afterLines="50" w:after="120" w:line="340" w:lineRule="atLeast"/>
        <w:jc w:val="center"/>
        <w:rPr>
          <w:rFonts w:ascii="Arial" w:eastAsia="SimSun" w:hAnsi="Arial" w:cs="Times New Roman"/>
          <w:sz w:val="21"/>
          <w:szCs w:val="22"/>
        </w:rPr>
      </w:pPr>
      <w:r w:rsidRPr="00E8494E">
        <w:rPr>
          <w:noProof/>
          <w:lang w:val="en-US" w:bidi="ar-SA"/>
        </w:rPr>
        <w:drawing>
          <wp:inline distT="0" distB="0" distL="0" distR="0" wp14:anchorId="07D53B29" wp14:editId="1A4B431A">
            <wp:extent cx="5977255" cy="2932536"/>
            <wp:effectExtent l="0" t="0" r="4445" b="127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77255" cy="2932536"/>
                    </a:xfrm>
                    <a:prstGeom prst="rect">
                      <a:avLst/>
                    </a:prstGeom>
                    <a:noFill/>
                    <a:ln>
                      <a:noFill/>
                    </a:ln>
                  </pic:spPr>
                </pic:pic>
              </a:graphicData>
            </a:graphic>
          </wp:inline>
        </w:drawing>
      </w:r>
    </w:p>
    <w:p w:rsidR="005A383E" w:rsidRPr="00F453AC" w:rsidRDefault="005A383E"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2014</w:t>
      </w:r>
      <w:r w:rsidRPr="003F5882">
        <w:rPr>
          <w:rFonts w:ascii="Arial" w:hAnsi="Arial" w:cs="Times New Roman"/>
          <w:sz w:val="21"/>
        </w:rPr>
        <w:t>年，海牙体系</w:t>
      </w:r>
      <w:proofErr w:type="gramStart"/>
      <w:r w:rsidRPr="003F5882">
        <w:rPr>
          <w:rFonts w:ascii="Arial" w:hAnsi="Arial" w:cs="Times New Roman"/>
          <w:sz w:val="21"/>
        </w:rPr>
        <w:t>规</w:t>
      </w:r>
      <w:proofErr w:type="gramEnd"/>
      <w:r w:rsidRPr="003F5882">
        <w:rPr>
          <w:rFonts w:ascii="Arial" w:hAnsi="Arial" w:cs="Times New Roman"/>
          <w:sz w:val="21"/>
        </w:rPr>
        <w:t>费总计为</w:t>
      </w:r>
      <w:r w:rsidRPr="003F5882">
        <w:rPr>
          <w:rFonts w:ascii="Arial" w:hAnsi="Arial" w:cs="Times New Roman"/>
          <w:sz w:val="21"/>
        </w:rPr>
        <w:t>320</w:t>
      </w:r>
      <w:proofErr w:type="gramStart"/>
      <w:r w:rsidRPr="003F5882">
        <w:rPr>
          <w:rFonts w:ascii="Arial" w:hAnsi="Arial" w:cs="Times New Roman"/>
          <w:sz w:val="21"/>
        </w:rPr>
        <w:t>万瑞</w:t>
      </w:r>
      <w:proofErr w:type="gramEnd"/>
      <w:r w:rsidRPr="003F5882">
        <w:rPr>
          <w:rFonts w:ascii="Arial" w:hAnsi="Arial" w:cs="Times New Roman"/>
          <w:sz w:val="21"/>
        </w:rPr>
        <w:t>郎。正如</w:t>
      </w:r>
      <w:r w:rsidRPr="003F5882">
        <w:rPr>
          <w:rFonts w:ascii="Arial" w:hAnsi="Arial" w:cs="Times New Roman"/>
          <w:sz w:val="21"/>
        </w:rPr>
        <w:t>PCT</w:t>
      </w:r>
      <w:r w:rsidRPr="003F5882">
        <w:rPr>
          <w:rFonts w:ascii="Arial" w:hAnsi="Arial" w:cs="Times New Roman"/>
          <w:sz w:val="21"/>
        </w:rPr>
        <w:t>和马德里体系规费，处理申请的相关费用产生的收入</w:t>
      </w:r>
      <w:r w:rsidR="00016113" w:rsidRPr="003F5882">
        <w:rPr>
          <w:rFonts w:ascii="Arial" w:hAnsi="Arial" w:cs="Times New Roman" w:hint="eastAsia"/>
          <w:sz w:val="21"/>
        </w:rPr>
        <w:t>要到</w:t>
      </w:r>
      <w:r w:rsidRPr="003F5882">
        <w:rPr>
          <w:rFonts w:ascii="Arial" w:hAnsi="Arial" w:cs="Times New Roman"/>
          <w:sz w:val="21"/>
        </w:rPr>
        <w:t>申请公布时才入账。海牙体系规费保持稳定，与前一年相比没有发生重大变化。</w:t>
      </w:r>
    </w:p>
    <w:p w:rsidR="005A383E" w:rsidRPr="00F453AC" w:rsidRDefault="005A383E"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分摊会费收入为</w:t>
      </w:r>
      <w:r w:rsidRPr="003F5882">
        <w:rPr>
          <w:rFonts w:ascii="Arial" w:hAnsi="Arial" w:cs="Times New Roman"/>
          <w:sz w:val="21"/>
        </w:rPr>
        <w:t>1,790</w:t>
      </w:r>
      <w:proofErr w:type="gramStart"/>
      <w:r w:rsidRPr="003F5882">
        <w:rPr>
          <w:rFonts w:ascii="Arial" w:hAnsi="Arial" w:cs="Times New Roman"/>
          <w:sz w:val="21"/>
        </w:rPr>
        <w:t>万瑞</w:t>
      </w:r>
      <w:proofErr w:type="gramEnd"/>
      <w:r w:rsidRPr="003F5882">
        <w:rPr>
          <w:rFonts w:ascii="Arial" w:hAnsi="Arial" w:cs="Times New Roman"/>
          <w:sz w:val="21"/>
        </w:rPr>
        <w:t>郎，占总收入的</w:t>
      </w:r>
      <w:r w:rsidRPr="003F5882">
        <w:rPr>
          <w:rFonts w:ascii="Arial" w:hAnsi="Arial" w:cs="Times New Roman"/>
          <w:sz w:val="21"/>
        </w:rPr>
        <w:t>4.8%</w:t>
      </w:r>
      <w:r w:rsidRPr="003F5882">
        <w:rPr>
          <w:rFonts w:ascii="Arial" w:hAnsi="Arial" w:cs="Times New Roman"/>
          <w:sz w:val="21"/>
        </w:rPr>
        <w:t>。特别账户自愿捐款收入为</w:t>
      </w:r>
      <w:r w:rsidRPr="003F5882">
        <w:rPr>
          <w:rFonts w:ascii="Arial" w:hAnsi="Arial" w:cs="Times New Roman"/>
          <w:sz w:val="21"/>
        </w:rPr>
        <w:t>890</w:t>
      </w:r>
      <w:r w:rsidRPr="003F5882">
        <w:rPr>
          <w:rFonts w:ascii="Arial" w:hAnsi="Arial" w:cs="Times New Roman"/>
          <w:sz w:val="21"/>
        </w:rPr>
        <w:t>万瑞郎，占总收入的</w:t>
      </w:r>
      <w:r w:rsidRPr="003F5882">
        <w:rPr>
          <w:rFonts w:ascii="Arial" w:hAnsi="Arial" w:cs="Times New Roman"/>
          <w:sz w:val="21"/>
        </w:rPr>
        <w:t>2.4%</w:t>
      </w:r>
      <w:r w:rsidRPr="003F5882">
        <w:rPr>
          <w:rFonts w:ascii="Arial" w:hAnsi="Arial" w:cs="Times New Roman"/>
          <w:sz w:val="21"/>
        </w:rPr>
        <w:t>。在按相关合同履行工作且发生开支的情况下，自愿捐款的收入纳入财务报表。</w:t>
      </w:r>
    </w:p>
    <w:p w:rsidR="005A383E" w:rsidRPr="00F453AC" w:rsidRDefault="005A383E"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2014</w:t>
      </w:r>
      <w:r w:rsidRPr="003F5882">
        <w:rPr>
          <w:rFonts w:ascii="Arial" w:hAnsi="Arial" w:cs="Times New Roman"/>
          <w:sz w:val="21"/>
        </w:rPr>
        <w:t>年的投资收入总计</w:t>
      </w:r>
      <w:r w:rsidRPr="003F5882">
        <w:rPr>
          <w:rFonts w:ascii="Arial" w:hAnsi="Arial" w:cs="Times New Roman"/>
          <w:sz w:val="21"/>
        </w:rPr>
        <w:t>160</w:t>
      </w:r>
      <w:r w:rsidRPr="003F5882">
        <w:rPr>
          <w:rFonts w:ascii="Arial" w:hAnsi="Arial" w:cs="Times New Roman"/>
          <w:sz w:val="21"/>
        </w:rPr>
        <w:t>万瑞郎，和</w:t>
      </w:r>
      <w:r w:rsidRPr="003F5882">
        <w:rPr>
          <w:rFonts w:ascii="Arial" w:hAnsi="Arial" w:cs="Times New Roman"/>
          <w:sz w:val="21"/>
        </w:rPr>
        <w:t>2013</w:t>
      </w:r>
      <w:r w:rsidRPr="003F5882">
        <w:rPr>
          <w:rFonts w:ascii="Arial" w:hAnsi="Arial" w:cs="Times New Roman"/>
          <w:sz w:val="21"/>
        </w:rPr>
        <w:t>年相比下降了</w:t>
      </w:r>
      <w:r w:rsidRPr="003F5882">
        <w:rPr>
          <w:rFonts w:ascii="Arial" w:hAnsi="Arial" w:cs="Times New Roman"/>
          <w:sz w:val="21"/>
        </w:rPr>
        <w:t>23.8%</w:t>
      </w:r>
      <w:r w:rsidRPr="003F5882">
        <w:rPr>
          <w:rFonts w:ascii="Arial" w:hAnsi="Arial" w:cs="Times New Roman"/>
          <w:sz w:val="21"/>
        </w:rPr>
        <w:t>。由于在瑞士联邦金融管理</w:t>
      </w:r>
      <w:r w:rsidR="004A754C" w:rsidRPr="003F5882">
        <w:rPr>
          <w:rFonts w:ascii="Arial" w:hAnsi="Arial" w:cs="Times New Roman" w:hint="eastAsia"/>
          <w:sz w:val="21"/>
        </w:rPr>
        <w:t>局</w:t>
      </w:r>
      <w:r w:rsidR="00F453AC" w:rsidRPr="003F5882">
        <w:rPr>
          <w:rFonts w:ascii="Arial" w:hAnsi="Arial" w:cs="Times New Roman" w:hint="eastAsia"/>
          <w:sz w:val="21"/>
        </w:rPr>
        <w:t>（</w:t>
      </w:r>
      <w:r w:rsidR="004A754C" w:rsidRPr="003F5882">
        <w:rPr>
          <w:rFonts w:ascii="Arial" w:hAnsi="Arial" w:cs="Times New Roman" w:hint="eastAsia"/>
          <w:sz w:val="21"/>
        </w:rPr>
        <w:t>AFF</w:t>
      </w:r>
      <w:r w:rsidR="00F453AC" w:rsidRPr="003F5882">
        <w:rPr>
          <w:rFonts w:ascii="Arial" w:hAnsi="Arial" w:cs="Times New Roman" w:hint="eastAsia"/>
          <w:sz w:val="21"/>
        </w:rPr>
        <w:t>）</w:t>
      </w:r>
      <w:r w:rsidRPr="003F5882">
        <w:rPr>
          <w:rFonts w:ascii="Arial" w:hAnsi="Arial" w:cs="Times New Roman"/>
          <w:sz w:val="21"/>
        </w:rPr>
        <w:t>开设的计息账户和投资在</w:t>
      </w:r>
      <w:r w:rsidRPr="003F5882">
        <w:rPr>
          <w:rFonts w:ascii="Arial" w:hAnsi="Arial" w:cs="Times New Roman"/>
          <w:sz w:val="21"/>
        </w:rPr>
        <w:t>2014</w:t>
      </w:r>
      <w:r w:rsidRPr="003F5882">
        <w:rPr>
          <w:rFonts w:ascii="Arial" w:hAnsi="Arial" w:cs="Times New Roman"/>
          <w:sz w:val="21"/>
        </w:rPr>
        <w:t>年的平均利率是</w:t>
      </w:r>
      <w:r w:rsidRPr="003F5882">
        <w:rPr>
          <w:rFonts w:ascii="Arial" w:hAnsi="Arial" w:cs="Times New Roman"/>
          <w:sz w:val="21"/>
        </w:rPr>
        <w:t>0.421%</w:t>
      </w:r>
      <w:r w:rsidRPr="003F5882">
        <w:rPr>
          <w:rFonts w:ascii="Arial" w:hAnsi="Arial" w:cs="Times New Roman"/>
          <w:sz w:val="21"/>
        </w:rPr>
        <w:t>，而</w:t>
      </w:r>
      <w:r w:rsidRPr="003F5882">
        <w:rPr>
          <w:rFonts w:ascii="Arial" w:hAnsi="Arial" w:cs="Times New Roman"/>
          <w:sz w:val="21"/>
        </w:rPr>
        <w:t>2013</w:t>
      </w:r>
      <w:r w:rsidRPr="003F5882">
        <w:rPr>
          <w:rFonts w:ascii="Arial" w:hAnsi="Arial" w:cs="Times New Roman"/>
          <w:sz w:val="21"/>
        </w:rPr>
        <w:t>年的平均利率为</w:t>
      </w:r>
      <w:r w:rsidRPr="003F5882">
        <w:rPr>
          <w:rFonts w:ascii="Arial" w:hAnsi="Arial" w:cs="Times New Roman"/>
          <w:sz w:val="21"/>
        </w:rPr>
        <w:t>0.558%</w:t>
      </w:r>
      <w:r w:rsidRPr="003F5882">
        <w:rPr>
          <w:rFonts w:ascii="Arial" w:hAnsi="Arial" w:cs="Times New Roman"/>
          <w:sz w:val="21"/>
        </w:rPr>
        <w:t>，因此利息收入有所下降。</w:t>
      </w:r>
      <w:r w:rsidRPr="003F5882">
        <w:rPr>
          <w:rFonts w:ascii="Arial" w:hAnsi="Arial" w:cs="Times New Roman"/>
          <w:sz w:val="21"/>
        </w:rPr>
        <w:t>2014</w:t>
      </w:r>
      <w:r w:rsidRPr="003F5882">
        <w:rPr>
          <w:rFonts w:ascii="Arial" w:hAnsi="Arial" w:cs="Times New Roman"/>
          <w:sz w:val="21"/>
        </w:rPr>
        <w:t>年仲裁与调解收入</w:t>
      </w:r>
      <w:r w:rsidRPr="003F5882">
        <w:rPr>
          <w:rFonts w:ascii="Arial" w:hAnsi="Arial" w:cs="Times New Roman"/>
          <w:sz w:val="21"/>
        </w:rPr>
        <w:t>150</w:t>
      </w:r>
      <w:r w:rsidRPr="003F5882">
        <w:rPr>
          <w:rFonts w:ascii="Arial" w:hAnsi="Arial" w:cs="Times New Roman"/>
          <w:sz w:val="21"/>
        </w:rPr>
        <w:t>万瑞郎，出版物销售收入</w:t>
      </w:r>
      <w:r w:rsidRPr="003F5882">
        <w:rPr>
          <w:rFonts w:ascii="Arial" w:hAnsi="Arial" w:cs="Times New Roman"/>
          <w:sz w:val="21"/>
        </w:rPr>
        <w:t>40</w:t>
      </w:r>
      <w:r w:rsidRPr="003F5882">
        <w:rPr>
          <w:rFonts w:ascii="Arial" w:hAnsi="Arial" w:cs="Times New Roman"/>
          <w:sz w:val="21"/>
        </w:rPr>
        <w:t>万瑞郎，基本与前一年持平。其他</w:t>
      </w:r>
      <w:r w:rsidRPr="003F5882">
        <w:rPr>
          <w:rFonts w:ascii="Arial" w:hAnsi="Arial" w:cs="Times New Roman"/>
          <w:sz w:val="21"/>
        </w:rPr>
        <w:t>/</w:t>
      </w:r>
      <w:r w:rsidRPr="003F5882">
        <w:rPr>
          <w:rFonts w:ascii="Arial" w:hAnsi="Arial" w:cs="Times New Roman"/>
          <w:sz w:val="21"/>
        </w:rPr>
        <w:t>杂项收入从</w:t>
      </w:r>
      <w:r w:rsidRPr="003F5882">
        <w:rPr>
          <w:rFonts w:ascii="Arial" w:hAnsi="Arial" w:cs="Times New Roman"/>
          <w:sz w:val="21"/>
        </w:rPr>
        <w:t>2013</w:t>
      </w:r>
      <w:r w:rsidRPr="003F5882">
        <w:rPr>
          <w:rFonts w:ascii="Arial" w:hAnsi="Arial" w:cs="Times New Roman"/>
          <w:sz w:val="21"/>
        </w:rPr>
        <w:t>年的</w:t>
      </w:r>
      <w:r w:rsidRPr="003F5882">
        <w:rPr>
          <w:rFonts w:ascii="Arial" w:hAnsi="Arial" w:cs="Times New Roman"/>
          <w:sz w:val="21"/>
        </w:rPr>
        <w:t>620</w:t>
      </w:r>
      <w:r w:rsidRPr="003F5882">
        <w:rPr>
          <w:rFonts w:ascii="Arial" w:hAnsi="Arial" w:cs="Times New Roman"/>
          <w:sz w:val="21"/>
        </w:rPr>
        <w:t>万瑞郎下跌至</w:t>
      </w:r>
      <w:r w:rsidRPr="003F5882">
        <w:rPr>
          <w:rFonts w:ascii="Arial" w:hAnsi="Arial" w:cs="Times New Roman"/>
          <w:sz w:val="21"/>
        </w:rPr>
        <w:t>2014</w:t>
      </w:r>
      <w:r w:rsidRPr="003F5882">
        <w:rPr>
          <w:rFonts w:ascii="Arial" w:hAnsi="Arial" w:cs="Times New Roman"/>
          <w:sz w:val="21"/>
        </w:rPr>
        <w:t>年的</w:t>
      </w:r>
      <w:r w:rsidRPr="003F5882">
        <w:rPr>
          <w:rFonts w:ascii="Arial" w:hAnsi="Arial" w:cs="Times New Roman"/>
          <w:sz w:val="21"/>
        </w:rPr>
        <w:t>300</w:t>
      </w:r>
      <w:r w:rsidRPr="003F5882">
        <w:rPr>
          <w:rFonts w:ascii="Arial" w:hAnsi="Arial" w:cs="Times New Roman"/>
          <w:sz w:val="21"/>
        </w:rPr>
        <w:t>万瑞郎。该数据</w:t>
      </w:r>
      <w:r w:rsidRPr="003F5882">
        <w:rPr>
          <w:rFonts w:ascii="Arial" w:hAnsi="Arial" w:cs="Times New Roman"/>
          <w:sz w:val="21"/>
        </w:rPr>
        <w:t>2013</w:t>
      </w:r>
      <w:r w:rsidRPr="003F5882">
        <w:rPr>
          <w:rFonts w:ascii="Arial" w:hAnsi="Arial" w:cs="Times New Roman"/>
          <w:sz w:val="21"/>
        </w:rPr>
        <w:t>年较高是因为</w:t>
      </w:r>
      <w:r w:rsidRPr="003F5882">
        <w:rPr>
          <w:rFonts w:ascii="Arial" w:hAnsi="Arial" w:cs="Times New Roman"/>
          <w:sz w:val="21"/>
        </w:rPr>
        <w:t>2013</w:t>
      </w:r>
      <w:r w:rsidRPr="003F5882">
        <w:rPr>
          <w:rFonts w:ascii="Arial" w:hAnsi="Arial" w:cs="Times New Roman"/>
          <w:sz w:val="21"/>
        </w:rPr>
        <w:t>年本组织收到</w:t>
      </w:r>
      <w:r w:rsidRPr="003F5882">
        <w:rPr>
          <w:rFonts w:ascii="Arial" w:hAnsi="Arial" w:cs="Times New Roman"/>
          <w:sz w:val="21"/>
        </w:rPr>
        <w:t>430</w:t>
      </w:r>
      <w:proofErr w:type="gramStart"/>
      <w:r w:rsidRPr="003F5882">
        <w:rPr>
          <w:rFonts w:ascii="Arial" w:hAnsi="Arial" w:cs="Times New Roman"/>
          <w:sz w:val="21"/>
        </w:rPr>
        <w:t>万瑞</w:t>
      </w:r>
      <w:proofErr w:type="gramEnd"/>
      <w:r w:rsidRPr="003F5882">
        <w:rPr>
          <w:rFonts w:ascii="Arial" w:hAnsi="Arial" w:cs="Times New Roman"/>
          <w:sz w:val="21"/>
        </w:rPr>
        <w:t>郎的信用票据，基本上都来自国际计算中心</w:t>
      </w:r>
      <w:r w:rsidR="00F453AC" w:rsidRPr="003F5882">
        <w:rPr>
          <w:rFonts w:ascii="Arial" w:hAnsi="Arial" w:cs="Times New Roman" w:hint="eastAsia"/>
          <w:sz w:val="21"/>
        </w:rPr>
        <w:t>（</w:t>
      </w:r>
      <w:r w:rsidRPr="003F5882">
        <w:rPr>
          <w:rFonts w:ascii="Arial" w:hAnsi="Arial" w:cs="Times New Roman"/>
          <w:sz w:val="21"/>
        </w:rPr>
        <w:t>ICC</w:t>
      </w:r>
      <w:r w:rsidR="00F453AC" w:rsidRPr="003F5882">
        <w:rPr>
          <w:rFonts w:ascii="Arial" w:hAnsi="Arial" w:cs="Times New Roman" w:hint="eastAsia"/>
          <w:sz w:val="21"/>
        </w:rPr>
        <w:t>）</w:t>
      </w:r>
      <w:r w:rsidRPr="003F5882">
        <w:rPr>
          <w:rFonts w:ascii="Arial" w:hAnsi="Arial" w:cs="Times New Roman"/>
          <w:sz w:val="21"/>
        </w:rPr>
        <w:t>。</w:t>
      </w:r>
    </w:p>
    <w:p w:rsidR="005A383E" w:rsidRPr="003F5882" w:rsidRDefault="005A383E" w:rsidP="003F5882">
      <w:pPr>
        <w:keepNext/>
        <w:spacing w:afterLines="50" w:after="120" w:line="340" w:lineRule="atLeast"/>
        <w:jc w:val="both"/>
        <w:rPr>
          <w:rFonts w:ascii="Arial" w:eastAsia="KaiTi" w:hAnsi="Arial" w:cs="Times New Roman"/>
          <w:b/>
          <w:i/>
          <w:sz w:val="21"/>
        </w:rPr>
      </w:pPr>
      <w:r w:rsidRPr="003F5882">
        <w:rPr>
          <w:rFonts w:ascii="Arial" w:eastAsia="KaiTi" w:hAnsi="Arial" w:cs="Times New Roman"/>
          <w:b/>
          <w:i/>
          <w:sz w:val="21"/>
        </w:rPr>
        <w:lastRenderedPageBreak/>
        <w:t>支出分析</w:t>
      </w:r>
    </w:p>
    <w:p w:rsidR="005A383E" w:rsidRPr="00F453AC" w:rsidRDefault="005A383E" w:rsidP="00E8494E">
      <w:pPr>
        <w:keepNext/>
        <w:spacing w:line="340" w:lineRule="atLeast"/>
        <w:jc w:val="center"/>
        <w:rPr>
          <w:rFonts w:ascii="Arial" w:eastAsia="SimSun" w:hAnsi="Arial" w:cs="Times New Roman"/>
          <w:sz w:val="21"/>
          <w:szCs w:val="22"/>
          <w:u w:val="single"/>
        </w:rPr>
      </w:pPr>
      <w:r w:rsidRPr="003F5882">
        <w:rPr>
          <w:rFonts w:ascii="Arial" w:hAnsi="Arial" w:cs="Times New Roman"/>
          <w:sz w:val="21"/>
          <w:u w:val="single"/>
        </w:rPr>
        <w:t>2014</w:t>
      </w:r>
      <w:r w:rsidRPr="003F5882">
        <w:rPr>
          <w:rFonts w:ascii="Arial" w:hAnsi="Arial" w:cs="Times New Roman"/>
          <w:sz w:val="21"/>
          <w:u w:val="single"/>
        </w:rPr>
        <w:t>年</w:t>
      </w:r>
      <w:r w:rsidRPr="003F5882">
        <w:rPr>
          <w:rFonts w:ascii="Arial" w:hAnsi="Arial" w:cs="Times New Roman"/>
          <w:sz w:val="21"/>
          <w:u w:val="single"/>
        </w:rPr>
        <w:t>IPSAS</w:t>
      </w:r>
      <w:r w:rsidRPr="003F5882">
        <w:rPr>
          <w:rFonts w:ascii="Arial" w:hAnsi="Arial" w:cs="Times New Roman"/>
          <w:sz w:val="21"/>
          <w:u w:val="single"/>
        </w:rPr>
        <w:t>制的支出构成</w:t>
      </w:r>
    </w:p>
    <w:p w:rsidR="005A383E" w:rsidRPr="005273FB" w:rsidRDefault="00F453AC" w:rsidP="005273FB">
      <w:pPr>
        <w:keepNext/>
        <w:spacing w:afterLines="50" w:after="120" w:line="340" w:lineRule="atLeast"/>
        <w:jc w:val="center"/>
        <w:rPr>
          <w:rFonts w:ascii="Arial" w:eastAsia="KaiTi" w:hAnsi="Arial" w:cs="Times New Roman"/>
          <w:i/>
          <w:sz w:val="21"/>
        </w:rPr>
      </w:pPr>
      <w:r w:rsidRPr="005273FB">
        <w:rPr>
          <w:rFonts w:ascii="Arial" w:eastAsia="KaiTi" w:hAnsi="Arial" w:cs="Times New Roman" w:hint="eastAsia"/>
          <w:i/>
          <w:sz w:val="21"/>
        </w:rPr>
        <w:t>（</w:t>
      </w:r>
      <w:r w:rsidR="005A383E" w:rsidRPr="005273FB">
        <w:rPr>
          <w:rFonts w:ascii="Arial" w:eastAsia="KaiTi" w:hAnsi="Arial" w:cs="Times New Roman"/>
          <w:i/>
          <w:sz w:val="21"/>
        </w:rPr>
        <w:t>单位：百</w:t>
      </w:r>
      <w:proofErr w:type="gramStart"/>
      <w:r w:rsidR="005A383E" w:rsidRPr="005273FB">
        <w:rPr>
          <w:rFonts w:ascii="Arial" w:eastAsia="KaiTi" w:hAnsi="Arial" w:cs="Times New Roman"/>
          <w:i/>
          <w:sz w:val="21"/>
        </w:rPr>
        <w:t>万瑞</w:t>
      </w:r>
      <w:proofErr w:type="gramEnd"/>
      <w:r w:rsidR="005A383E" w:rsidRPr="005273FB">
        <w:rPr>
          <w:rFonts w:ascii="Arial" w:eastAsia="KaiTi" w:hAnsi="Arial" w:cs="Times New Roman"/>
          <w:i/>
          <w:sz w:val="21"/>
        </w:rPr>
        <w:t>郎</w:t>
      </w:r>
      <w:r w:rsidRPr="005273FB">
        <w:rPr>
          <w:rFonts w:ascii="Arial" w:eastAsia="KaiTi" w:hAnsi="Arial" w:cs="Times New Roman" w:hint="eastAsia"/>
          <w:i/>
          <w:sz w:val="21"/>
        </w:rPr>
        <w:t>）</w:t>
      </w:r>
    </w:p>
    <w:p w:rsidR="005A383E" w:rsidRPr="00F453AC" w:rsidRDefault="00C822EE" w:rsidP="00E8494E">
      <w:pPr>
        <w:spacing w:afterLines="50" w:after="120" w:line="340" w:lineRule="atLeast"/>
        <w:jc w:val="center"/>
        <w:rPr>
          <w:rFonts w:ascii="Arial" w:eastAsia="SimSun" w:hAnsi="Arial" w:cs="Times New Roman"/>
          <w:sz w:val="21"/>
          <w:szCs w:val="22"/>
        </w:rPr>
      </w:pPr>
      <w:r w:rsidRPr="00C822EE">
        <w:drawing>
          <wp:inline distT="0" distB="0" distL="0" distR="0" wp14:anchorId="3F6D35E9" wp14:editId="5BB9F29A">
            <wp:extent cx="5977255" cy="2862470"/>
            <wp:effectExtent l="0" t="0" r="444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77255" cy="2862470"/>
                    </a:xfrm>
                    <a:prstGeom prst="rect">
                      <a:avLst/>
                    </a:prstGeom>
                    <a:noFill/>
                    <a:ln>
                      <a:noFill/>
                    </a:ln>
                  </pic:spPr>
                </pic:pic>
              </a:graphicData>
            </a:graphic>
          </wp:inline>
        </w:drawing>
      </w:r>
      <w:bookmarkStart w:id="8" w:name="_GoBack"/>
      <w:bookmarkEnd w:id="8"/>
    </w:p>
    <w:p w:rsidR="005A383E" w:rsidRPr="00F453AC" w:rsidRDefault="005A383E"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本组织</w:t>
      </w:r>
      <w:r w:rsidRPr="003F5882">
        <w:rPr>
          <w:rFonts w:ascii="Arial" w:hAnsi="Arial" w:cs="Times New Roman"/>
          <w:sz w:val="21"/>
        </w:rPr>
        <w:t>2014</w:t>
      </w:r>
      <w:r w:rsidRPr="003F5882">
        <w:rPr>
          <w:rFonts w:ascii="Arial" w:hAnsi="Arial" w:cs="Times New Roman"/>
          <w:sz w:val="21"/>
        </w:rPr>
        <w:t>年的总支出为</w:t>
      </w:r>
      <w:r w:rsidRPr="003F5882">
        <w:rPr>
          <w:rFonts w:ascii="Arial" w:hAnsi="Arial" w:cs="Times New Roman"/>
          <w:sz w:val="21"/>
        </w:rPr>
        <w:t>3.332</w:t>
      </w:r>
      <w:r w:rsidRPr="003F5882">
        <w:rPr>
          <w:rFonts w:ascii="Arial" w:hAnsi="Arial" w:cs="Times New Roman"/>
          <w:sz w:val="21"/>
        </w:rPr>
        <w:t>亿瑞郎，比</w:t>
      </w:r>
      <w:r w:rsidRPr="003F5882">
        <w:rPr>
          <w:rFonts w:ascii="Arial" w:hAnsi="Arial" w:cs="Times New Roman"/>
          <w:sz w:val="21"/>
        </w:rPr>
        <w:t>2013</w:t>
      </w:r>
      <w:r w:rsidRPr="003F5882">
        <w:rPr>
          <w:rFonts w:ascii="Arial" w:hAnsi="Arial" w:cs="Times New Roman"/>
          <w:sz w:val="21"/>
        </w:rPr>
        <w:t>年</w:t>
      </w:r>
      <w:r w:rsidRPr="003F5882">
        <w:rPr>
          <w:rFonts w:ascii="Arial" w:hAnsi="Arial" w:cs="Times New Roman"/>
          <w:sz w:val="21"/>
        </w:rPr>
        <w:t>3.365</w:t>
      </w:r>
      <w:r w:rsidRPr="003F5882">
        <w:rPr>
          <w:rFonts w:ascii="Arial" w:hAnsi="Arial" w:cs="Times New Roman"/>
          <w:sz w:val="21"/>
        </w:rPr>
        <w:t>亿瑞郎的总支</w:t>
      </w:r>
      <w:proofErr w:type="gramStart"/>
      <w:r w:rsidRPr="003F5882">
        <w:rPr>
          <w:rFonts w:ascii="Arial" w:hAnsi="Arial" w:cs="Times New Roman"/>
          <w:sz w:val="21"/>
        </w:rPr>
        <w:t>出降低</w:t>
      </w:r>
      <w:proofErr w:type="gramEnd"/>
      <w:r w:rsidRPr="003F5882">
        <w:rPr>
          <w:rFonts w:ascii="Arial" w:hAnsi="Arial" w:cs="Times New Roman"/>
          <w:sz w:val="21"/>
        </w:rPr>
        <w:t>了</w:t>
      </w:r>
      <w:r w:rsidRPr="003F5882">
        <w:rPr>
          <w:rFonts w:ascii="Arial" w:hAnsi="Arial" w:cs="Times New Roman"/>
          <w:sz w:val="21"/>
        </w:rPr>
        <w:t>1.0%</w:t>
      </w:r>
      <w:r w:rsidRPr="003F5882">
        <w:rPr>
          <w:rFonts w:ascii="Arial" w:hAnsi="Arial" w:cs="Times New Roman"/>
          <w:sz w:val="21"/>
        </w:rPr>
        <w:t>。本组织的最大支出是</w:t>
      </w:r>
      <w:r w:rsidRPr="003F5882">
        <w:rPr>
          <w:rFonts w:ascii="Arial" w:hAnsi="Arial" w:cs="Times New Roman"/>
          <w:sz w:val="21"/>
        </w:rPr>
        <w:t>2.164</w:t>
      </w:r>
      <w:r w:rsidRPr="003F5882">
        <w:rPr>
          <w:rFonts w:ascii="Arial" w:hAnsi="Arial" w:cs="Times New Roman"/>
          <w:sz w:val="21"/>
        </w:rPr>
        <w:t>亿瑞郎的人事费用，占总支出的</w:t>
      </w:r>
      <w:r w:rsidRPr="003F5882">
        <w:rPr>
          <w:rFonts w:ascii="Arial" w:hAnsi="Arial" w:cs="Times New Roman"/>
          <w:sz w:val="21"/>
        </w:rPr>
        <w:t>64.9%</w:t>
      </w:r>
      <w:r w:rsidRPr="003F5882">
        <w:rPr>
          <w:rFonts w:ascii="Arial" w:hAnsi="Arial" w:cs="Times New Roman"/>
          <w:sz w:val="21"/>
        </w:rPr>
        <w:t>。本组织第二大支出是花费</w:t>
      </w:r>
      <w:r w:rsidRPr="003F5882">
        <w:rPr>
          <w:rFonts w:ascii="Arial" w:hAnsi="Arial" w:cs="Times New Roman"/>
          <w:sz w:val="21"/>
        </w:rPr>
        <w:t>6,360</w:t>
      </w:r>
      <w:r w:rsidRPr="003F5882">
        <w:rPr>
          <w:rFonts w:ascii="Arial" w:hAnsi="Arial" w:cs="Times New Roman"/>
          <w:sz w:val="21"/>
        </w:rPr>
        <w:t>万瑞郎的订约承办事务，</w:t>
      </w:r>
      <w:r w:rsidR="00D765A0" w:rsidRPr="003F5882">
        <w:rPr>
          <w:rFonts w:ascii="Arial" w:hAnsi="Arial" w:cs="Times New Roman" w:hint="eastAsia"/>
          <w:sz w:val="21"/>
        </w:rPr>
        <w:t>再</w:t>
      </w:r>
      <w:r w:rsidRPr="003F5882">
        <w:rPr>
          <w:rFonts w:ascii="Arial" w:hAnsi="Arial" w:cs="Times New Roman"/>
          <w:sz w:val="21"/>
        </w:rPr>
        <w:t>次是</w:t>
      </w:r>
      <w:r w:rsidRPr="003F5882">
        <w:rPr>
          <w:rFonts w:ascii="Arial" w:hAnsi="Arial" w:cs="Times New Roman"/>
          <w:sz w:val="21"/>
        </w:rPr>
        <w:t>2,080</w:t>
      </w:r>
      <w:r w:rsidR="00D765A0" w:rsidRPr="003F5882">
        <w:rPr>
          <w:rFonts w:ascii="Arial" w:hAnsi="Arial" w:cs="Times New Roman" w:hint="eastAsia"/>
          <w:sz w:val="21"/>
        </w:rPr>
        <w:t>万</w:t>
      </w:r>
      <w:r w:rsidRPr="003F5882">
        <w:rPr>
          <w:rFonts w:ascii="Arial" w:hAnsi="Arial" w:cs="Times New Roman"/>
          <w:sz w:val="21"/>
        </w:rPr>
        <w:t>瑞郎的业务费用。下表为与上一年度相比支出类型变化摘要</w:t>
      </w:r>
      <w:r w:rsidR="00D765A0" w:rsidRPr="003F5882">
        <w:rPr>
          <w:rFonts w:ascii="Arial" w:hAnsi="Arial" w:cs="Times New Roman" w:hint="eastAsia"/>
          <w:sz w:val="21"/>
        </w:rPr>
        <w:t>。</w:t>
      </w:r>
    </w:p>
    <w:p w:rsidR="005A383E" w:rsidRPr="00F453AC" w:rsidRDefault="005A383E" w:rsidP="003F5882">
      <w:pPr>
        <w:keepNext/>
        <w:spacing w:afterLines="50" w:after="120" w:line="340" w:lineRule="atLeast"/>
        <w:jc w:val="center"/>
        <w:rPr>
          <w:rFonts w:ascii="Arial" w:hAnsi="Arial" w:cs="Times New Roman"/>
          <w:sz w:val="21"/>
          <w:u w:val="single"/>
        </w:rPr>
      </w:pPr>
      <w:r w:rsidRPr="00F453AC">
        <w:rPr>
          <w:rFonts w:ascii="Arial" w:hAnsi="Arial" w:cs="Times New Roman"/>
          <w:sz w:val="21"/>
          <w:u w:val="single"/>
        </w:rPr>
        <w:t>201</w:t>
      </w:r>
      <w:r w:rsidR="00D765A0" w:rsidRPr="00F453AC">
        <w:rPr>
          <w:rFonts w:ascii="Arial" w:hAnsi="Arial" w:cs="Times New Roman" w:hint="eastAsia"/>
          <w:sz w:val="21"/>
          <w:u w:val="single"/>
        </w:rPr>
        <w:t>4</w:t>
      </w:r>
      <w:r w:rsidRPr="00F453AC">
        <w:rPr>
          <w:rFonts w:ascii="Arial" w:hAnsi="Arial" w:cs="Times New Roman"/>
          <w:sz w:val="21"/>
          <w:u w:val="single"/>
        </w:rPr>
        <w:t>年和</w:t>
      </w:r>
      <w:r w:rsidRPr="00F453AC">
        <w:rPr>
          <w:rFonts w:ascii="Arial" w:hAnsi="Arial" w:cs="Times New Roman"/>
          <w:sz w:val="21"/>
          <w:u w:val="single"/>
        </w:rPr>
        <w:t>201</w:t>
      </w:r>
      <w:r w:rsidR="00D765A0" w:rsidRPr="00F453AC">
        <w:rPr>
          <w:rFonts w:ascii="Arial" w:hAnsi="Arial" w:cs="Times New Roman" w:hint="eastAsia"/>
          <w:sz w:val="21"/>
          <w:u w:val="single"/>
        </w:rPr>
        <w:t>3</w:t>
      </w:r>
      <w:r w:rsidRPr="00F453AC">
        <w:rPr>
          <w:rFonts w:ascii="Arial" w:hAnsi="Arial" w:cs="Times New Roman"/>
          <w:sz w:val="21"/>
          <w:u w:val="single"/>
        </w:rPr>
        <w:t>年相比的支出变化</w:t>
      </w:r>
    </w:p>
    <w:p w:rsidR="005A383E" w:rsidRPr="00F453AC" w:rsidRDefault="00E8494E" w:rsidP="00E8494E">
      <w:pPr>
        <w:spacing w:afterLines="50" w:after="120" w:line="340" w:lineRule="atLeast"/>
        <w:jc w:val="center"/>
        <w:rPr>
          <w:rFonts w:ascii="Arial" w:eastAsia="SimSun" w:hAnsi="Arial" w:cs="Times New Roman"/>
          <w:sz w:val="21"/>
          <w:szCs w:val="22"/>
        </w:rPr>
      </w:pPr>
      <w:r w:rsidRPr="00E8494E">
        <w:rPr>
          <w:noProof/>
          <w:lang w:val="en-US" w:bidi="ar-SA"/>
        </w:rPr>
        <w:drawing>
          <wp:inline distT="0" distB="0" distL="0" distR="0">
            <wp:extent cx="5970905" cy="2449830"/>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70905" cy="2449830"/>
                    </a:xfrm>
                    <a:prstGeom prst="rect">
                      <a:avLst/>
                    </a:prstGeom>
                    <a:noFill/>
                    <a:ln>
                      <a:noFill/>
                    </a:ln>
                  </pic:spPr>
                </pic:pic>
              </a:graphicData>
            </a:graphic>
          </wp:inline>
        </w:drawing>
      </w:r>
    </w:p>
    <w:p w:rsidR="005A383E" w:rsidRPr="00F453AC" w:rsidRDefault="005A383E"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人事</w:t>
      </w:r>
      <w:r w:rsidR="009F2BBA" w:rsidRPr="003F5882">
        <w:rPr>
          <w:rFonts w:ascii="Arial" w:hAnsi="Arial" w:cs="Times New Roman" w:hint="eastAsia"/>
          <w:sz w:val="21"/>
        </w:rPr>
        <w:t>费用</w:t>
      </w:r>
      <w:r w:rsidRPr="003F5882">
        <w:rPr>
          <w:rFonts w:ascii="Arial" w:hAnsi="Arial" w:cs="Times New Roman"/>
          <w:sz w:val="21"/>
        </w:rPr>
        <w:t>主要包括基薪净额和在职或临时职位员工的</w:t>
      </w:r>
      <w:r w:rsidR="009F2BBA" w:rsidRPr="003F5882">
        <w:rPr>
          <w:rFonts w:ascii="Arial" w:hAnsi="Arial" w:cs="Times New Roman" w:hint="eastAsia"/>
          <w:sz w:val="21"/>
        </w:rPr>
        <w:t>工作地</w:t>
      </w:r>
      <w:r w:rsidRPr="003F5882">
        <w:rPr>
          <w:rFonts w:ascii="Arial" w:hAnsi="Arial" w:cs="Times New Roman"/>
          <w:sz w:val="21"/>
        </w:rPr>
        <w:t>点差价调整</w:t>
      </w:r>
      <w:r w:rsidR="009F2BBA" w:rsidRPr="003F5882">
        <w:rPr>
          <w:rFonts w:ascii="Arial" w:hAnsi="Arial" w:cs="Times New Roman" w:hint="eastAsia"/>
          <w:sz w:val="21"/>
        </w:rPr>
        <w:t>数</w:t>
      </w:r>
      <w:r w:rsidRPr="003F5882">
        <w:rPr>
          <w:rFonts w:ascii="Arial" w:hAnsi="Arial" w:cs="Times New Roman"/>
          <w:sz w:val="21"/>
        </w:rPr>
        <w:t>。这些组合在一起为</w:t>
      </w:r>
      <w:r w:rsidRPr="003F5882">
        <w:rPr>
          <w:rFonts w:ascii="Arial" w:hAnsi="Arial" w:cs="Times New Roman"/>
          <w:sz w:val="21"/>
        </w:rPr>
        <w:t>1.453</w:t>
      </w:r>
      <w:r w:rsidRPr="003F5882">
        <w:rPr>
          <w:rFonts w:ascii="Arial" w:hAnsi="Arial" w:cs="Times New Roman"/>
          <w:sz w:val="21"/>
        </w:rPr>
        <w:t>亿瑞郎，占</w:t>
      </w:r>
      <w:r w:rsidRPr="003F5882">
        <w:rPr>
          <w:rFonts w:ascii="Arial" w:hAnsi="Arial" w:cs="Times New Roman"/>
          <w:sz w:val="21"/>
        </w:rPr>
        <w:t>2014</w:t>
      </w:r>
      <w:r w:rsidRPr="003F5882">
        <w:rPr>
          <w:rFonts w:ascii="Arial" w:hAnsi="Arial" w:cs="Times New Roman"/>
          <w:sz w:val="21"/>
        </w:rPr>
        <w:t>年人事</w:t>
      </w:r>
      <w:r w:rsidR="009F2BBA" w:rsidRPr="003F5882">
        <w:rPr>
          <w:rFonts w:ascii="Arial" w:hAnsi="Arial" w:cs="Times New Roman" w:hint="eastAsia"/>
          <w:sz w:val="21"/>
        </w:rPr>
        <w:t>费用</w:t>
      </w:r>
      <w:r w:rsidRPr="003F5882">
        <w:rPr>
          <w:rFonts w:ascii="Arial" w:hAnsi="Arial" w:cs="Times New Roman"/>
          <w:sz w:val="21"/>
        </w:rPr>
        <w:t>的</w:t>
      </w:r>
      <w:r w:rsidRPr="003F5882">
        <w:rPr>
          <w:rFonts w:ascii="Arial" w:hAnsi="Arial" w:cs="Times New Roman"/>
          <w:sz w:val="21"/>
        </w:rPr>
        <w:t>67.2%</w:t>
      </w:r>
      <w:r w:rsidRPr="003F5882">
        <w:rPr>
          <w:rFonts w:ascii="Arial" w:hAnsi="Arial" w:cs="Times New Roman"/>
          <w:sz w:val="21"/>
        </w:rPr>
        <w:t>。</w:t>
      </w:r>
      <w:r w:rsidR="00821F3A" w:rsidRPr="003F5882">
        <w:rPr>
          <w:rFonts w:ascii="Arial" w:hAnsi="Arial" w:cs="Times New Roman"/>
          <w:sz w:val="21"/>
        </w:rPr>
        <w:t>人事</w:t>
      </w:r>
      <w:r w:rsidR="009F2BBA" w:rsidRPr="003F5882">
        <w:rPr>
          <w:rFonts w:ascii="Arial" w:hAnsi="Arial" w:cs="Times New Roman" w:hint="eastAsia"/>
          <w:sz w:val="21"/>
        </w:rPr>
        <w:t>费用</w:t>
      </w:r>
      <w:r w:rsidR="00821F3A" w:rsidRPr="003F5882">
        <w:rPr>
          <w:rFonts w:ascii="Arial" w:hAnsi="Arial" w:cs="Times New Roman"/>
          <w:sz w:val="21"/>
        </w:rPr>
        <w:t>的下一个</w:t>
      </w:r>
      <w:r w:rsidR="009F2BBA" w:rsidRPr="003F5882">
        <w:rPr>
          <w:rFonts w:ascii="Arial" w:hAnsi="Arial" w:cs="Times New Roman" w:hint="eastAsia"/>
          <w:sz w:val="21"/>
        </w:rPr>
        <w:t>最</w:t>
      </w:r>
      <w:r w:rsidR="00821F3A" w:rsidRPr="003F5882">
        <w:rPr>
          <w:rFonts w:ascii="Arial" w:hAnsi="Arial" w:cs="Times New Roman"/>
          <w:sz w:val="21"/>
        </w:rPr>
        <w:t>重要要素是本组织对联合国合办工作人员养恤基金</w:t>
      </w:r>
      <w:r w:rsidR="00F453AC" w:rsidRPr="003F5882">
        <w:rPr>
          <w:rFonts w:ascii="Arial" w:hAnsi="Arial" w:cs="Times New Roman"/>
          <w:sz w:val="21"/>
        </w:rPr>
        <w:t>（</w:t>
      </w:r>
      <w:r w:rsidR="00821F3A" w:rsidRPr="003F5882">
        <w:rPr>
          <w:rFonts w:ascii="Arial" w:hAnsi="Arial" w:cs="Times New Roman"/>
          <w:sz w:val="21"/>
        </w:rPr>
        <w:t>UNJSPF</w:t>
      </w:r>
      <w:r w:rsidR="00F453AC" w:rsidRPr="003F5882">
        <w:rPr>
          <w:rFonts w:ascii="Arial" w:hAnsi="Arial" w:cs="Times New Roman"/>
          <w:sz w:val="21"/>
        </w:rPr>
        <w:t>）</w:t>
      </w:r>
      <w:r w:rsidR="00821F3A" w:rsidRPr="003F5882">
        <w:rPr>
          <w:rFonts w:ascii="Arial" w:hAnsi="Arial" w:cs="Times New Roman"/>
          <w:sz w:val="21"/>
        </w:rPr>
        <w:t>缴纳的退休计划缴费，</w:t>
      </w:r>
      <w:r w:rsidR="00821F3A" w:rsidRPr="003F5882">
        <w:rPr>
          <w:rFonts w:ascii="Arial" w:hAnsi="Arial" w:cs="Times New Roman"/>
          <w:sz w:val="21"/>
        </w:rPr>
        <w:t>2014</w:t>
      </w:r>
      <w:r w:rsidR="00821F3A" w:rsidRPr="003F5882">
        <w:rPr>
          <w:rFonts w:ascii="Arial" w:hAnsi="Arial" w:cs="Times New Roman"/>
          <w:sz w:val="21"/>
        </w:rPr>
        <w:t>年此项总额为</w:t>
      </w:r>
      <w:r w:rsidR="00821F3A" w:rsidRPr="003F5882">
        <w:rPr>
          <w:rFonts w:ascii="Arial" w:hAnsi="Arial" w:cs="Times New Roman"/>
          <w:sz w:val="21"/>
        </w:rPr>
        <w:t>2,600</w:t>
      </w:r>
      <w:proofErr w:type="gramStart"/>
      <w:r w:rsidR="00821F3A" w:rsidRPr="003F5882">
        <w:rPr>
          <w:rFonts w:ascii="Arial" w:hAnsi="Arial" w:cs="Times New Roman"/>
          <w:sz w:val="21"/>
        </w:rPr>
        <w:t>万瑞</w:t>
      </w:r>
      <w:proofErr w:type="gramEnd"/>
      <w:r w:rsidR="00821F3A" w:rsidRPr="003F5882">
        <w:rPr>
          <w:rFonts w:ascii="Arial" w:hAnsi="Arial" w:cs="Times New Roman"/>
          <w:sz w:val="21"/>
        </w:rPr>
        <w:t>郎。</w:t>
      </w:r>
      <w:r w:rsidRPr="003F5882">
        <w:rPr>
          <w:rFonts w:ascii="Arial" w:hAnsi="Arial" w:cs="Times New Roman"/>
          <w:sz w:val="21"/>
        </w:rPr>
        <w:t>目前，</w:t>
      </w:r>
      <w:r w:rsidRPr="003F5882">
        <w:rPr>
          <w:rFonts w:ascii="Arial" w:hAnsi="Arial" w:cs="Times New Roman"/>
          <w:sz w:val="21"/>
        </w:rPr>
        <w:t>WIPO</w:t>
      </w:r>
      <w:r w:rsidRPr="003F5882">
        <w:rPr>
          <w:rFonts w:ascii="Arial" w:hAnsi="Arial" w:cs="Times New Roman"/>
          <w:sz w:val="21"/>
        </w:rPr>
        <w:t>向</w:t>
      </w:r>
      <w:r w:rsidRPr="003F5882">
        <w:rPr>
          <w:rFonts w:ascii="Arial" w:hAnsi="Arial" w:cs="Times New Roman"/>
          <w:sz w:val="21"/>
        </w:rPr>
        <w:t>UNJSPF</w:t>
      </w:r>
      <w:r w:rsidR="00821F3A" w:rsidRPr="003F5882">
        <w:rPr>
          <w:rFonts w:ascii="Arial" w:hAnsi="Arial" w:cs="Times New Roman"/>
          <w:sz w:val="21"/>
        </w:rPr>
        <w:t>应缴</w:t>
      </w:r>
      <w:r w:rsidRPr="003F5882">
        <w:rPr>
          <w:rFonts w:ascii="Arial" w:hAnsi="Arial" w:cs="Times New Roman"/>
          <w:sz w:val="21"/>
        </w:rPr>
        <w:t>款占工作人员应计养恤金薪酬</w:t>
      </w:r>
      <w:r w:rsidR="009F2BBA" w:rsidRPr="003F5882">
        <w:rPr>
          <w:rFonts w:ascii="Arial" w:hAnsi="Arial" w:cs="Times New Roman" w:hint="eastAsia"/>
          <w:sz w:val="21"/>
        </w:rPr>
        <w:t>的</w:t>
      </w:r>
      <w:r w:rsidRPr="003F5882">
        <w:rPr>
          <w:rFonts w:ascii="Arial" w:hAnsi="Arial" w:cs="Times New Roman"/>
          <w:sz w:val="21"/>
        </w:rPr>
        <w:t>15.8%</w:t>
      </w:r>
      <w:r w:rsidRPr="003F5882">
        <w:rPr>
          <w:rFonts w:ascii="Arial" w:hAnsi="Arial" w:cs="Times New Roman"/>
          <w:sz w:val="21"/>
        </w:rPr>
        <w:t>。</w:t>
      </w:r>
      <w:r w:rsidRPr="003F5882">
        <w:rPr>
          <w:rFonts w:ascii="Arial" w:hAnsi="Arial" w:cs="Times New Roman"/>
          <w:sz w:val="21"/>
        </w:rPr>
        <w:t>1,630</w:t>
      </w:r>
      <w:r w:rsidRPr="003F5882">
        <w:rPr>
          <w:rFonts w:ascii="Arial" w:hAnsi="Arial" w:cs="Times New Roman"/>
          <w:sz w:val="21"/>
        </w:rPr>
        <w:t>万瑞郎备抵金占工作人员总支出的</w:t>
      </w:r>
      <w:r w:rsidRPr="003F5882">
        <w:rPr>
          <w:rFonts w:ascii="Arial" w:hAnsi="Arial" w:cs="Times New Roman"/>
          <w:sz w:val="21"/>
        </w:rPr>
        <w:t>7.5%</w:t>
      </w:r>
      <w:r w:rsidRPr="003F5882">
        <w:rPr>
          <w:rFonts w:ascii="Arial" w:hAnsi="Arial" w:cs="Times New Roman"/>
          <w:sz w:val="21"/>
        </w:rPr>
        <w:t>。备抵金主要包括</w:t>
      </w:r>
      <w:r w:rsidRPr="003F5882">
        <w:rPr>
          <w:rFonts w:ascii="Arial" w:hAnsi="Arial" w:cs="Times New Roman"/>
          <w:sz w:val="21"/>
        </w:rPr>
        <w:t>480</w:t>
      </w:r>
      <w:r w:rsidRPr="003F5882">
        <w:rPr>
          <w:rFonts w:ascii="Arial" w:hAnsi="Arial" w:cs="Times New Roman"/>
          <w:sz w:val="21"/>
        </w:rPr>
        <w:t>万瑞郎抚养津贴、</w:t>
      </w:r>
      <w:r w:rsidRPr="003F5882">
        <w:rPr>
          <w:rFonts w:ascii="Arial" w:hAnsi="Arial" w:cs="Times New Roman"/>
          <w:sz w:val="21"/>
        </w:rPr>
        <w:t>540</w:t>
      </w:r>
      <w:r w:rsidRPr="003F5882">
        <w:rPr>
          <w:rFonts w:ascii="Arial" w:hAnsi="Arial" w:cs="Times New Roman"/>
          <w:sz w:val="21"/>
        </w:rPr>
        <w:t>万瑞郎教育补助金和</w:t>
      </w:r>
      <w:r w:rsidRPr="003F5882">
        <w:rPr>
          <w:rFonts w:ascii="Arial" w:hAnsi="Arial" w:cs="Times New Roman"/>
          <w:sz w:val="21"/>
        </w:rPr>
        <w:t>300</w:t>
      </w:r>
      <w:r w:rsidRPr="003F5882">
        <w:rPr>
          <w:rFonts w:ascii="Arial" w:hAnsi="Arial" w:cs="Times New Roman"/>
          <w:sz w:val="21"/>
        </w:rPr>
        <w:t>万瑞郎回籍假。</w:t>
      </w:r>
      <w:r w:rsidRPr="003F5882">
        <w:rPr>
          <w:rFonts w:ascii="Arial" w:hAnsi="Arial" w:cs="Times New Roman"/>
          <w:sz w:val="21"/>
        </w:rPr>
        <w:t>2014</w:t>
      </w:r>
      <w:r w:rsidRPr="003F5882">
        <w:rPr>
          <w:rFonts w:ascii="Arial" w:hAnsi="Arial" w:cs="Times New Roman"/>
          <w:sz w:val="21"/>
        </w:rPr>
        <w:t>年，本组织为在职工作人员缴纳月医疗保险费支出总计</w:t>
      </w:r>
      <w:r w:rsidRPr="003F5882">
        <w:rPr>
          <w:rFonts w:ascii="Arial" w:hAnsi="Arial" w:cs="Times New Roman"/>
          <w:sz w:val="21"/>
        </w:rPr>
        <w:t>1,000</w:t>
      </w:r>
      <w:r w:rsidRPr="003F5882">
        <w:rPr>
          <w:rFonts w:ascii="Arial" w:hAnsi="Arial" w:cs="Times New Roman"/>
          <w:sz w:val="21"/>
        </w:rPr>
        <w:t>万瑞郎。其他人事</w:t>
      </w:r>
      <w:r w:rsidR="009F2BBA" w:rsidRPr="003F5882">
        <w:rPr>
          <w:rFonts w:ascii="Arial" w:hAnsi="Arial" w:cs="Times New Roman" w:hint="eastAsia"/>
          <w:sz w:val="21"/>
        </w:rPr>
        <w:t>费用</w:t>
      </w:r>
      <w:r w:rsidRPr="003F5882">
        <w:rPr>
          <w:rFonts w:ascii="Arial" w:hAnsi="Arial" w:cs="Times New Roman"/>
          <w:sz w:val="21"/>
        </w:rPr>
        <w:t>为</w:t>
      </w:r>
      <w:r w:rsidRPr="003F5882">
        <w:rPr>
          <w:rFonts w:ascii="Arial" w:hAnsi="Arial" w:cs="Times New Roman"/>
          <w:sz w:val="21"/>
        </w:rPr>
        <w:t>510</w:t>
      </w:r>
      <w:r w:rsidRPr="003F5882">
        <w:rPr>
          <w:rFonts w:ascii="Arial" w:hAnsi="Arial" w:cs="Times New Roman"/>
          <w:sz w:val="21"/>
        </w:rPr>
        <w:t>万瑞郎，</w:t>
      </w:r>
      <w:r w:rsidR="00E93C63" w:rsidRPr="003F5882">
        <w:rPr>
          <w:rFonts w:ascii="Arial" w:hAnsi="Arial" w:cs="Times New Roman" w:hint="eastAsia"/>
          <w:sz w:val="21"/>
        </w:rPr>
        <w:t>其中</w:t>
      </w:r>
      <w:r w:rsidRPr="003F5882">
        <w:rPr>
          <w:rFonts w:ascii="Arial" w:hAnsi="Arial" w:cs="Times New Roman"/>
          <w:sz w:val="21"/>
        </w:rPr>
        <w:t>包括其他员工保险缴款和终止合同。</w:t>
      </w:r>
    </w:p>
    <w:p w:rsidR="005A383E" w:rsidRPr="00F453AC" w:rsidRDefault="005A383E" w:rsidP="003F5882">
      <w:pPr>
        <w:keepNext/>
        <w:spacing w:afterLines="50" w:after="120" w:line="340" w:lineRule="atLeast"/>
        <w:jc w:val="center"/>
        <w:rPr>
          <w:rFonts w:ascii="Arial" w:hAnsi="Arial" w:cs="Times New Roman"/>
          <w:sz w:val="21"/>
          <w:u w:val="single"/>
        </w:rPr>
      </w:pPr>
      <w:r w:rsidRPr="00F453AC">
        <w:rPr>
          <w:rFonts w:ascii="Arial" w:hAnsi="Arial" w:cs="Times New Roman"/>
          <w:sz w:val="21"/>
          <w:u w:val="single"/>
        </w:rPr>
        <w:lastRenderedPageBreak/>
        <w:t>2014</w:t>
      </w:r>
      <w:r w:rsidRPr="00F453AC">
        <w:rPr>
          <w:rFonts w:ascii="Arial" w:hAnsi="Arial" w:cs="Times New Roman"/>
          <w:sz w:val="21"/>
          <w:u w:val="single"/>
        </w:rPr>
        <w:t>年</w:t>
      </w:r>
      <w:r w:rsidRPr="00F453AC">
        <w:rPr>
          <w:rFonts w:ascii="Arial" w:hAnsi="Arial" w:cs="Times New Roman"/>
          <w:sz w:val="21"/>
          <w:u w:val="single"/>
        </w:rPr>
        <w:t>IPSAS</w:t>
      </w:r>
      <w:r w:rsidRPr="00F453AC">
        <w:rPr>
          <w:rFonts w:ascii="Arial" w:hAnsi="Arial" w:cs="Times New Roman"/>
          <w:sz w:val="21"/>
          <w:u w:val="single"/>
        </w:rPr>
        <w:t>制的人事</w:t>
      </w:r>
      <w:r w:rsidR="00E93C63" w:rsidRPr="00F453AC">
        <w:rPr>
          <w:rFonts w:ascii="Arial" w:hAnsi="Arial" w:cs="Times New Roman" w:hint="eastAsia"/>
          <w:sz w:val="21"/>
          <w:u w:val="single"/>
        </w:rPr>
        <w:t>费用</w:t>
      </w:r>
      <w:r w:rsidRPr="00F453AC">
        <w:rPr>
          <w:rFonts w:ascii="Arial" w:hAnsi="Arial" w:cs="Times New Roman"/>
          <w:sz w:val="21"/>
          <w:u w:val="single"/>
        </w:rPr>
        <w:t>构成</w:t>
      </w:r>
    </w:p>
    <w:p w:rsidR="005A383E" w:rsidRPr="005273FB" w:rsidRDefault="00F453AC" w:rsidP="005273FB">
      <w:pPr>
        <w:keepNext/>
        <w:spacing w:afterLines="50" w:after="120" w:line="340" w:lineRule="atLeast"/>
        <w:jc w:val="center"/>
        <w:rPr>
          <w:rFonts w:ascii="Arial" w:eastAsia="KaiTi" w:hAnsi="Arial" w:cs="Times New Roman"/>
          <w:i/>
          <w:sz w:val="21"/>
        </w:rPr>
      </w:pPr>
      <w:r w:rsidRPr="005273FB">
        <w:rPr>
          <w:rFonts w:ascii="Arial" w:eastAsia="KaiTi" w:hAnsi="Arial" w:cs="Times New Roman" w:hint="eastAsia"/>
          <w:i/>
          <w:sz w:val="21"/>
        </w:rPr>
        <w:t>（</w:t>
      </w:r>
      <w:r w:rsidR="005A383E" w:rsidRPr="005273FB">
        <w:rPr>
          <w:rFonts w:ascii="Arial" w:eastAsia="KaiTi" w:hAnsi="Arial" w:cs="Times New Roman"/>
          <w:i/>
          <w:sz w:val="21"/>
        </w:rPr>
        <w:t>单位：百</w:t>
      </w:r>
      <w:proofErr w:type="gramStart"/>
      <w:r w:rsidR="005A383E" w:rsidRPr="005273FB">
        <w:rPr>
          <w:rFonts w:ascii="Arial" w:eastAsia="KaiTi" w:hAnsi="Arial" w:cs="Times New Roman"/>
          <w:i/>
          <w:sz w:val="21"/>
        </w:rPr>
        <w:t>万瑞</w:t>
      </w:r>
      <w:proofErr w:type="gramEnd"/>
      <w:r w:rsidR="005A383E" w:rsidRPr="005273FB">
        <w:rPr>
          <w:rFonts w:ascii="Arial" w:eastAsia="KaiTi" w:hAnsi="Arial" w:cs="Times New Roman"/>
          <w:i/>
          <w:sz w:val="21"/>
        </w:rPr>
        <w:t>郎</w:t>
      </w:r>
      <w:r w:rsidRPr="005273FB">
        <w:rPr>
          <w:rFonts w:ascii="Arial" w:eastAsia="KaiTi" w:hAnsi="Arial" w:cs="Times New Roman" w:hint="eastAsia"/>
          <w:i/>
          <w:sz w:val="21"/>
        </w:rPr>
        <w:t>）</w:t>
      </w:r>
    </w:p>
    <w:p w:rsidR="005A383E" w:rsidRPr="00F453AC" w:rsidRDefault="00D84912" w:rsidP="00D84912">
      <w:pPr>
        <w:spacing w:afterLines="50" w:after="120" w:line="340" w:lineRule="atLeast"/>
        <w:jc w:val="center"/>
        <w:rPr>
          <w:rFonts w:ascii="Arial" w:eastAsia="SimSun" w:hAnsi="Arial" w:cs="Times New Roman"/>
          <w:sz w:val="21"/>
          <w:szCs w:val="22"/>
        </w:rPr>
      </w:pPr>
      <w:r w:rsidRPr="00D84912">
        <w:rPr>
          <w:noProof/>
          <w:lang w:val="en-US" w:bidi="ar-SA"/>
        </w:rPr>
        <w:drawing>
          <wp:inline distT="0" distB="0" distL="0" distR="0">
            <wp:extent cx="4305935" cy="2859405"/>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305935" cy="2859405"/>
                    </a:xfrm>
                    <a:prstGeom prst="rect">
                      <a:avLst/>
                    </a:prstGeom>
                    <a:noFill/>
                    <a:ln>
                      <a:noFill/>
                    </a:ln>
                  </pic:spPr>
                </pic:pic>
              </a:graphicData>
            </a:graphic>
          </wp:inline>
        </w:drawing>
      </w:r>
    </w:p>
    <w:p w:rsidR="005A383E" w:rsidRPr="00F453AC" w:rsidRDefault="005A383E"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离职后雇员福利是本组织缴纳离职后健康保险</w:t>
      </w:r>
      <w:r w:rsidR="00F453AC" w:rsidRPr="003F5882">
        <w:rPr>
          <w:rFonts w:ascii="Arial" w:hAnsi="Arial" w:cs="Times New Roman"/>
          <w:sz w:val="21"/>
        </w:rPr>
        <w:t>（</w:t>
      </w:r>
      <w:r w:rsidRPr="003F5882">
        <w:rPr>
          <w:rFonts w:ascii="Arial" w:hAnsi="Arial" w:cs="Times New Roman"/>
          <w:sz w:val="21"/>
        </w:rPr>
        <w:t>ASHI</w:t>
      </w:r>
      <w:r w:rsidR="00F453AC" w:rsidRPr="003F5882">
        <w:rPr>
          <w:rFonts w:ascii="Arial" w:hAnsi="Arial" w:cs="Times New Roman"/>
          <w:sz w:val="21"/>
        </w:rPr>
        <w:t>）</w:t>
      </w:r>
      <w:r w:rsidRPr="003F5882">
        <w:rPr>
          <w:rFonts w:ascii="Arial" w:hAnsi="Arial" w:cs="Times New Roman"/>
          <w:sz w:val="21"/>
        </w:rPr>
        <w:t>、回国补助金和差旅费以及累计年假的费用</w:t>
      </w:r>
      <w:r w:rsidRPr="003F5882">
        <w:rPr>
          <w:rFonts w:ascii="Arial" w:hAnsi="Arial" w:cs="Times New Roman"/>
          <w:sz w:val="21"/>
        </w:rPr>
        <w:t>,</w:t>
      </w:r>
      <w:r w:rsidRPr="003F5882">
        <w:rPr>
          <w:rFonts w:ascii="Arial" w:hAnsi="Arial" w:cs="Times New Roman"/>
          <w:sz w:val="21"/>
        </w:rPr>
        <w:t>为</w:t>
      </w:r>
      <w:r w:rsidRPr="003F5882">
        <w:rPr>
          <w:rFonts w:ascii="Arial" w:hAnsi="Arial" w:cs="Times New Roman"/>
          <w:sz w:val="21"/>
        </w:rPr>
        <w:t>1,370</w:t>
      </w:r>
      <w:proofErr w:type="gramStart"/>
      <w:r w:rsidRPr="003F5882">
        <w:rPr>
          <w:rFonts w:ascii="Arial" w:hAnsi="Arial" w:cs="Times New Roman"/>
          <w:sz w:val="21"/>
        </w:rPr>
        <w:t>万瑞</w:t>
      </w:r>
      <w:proofErr w:type="gramEnd"/>
      <w:r w:rsidRPr="003F5882">
        <w:rPr>
          <w:rFonts w:ascii="Arial" w:hAnsi="Arial" w:cs="Times New Roman"/>
          <w:sz w:val="21"/>
        </w:rPr>
        <w:t>郎。</w:t>
      </w:r>
      <w:r w:rsidRPr="003F5882">
        <w:rPr>
          <w:rFonts w:ascii="Arial" w:hAnsi="Arial" w:cs="Times New Roman"/>
          <w:sz w:val="21"/>
        </w:rPr>
        <w:t>2014</w:t>
      </w:r>
      <w:r w:rsidRPr="003F5882">
        <w:rPr>
          <w:rFonts w:ascii="Arial" w:hAnsi="Arial" w:cs="Times New Roman"/>
          <w:sz w:val="21"/>
        </w:rPr>
        <w:t>年支出等于这些福利的实际现金支出，加上与</w:t>
      </w:r>
      <w:r w:rsidRPr="003F5882">
        <w:rPr>
          <w:rFonts w:ascii="Arial" w:hAnsi="Arial" w:cs="Times New Roman"/>
          <w:sz w:val="21"/>
        </w:rPr>
        <w:t>2013</w:t>
      </w:r>
      <w:r w:rsidRPr="003F5882">
        <w:rPr>
          <w:rFonts w:ascii="Arial" w:hAnsi="Arial" w:cs="Times New Roman"/>
          <w:sz w:val="21"/>
        </w:rPr>
        <w:t>年</w:t>
      </w:r>
      <w:r w:rsidRPr="003F5882">
        <w:rPr>
          <w:rFonts w:ascii="Arial" w:hAnsi="Arial" w:cs="Times New Roman"/>
          <w:sz w:val="21"/>
        </w:rPr>
        <w:t>12</w:t>
      </w:r>
      <w:r w:rsidRPr="003F5882">
        <w:rPr>
          <w:rFonts w:ascii="Arial" w:hAnsi="Arial" w:cs="Times New Roman"/>
          <w:sz w:val="21"/>
        </w:rPr>
        <w:t>月</w:t>
      </w:r>
      <w:r w:rsidRPr="003F5882">
        <w:rPr>
          <w:rFonts w:ascii="Arial" w:hAnsi="Arial" w:cs="Times New Roman"/>
          <w:sz w:val="21"/>
        </w:rPr>
        <w:t>31</w:t>
      </w:r>
      <w:r w:rsidRPr="003F5882">
        <w:rPr>
          <w:rFonts w:ascii="Arial" w:hAnsi="Arial" w:cs="Times New Roman"/>
          <w:sz w:val="21"/>
        </w:rPr>
        <w:t>日相比总负债金额的变动。</w:t>
      </w:r>
    </w:p>
    <w:p w:rsidR="005A383E" w:rsidRPr="00F453AC" w:rsidRDefault="005A383E" w:rsidP="003F5882">
      <w:pPr>
        <w:keepNext/>
        <w:spacing w:afterLines="50" w:after="120" w:line="340" w:lineRule="atLeast"/>
        <w:jc w:val="center"/>
        <w:rPr>
          <w:rFonts w:ascii="Arial" w:eastAsia="SimSun" w:hAnsi="Arial" w:cs="Times New Roman"/>
          <w:sz w:val="21"/>
          <w:szCs w:val="22"/>
        </w:rPr>
      </w:pPr>
      <w:r w:rsidRPr="003F5882">
        <w:rPr>
          <w:rFonts w:ascii="Arial" w:hAnsi="Arial" w:cs="Times New Roman"/>
          <w:sz w:val="21"/>
          <w:u w:val="single"/>
        </w:rPr>
        <w:t>2014</w:t>
      </w:r>
      <w:r w:rsidRPr="003F5882">
        <w:rPr>
          <w:rFonts w:ascii="Arial" w:hAnsi="Arial" w:cs="Times New Roman"/>
          <w:sz w:val="21"/>
          <w:u w:val="single"/>
        </w:rPr>
        <w:t>年离职后雇员福利支出</w:t>
      </w:r>
    </w:p>
    <w:p w:rsidR="005A383E" w:rsidRPr="00F453AC" w:rsidRDefault="00D84912" w:rsidP="00D84912">
      <w:pPr>
        <w:spacing w:afterLines="50" w:after="120" w:line="340" w:lineRule="atLeast"/>
        <w:jc w:val="center"/>
        <w:rPr>
          <w:rFonts w:ascii="Arial" w:eastAsia="SimSun" w:hAnsi="Arial" w:cs="Times New Roman"/>
          <w:sz w:val="21"/>
          <w:szCs w:val="22"/>
        </w:rPr>
      </w:pPr>
      <w:r w:rsidRPr="00D84912">
        <w:rPr>
          <w:noProof/>
          <w:lang w:val="en-US" w:bidi="ar-SA"/>
        </w:rPr>
        <w:drawing>
          <wp:inline distT="0" distB="0" distL="0" distR="0">
            <wp:extent cx="5821045" cy="1849120"/>
            <wp:effectExtent l="0" t="0" r="8255"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821045" cy="1849120"/>
                    </a:xfrm>
                    <a:prstGeom prst="rect">
                      <a:avLst/>
                    </a:prstGeom>
                    <a:noFill/>
                    <a:ln>
                      <a:noFill/>
                    </a:ln>
                  </pic:spPr>
                </pic:pic>
              </a:graphicData>
            </a:graphic>
          </wp:inline>
        </w:drawing>
      </w:r>
    </w:p>
    <w:p w:rsidR="005A383E" w:rsidRPr="00F453AC" w:rsidRDefault="005A383E"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总人事</w:t>
      </w:r>
      <w:r w:rsidR="00060D99" w:rsidRPr="003F5882">
        <w:rPr>
          <w:rFonts w:ascii="Arial" w:hAnsi="Arial" w:cs="Times New Roman" w:hint="eastAsia"/>
          <w:sz w:val="21"/>
        </w:rPr>
        <w:t>费用</w:t>
      </w:r>
      <w:r w:rsidRPr="003F5882">
        <w:rPr>
          <w:rFonts w:ascii="Arial" w:hAnsi="Arial" w:cs="Times New Roman"/>
          <w:sz w:val="21"/>
        </w:rPr>
        <w:t>为</w:t>
      </w:r>
      <w:r w:rsidRPr="003F5882">
        <w:rPr>
          <w:rFonts w:ascii="Arial" w:hAnsi="Arial" w:cs="Times New Roman"/>
          <w:sz w:val="21"/>
        </w:rPr>
        <w:t>2.164</w:t>
      </w:r>
      <w:r w:rsidRPr="003F5882">
        <w:rPr>
          <w:rFonts w:ascii="Arial" w:hAnsi="Arial" w:cs="Times New Roman"/>
          <w:sz w:val="21"/>
        </w:rPr>
        <w:t>亿瑞郎，与</w:t>
      </w:r>
      <w:r w:rsidRPr="003F5882">
        <w:rPr>
          <w:rFonts w:ascii="Arial" w:hAnsi="Arial" w:cs="Times New Roman"/>
          <w:sz w:val="21"/>
        </w:rPr>
        <w:t>2013</w:t>
      </w:r>
      <w:r w:rsidRPr="003F5882">
        <w:rPr>
          <w:rFonts w:ascii="Arial" w:hAnsi="Arial" w:cs="Times New Roman"/>
          <w:sz w:val="21"/>
        </w:rPr>
        <w:t>年</w:t>
      </w:r>
      <w:r w:rsidRPr="003F5882">
        <w:rPr>
          <w:rFonts w:ascii="Arial" w:hAnsi="Arial" w:cs="Times New Roman"/>
          <w:sz w:val="21"/>
        </w:rPr>
        <w:t>2.14</w:t>
      </w:r>
      <w:r w:rsidR="00060D99" w:rsidRPr="003F5882">
        <w:rPr>
          <w:rFonts w:ascii="Arial" w:hAnsi="Arial" w:cs="Times New Roman" w:hint="eastAsia"/>
          <w:sz w:val="21"/>
        </w:rPr>
        <w:t>0</w:t>
      </w:r>
      <w:r w:rsidRPr="003F5882">
        <w:rPr>
          <w:rFonts w:ascii="Arial" w:hAnsi="Arial" w:cs="Times New Roman"/>
          <w:sz w:val="21"/>
        </w:rPr>
        <w:t>亿总人事</w:t>
      </w:r>
      <w:r w:rsidR="00060D99" w:rsidRPr="003F5882">
        <w:rPr>
          <w:rFonts w:ascii="Arial" w:hAnsi="Arial" w:cs="Times New Roman" w:hint="eastAsia"/>
          <w:sz w:val="21"/>
        </w:rPr>
        <w:t>费用</w:t>
      </w:r>
      <w:r w:rsidRPr="003F5882">
        <w:rPr>
          <w:rFonts w:ascii="Arial" w:hAnsi="Arial" w:cs="Times New Roman"/>
          <w:sz w:val="21"/>
        </w:rPr>
        <w:t>相比增幅为</w:t>
      </w:r>
      <w:r w:rsidRPr="003F5882">
        <w:rPr>
          <w:rFonts w:ascii="Arial" w:hAnsi="Arial" w:cs="Times New Roman"/>
          <w:sz w:val="21"/>
        </w:rPr>
        <w:t>1.1%</w:t>
      </w:r>
      <w:r w:rsidRPr="003F5882">
        <w:rPr>
          <w:rFonts w:ascii="Arial" w:hAnsi="Arial" w:cs="Times New Roman"/>
          <w:sz w:val="21"/>
        </w:rPr>
        <w:t>。下表显示了人事</w:t>
      </w:r>
      <w:r w:rsidR="00060D99" w:rsidRPr="003F5882">
        <w:rPr>
          <w:rFonts w:ascii="Arial" w:hAnsi="Arial" w:cs="Times New Roman" w:hint="eastAsia"/>
          <w:sz w:val="21"/>
        </w:rPr>
        <w:t>费用的分类详情</w:t>
      </w:r>
      <w:r w:rsidRPr="003F5882">
        <w:rPr>
          <w:rFonts w:ascii="Arial" w:hAnsi="Arial" w:cs="Times New Roman"/>
          <w:sz w:val="21"/>
        </w:rPr>
        <w:t>及</w:t>
      </w:r>
      <w:r w:rsidR="00060D99" w:rsidRPr="003F5882">
        <w:rPr>
          <w:rFonts w:ascii="Arial" w:hAnsi="Arial" w:cs="Times New Roman"/>
          <w:sz w:val="21"/>
        </w:rPr>
        <w:t>与</w:t>
      </w:r>
      <w:r w:rsidR="00060D99" w:rsidRPr="003F5882">
        <w:rPr>
          <w:rFonts w:ascii="Arial" w:hAnsi="Arial" w:cs="Times New Roman"/>
          <w:sz w:val="21"/>
        </w:rPr>
        <w:t>2013</w:t>
      </w:r>
      <w:r w:rsidR="00060D99" w:rsidRPr="003F5882">
        <w:rPr>
          <w:rFonts w:ascii="Arial" w:hAnsi="Arial" w:cs="Times New Roman"/>
          <w:sz w:val="21"/>
        </w:rPr>
        <w:t>年相比</w:t>
      </w:r>
      <w:r w:rsidR="00060D99" w:rsidRPr="003F5882">
        <w:rPr>
          <w:rFonts w:ascii="Arial" w:hAnsi="Arial" w:cs="Times New Roman" w:hint="eastAsia"/>
          <w:sz w:val="21"/>
        </w:rPr>
        <w:t>的</w:t>
      </w:r>
      <w:r w:rsidRPr="003F5882">
        <w:rPr>
          <w:rFonts w:ascii="Arial" w:hAnsi="Arial" w:cs="Times New Roman"/>
          <w:sz w:val="21"/>
        </w:rPr>
        <w:t>变化</w:t>
      </w:r>
      <w:r w:rsidR="00060D99" w:rsidRPr="003F5882">
        <w:rPr>
          <w:rFonts w:ascii="Arial" w:hAnsi="Arial" w:cs="Times New Roman" w:hint="eastAsia"/>
          <w:sz w:val="21"/>
        </w:rPr>
        <w:t>。</w:t>
      </w:r>
    </w:p>
    <w:p w:rsidR="005A383E" w:rsidRPr="00F453AC" w:rsidRDefault="005A383E" w:rsidP="003F5882">
      <w:pPr>
        <w:keepNext/>
        <w:spacing w:afterLines="50" w:after="120" w:line="340" w:lineRule="atLeast"/>
        <w:jc w:val="center"/>
        <w:rPr>
          <w:rFonts w:ascii="Arial" w:eastAsia="SimSun" w:hAnsi="Arial" w:cs="Times New Roman"/>
          <w:sz w:val="21"/>
          <w:szCs w:val="22"/>
          <w:u w:val="single"/>
        </w:rPr>
      </w:pPr>
      <w:r w:rsidRPr="003F5882">
        <w:rPr>
          <w:rFonts w:ascii="Arial" w:hAnsi="Arial" w:cs="Times New Roman"/>
          <w:sz w:val="21"/>
          <w:u w:val="single"/>
        </w:rPr>
        <w:lastRenderedPageBreak/>
        <w:t>2013</w:t>
      </w:r>
      <w:r w:rsidRPr="003F5882">
        <w:rPr>
          <w:rFonts w:ascii="Arial" w:hAnsi="Arial" w:cs="Times New Roman"/>
          <w:sz w:val="21"/>
          <w:u w:val="single"/>
        </w:rPr>
        <w:t>年和</w:t>
      </w:r>
      <w:r w:rsidRPr="003F5882">
        <w:rPr>
          <w:rFonts w:ascii="Arial" w:hAnsi="Arial" w:cs="Times New Roman"/>
          <w:sz w:val="21"/>
          <w:u w:val="single"/>
        </w:rPr>
        <w:t>2014</w:t>
      </w:r>
      <w:r w:rsidRPr="003F5882">
        <w:rPr>
          <w:rFonts w:ascii="Arial" w:hAnsi="Arial" w:cs="Times New Roman"/>
          <w:sz w:val="21"/>
          <w:u w:val="single"/>
        </w:rPr>
        <w:t>年人事</w:t>
      </w:r>
      <w:r w:rsidR="00380F24" w:rsidRPr="003F5882">
        <w:rPr>
          <w:rFonts w:ascii="Arial" w:hAnsi="Arial" w:cs="Times New Roman" w:hint="eastAsia"/>
          <w:sz w:val="21"/>
          <w:u w:val="single"/>
        </w:rPr>
        <w:t>费用</w:t>
      </w:r>
      <w:r w:rsidRPr="003F5882">
        <w:rPr>
          <w:rFonts w:ascii="Arial" w:hAnsi="Arial" w:cs="Times New Roman"/>
          <w:sz w:val="21"/>
          <w:u w:val="single"/>
        </w:rPr>
        <w:t>详情</w:t>
      </w:r>
    </w:p>
    <w:p w:rsidR="005A383E" w:rsidRPr="00F453AC" w:rsidRDefault="00D84912" w:rsidP="00D84912">
      <w:pPr>
        <w:spacing w:afterLines="50" w:after="120" w:line="340" w:lineRule="atLeast"/>
        <w:jc w:val="center"/>
        <w:rPr>
          <w:rFonts w:ascii="Arial" w:eastAsia="SimSun" w:hAnsi="Arial" w:cs="Times New Roman"/>
          <w:sz w:val="21"/>
          <w:szCs w:val="22"/>
        </w:rPr>
      </w:pPr>
      <w:r w:rsidRPr="00D84912">
        <w:rPr>
          <w:noProof/>
          <w:lang w:val="en-US" w:bidi="ar-SA"/>
        </w:rPr>
        <w:drawing>
          <wp:inline distT="0" distB="0" distL="0" distR="0">
            <wp:extent cx="5793740" cy="3712210"/>
            <wp:effectExtent l="0" t="0" r="0" b="254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93740" cy="3712210"/>
                    </a:xfrm>
                    <a:prstGeom prst="rect">
                      <a:avLst/>
                    </a:prstGeom>
                    <a:noFill/>
                    <a:ln>
                      <a:noFill/>
                    </a:ln>
                  </pic:spPr>
                </pic:pic>
              </a:graphicData>
            </a:graphic>
          </wp:inline>
        </w:drawing>
      </w:r>
    </w:p>
    <w:p w:rsidR="005A383E" w:rsidRPr="003F5882" w:rsidRDefault="005A383E" w:rsidP="00F04843">
      <w:pPr>
        <w:numPr>
          <w:ilvl w:val="0"/>
          <w:numId w:val="1"/>
        </w:numPr>
        <w:tabs>
          <w:tab w:val="clear" w:pos="567"/>
        </w:tabs>
        <w:overflowPunct w:val="0"/>
        <w:spacing w:afterLines="50" w:after="120" w:line="340" w:lineRule="atLeast"/>
        <w:jc w:val="both"/>
        <w:rPr>
          <w:rFonts w:ascii="Arial" w:eastAsia="KaiTi" w:hAnsi="Arial" w:cs="Times New Roman"/>
          <w:sz w:val="21"/>
          <w:szCs w:val="22"/>
        </w:rPr>
      </w:pPr>
      <w:r w:rsidRPr="003F5882">
        <w:rPr>
          <w:rFonts w:ascii="Arial" w:hAnsi="Arial" w:cs="Times New Roman"/>
          <w:sz w:val="21"/>
        </w:rPr>
        <w:t>虽然与</w:t>
      </w:r>
      <w:r w:rsidRPr="003F5882">
        <w:rPr>
          <w:rFonts w:ascii="Arial" w:hAnsi="Arial" w:cs="Times New Roman"/>
          <w:sz w:val="21"/>
        </w:rPr>
        <w:t>2013</w:t>
      </w:r>
      <w:r w:rsidRPr="003F5882">
        <w:rPr>
          <w:rFonts w:ascii="Arial" w:hAnsi="Arial" w:cs="Times New Roman"/>
          <w:sz w:val="21"/>
        </w:rPr>
        <w:t>年相比</w:t>
      </w:r>
      <w:r w:rsidR="002E1CCE" w:rsidRPr="003F5882">
        <w:rPr>
          <w:rFonts w:ascii="Arial" w:hAnsi="Arial" w:cs="Times New Roman" w:hint="eastAsia"/>
          <w:sz w:val="21"/>
        </w:rPr>
        <w:t>，</w:t>
      </w:r>
      <w:r w:rsidRPr="003F5882">
        <w:rPr>
          <w:rFonts w:ascii="Arial" w:hAnsi="Arial" w:cs="Times New Roman"/>
          <w:sz w:val="21"/>
        </w:rPr>
        <w:t>在职</w:t>
      </w:r>
      <w:r w:rsidR="007606A8" w:rsidRPr="003F5882">
        <w:rPr>
          <w:rFonts w:ascii="Arial" w:hAnsi="Arial" w:cs="Times New Roman"/>
          <w:sz w:val="21"/>
        </w:rPr>
        <w:t>工作人员</w:t>
      </w:r>
      <w:r w:rsidRPr="003F5882">
        <w:rPr>
          <w:rFonts w:ascii="Arial" w:hAnsi="Arial" w:cs="Times New Roman"/>
          <w:sz w:val="21"/>
        </w:rPr>
        <w:t>支出上涨了</w:t>
      </w:r>
      <w:r w:rsidRPr="003F5882">
        <w:rPr>
          <w:rFonts w:ascii="Arial" w:hAnsi="Arial" w:cs="Times New Roman"/>
          <w:sz w:val="21"/>
        </w:rPr>
        <w:t>690</w:t>
      </w:r>
      <w:proofErr w:type="gramStart"/>
      <w:r w:rsidRPr="003F5882">
        <w:rPr>
          <w:rFonts w:ascii="Arial" w:hAnsi="Arial" w:cs="Times New Roman"/>
          <w:sz w:val="21"/>
        </w:rPr>
        <w:t>万瑞</w:t>
      </w:r>
      <w:proofErr w:type="gramEnd"/>
      <w:r w:rsidRPr="003F5882">
        <w:rPr>
          <w:rFonts w:ascii="Arial" w:hAnsi="Arial" w:cs="Times New Roman"/>
          <w:sz w:val="21"/>
        </w:rPr>
        <w:t>郎</w:t>
      </w:r>
      <w:r w:rsidR="002E1CCE" w:rsidRPr="003F5882">
        <w:rPr>
          <w:rFonts w:ascii="Arial" w:hAnsi="Arial" w:cs="Times New Roman" w:hint="eastAsia"/>
          <w:sz w:val="21"/>
        </w:rPr>
        <w:t>，</w:t>
      </w:r>
      <w:r w:rsidRPr="003F5882">
        <w:rPr>
          <w:rFonts w:ascii="Arial" w:hAnsi="Arial" w:cs="Times New Roman"/>
          <w:sz w:val="21"/>
        </w:rPr>
        <w:t>但是临时职位</w:t>
      </w:r>
      <w:r w:rsidR="007606A8" w:rsidRPr="003F5882">
        <w:rPr>
          <w:rFonts w:ascii="Arial" w:hAnsi="Arial" w:cs="Times New Roman"/>
          <w:sz w:val="21"/>
        </w:rPr>
        <w:t>工作人员</w:t>
      </w:r>
      <w:r w:rsidRPr="003F5882">
        <w:rPr>
          <w:rFonts w:ascii="Arial" w:hAnsi="Arial" w:cs="Times New Roman"/>
          <w:sz w:val="21"/>
        </w:rPr>
        <w:t>支出下降了</w:t>
      </w:r>
      <w:r w:rsidRPr="003F5882">
        <w:rPr>
          <w:rFonts w:ascii="Arial" w:hAnsi="Arial" w:cs="Times New Roman"/>
          <w:sz w:val="21"/>
        </w:rPr>
        <w:t>450</w:t>
      </w:r>
      <w:proofErr w:type="gramStart"/>
      <w:r w:rsidRPr="003F5882">
        <w:rPr>
          <w:rFonts w:ascii="Arial" w:hAnsi="Arial" w:cs="Times New Roman"/>
          <w:sz w:val="21"/>
        </w:rPr>
        <w:t>万瑞</w:t>
      </w:r>
      <w:proofErr w:type="gramEnd"/>
      <w:r w:rsidRPr="003F5882">
        <w:rPr>
          <w:rFonts w:ascii="Arial" w:hAnsi="Arial" w:cs="Times New Roman"/>
          <w:sz w:val="21"/>
        </w:rPr>
        <w:t>郎。主要原因是为规范长期临时职位雇员而将其从临时雇员调整为在职雇员。离职后雇员福利支出增加</w:t>
      </w:r>
      <w:r w:rsidRPr="003F5882">
        <w:rPr>
          <w:rFonts w:ascii="Arial" w:hAnsi="Arial" w:cs="Times New Roman"/>
          <w:sz w:val="21"/>
        </w:rPr>
        <w:t>210</w:t>
      </w:r>
      <w:r w:rsidRPr="003F5882">
        <w:rPr>
          <w:rFonts w:ascii="Arial" w:hAnsi="Arial" w:cs="Times New Roman"/>
          <w:sz w:val="21"/>
        </w:rPr>
        <w:t>万瑞郎，这与离职后雇员福利负债的整体变化有关，</w:t>
      </w:r>
      <w:r w:rsidRPr="003F5882">
        <w:rPr>
          <w:rFonts w:ascii="Arial" w:hAnsi="Arial" w:cs="Times New Roman"/>
          <w:sz w:val="21"/>
        </w:rPr>
        <w:t>2013</w:t>
      </w:r>
      <w:r w:rsidRPr="003F5882">
        <w:rPr>
          <w:rFonts w:ascii="Arial" w:hAnsi="Arial" w:cs="Times New Roman"/>
          <w:sz w:val="21"/>
        </w:rPr>
        <w:t>年与</w:t>
      </w:r>
      <w:r w:rsidRPr="003F5882">
        <w:rPr>
          <w:rFonts w:ascii="Arial" w:hAnsi="Arial" w:cs="Times New Roman"/>
          <w:sz w:val="21"/>
        </w:rPr>
        <w:t>2014</w:t>
      </w:r>
      <w:r w:rsidRPr="003F5882">
        <w:rPr>
          <w:rFonts w:ascii="Arial" w:hAnsi="Arial" w:cs="Times New Roman"/>
          <w:sz w:val="21"/>
        </w:rPr>
        <w:t>年之间的变</w:t>
      </w:r>
      <w:r w:rsidR="002E1CCE" w:rsidRPr="003F5882">
        <w:rPr>
          <w:rFonts w:ascii="Arial" w:hAnsi="Arial" w:cs="Times New Roman" w:hint="eastAsia"/>
          <w:sz w:val="21"/>
        </w:rPr>
        <w:t>动</w:t>
      </w:r>
      <w:r w:rsidRPr="003F5882">
        <w:rPr>
          <w:rFonts w:ascii="Arial" w:hAnsi="Arial" w:cs="Times New Roman"/>
          <w:sz w:val="21"/>
        </w:rPr>
        <w:t>要大于</w:t>
      </w:r>
      <w:r w:rsidRPr="003F5882">
        <w:rPr>
          <w:rFonts w:ascii="Arial" w:hAnsi="Arial" w:cs="Times New Roman"/>
          <w:sz w:val="21"/>
        </w:rPr>
        <w:t>2012</w:t>
      </w:r>
      <w:r w:rsidRPr="003F5882">
        <w:rPr>
          <w:rFonts w:ascii="Arial" w:hAnsi="Arial" w:cs="Times New Roman"/>
          <w:sz w:val="21"/>
        </w:rPr>
        <w:t>年与</w:t>
      </w:r>
      <w:r w:rsidRPr="003F5882">
        <w:rPr>
          <w:rFonts w:ascii="Arial" w:hAnsi="Arial" w:cs="Times New Roman"/>
          <w:sz w:val="21"/>
        </w:rPr>
        <w:t>2013</w:t>
      </w:r>
      <w:r w:rsidRPr="003F5882">
        <w:rPr>
          <w:rFonts w:ascii="Arial" w:hAnsi="Arial" w:cs="Times New Roman"/>
          <w:sz w:val="21"/>
        </w:rPr>
        <w:t>年之间的变动。上表中单独列报的其他人事费用为在职雇员和临时职位雇员共有的费用</w:t>
      </w:r>
      <w:r w:rsidR="00F453AC" w:rsidRPr="003F5882">
        <w:rPr>
          <w:rFonts w:ascii="Arial" w:hAnsi="Arial" w:cs="Times New Roman"/>
          <w:sz w:val="21"/>
        </w:rPr>
        <w:t>（</w:t>
      </w:r>
      <w:r w:rsidRPr="003F5882">
        <w:rPr>
          <w:rFonts w:ascii="Arial" w:hAnsi="Arial" w:cs="Times New Roman"/>
          <w:sz w:val="21"/>
        </w:rPr>
        <w:t>专业的意外险、关闭的养恤基金和诉讼费用</w:t>
      </w:r>
      <w:r w:rsidR="00F453AC" w:rsidRPr="003F5882">
        <w:rPr>
          <w:rFonts w:ascii="Arial" w:hAnsi="Arial" w:cs="Times New Roman"/>
          <w:sz w:val="21"/>
        </w:rPr>
        <w:t>）</w:t>
      </w:r>
      <w:r w:rsidRPr="003F5882">
        <w:rPr>
          <w:rFonts w:ascii="Arial" w:hAnsi="Arial" w:cs="Times New Roman"/>
          <w:sz w:val="21"/>
        </w:rPr>
        <w:t>。</w:t>
      </w:r>
    </w:p>
    <w:p w:rsidR="005A383E" w:rsidRPr="003F5882" w:rsidRDefault="005A383E" w:rsidP="00F04843">
      <w:pPr>
        <w:numPr>
          <w:ilvl w:val="0"/>
          <w:numId w:val="1"/>
        </w:numPr>
        <w:tabs>
          <w:tab w:val="clear" w:pos="567"/>
        </w:tabs>
        <w:overflowPunct w:val="0"/>
        <w:spacing w:afterLines="50" w:after="120" w:line="340" w:lineRule="atLeast"/>
        <w:jc w:val="both"/>
        <w:rPr>
          <w:rFonts w:ascii="Arial" w:eastAsia="KaiTi" w:hAnsi="Arial" w:cs="Times New Roman"/>
          <w:sz w:val="21"/>
          <w:szCs w:val="22"/>
        </w:rPr>
      </w:pPr>
      <w:r w:rsidRPr="003F5882">
        <w:rPr>
          <w:rFonts w:ascii="Arial" w:hAnsi="Arial" w:cs="Times New Roman"/>
          <w:sz w:val="21"/>
        </w:rPr>
        <w:t>在</w:t>
      </w:r>
      <w:r w:rsidRPr="003F5882">
        <w:rPr>
          <w:rFonts w:ascii="Arial" w:hAnsi="Arial" w:cs="Times New Roman"/>
          <w:sz w:val="21"/>
        </w:rPr>
        <w:t>2014</w:t>
      </w:r>
      <w:r w:rsidRPr="003F5882">
        <w:rPr>
          <w:rFonts w:ascii="Arial" w:hAnsi="Arial" w:cs="Times New Roman"/>
          <w:sz w:val="21"/>
        </w:rPr>
        <w:t>年的财务报表中，实习生费用不再归入人事</w:t>
      </w:r>
      <w:r w:rsidR="00C60132" w:rsidRPr="003F5882">
        <w:rPr>
          <w:rFonts w:ascii="Arial" w:hAnsi="Arial" w:cs="Times New Roman" w:hint="eastAsia"/>
          <w:sz w:val="21"/>
        </w:rPr>
        <w:t>费用</w:t>
      </w:r>
      <w:r w:rsidRPr="003F5882">
        <w:rPr>
          <w:rFonts w:ascii="Arial" w:hAnsi="Arial" w:cs="Times New Roman"/>
          <w:sz w:val="21"/>
        </w:rPr>
        <w:t>。这样可以更好地体现这些人员与本组织关系的性质，因为他们不在《工作人员条例与细则》涵盖范围之内。</w:t>
      </w:r>
      <w:r w:rsidR="00C60132" w:rsidRPr="003F5882">
        <w:rPr>
          <w:rFonts w:ascii="Arial" w:hAnsi="Arial" w:cs="Times New Roman"/>
          <w:sz w:val="21"/>
        </w:rPr>
        <w:t>实习生</w:t>
      </w:r>
      <w:r w:rsidR="00C60132" w:rsidRPr="003F5882">
        <w:rPr>
          <w:rFonts w:ascii="Arial" w:hAnsi="Arial" w:cs="Times New Roman" w:hint="eastAsia"/>
          <w:sz w:val="21"/>
        </w:rPr>
        <w:t>费用现在归入</w:t>
      </w:r>
      <w:r w:rsidRPr="003F5882">
        <w:rPr>
          <w:rFonts w:ascii="Arial" w:hAnsi="Arial" w:cs="Times New Roman"/>
          <w:sz w:val="21"/>
        </w:rPr>
        <w:t>之前</w:t>
      </w:r>
      <w:r w:rsidR="00C60132" w:rsidRPr="003F5882">
        <w:rPr>
          <w:rFonts w:ascii="Arial" w:hAnsi="Arial" w:cs="Times New Roman" w:hint="eastAsia"/>
          <w:sz w:val="21"/>
        </w:rPr>
        <w:t>包含在</w:t>
      </w:r>
      <w:r w:rsidRPr="003F5882">
        <w:rPr>
          <w:rFonts w:ascii="Arial" w:hAnsi="Arial" w:cs="Times New Roman"/>
          <w:sz w:val="21"/>
        </w:rPr>
        <w:t>差旅和研究金</w:t>
      </w:r>
      <w:r w:rsidR="00227EC4" w:rsidRPr="003F5882">
        <w:rPr>
          <w:rFonts w:ascii="Arial" w:hAnsi="Arial" w:cs="Times New Roman" w:hint="eastAsia"/>
          <w:sz w:val="21"/>
        </w:rPr>
        <w:t>支出项</w:t>
      </w:r>
      <w:r w:rsidRPr="003F5882">
        <w:rPr>
          <w:rFonts w:ascii="Arial" w:hAnsi="Arial" w:cs="Times New Roman"/>
          <w:sz w:val="21"/>
        </w:rPr>
        <w:t>的</w:t>
      </w:r>
      <w:r w:rsidRPr="003F5882">
        <w:rPr>
          <w:rFonts w:ascii="Arial" w:hAnsi="Arial" w:cs="Times New Roman"/>
          <w:sz w:val="21"/>
        </w:rPr>
        <w:t>WIPO</w:t>
      </w:r>
      <w:r w:rsidRPr="003F5882">
        <w:rPr>
          <w:rFonts w:ascii="Arial" w:hAnsi="Arial" w:cs="Times New Roman"/>
          <w:sz w:val="21"/>
        </w:rPr>
        <w:t>研究金</w:t>
      </w:r>
      <w:r w:rsidR="00227EC4" w:rsidRPr="003F5882">
        <w:rPr>
          <w:rFonts w:ascii="Arial" w:hAnsi="Arial" w:cs="Times New Roman" w:hint="eastAsia"/>
          <w:sz w:val="21"/>
        </w:rPr>
        <w:t>之中</w:t>
      </w:r>
      <w:r w:rsidRPr="003F5882">
        <w:rPr>
          <w:rFonts w:ascii="Arial" w:hAnsi="Arial" w:cs="Times New Roman"/>
          <w:sz w:val="21"/>
        </w:rPr>
        <w:t>。</w:t>
      </w:r>
      <w:r w:rsidRPr="003F5882">
        <w:rPr>
          <w:rFonts w:ascii="Arial" w:hAnsi="Arial" w:cs="Times New Roman"/>
          <w:sz w:val="21"/>
        </w:rPr>
        <w:t>WIPO</w:t>
      </w:r>
      <w:r w:rsidRPr="003F5882">
        <w:rPr>
          <w:rFonts w:ascii="Arial" w:hAnsi="Arial" w:cs="Times New Roman"/>
          <w:sz w:val="21"/>
        </w:rPr>
        <w:t>研究金旨在为个人提供强化知识和专业技能的经历。这些费用与课程研究金分别列示，课程研究金是派遣</w:t>
      </w:r>
      <w:r w:rsidR="00227EC4" w:rsidRPr="003F5882">
        <w:rPr>
          <w:rFonts w:ascii="Arial" w:hAnsi="Arial" w:cs="Times New Roman" w:hint="eastAsia"/>
          <w:sz w:val="21"/>
        </w:rPr>
        <w:t>见习员</w:t>
      </w:r>
      <w:r w:rsidR="00F453AC" w:rsidRPr="003F5882">
        <w:rPr>
          <w:rFonts w:ascii="Arial" w:hAnsi="Arial" w:cs="Times New Roman"/>
          <w:sz w:val="21"/>
        </w:rPr>
        <w:t>（</w:t>
      </w:r>
      <w:r w:rsidRPr="003F5882">
        <w:rPr>
          <w:rFonts w:ascii="Arial" w:hAnsi="Arial" w:cs="Times New Roman"/>
          <w:sz w:val="21"/>
        </w:rPr>
        <w:t>非</w:t>
      </w:r>
      <w:r w:rsidR="00227EC4" w:rsidRPr="003F5882">
        <w:rPr>
          <w:rFonts w:ascii="Arial" w:hAnsi="Arial" w:cs="Times New Roman" w:hint="eastAsia"/>
          <w:sz w:val="21"/>
        </w:rPr>
        <w:t>雇员</w:t>
      </w:r>
      <w:r w:rsidR="00F453AC" w:rsidRPr="003F5882">
        <w:rPr>
          <w:rFonts w:ascii="Arial" w:hAnsi="Arial" w:cs="Times New Roman"/>
          <w:sz w:val="21"/>
        </w:rPr>
        <w:t>）</w:t>
      </w:r>
      <w:r w:rsidRPr="003F5882">
        <w:rPr>
          <w:rFonts w:ascii="Arial" w:hAnsi="Arial" w:cs="Times New Roman"/>
          <w:sz w:val="21"/>
        </w:rPr>
        <w:t>参加课程和研讨</w:t>
      </w:r>
      <w:r w:rsidR="00227EC4" w:rsidRPr="003F5882">
        <w:rPr>
          <w:rFonts w:ascii="Arial" w:hAnsi="Arial" w:cs="Times New Roman" w:hint="eastAsia"/>
          <w:sz w:val="21"/>
        </w:rPr>
        <w:t>会</w:t>
      </w:r>
      <w:r w:rsidRPr="003F5882">
        <w:rPr>
          <w:rFonts w:ascii="Arial" w:hAnsi="Arial" w:cs="Times New Roman"/>
          <w:sz w:val="21"/>
        </w:rPr>
        <w:t>产生的费用，</w:t>
      </w:r>
      <w:r w:rsidR="00227EC4" w:rsidRPr="003F5882">
        <w:rPr>
          <w:rFonts w:ascii="Arial" w:hAnsi="Arial" w:cs="Times New Roman" w:hint="eastAsia"/>
          <w:sz w:val="21"/>
        </w:rPr>
        <w:t>归</w:t>
      </w:r>
      <w:r w:rsidRPr="003F5882">
        <w:rPr>
          <w:rFonts w:ascii="Arial" w:hAnsi="Arial" w:cs="Times New Roman"/>
          <w:sz w:val="21"/>
        </w:rPr>
        <w:t>入差旅和研究金</w:t>
      </w:r>
      <w:r w:rsidR="00227EC4" w:rsidRPr="003F5882">
        <w:rPr>
          <w:rFonts w:ascii="Arial" w:hAnsi="Arial" w:cs="Times New Roman" w:hint="eastAsia"/>
          <w:sz w:val="21"/>
        </w:rPr>
        <w:t>支出项</w:t>
      </w:r>
      <w:r w:rsidRPr="003F5882">
        <w:rPr>
          <w:rFonts w:ascii="Arial" w:hAnsi="Arial" w:cs="Times New Roman"/>
          <w:sz w:val="21"/>
        </w:rPr>
        <w:t>。与</w:t>
      </w:r>
      <w:r w:rsidRPr="003F5882">
        <w:rPr>
          <w:rFonts w:ascii="Arial" w:hAnsi="Arial" w:cs="Times New Roman"/>
          <w:sz w:val="21"/>
        </w:rPr>
        <w:t>2013</w:t>
      </w:r>
      <w:r w:rsidRPr="003F5882">
        <w:rPr>
          <w:rFonts w:ascii="Arial" w:hAnsi="Arial" w:cs="Times New Roman"/>
          <w:sz w:val="21"/>
        </w:rPr>
        <w:t>年相比，</w:t>
      </w:r>
      <w:r w:rsidRPr="003F5882">
        <w:rPr>
          <w:rFonts w:ascii="Arial" w:hAnsi="Arial" w:cs="Times New Roman"/>
          <w:sz w:val="21"/>
        </w:rPr>
        <w:t>WIPO</w:t>
      </w:r>
      <w:r w:rsidRPr="003F5882">
        <w:rPr>
          <w:rFonts w:ascii="Arial" w:hAnsi="Arial" w:cs="Times New Roman"/>
          <w:sz w:val="21"/>
        </w:rPr>
        <w:t>研究金费用增加了</w:t>
      </w:r>
      <w:r w:rsidRPr="003F5882">
        <w:rPr>
          <w:rFonts w:ascii="Arial" w:hAnsi="Arial" w:cs="Times New Roman"/>
          <w:sz w:val="21"/>
        </w:rPr>
        <w:t>80</w:t>
      </w:r>
      <w:r w:rsidRPr="003F5882">
        <w:rPr>
          <w:rFonts w:ascii="Arial" w:hAnsi="Arial" w:cs="Times New Roman"/>
          <w:sz w:val="21"/>
        </w:rPr>
        <w:t>万瑞郎，这是因为本组织增加了与各国知识产权局的交换项目的预算以及仲裁与调节中心的研究金计划。</w:t>
      </w:r>
    </w:p>
    <w:p w:rsidR="005A383E" w:rsidRPr="00F453AC" w:rsidRDefault="005A383E"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2014</w:t>
      </w:r>
      <w:r w:rsidRPr="003F5882">
        <w:rPr>
          <w:rFonts w:ascii="Arial" w:hAnsi="Arial" w:cs="Times New Roman"/>
          <w:sz w:val="21"/>
        </w:rPr>
        <w:t>年的差旅和研究金总开支为</w:t>
      </w:r>
      <w:r w:rsidRPr="003F5882">
        <w:rPr>
          <w:rFonts w:ascii="Arial" w:hAnsi="Arial" w:cs="Times New Roman"/>
          <w:sz w:val="21"/>
        </w:rPr>
        <w:t>1,540</w:t>
      </w:r>
      <w:proofErr w:type="gramStart"/>
      <w:r w:rsidRPr="003F5882">
        <w:rPr>
          <w:rFonts w:ascii="Arial" w:hAnsi="Arial" w:cs="Times New Roman"/>
          <w:sz w:val="21"/>
        </w:rPr>
        <w:t>万瑞</w:t>
      </w:r>
      <w:proofErr w:type="gramEnd"/>
      <w:r w:rsidRPr="003F5882">
        <w:rPr>
          <w:rFonts w:ascii="Arial" w:hAnsi="Arial" w:cs="Times New Roman"/>
          <w:sz w:val="21"/>
        </w:rPr>
        <w:t>郎，占总支出的</w:t>
      </w:r>
      <w:r w:rsidRPr="003F5882">
        <w:rPr>
          <w:rFonts w:ascii="Arial" w:hAnsi="Arial" w:cs="Times New Roman"/>
          <w:sz w:val="21"/>
        </w:rPr>
        <w:t>4.6%</w:t>
      </w:r>
      <w:r w:rsidRPr="003F5882">
        <w:rPr>
          <w:rFonts w:ascii="Arial" w:hAnsi="Arial" w:cs="Times New Roman"/>
          <w:sz w:val="21"/>
        </w:rPr>
        <w:t>。这些支出比</w:t>
      </w:r>
      <w:r w:rsidRPr="003F5882">
        <w:rPr>
          <w:rFonts w:ascii="Arial" w:hAnsi="Arial" w:cs="Times New Roman"/>
          <w:sz w:val="21"/>
        </w:rPr>
        <w:t>2013</w:t>
      </w:r>
      <w:r w:rsidRPr="003F5882">
        <w:rPr>
          <w:rFonts w:ascii="Arial" w:hAnsi="Arial" w:cs="Times New Roman"/>
          <w:sz w:val="21"/>
        </w:rPr>
        <w:t>年的</w:t>
      </w:r>
      <w:r w:rsidRPr="003F5882">
        <w:rPr>
          <w:rFonts w:ascii="Arial" w:hAnsi="Arial" w:cs="Times New Roman"/>
          <w:sz w:val="21"/>
        </w:rPr>
        <w:t>1,920</w:t>
      </w:r>
      <w:r w:rsidRPr="003F5882">
        <w:rPr>
          <w:rFonts w:ascii="Arial" w:hAnsi="Arial" w:cs="Times New Roman"/>
          <w:sz w:val="21"/>
        </w:rPr>
        <w:t>万瑞郎下降了</w:t>
      </w:r>
      <w:r w:rsidRPr="003F5882">
        <w:rPr>
          <w:rFonts w:ascii="Arial" w:hAnsi="Arial" w:cs="Times New Roman"/>
          <w:sz w:val="21"/>
        </w:rPr>
        <w:t>19.8%</w:t>
      </w:r>
      <w:r w:rsidRPr="003F5882">
        <w:rPr>
          <w:rFonts w:ascii="Arial" w:hAnsi="Arial" w:cs="Times New Roman"/>
          <w:sz w:val="21"/>
        </w:rPr>
        <w:t>。差旅费用包括</w:t>
      </w:r>
      <w:r w:rsidRPr="003F5882">
        <w:rPr>
          <w:rFonts w:ascii="Arial" w:hAnsi="Arial" w:cs="Times New Roman"/>
          <w:sz w:val="21"/>
        </w:rPr>
        <w:t>760</w:t>
      </w:r>
      <w:proofErr w:type="gramStart"/>
      <w:r w:rsidRPr="003F5882">
        <w:rPr>
          <w:rFonts w:ascii="Arial" w:hAnsi="Arial" w:cs="Times New Roman"/>
          <w:sz w:val="21"/>
        </w:rPr>
        <w:t>万瑞</w:t>
      </w:r>
      <w:proofErr w:type="gramEnd"/>
      <w:r w:rsidRPr="003F5882">
        <w:rPr>
          <w:rFonts w:ascii="Arial" w:hAnsi="Arial" w:cs="Times New Roman"/>
          <w:sz w:val="21"/>
        </w:rPr>
        <w:t>郎的第三方差旅费用</w:t>
      </w:r>
      <w:r w:rsidR="00F453AC" w:rsidRPr="003F5882">
        <w:rPr>
          <w:rFonts w:ascii="Arial" w:hAnsi="Arial" w:cs="Times New Roman"/>
          <w:sz w:val="21"/>
        </w:rPr>
        <w:t>（</w:t>
      </w:r>
      <w:r w:rsidRPr="003F5882">
        <w:rPr>
          <w:rFonts w:ascii="Arial" w:hAnsi="Arial" w:cs="Times New Roman"/>
          <w:sz w:val="21"/>
        </w:rPr>
        <w:t>参会人和讲课人开支</w:t>
      </w:r>
      <w:r w:rsidR="00F453AC" w:rsidRPr="003F5882">
        <w:rPr>
          <w:rFonts w:ascii="Arial" w:hAnsi="Arial" w:cs="Times New Roman"/>
          <w:sz w:val="21"/>
        </w:rPr>
        <w:t>）</w:t>
      </w:r>
      <w:r w:rsidRPr="003F5882">
        <w:rPr>
          <w:rFonts w:ascii="Arial" w:hAnsi="Arial" w:cs="Times New Roman"/>
          <w:sz w:val="21"/>
        </w:rPr>
        <w:t>以及</w:t>
      </w:r>
      <w:r w:rsidRPr="003F5882">
        <w:rPr>
          <w:rFonts w:ascii="Arial" w:hAnsi="Arial" w:cs="Times New Roman"/>
          <w:sz w:val="21"/>
        </w:rPr>
        <w:t>570</w:t>
      </w:r>
      <w:proofErr w:type="gramStart"/>
      <w:r w:rsidRPr="003F5882">
        <w:rPr>
          <w:rFonts w:ascii="Arial" w:hAnsi="Arial" w:cs="Times New Roman"/>
          <w:sz w:val="21"/>
        </w:rPr>
        <w:t>万瑞</w:t>
      </w:r>
      <w:proofErr w:type="gramEnd"/>
      <w:r w:rsidRPr="003F5882">
        <w:rPr>
          <w:rFonts w:ascii="Arial" w:hAnsi="Arial" w:cs="Times New Roman"/>
          <w:sz w:val="21"/>
        </w:rPr>
        <w:t>郎的工作人员和顾问团费用。差旅费用比</w:t>
      </w:r>
      <w:r w:rsidRPr="003F5882">
        <w:rPr>
          <w:rFonts w:ascii="Arial" w:hAnsi="Arial" w:cs="Times New Roman"/>
          <w:sz w:val="21"/>
        </w:rPr>
        <w:t>2013</w:t>
      </w:r>
      <w:r w:rsidRPr="003F5882">
        <w:rPr>
          <w:rFonts w:ascii="Arial" w:hAnsi="Arial" w:cs="Times New Roman"/>
          <w:sz w:val="21"/>
        </w:rPr>
        <w:t>年下降了</w:t>
      </w:r>
      <w:r w:rsidRPr="003F5882">
        <w:rPr>
          <w:rFonts w:ascii="Arial" w:hAnsi="Arial" w:cs="Times New Roman"/>
          <w:sz w:val="21"/>
        </w:rPr>
        <w:t>350</w:t>
      </w:r>
      <w:r w:rsidRPr="003F5882">
        <w:rPr>
          <w:rFonts w:ascii="Arial" w:hAnsi="Arial" w:cs="Times New Roman"/>
          <w:sz w:val="21"/>
        </w:rPr>
        <w:t>万瑞郎，基本与该费用领域中削减的预算相符。</w:t>
      </w:r>
      <w:r w:rsidRPr="003F5882">
        <w:rPr>
          <w:rFonts w:ascii="Arial" w:hAnsi="Arial" w:cs="Times New Roman"/>
          <w:sz w:val="21"/>
        </w:rPr>
        <w:t>2013</w:t>
      </w:r>
      <w:r w:rsidRPr="003F5882">
        <w:rPr>
          <w:rFonts w:ascii="Arial" w:hAnsi="Arial" w:cs="Times New Roman"/>
          <w:sz w:val="21"/>
        </w:rPr>
        <w:t>年在马拉喀什举行了一场重要的会议</w:t>
      </w:r>
      <w:r w:rsidR="00F453AC" w:rsidRPr="003F5882">
        <w:rPr>
          <w:rFonts w:ascii="Arial" w:hAnsi="Arial" w:cs="Times New Roman"/>
          <w:sz w:val="21"/>
        </w:rPr>
        <w:t>（</w:t>
      </w:r>
      <w:r w:rsidRPr="003F5882">
        <w:rPr>
          <w:rFonts w:ascii="Arial" w:hAnsi="Arial" w:cs="Times New Roman"/>
          <w:sz w:val="21"/>
        </w:rPr>
        <w:t>关于缔结一项为视力障碍者和印刷品阅读障碍者获</w:t>
      </w:r>
      <w:r w:rsidR="005A3711" w:rsidRPr="003F5882">
        <w:rPr>
          <w:rFonts w:ascii="Arial" w:hAnsi="Arial" w:cs="Times New Roman" w:hint="eastAsia"/>
          <w:sz w:val="21"/>
        </w:rPr>
        <w:t>得</w:t>
      </w:r>
      <w:r w:rsidRPr="003F5882">
        <w:rPr>
          <w:rFonts w:ascii="Arial" w:hAnsi="Arial" w:cs="Times New Roman"/>
          <w:sz w:val="21"/>
        </w:rPr>
        <w:t>已</w:t>
      </w:r>
      <w:r w:rsidR="005A3711" w:rsidRPr="003F5882">
        <w:rPr>
          <w:rFonts w:ascii="Arial" w:hAnsi="Arial" w:cs="Times New Roman" w:hint="eastAsia"/>
          <w:sz w:val="21"/>
        </w:rPr>
        <w:t>出版</w:t>
      </w:r>
      <w:r w:rsidRPr="003F5882">
        <w:rPr>
          <w:rFonts w:ascii="Arial" w:hAnsi="Arial" w:cs="Times New Roman"/>
          <w:sz w:val="21"/>
        </w:rPr>
        <w:t>作品提供便利的条约的外交会议</w:t>
      </w:r>
      <w:r w:rsidR="00F453AC" w:rsidRPr="003F5882">
        <w:rPr>
          <w:rFonts w:ascii="Arial" w:hAnsi="Arial" w:cs="Times New Roman"/>
          <w:sz w:val="21"/>
        </w:rPr>
        <w:t>）</w:t>
      </w:r>
      <w:r w:rsidRPr="003F5882">
        <w:rPr>
          <w:rFonts w:ascii="Arial" w:hAnsi="Arial" w:cs="Times New Roman"/>
          <w:sz w:val="21"/>
        </w:rPr>
        <w:t>。</w:t>
      </w:r>
      <w:r w:rsidRPr="003F5882">
        <w:rPr>
          <w:rFonts w:ascii="Arial" w:hAnsi="Arial" w:cs="Times New Roman"/>
          <w:sz w:val="21"/>
        </w:rPr>
        <w:t>2014</w:t>
      </w:r>
      <w:r w:rsidRPr="003F5882">
        <w:rPr>
          <w:rFonts w:ascii="Arial" w:hAnsi="Arial" w:cs="Times New Roman"/>
          <w:sz w:val="21"/>
        </w:rPr>
        <w:t>年投</w:t>
      </w:r>
      <w:r w:rsidR="005A3711" w:rsidRPr="003F5882">
        <w:rPr>
          <w:rFonts w:ascii="Arial" w:hAnsi="Arial" w:cs="Times New Roman" w:hint="eastAsia"/>
          <w:sz w:val="21"/>
        </w:rPr>
        <w:t>入使用</w:t>
      </w:r>
      <w:r w:rsidRPr="003F5882">
        <w:rPr>
          <w:rFonts w:ascii="Arial" w:hAnsi="Arial" w:cs="Times New Roman"/>
          <w:sz w:val="21"/>
        </w:rPr>
        <w:t>的</w:t>
      </w:r>
      <w:r w:rsidR="007606A8" w:rsidRPr="003F5882">
        <w:rPr>
          <w:rFonts w:ascii="Arial" w:hAnsi="Arial" w:cs="Times New Roman"/>
          <w:sz w:val="21"/>
        </w:rPr>
        <w:t>新的</w:t>
      </w:r>
      <w:r w:rsidRPr="003F5882">
        <w:rPr>
          <w:rFonts w:ascii="Arial" w:hAnsi="Arial" w:cs="Times New Roman"/>
          <w:sz w:val="21"/>
        </w:rPr>
        <w:t>在线旅行预订工具</w:t>
      </w:r>
      <w:r w:rsidR="005F55CA" w:rsidRPr="003F5882">
        <w:rPr>
          <w:rFonts w:ascii="Arial" w:hAnsi="Arial" w:cs="Times New Roman" w:hint="eastAsia"/>
          <w:sz w:val="21"/>
        </w:rPr>
        <w:t>也将</w:t>
      </w:r>
      <w:r w:rsidRPr="003F5882">
        <w:rPr>
          <w:rFonts w:ascii="Arial" w:hAnsi="Arial" w:cs="Times New Roman"/>
          <w:sz w:val="21"/>
        </w:rPr>
        <w:t>降低本组织的差旅费用。与上一年度的</w:t>
      </w:r>
      <w:r w:rsidRPr="003F5882">
        <w:rPr>
          <w:rFonts w:ascii="Arial" w:hAnsi="Arial" w:cs="Times New Roman"/>
          <w:sz w:val="21"/>
        </w:rPr>
        <w:t>240</w:t>
      </w:r>
      <w:proofErr w:type="gramStart"/>
      <w:r w:rsidRPr="003F5882">
        <w:rPr>
          <w:rFonts w:ascii="Arial" w:hAnsi="Arial" w:cs="Times New Roman"/>
          <w:sz w:val="21"/>
        </w:rPr>
        <w:t>万瑞</w:t>
      </w:r>
      <w:proofErr w:type="gramEnd"/>
      <w:r w:rsidRPr="003F5882">
        <w:rPr>
          <w:rFonts w:ascii="Arial" w:hAnsi="Arial" w:cs="Times New Roman"/>
          <w:sz w:val="21"/>
        </w:rPr>
        <w:t>郎相比，</w:t>
      </w:r>
      <w:r w:rsidRPr="003F5882">
        <w:rPr>
          <w:rFonts w:ascii="Arial" w:hAnsi="Arial" w:cs="Times New Roman"/>
          <w:sz w:val="21"/>
        </w:rPr>
        <w:t>2014</w:t>
      </w:r>
      <w:r w:rsidRPr="003F5882">
        <w:rPr>
          <w:rFonts w:ascii="Arial" w:hAnsi="Arial" w:cs="Times New Roman"/>
          <w:sz w:val="21"/>
        </w:rPr>
        <w:t>年课程研究</w:t>
      </w:r>
      <w:proofErr w:type="gramStart"/>
      <w:r w:rsidRPr="003F5882">
        <w:rPr>
          <w:rFonts w:ascii="Arial" w:hAnsi="Arial" w:cs="Times New Roman"/>
          <w:sz w:val="21"/>
        </w:rPr>
        <w:t>金费用</w:t>
      </w:r>
      <w:proofErr w:type="gramEnd"/>
      <w:r w:rsidRPr="003F5882">
        <w:rPr>
          <w:rFonts w:ascii="Arial" w:hAnsi="Arial" w:cs="Times New Roman"/>
          <w:sz w:val="21"/>
        </w:rPr>
        <w:t>总计</w:t>
      </w:r>
      <w:r w:rsidRPr="003F5882">
        <w:rPr>
          <w:rFonts w:ascii="Arial" w:hAnsi="Arial" w:cs="Times New Roman"/>
          <w:sz w:val="21"/>
        </w:rPr>
        <w:t>210</w:t>
      </w:r>
      <w:proofErr w:type="gramStart"/>
      <w:r w:rsidRPr="003F5882">
        <w:rPr>
          <w:rFonts w:ascii="Arial" w:hAnsi="Arial" w:cs="Times New Roman"/>
          <w:sz w:val="21"/>
        </w:rPr>
        <w:t>万瑞</w:t>
      </w:r>
      <w:proofErr w:type="gramEnd"/>
      <w:r w:rsidRPr="003F5882">
        <w:rPr>
          <w:rFonts w:ascii="Arial" w:hAnsi="Arial" w:cs="Times New Roman"/>
          <w:sz w:val="21"/>
        </w:rPr>
        <w:t>郎。</w:t>
      </w:r>
    </w:p>
    <w:p w:rsidR="005A383E" w:rsidRPr="003F5882" w:rsidRDefault="005A383E" w:rsidP="00F04843">
      <w:pPr>
        <w:numPr>
          <w:ilvl w:val="0"/>
          <w:numId w:val="1"/>
        </w:numPr>
        <w:tabs>
          <w:tab w:val="clear" w:pos="567"/>
        </w:tabs>
        <w:overflowPunct w:val="0"/>
        <w:spacing w:afterLines="50" w:after="120" w:line="340" w:lineRule="atLeast"/>
        <w:jc w:val="both"/>
        <w:rPr>
          <w:rFonts w:ascii="Arial" w:eastAsia="KaiTi" w:hAnsi="Arial" w:cs="Times New Roman"/>
          <w:sz w:val="21"/>
          <w:szCs w:val="22"/>
        </w:rPr>
      </w:pPr>
      <w:r w:rsidRPr="003F5882">
        <w:rPr>
          <w:rFonts w:ascii="Arial" w:hAnsi="Arial" w:cs="Times New Roman"/>
          <w:sz w:val="21"/>
        </w:rPr>
        <w:t>2014</w:t>
      </w:r>
      <w:r w:rsidRPr="003F5882">
        <w:rPr>
          <w:rFonts w:ascii="Arial" w:hAnsi="Arial" w:cs="Times New Roman"/>
          <w:sz w:val="21"/>
        </w:rPr>
        <w:t>年订约承办事务总计</w:t>
      </w:r>
      <w:r w:rsidRPr="003F5882">
        <w:rPr>
          <w:rFonts w:ascii="Arial" w:hAnsi="Arial" w:cs="Times New Roman"/>
          <w:sz w:val="21"/>
        </w:rPr>
        <w:t>6,360</w:t>
      </w:r>
      <w:r w:rsidRPr="003F5882">
        <w:rPr>
          <w:rFonts w:ascii="Arial" w:hAnsi="Arial" w:cs="Times New Roman"/>
          <w:sz w:val="21"/>
        </w:rPr>
        <w:t>万瑞郎。这些支出比</w:t>
      </w:r>
      <w:r w:rsidRPr="003F5882">
        <w:rPr>
          <w:rFonts w:ascii="Arial" w:hAnsi="Arial" w:cs="Times New Roman"/>
          <w:sz w:val="21"/>
        </w:rPr>
        <w:t>2013</w:t>
      </w:r>
      <w:r w:rsidRPr="003F5882">
        <w:rPr>
          <w:rFonts w:ascii="Arial" w:hAnsi="Arial" w:cs="Times New Roman"/>
          <w:sz w:val="21"/>
        </w:rPr>
        <w:t>年的</w:t>
      </w:r>
      <w:r w:rsidRPr="003F5882">
        <w:rPr>
          <w:rFonts w:ascii="Arial" w:hAnsi="Arial" w:cs="Times New Roman"/>
          <w:sz w:val="21"/>
        </w:rPr>
        <w:t>6,500</w:t>
      </w:r>
      <w:r w:rsidRPr="003F5882">
        <w:rPr>
          <w:rFonts w:ascii="Arial" w:hAnsi="Arial" w:cs="Times New Roman"/>
          <w:sz w:val="21"/>
        </w:rPr>
        <w:t>万瑞郎下降了</w:t>
      </w:r>
      <w:r w:rsidRPr="003F5882">
        <w:rPr>
          <w:rFonts w:ascii="Arial" w:hAnsi="Arial" w:cs="Times New Roman"/>
          <w:sz w:val="21"/>
        </w:rPr>
        <w:t>2.2%</w:t>
      </w:r>
      <w:r w:rsidRPr="003F5882">
        <w:rPr>
          <w:rFonts w:ascii="Arial" w:hAnsi="Arial" w:cs="Times New Roman"/>
          <w:sz w:val="21"/>
        </w:rPr>
        <w:t>。</w:t>
      </w:r>
      <w:r w:rsidRPr="003F5882">
        <w:rPr>
          <w:rFonts w:ascii="Arial" w:hAnsi="Arial" w:cs="Times New Roman"/>
          <w:sz w:val="21"/>
        </w:rPr>
        <w:t>2014</w:t>
      </w:r>
      <w:r w:rsidRPr="003F5882">
        <w:rPr>
          <w:rFonts w:ascii="Arial" w:hAnsi="Arial" w:cs="Times New Roman"/>
          <w:sz w:val="21"/>
        </w:rPr>
        <w:t>年的订约承办事务主要涉及商业翻译服务</w:t>
      </w:r>
      <w:r w:rsidR="00F453AC" w:rsidRPr="003F5882">
        <w:rPr>
          <w:rFonts w:ascii="Arial" w:hAnsi="Arial" w:cs="Times New Roman"/>
          <w:sz w:val="21"/>
        </w:rPr>
        <w:t>（</w:t>
      </w:r>
      <w:r w:rsidRPr="003F5882">
        <w:rPr>
          <w:rFonts w:ascii="Arial" w:hAnsi="Arial" w:cs="Times New Roman"/>
          <w:sz w:val="21"/>
        </w:rPr>
        <w:t>2,250</w:t>
      </w:r>
      <w:proofErr w:type="gramStart"/>
      <w:r w:rsidRPr="003F5882">
        <w:rPr>
          <w:rFonts w:ascii="Arial" w:hAnsi="Arial" w:cs="Times New Roman"/>
          <w:sz w:val="21"/>
        </w:rPr>
        <w:t>万瑞</w:t>
      </w:r>
      <w:proofErr w:type="gramEnd"/>
      <w:r w:rsidRPr="003F5882">
        <w:rPr>
          <w:rFonts w:ascii="Arial" w:hAnsi="Arial" w:cs="Times New Roman"/>
          <w:sz w:val="21"/>
        </w:rPr>
        <w:t>郎</w:t>
      </w:r>
      <w:r w:rsidR="00F453AC" w:rsidRPr="003F5882">
        <w:rPr>
          <w:rFonts w:ascii="Arial" w:hAnsi="Arial" w:cs="Times New Roman"/>
          <w:sz w:val="21"/>
        </w:rPr>
        <w:t>）</w:t>
      </w:r>
      <w:r w:rsidRPr="003F5882">
        <w:rPr>
          <w:rFonts w:ascii="Arial" w:hAnsi="Arial" w:cs="Times New Roman"/>
          <w:sz w:val="21"/>
        </w:rPr>
        <w:t>、国际电子计算中心服务</w:t>
      </w:r>
      <w:r w:rsidR="00F453AC" w:rsidRPr="003F5882">
        <w:rPr>
          <w:rFonts w:ascii="Arial" w:hAnsi="Arial" w:cs="Times New Roman"/>
          <w:sz w:val="21"/>
        </w:rPr>
        <w:t>（</w:t>
      </w:r>
      <w:r w:rsidRPr="003F5882">
        <w:rPr>
          <w:rFonts w:ascii="Arial" w:hAnsi="Arial" w:cs="Times New Roman"/>
          <w:sz w:val="21"/>
        </w:rPr>
        <w:t>1,150</w:t>
      </w:r>
      <w:proofErr w:type="gramStart"/>
      <w:r w:rsidRPr="003F5882">
        <w:rPr>
          <w:rFonts w:ascii="Arial" w:hAnsi="Arial" w:cs="Times New Roman"/>
          <w:sz w:val="21"/>
        </w:rPr>
        <w:t>万瑞</w:t>
      </w:r>
      <w:proofErr w:type="gramEnd"/>
      <w:r w:rsidRPr="003F5882">
        <w:rPr>
          <w:rFonts w:ascii="Arial" w:hAnsi="Arial" w:cs="Times New Roman"/>
          <w:sz w:val="21"/>
        </w:rPr>
        <w:t>郎</w:t>
      </w:r>
      <w:r w:rsidR="00F453AC" w:rsidRPr="003F5882">
        <w:rPr>
          <w:rFonts w:ascii="Arial" w:hAnsi="Arial" w:cs="Times New Roman"/>
          <w:sz w:val="21"/>
        </w:rPr>
        <w:t>）</w:t>
      </w:r>
      <w:r w:rsidRPr="003F5882">
        <w:rPr>
          <w:rFonts w:ascii="Arial" w:hAnsi="Arial" w:cs="Times New Roman"/>
          <w:sz w:val="21"/>
        </w:rPr>
        <w:t>、</w:t>
      </w:r>
      <w:r w:rsidRPr="003F5882">
        <w:rPr>
          <w:rFonts w:ascii="Arial" w:hAnsi="Arial" w:cs="Times New Roman"/>
          <w:sz w:val="21"/>
        </w:rPr>
        <w:t>IT</w:t>
      </w:r>
      <w:r w:rsidRPr="003F5882">
        <w:rPr>
          <w:rFonts w:ascii="Arial" w:hAnsi="Arial" w:cs="Times New Roman"/>
          <w:sz w:val="21"/>
        </w:rPr>
        <w:t>商业服务</w:t>
      </w:r>
      <w:r w:rsidR="00F453AC" w:rsidRPr="003F5882">
        <w:rPr>
          <w:rFonts w:ascii="Arial" w:hAnsi="Arial" w:cs="Times New Roman"/>
          <w:sz w:val="21"/>
        </w:rPr>
        <w:t>（</w:t>
      </w:r>
      <w:r w:rsidRPr="003F5882">
        <w:rPr>
          <w:rFonts w:ascii="Arial" w:hAnsi="Arial" w:cs="Times New Roman"/>
          <w:sz w:val="21"/>
        </w:rPr>
        <w:t>1,010</w:t>
      </w:r>
      <w:proofErr w:type="gramStart"/>
      <w:r w:rsidRPr="003F5882">
        <w:rPr>
          <w:rFonts w:ascii="Arial" w:hAnsi="Arial" w:cs="Times New Roman"/>
          <w:sz w:val="21"/>
        </w:rPr>
        <w:t>万瑞</w:t>
      </w:r>
      <w:proofErr w:type="gramEnd"/>
      <w:r w:rsidRPr="003F5882">
        <w:rPr>
          <w:rFonts w:ascii="Arial" w:hAnsi="Arial" w:cs="Times New Roman"/>
          <w:sz w:val="21"/>
        </w:rPr>
        <w:t>郎</w:t>
      </w:r>
      <w:r w:rsidR="00F453AC" w:rsidRPr="003F5882">
        <w:rPr>
          <w:rFonts w:ascii="Arial" w:hAnsi="Arial" w:cs="Times New Roman"/>
          <w:sz w:val="21"/>
        </w:rPr>
        <w:t>）</w:t>
      </w:r>
      <w:r w:rsidRPr="003F5882">
        <w:rPr>
          <w:rFonts w:ascii="Arial" w:hAnsi="Arial" w:cs="Times New Roman"/>
          <w:sz w:val="21"/>
        </w:rPr>
        <w:t>以及个人订约承办事务</w:t>
      </w:r>
      <w:r w:rsidR="00F453AC" w:rsidRPr="003F5882">
        <w:rPr>
          <w:rFonts w:ascii="Arial" w:hAnsi="Arial" w:cs="Times New Roman"/>
          <w:sz w:val="21"/>
        </w:rPr>
        <w:t>（</w:t>
      </w:r>
      <w:r w:rsidRPr="003F5882">
        <w:rPr>
          <w:rFonts w:ascii="Arial" w:hAnsi="Arial" w:cs="Times New Roman"/>
          <w:sz w:val="21"/>
        </w:rPr>
        <w:t>1,050</w:t>
      </w:r>
      <w:proofErr w:type="gramStart"/>
      <w:r w:rsidRPr="003F5882">
        <w:rPr>
          <w:rFonts w:ascii="Arial" w:hAnsi="Arial" w:cs="Times New Roman"/>
          <w:sz w:val="21"/>
        </w:rPr>
        <w:t>万瑞</w:t>
      </w:r>
      <w:proofErr w:type="gramEnd"/>
      <w:r w:rsidRPr="003F5882">
        <w:rPr>
          <w:rFonts w:ascii="Arial" w:hAnsi="Arial" w:cs="Times New Roman"/>
          <w:sz w:val="21"/>
        </w:rPr>
        <w:t>郎</w:t>
      </w:r>
      <w:r w:rsidR="00F453AC" w:rsidRPr="003F5882">
        <w:rPr>
          <w:rFonts w:ascii="Arial" w:hAnsi="Arial" w:cs="Times New Roman"/>
          <w:sz w:val="21"/>
        </w:rPr>
        <w:t>）</w:t>
      </w:r>
      <w:r w:rsidRPr="003F5882">
        <w:rPr>
          <w:rFonts w:ascii="Arial" w:hAnsi="Arial" w:cs="Times New Roman"/>
          <w:sz w:val="21"/>
        </w:rPr>
        <w:t>。商业翻译服务比</w:t>
      </w:r>
      <w:r w:rsidRPr="003F5882">
        <w:rPr>
          <w:rFonts w:ascii="Arial" w:hAnsi="Arial" w:cs="Times New Roman"/>
          <w:sz w:val="21"/>
        </w:rPr>
        <w:t>2013</w:t>
      </w:r>
      <w:r w:rsidRPr="003F5882">
        <w:rPr>
          <w:rFonts w:ascii="Arial" w:hAnsi="Arial" w:cs="Times New Roman"/>
          <w:sz w:val="21"/>
        </w:rPr>
        <w:t>年增长</w:t>
      </w:r>
      <w:r w:rsidRPr="003F5882">
        <w:rPr>
          <w:rFonts w:ascii="Arial" w:hAnsi="Arial" w:cs="Times New Roman"/>
          <w:sz w:val="21"/>
        </w:rPr>
        <w:t>210</w:t>
      </w:r>
      <w:proofErr w:type="gramStart"/>
      <w:r w:rsidR="0060785A" w:rsidRPr="003F5882">
        <w:rPr>
          <w:rFonts w:ascii="Arial" w:hAnsi="Arial" w:cs="Times New Roman" w:hint="eastAsia"/>
          <w:sz w:val="21"/>
        </w:rPr>
        <w:t>万</w:t>
      </w:r>
      <w:r w:rsidRPr="003F5882">
        <w:rPr>
          <w:rFonts w:ascii="Arial" w:hAnsi="Arial" w:cs="Times New Roman"/>
          <w:sz w:val="21"/>
        </w:rPr>
        <w:t>瑞</w:t>
      </w:r>
      <w:proofErr w:type="gramEnd"/>
      <w:r w:rsidRPr="003F5882">
        <w:rPr>
          <w:rFonts w:ascii="Arial" w:hAnsi="Arial" w:cs="Times New Roman"/>
          <w:sz w:val="21"/>
        </w:rPr>
        <w:t>郎，部分因为外包</w:t>
      </w:r>
      <w:r w:rsidR="0060785A" w:rsidRPr="003F5882">
        <w:rPr>
          <w:rFonts w:ascii="Arial" w:hAnsi="Arial" w:cs="Times New Roman" w:hint="eastAsia"/>
          <w:sz w:val="21"/>
        </w:rPr>
        <w:t>的</w:t>
      </w:r>
      <w:r w:rsidRPr="003F5882">
        <w:rPr>
          <w:rFonts w:ascii="Arial" w:hAnsi="Arial" w:cs="Times New Roman"/>
          <w:sz w:val="21"/>
        </w:rPr>
        <w:t>专利性报告翻译的平均长度增加</w:t>
      </w:r>
      <w:r w:rsidR="00F453AC" w:rsidRPr="003F5882">
        <w:rPr>
          <w:rFonts w:ascii="Arial" w:hAnsi="Arial" w:cs="Times New Roman"/>
          <w:sz w:val="21"/>
        </w:rPr>
        <w:t>（</w:t>
      </w:r>
      <w:r w:rsidRPr="003F5882">
        <w:rPr>
          <w:rFonts w:ascii="Arial" w:hAnsi="Arial" w:cs="Times New Roman"/>
          <w:sz w:val="21"/>
        </w:rPr>
        <w:t>2013</w:t>
      </w:r>
      <w:r w:rsidRPr="003F5882">
        <w:rPr>
          <w:rFonts w:ascii="Arial" w:hAnsi="Arial" w:cs="Times New Roman"/>
          <w:sz w:val="21"/>
        </w:rPr>
        <w:t>年的</w:t>
      </w:r>
      <w:r w:rsidRPr="003F5882">
        <w:rPr>
          <w:rFonts w:ascii="Arial" w:hAnsi="Arial" w:cs="Times New Roman"/>
          <w:sz w:val="21"/>
        </w:rPr>
        <w:t>612</w:t>
      </w:r>
      <w:r w:rsidRPr="003F5882">
        <w:rPr>
          <w:rFonts w:ascii="Arial" w:hAnsi="Arial" w:cs="Times New Roman"/>
          <w:sz w:val="21"/>
        </w:rPr>
        <w:t>个单词增加到</w:t>
      </w:r>
      <w:r w:rsidRPr="003F5882">
        <w:rPr>
          <w:rFonts w:ascii="Arial" w:hAnsi="Arial" w:cs="Times New Roman"/>
          <w:sz w:val="21"/>
        </w:rPr>
        <w:t>2014</w:t>
      </w:r>
      <w:r w:rsidRPr="003F5882">
        <w:rPr>
          <w:rFonts w:ascii="Arial" w:hAnsi="Arial" w:cs="Times New Roman"/>
          <w:sz w:val="21"/>
        </w:rPr>
        <w:t>年的</w:t>
      </w:r>
      <w:r w:rsidRPr="003F5882">
        <w:rPr>
          <w:rFonts w:ascii="Arial" w:hAnsi="Arial" w:cs="Times New Roman"/>
          <w:sz w:val="21"/>
        </w:rPr>
        <w:lastRenderedPageBreak/>
        <w:t>687</w:t>
      </w:r>
      <w:r w:rsidRPr="003F5882">
        <w:rPr>
          <w:rFonts w:ascii="Arial" w:hAnsi="Arial" w:cs="Times New Roman"/>
          <w:sz w:val="21"/>
        </w:rPr>
        <w:t>个单词</w:t>
      </w:r>
      <w:r w:rsidR="00F453AC" w:rsidRPr="003F5882">
        <w:rPr>
          <w:rFonts w:ascii="Arial" w:hAnsi="Arial" w:cs="Times New Roman"/>
          <w:sz w:val="21"/>
        </w:rPr>
        <w:t>）</w:t>
      </w:r>
      <w:r w:rsidRPr="003F5882">
        <w:rPr>
          <w:rFonts w:ascii="Arial" w:hAnsi="Arial" w:cs="Times New Roman"/>
          <w:sz w:val="21"/>
        </w:rPr>
        <w:t>。但是，个人订约承办事务的费用比</w:t>
      </w:r>
      <w:r w:rsidRPr="003F5882">
        <w:rPr>
          <w:rFonts w:ascii="Arial" w:hAnsi="Arial" w:cs="Times New Roman"/>
          <w:sz w:val="21"/>
        </w:rPr>
        <w:t>2013</w:t>
      </w:r>
      <w:r w:rsidRPr="003F5882">
        <w:rPr>
          <w:rFonts w:ascii="Arial" w:hAnsi="Arial" w:cs="Times New Roman"/>
          <w:sz w:val="21"/>
        </w:rPr>
        <w:t>年下降</w:t>
      </w:r>
      <w:r w:rsidRPr="003F5882">
        <w:rPr>
          <w:rFonts w:ascii="Arial" w:hAnsi="Arial" w:cs="Times New Roman"/>
          <w:sz w:val="21"/>
        </w:rPr>
        <w:t>210</w:t>
      </w:r>
      <w:proofErr w:type="gramStart"/>
      <w:r w:rsidRPr="003F5882">
        <w:rPr>
          <w:rFonts w:ascii="Arial" w:hAnsi="Arial" w:cs="Times New Roman"/>
          <w:sz w:val="21"/>
        </w:rPr>
        <w:t>万瑞</w:t>
      </w:r>
      <w:proofErr w:type="gramEnd"/>
      <w:r w:rsidRPr="003F5882">
        <w:rPr>
          <w:rFonts w:ascii="Arial" w:hAnsi="Arial" w:cs="Times New Roman"/>
          <w:sz w:val="21"/>
        </w:rPr>
        <w:t>郎，会务费用</w:t>
      </w:r>
      <w:r w:rsidR="0060785A" w:rsidRPr="003F5882">
        <w:rPr>
          <w:rFonts w:ascii="Arial" w:hAnsi="Arial" w:cs="Times New Roman" w:hint="eastAsia"/>
          <w:sz w:val="21"/>
        </w:rPr>
        <w:t>也</w:t>
      </w:r>
      <w:r w:rsidRPr="003F5882">
        <w:rPr>
          <w:rFonts w:ascii="Arial" w:hAnsi="Arial" w:cs="Times New Roman"/>
          <w:sz w:val="21"/>
        </w:rPr>
        <w:t>比前一年度下降</w:t>
      </w:r>
      <w:r w:rsidRPr="003F5882">
        <w:rPr>
          <w:rFonts w:ascii="Arial" w:hAnsi="Arial" w:cs="Times New Roman"/>
          <w:sz w:val="21"/>
        </w:rPr>
        <w:t>90</w:t>
      </w:r>
      <w:proofErr w:type="gramStart"/>
      <w:r w:rsidRPr="003F5882">
        <w:rPr>
          <w:rFonts w:ascii="Arial" w:hAnsi="Arial" w:cs="Times New Roman"/>
          <w:sz w:val="21"/>
        </w:rPr>
        <w:t>万瑞</w:t>
      </w:r>
      <w:proofErr w:type="gramEnd"/>
      <w:r w:rsidRPr="003F5882">
        <w:rPr>
          <w:rFonts w:ascii="Arial" w:hAnsi="Arial" w:cs="Times New Roman"/>
          <w:sz w:val="21"/>
        </w:rPr>
        <w:t>郎。</w:t>
      </w:r>
    </w:p>
    <w:p w:rsidR="005A383E" w:rsidRPr="00F453AC" w:rsidRDefault="005A383E"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2014</w:t>
      </w:r>
      <w:r w:rsidRPr="003F5882">
        <w:rPr>
          <w:rFonts w:ascii="Arial" w:hAnsi="Arial" w:cs="Times New Roman"/>
          <w:sz w:val="21"/>
        </w:rPr>
        <w:t>年业务费用总计</w:t>
      </w:r>
      <w:r w:rsidRPr="003F5882">
        <w:rPr>
          <w:rFonts w:ascii="Arial" w:hAnsi="Arial" w:cs="Times New Roman"/>
          <w:sz w:val="21"/>
        </w:rPr>
        <w:t>2,080</w:t>
      </w:r>
      <w:proofErr w:type="gramStart"/>
      <w:r w:rsidRPr="003F5882">
        <w:rPr>
          <w:rFonts w:ascii="Arial" w:hAnsi="Arial" w:cs="Times New Roman"/>
          <w:sz w:val="21"/>
        </w:rPr>
        <w:t>万瑞</w:t>
      </w:r>
      <w:proofErr w:type="gramEnd"/>
      <w:r w:rsidRPr="003F5882">
        <w:rPr>
          <w:rFonts w:ascii="Arial" w:hAnsi="Arial" w:cs="Times New Roman"/>
          <w:sz w:val="21"/>
        </w:rPr>
        <w:t>郎，与</w:t>
      </w:r>
      <w:r w:rsidRPr="003F5882">
        <w:rPr>
          <w:rFonts w:ascii="Arial" w:hAnsi="Arial" w:cs="Times New Roman"/>
          <w:sz w:val="21"/>
        </w:rPr>
        <w:t>2013</w:t>
      </w:r>
      <w:r w:rsidRPr="003F5882">
        <w:rPr>
          <w:rFonts w:ascii="Arial" w:hAnsi="Arial" w:cs="Times New Roman"/>
          <w:sz w:val="21"/>
        </w:rPr>
        <w:t>年</w:t>
      </w:r>
      <w:r w:rsidRPr="003F5882">
        <w:rPr>
          <w:rFonts w:ascii="Arial" w:hAnsi="Arial" w:cs="Times New Roman"/>
          <w:sz w:val="21"/>
        </w:rPr>
        <w:t>2,110</w:t>
      </w:r>
      <w:proofErr w:type="gramStart"/>
      <w:r w:rsidRPr="003F5882">
        <w:rPr>
          <w:rFonts w:ascii="Arial" w:hAnsi="Arial" w:cs="Times New Roman"/>
          <w:sz w:val="21"/>
        </w:rPr>
        <w:t>万瑞</w:t>
      </w:r>
      <w:proofErr w:type="gramEnd"/>
      <w:r w:rsidRPr="003F5882">
        <w:rPr>
          <w:rFonts w:ascii="Arial" w:hAnsi="Arial" w:cs="Times New Roman"/>
          <w:sz w:val="21"/>
        </w:rPr>
        <w:t>郎相比微</w:t>
      </w:r>
      <w:r w:rsidR="00B77B78" w:rsidRPr="003F5882">
        <w:rPr>
          <w:rFonts w:ascii="Arial" w:hAnsi="Arial" w:cs="Times New Roman" w:hint="eastAsia"/>
          <w:sz w:val="21"/>
        </w:rPr>
        <w:t>降</w:t>
      </w:r>
      <w:r w:rsidRPr="003F5882">
        <w:rPr>
          <w:rFonts w:ascii="Arial" w:hAnsi="Arial" w:cs="Times New Roman"/>
          <w:sz w:val="21"/>
        </w:rPr>
        <w:t>1.4%</w:t>
      </w:r>
      <w:r w:rsidRPr="003F5882">
        <w:rPr>
          <w:rFonts w:ascii="Arial" w:hAnsi="Arial" w:cs="Times New Roman"/>
          <w:sz w:val="21"/>
        </w:rPr>
        <w:t>。</w:t>
      </w:r>
      <w:r w:rsidRPr="003F5882">
        <w:rPr>
          <w:rFonts w:ascii="Arial" w:hAnsi="Arial" w:cs="Times New Roman"/>
          <w:sz w:val="21"/>
        </w:rPr>
        <w:t>2014</w:t>
      </w:r>
      <w:r w:rsidRPr="003F5882">
        <w:rPr>
          <w:rFonts w:ascii="Arial" w:hAnsi="Arial" w:cs="Times New Roman"/>
          <w:sz w:val="21"/>
        </w:rPr>
        <w:t>年业务费用主要包括房舍和维修费用</w:t>
      </w:r>
      <w:r w:rsidR="00F453AC" w:rsidRPr="003F5882">
        <w:rPr>
          <w:rFonts w:ascii="Arial" w:hAnsi="Arial" w:cs="Times New Roman"/>
          <w:sz w:val="21"/>
        </w:rPr>
        <w:t>（</w:t>
      </w:r>
      <w:r w:rsidRPr="003F5882">
        <w:rPr>
          <w:rFonts w:ascii="Arial" w:hAnsi="Arial" w:cs="Times New Roman"/>
          <w:sz w:val="21"/>
        </w:rPr>
        <w:t>1,680</w:t>
      </w:r>
      <w:proofErr w:type="gramStart"/>
      <w:r w:rsidRPr="003F5882">
        <w:rPr>
          <w:rFonts w:ascii="Arial" w:hAnsi="Arial" w:cs="Times New Roman"/>
          <w:sz w:val="21"/>
        </w:rPr>
        <w:t>万瑞</w:t>
      </w:r>
      <w:proofErr w:type="gramEnd"/>
      <w:r w:rsidRPr="003F5882">
        <w:rPr>
          <w:rFonts w:ascii="Arial" w:hAnsi="Arial" w:cs="Times New Roman"/>
          <w:sz w:val="21"/>
        </w:rPr>
        <w:t>郎</w:t>
      </w:r>
      <w:r w:rsidR="00F453AC" w:rsidRPr="003F5882">
        <w:rPr>
          <w:rFonts w:ascii="Arial" w:hAnsi="Arial" w:cs="Times New Roman"/>
          <w:sz w:val="21"/>
        </w:rPr>
        <w:t>）</w:t>
      </w:r>
      <w:r w:rsidRPr="003F5882">
        <w:rPr>
          <w:rFonts w:ascii="Arial" w:hAnsi="Arial" w:cs="Times New Roman"/>
          <w:sz w:val="21"/>
        </w:rPr>
        <w:t>、通</w:t>
      </w:r>
      <w:r w:rsidR="00B77B78" w:rsidRPr="003F5882">
        <w:rPr>
          <w:rFonts w:ascii="Arial" w:hAnsi="Arial" w:cs="Times New Roman" w:hint="eastAsia"/>
          <w:sz w:val="21"/>
        </w:rPr>
        <w:t>信</w:t>
      </w:r>
      <w:r w:rsidRPr="003F5882">
        <w:rPr>
          <w:rFonts w:ascii="Arial" w:hAnsi="Arial" w:cs="Times New Roman"/>
          <w:sz w:val="21"/>
        </w:rPr>
        <w:t>费</w:t>
      </w:r>
      <w:r w:rsidR="00F453AC" w:rsidRPr="003F5882">
        <w:rPr>
          <w:rFonts w:ascii="Arial" w:hAnsi="Arial" w:cs="Times New Roman"/>
          <w:sz w:val="21"/>
        </w:rPr>
        <w:t>（</w:t>
      </w:r>
      <w:r w:rsidRPr="003F5882">
        <w:rPr>
          <w:rFonts w:ascii="Arial" w:hAnsi="Arial" w:cs="Times New Roman"/>
          <w:sz w:val="21"/>
        </w:rPr>
        <w:t>230</w:t>
      </w:r>
      <w:proofErr w:type="gramStart"/>
      <w:r w:rsidRPr="003F5882">
        <w:rPr>
          <w:rFonts w:ascii="Arial" w:hAnsi="Arial" w:cs="Times New Roman"/>
          <w:sz w:val="21"/>
        </w:rPr>
        <w:t>万瑞</w:t>
      </w:r>
      <w:proofErr w:type="gramEnd"/>
      <w:r w:rsidRPr="003F5882">
        <w:rPr>
          <w:rFonts w:ascii="Arial" w:hAnsi="Arial" w:cs="Times New Roman"/>
          <w:sz w:val="21"/>
        </w:rPr>
        <w:t>郎</w:t>
      </w:r>
      <w:r w:rsidR="00F453AC" w:rsidRPr="003F5882">
        <w:rPr>
          <w:rFonts w:ascii="Arial" w:hAnsi="Arial" w:cs="Times New Roman"/>
          <w:sz w:val="21"/>
        </w:rPr>
        <w:t>）</w:t>
      </w:r>
      <w:r w:rsidRPr="003F5882">
        <w:rPr>
          <w:rFonts w:ascii="Arial" w:hAnsi="Arial" w:cs="Times New Roman"/>
          <w:sz w:val="21"/>
        </w:rPr>
        <w:t>和管理费</w:t>
      </w:r>
      <w:r w:rsidR="00F453AC" w:rsidRPr="003F5882">
        <w:rPr>
          <w:rFonts w:ascii="Arial" w:hAnsi="Arial" w:cs="Times New Roman"/>
          <w:sz w:val="21"/>
        </w:rPr>
        <w:t>（</w:t>
      </w:r>
      <w:r w:rsidRPr="003F5882">
        <w:rPr>
          <w:rFonts w:ascii="Arial" w:hAnsi="Arial" w:cs="Times New Roman"/>
          <w:sz w:val="21"/>
        </w:rPr>
        <w:t>80</w:t>
      </w:r>
      <w:proofErr w:type="gramStart"/>
      <w:r w:rsidRPr="003F5882">
        <w:rPr>
          <w:rFonts w:ascii="Arial" w:hAnsi="Arial" w:cs="Times New Roman"/>
          <w:sz w:val="21"/>
        </w:rPr>
        <w:t>万瑞</w:t>
      </w:r>
      <w:proofErr w:type="gramEnd"/>
      <w:r w:rsidRPr="003F5882">
        <w:rPr>
          <w:rFonts w:ascii="Arial" w:hAnsi="Arial" w:cs="Times New Roman"/>
          <w:sz w:val="21"/>
        </w:rPr>
        <w:t>郎</w:t>
      </w:r>
      <w:r w:rsidR="00F453AC" w:rsidRPr="003F5882">
        <w:rPr>
          <w:rFonts w:ascii="Arial" w:hAnsi="Arial" w:cs="Times New Roman"/>
          <w:sz w:val="21"/>
        </w:rPr>
        <w:t>）</w:t>
      </w:r>
      <w:r w:rsidRPr="003F5882">
        <w:rPr>
          <w:rFonts w:ascii="Arial" w:hAnsi="Arial" w:cs="Times New Roman"/>
          <w:sz w:val="21"/>
        </w:rPr>
        <w:t>。由于传统邮寄减少，因此与</w:t>
      </w:r>
      <w:r w:rsidRPr="003F5882">
        <w:rPr>
          <w:rFonts w:ascii="Arial" w:hAnsi="Arial" w:cs="Times New Roman"/>
          <w:sz w:val="21"/>
        </w:rPr>
        <w:t>2013</w:t>
      </w:r>
      <w:r w:rsidRPr="003F5882">
        <w:rPr>
          <w:rFonts w:ascii="Arial" w:hAnsi="Arial" w:cs="Times New Roman"/>
          <w:sz w:val="21"/>
        </w:rPr>
        <w:t>年相比通</w:t>
      </w:r>
      <w:r w:rsidR="00B77B78" w:rsidRPr="003F5882">
        <w:rPr>
          <w:rFonts w:ascii="Arial" w:hAnsi="Arial" w:cs="Times New Roman" w:hint="eastAsia"/>
          <w:sz w:val="21"/>
        </w:rPr>
        <w:t>信</w:t>
      </w:r>
      <w:r w:rsidRPr="003F5882">
        <w:rPr>
          <w:rFonts w:ascii="Arial" w:hAnsi="Arial" w:cs="Times New Roman"/>
          <w:sz w:val="21"/>
        </w:rPr>
        <w:t>费下降了</w:t>
      </w:r>
      <w:r w:rsidRPr="003F5882">
        <w:rPr>
          <w:rFonts w:ascii="Arial" w:hAnsi="Arial" w:cs="Times New Roman"/>
          <w:sz w:val="21"/>
        </w:rPr>
        <w:t>30</w:t>
      </w:r>
      <w:proofErr w:type="gramStart"/>
      <w:r w:rsidRPr="003F5882">
        <w:rPr>
          <w:rFonts w:ascii="Arial" w:hAnsi="Arial" w:cs="Times New Roman"/>
          <w:sz w:val="21"/>
        </w:rPr>
        <w:t>万瑞</w:t>
      </w:r>
      <w:proofErr w:type="gramEnd"/>
      <w:r w:rsidRPr="003F5882">
        <w:rPr>
          <w:rFonts w:ascii="Arial" w:hAnsi="Arial" w:cs="Times New Roman"/>
          <w:sz w:val="21"/>
        </w:rPr>
        <w:t>郎。</w:t>
      </w:r>
    </w:p>
    <w:p w:rsidR="005A383E" w:rsidRPr="00F453AC" w:rsidRDefault="005A383E"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用品和材料开支为</w:t>
      </w:r>
      <w:r w:rsidRPr="003F5882">
        <w:rPr>
          <w:rFonts w:ascii="Arial" w:hAnsi="Arial" w:cs="Times New Roman"/>
          <w:sz w:val="21"/>
        </w:rPr>
        <w:t>180</w:t>
      </w:r>
      <w:r w:rsidRPr="003F5882">
        <w:rPr>
          <w:rFonts w:ascii="Arial" w:hAnsi="Arial" w:cs="Times New Roman"/>
          <w:sz w:val="21"/>
        </w:rPr>
        <w:t>万瑞郎，比</w:t>
      </w:r>
      <w:r w:rsidRPr="003F5882">
        <w:rPr>
          <w:rFonts w:ascii="Arial" w:hAnsi="Arial" w:cs="Times New Roman"/>
          <w:sz w:val="21"/>
        </w:rPr>
        <w:t>2013</w:t>
      </w:r>
      <w:r w:rsidRPr="003F5882">
        <w:rPr>
          <w:rFonts w:ascii="Arial" w:hAnsi="Arial" w:cs="Times New Roman"/>
          <w:sz w:val="21"/>
        </w:rPr>
        <w:t>年下降了</w:t>
      </w:r>
      <w:r w:rsidRPr="003F5882">
        <w:rPr>
          <w:rFonts w:ascii="Arial" w:hAnsi="Arial" w:cs="Times New Roman"/>
          <w:sz w:val="21"/>
        </w:rPr>
        <w:t>45.5%</w:t>
      </w:r>
      <w:r w:rsidRPr="003F5882">
        <w:rPr>
          <w:rFonts w:ascii="Arial" w:hAnsi="Arial" w:cs="Times New Roman"/>
          <w:sz w:val="21"/>
        </w:rPr>
        <w:t>。家具和设备费也有所</w:t>
      </w:r>
      <w:r w:rsidR="00B77B78" w:rsidRPr="003F5882">
        <w:rPr>
          <w:rFonts w:ascii="Arial" w:hAnsi="Arial" w:cs="Times New Roman" w:hint="eastAsia"/>
          <w:sz w:val="21"/>
        </w:rPr>
        <w:t>减少</w:t>
      </w:r>
      <w:r w:rsidRPr="003F5882">
        <w:rPr>
          <w:rFonts w:ascii="Arial" w:hAnsi="Arial" w:cs="Times New Roman"/>
          <w:sz w:val="21"/>
        </w:rPr>
        <w:t>，从</w:t>
      </w:r>
      <w:r w:rsidRPr="003F5882">
        <w:rPr>
          <w:rFonts w:ascii="Arial" w:hAnsi="Arial" w:cs="Times New Roman"/>
          <w:sz w:val="21"/>
        </w:rPr>
        <w:t>2013</w:t>
      </w:r>
      <w:r w:rsidRPr="003F5882">
        <w:rPr>
          <w:rFonts w:ascii="Arial" w:hAnsi="Arial" w:cs="Times New Roman"/>
          <w:sz w:val="21"/>
        </w:rPr>
        <w:t>年的</w:t>
      </w:r>
      <w:r w:rsidRPr="003F5882">
        <w:rPr>
          <w:rFonts w:ascii="Arial" w:hAnsi="Arial" w:cs="Times New Roman"/>
          <w:sz w:val="21"/>
        </w:rPr>
        <w:t>90</w:t>
      </w:r>
      <w:r w:rsidRPr="003F5882">
        <w:rPr>
          <w:rFonts w:ascii="Arial" w:hAnsi="Arial" w:cs="Times New Roman"/>
          <w:sz w:val="21"/>
        </w:rPr>
        <w:t>万瑞郎下</w:t>
      </w:r>
      <w:r w:rsidR="00B77B78" w:rsidRPr="003F5882">
        <w:rPr>
          <w:rFonts w:ascii="Arial" w:hAnsi="Arial" w:cs="Times New Roman" w:hint="eastAsia"/>
          <w:sz w:val="21"/>
        </w:rPr>
        <w:t>降</w:t>
      </w:r>
      <w:r w:rsidRPr="003F5882">
        <w:rPr>
          <w:rFonts w:ascii="Arial" w:hAnsi="Arial" w:cs="Times New Roman"/>
          <w:sz w:val="21"/>
        </w:rPr>
        <w:t>至</w:t>
      </w:r>
      <w:r w:rsidRPr="003F5882">
        <w:rPr>
          <w:rFonts w:ascii="Arial" w:hAnsi="Arial" w:cs="Times New Roman"/>
          <w:sz w:val="21"/>
        </w:rPr>
        <w:t>2014</w:t>
      </w:r>
      <w:r w:rsidRPr="003F5882">
        <w:rPr>
          <w:rFonts w:ascii="Arial" w:hAnsi="Arial" w:cs="Times New Roman"/>
          <w:sz w:val="21"/>
        </w:rPr>
        <w:t>年的</w:t>
      </w:r>
      <w:r w:rsidRPr="003F5882">
        <w:rPr>
          <w:rFonts w:ascii="Arial" w:hAnsi="Arial" w:cs="Times New Roman"/>
          <w:sz w:val="21"/>
        </w:rPr>
        <w:t>20</w:t>
      </w:r>
      <w:r w:rsidRPr="003F5882">
        <w:rPr>
          <w:rFonts w:ascii="Arial" w:hAnsi="Arial" w:cs="Times New Roman"/>
          <w:sz w:val="21"/>
        </w:rPr>
        <w:t>万瑞郎。家具和设备费涉及不满足本组织资本化门槛</w:t>
      </w:r>
      <w:r w:rsidRPr="003F5882">
        <w:rPr>
          <w:rFonts w:ascii="Arial" w:hAnsi="Arial" w:cs="Times New Roman"/>
          <w:sz w:val="21"/>
        </w:rPr>
        <w:t>5,000</w:t>
      </w:r>
      <w:r w:rsidRPr="003F5882">
        <w:rPr>
          <w:rFonts w:ascii="Arial" w:hAnsi="Arial" w:cs="Times New Roman"/>
          <w:sz w:val="21"/>
        </w:rPr>
        <w:t>瑞郎的项目，因此立即被确认为支出。尤其是，此类性质的</w:t>
      </w:r>
      <w:r w:rsidRPr="003F5882">
        <w:rPr>
          <w:rFonts w:ascii="Arial" w:hAnsi="Arial" w:cs="Times New Roman"/>
          <w:sz w:val="21"/>
        </w:rPr>
        <w:t>IT</w:t>
      </w:r>
      <w:r w:rsidRPr="003F5882">
        <w:rPr>
          <w:rFonts w:ascii="Arial" w:hAnsi="Arial" w:cs="Times New Roman"/>
          <w:sz w:val="21"/>
        </w:rPr>
        <w:t>设备支出从</w:t>
      </w:r>
      <w:r w:rsidRPr="003F5882">
        <w:rPr>
          <w:rFonts w:ascii="Arial" w:hAnsi="Arial" w:cs="Times New Roman"/>
          <w:sz w:val="21"/>
        </w:rPr>
        <w:t>2013</w:t>
      </w:r>
      <w:r w:rsidRPr="003F5882">
        <w:rPr>
          <w:rFonts w:ascii="Arial" w:hAnsi="Arial" w:cs="Times New Roman"/>
          <w:sz w:val="21"/>
        </w:rPr>
        <w:t>年的</w:t>
      </w:r>
      <w:r w:rsidRPr="003F5882">
        <w:rPr>
          <w:rFonts w:ascii="Arial" w:hAnsi="Arial" w:cs="Times New Roman"/>
          <w:sz w:val="21"/>
        </w:rPr>
        <w:t>60</w:t>
      </w:r>
      <w:proofErr w:type="gramStart"/>
      <w:r w:rsidRPr="003F5882">
        <w:rPr>
          <w:rFonts w:ascii="Arial" w:hAnsi="Arial" w:cs="Times New Roman"/>
          <w:sz w:val="21"/>
        </w:rPr>
        <w:t>万瑞郎下降</w:t>
      </w:r>
      <w:proofErr w:type="gramEnd"/>
      <w:r w:rsidRPr="003F5882">
        <w:rPr>
          <w:rFonts w:ascii="Arial" w:hAnsi="Arial" w:cs="Times New Roman"/>
          <w:sz w:val="21"/>
        </w:rPr>
        <w:t>到</w:t>
      </w:r>
      <w:r w:rsidRPr="003F5882">
        <w:rPr>
          <w:rFonts w:ascii="Arial" w:hAnsi="Arial" w:cs="Times New Roman"/>
          <w:sz w:val="21"/>
        </w:rPr>
        <w:t>2014</w:t>
      </w:r>
      <w:r w:rsidRPr="003F5882">
        <w:rPr>
          <w:rFonts w:ascii="Arial" w:hAnsi="Arial" w:cs="Times New Roman"/>
          <w:sz w:val="21"/>
        </w:rPr>
        <w:t>年的</w:t>
      </w:r>
      <w:r w:rsidRPr="003F5882">
        <w:rPr>
          <w:rFonts w:ascii="Arial" w:hAnsi="Arial" w:cs="Times New Roman"/>
          <w:sz w:val="21"/>
        </w:rPr>
        <w:t>10</w:t>
      </w:r>
      <w:proofErr w:type="gramStart"/>
      <w:r w:rsidRPr="003F5882">
        <w:rPr>
          <w:rFonts w:ascii="Arial" w:hAnsi="Arial" w:cs="Times New Roman"/>
          <w:sz w:val="21"/>
        </w:rPr>
        <w:t>万瑞</w:t>
      </w:r>
      <w:proofErr w:type="gramEnd"/>
      <w:r w:rsidRPr="003F5882">
        <w:rPr>
          <w:rFonts w:ascii="Arial" w:hAnsi="Arial" w:cs="Times New Roman"/>
          <w:sz w:val="21"/>
        </w:rPr>
        <w:t>郎。</w:t>
      </w:r>
    </w:p>
    <w:p w:rsidR="005A383E" w:rsidRPr="00F453AC" w:rsidRDefault="005A383E"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如上所述，依据</w:t>
      </w:r>
      <w:r w:rsidRPr="003F5882">
        <w:rPr>
          <w:rFonts w:ascii="Arial" w:hAnsi="Arial" w:cs="Times New Roman"/>
          <w:sz w:val="21"/>
        </w:rPr>
        <w:t>IPSAS</w:t>
      </w:r>
      <w:r w:rsidR="00B77B78" w:rsidRPr="003F5882">
        <w:rPr>
          <w:rFonts w:ascii="Arial" w:hAnsi="Arial" w:cs="Times New Roman" w:hint="eastAsia"/>
          <w:sz w:val="21"/>
        </w:rPr>
        <w:t>计算</w:t>
      </w:r>
      <w:r w:rsidRPr="003F5882">
        <w:rPr>
          <w:rFonts w:ascii="Arial" w:hAnsi="Arial" w:cs="Times New Roman"/>
          <w:sz w:val="21"/>
        </w:rPr>
        <w:t>的支出包括办公楼与设备的折旧支出以及无形资产的摊销费，因为这些资产的成本被分摊至其整个使用寿命。</w:t>
      </w:r>
      <w:r w:rsidRPr="003F5882">
        <w:rPr>
          <w:rFonts w:ascii="Arial" w:hAnsi="Arial" w:cs="Times New Roman"/>
          <w:sz w:val="21"/>
        </w:rPr>
        <w:t>2014</w:t>
      </w:r>
      <w:r w:rsidRPr="003F5882">
        <w:rPr>
          <w:rFonts w:ascii="Arial" w:hAnsi="Arial" w:cs="Times New Roman"/>
          <w:sz w:val="21"/>
        </w:rPr>
        <w:t>年，这些项目总计</w:t>
      </w:r>
      <w:r w:rsidRPr="003F5882">
        <w:rPr>
          <w:rFonts w:ascii="Arial" w:hAnsi="Arial" w:cs="Times New Roman"/>
          <w:sz w:val="21"/>
        </w:rPr>
        <w:t>910</w:t>
      </w:r>
      <w:r w:rsidRPr="003F5882">
        <w:rPr>
          <w:rFonts w:ascii="Arial" w:hAnsi="Arial" w:cs="Times New Roman"/>
          <w:sz w:val="21"/>
        </w:rPr>
        <w:t>万瑞郎，相比之下</w:t>
      </w:r>
      <w:r w:rsidR="00F2198B" w:rsidRPr="003F5882">
        <w:rPr>
          <w:rFonts w:ascii="Arial" w:hAnsi="Arial" w:cs="Times New Roman" w:hint="eastAsia"/>
          <w:sz w:val="21"/>
        </w:rPr>
        <w:t>，</w:t>
      </w:r>
      <w:r w:rsidRPr="003F5882">
        <w:rPr>
          <w:rFonts w:ascii="Arial" w:hAnsi="Arial" w:cs="Times New Roman"/>
          <w:sz w:val="21"/>
        </w:rPr>
        <w:t>2013</w:t>
      </w:r>
      <w:r w:rsidRPr="003F5882">
        <w:rPr>
          <w:rFonts w:ascii="Arial" w:hAnsi="Arial" w:cs="Times New Roman"/>
          <w:sz w:val="21"/>
        </w:rPr>
        <w:t>年为</w:t>
      </w:r>
      <w:r w:rsidRPr="003F5882">
        <w:rPr>
          <w:rFonts w:ascii="Arial" w:hAnsi="Arial" w:cs="Times New Roman"/>
          <w:sz w:val="21"/>
        </w:rPr>
        <w:t>790</w:t>
      </w:r>
      <w:r w:rsidRPr="003F5882">
        <w:rPr>
          <w:rFonts w:ascii="Arial" w:hAnsi="Arial" w:cs="Times New Roman"/>
          <w:sz w:val="21"/>
        </w:rPr>
        <w:t>万瑞郎。出现增长是因为新会议厅完工，</w:t>
      </w:r>
      <w:r w:rsidRPr="003F5882">
        <w:rPr>
          <w:rFonts w:ascii="Arial" w:hAnsi="Arial" w:cs="Times New Roman"/>
          <w:sz w:val="21"/>
        </w:rPr>
        <w:t>2014</w:t>
      </w:r>
      <w:r w:rsidRPr="003F5882">
        <w:rPr>
          <w:rFonts w:ascii="Arial" w:hAnsi="Arial" w:cs="Times New Roman"/>
          <w:sz w:val="21"/>
        </w:rPr>
        <w:t>年</w:t>
      </w:r>
      <w:r w:rsidRPr="003F5882">
        <w:rPr>
          <w:rFonts w:ascii="Arial" w:hAnsi="Arial" w:cs="Times New Roman"/>
          <w:sz w:val="21"/>
        </w:rPr>
        <w:t>9</w:t>
      </w:r>
      <w:r w:rsidRPr="003F5882">
        <w:rPr>
          <w:rFonts w:ascii="Arial" w:hAnsi="Arial" w:cs="Times New Roman"/>
          <w:sz w:val="21"/>
        </w:rPr>
        <w:t>月新会议厅投入使用后产生</w:t>
      </w:r>
      <w:r w:rsidR="00F2198B" w:rsidRPr="003F5882">
        <w:rPr>
          <w:rFonts w:ascii="Arial" w:hAnsi="Arial" w:cs="Times New Roman" w:hint="eastAsia"/>
          <w:sz w:val="21"/>
        </w:rPr>
        <w:t>了</w:t>
      </w:r>
      <w:r w:rsidRPr="003F5882">
        <w:rPr>
          <w:rFonts w:ascii="Arial" w:hAnsi="Arial" w:cs="Times New Roman"/>
          <w:sz w:val="21"/>
        </w:rPr>
        <w:t>70</w:t>
      </w:r>
      <w:r w:rsidRPr="003F5882">
        <w:rPr>
          <w:rFonts w:ascii="Arial" w:hAnsi="Arial" w:cs="Times New Roman"/>
          <w:sz w:val="21"/>
        </w:rPr>
        <w:t>万瑞郎的折旧支出，此外</w:t>
      </w:r>
      <w:r w:rsidR="00F2198B" w:rsidRPr="003F5882">
        <w:rPr>
          <w:rFonts w:ascii="Arial" w:hAnsi="Arial" w:cs="Times New Roman" w:hint="eastAsia"/>
          <w:sz w:val="21"/>
        </w:rPr>
        <w:t>，</w:t>
      </w:r>
      <w:r w:rsidRPr="003F5882">
        <w:rPr>
          <w:rFonts w:ascii="Arial" w:hAnsi="Arial" w:cs="Times New Roman"/>
          <w:sz w:val="21"/>
        </w:rPr>
        <w:t>2014</w:t>
      </w:r>
      <w:r w:rsidRPr="003F5882">
        <w:rPr>
          <w:rFonts w:ascii="Arial" w:hAnsi="Arial" w:cs="Times New Roman"/>
          <w:sz w:val="21"/>
        </w:rPr>
        <w:t>年初内部开发的软件项目完成，从而在当年产生了</w:t>
      </w:r>
      <w:r w:rsidRPr="003F5882">
        <w:rPr>
          <w:rFonts w:ascii="Arial" w:hAnsi="Arial" w:cs="Times New Roman"/>
          <w:sz w:val="21"/>
        </w:rPr>
        <w:t>60</w:t>
      </w:r>
      <w:r w:rsidRPr="003F5882">
        <w:rPr>
          <w:rFonts w:ascii="Arial" w:hAnsi="Arial" w:cs="Times New Roman"/>
          <w:sz w:val="21"/>
        </w:rPr>
        <w:t>万瑞郎的额外摊销支出。</w:t>
      </w:r>
    </w:p>
    <w:p w:rsidR="005A383E" w:rsidRPr="00F453AC" w:rsidRDefault="005A383E"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在</w:t>
      </w:r>
      <w:r w:rsidRPr="003F5882">
        <w:rPr>
          <w:rFonts w:ascii="Arial" w:hAnsi="Arial" w:cs="Times New Roman"/>
          <w:sz w:val="21"/>
        </w:rPr>
        <w:t>2014</w:t>
      </w:r>
      <w:r w:rsidRPr="003F5882">
        <w:rPr>
          <w:rFonts w:ascii="Arial" w:hAnsi="Arial" w:cs="Times New Roman"/>
          <w:sz w:val="21"/>
        </w:rPr>
        <w:t>年的财务报表中，融资成本第一次单独在财务执行情况表中直接披露。此前，融资成本计入业务费用。融资成本与前一年度相比保持</w:t>
      </w:r>
      <w:r w:rsidR="00E82A23" w:rsidRPr="003F5882">
        <w:rPr>
          <w:rFonts w:ascii="Arial" w:hAnsi="Arial" w:cs="Times New Roman"/>
          <w:sz w:val="21"/>
        </w:rPr>
        <w:t>相对</w:t>
      </w:r>
      <w:r w:rsidRPr="003F5882">
        <w:rPr>
          <w:rFonts w:ascii="Arial" w:hAnsi="Arial" w:cs="Times New Roman"/>
          <w:sz w:val="21"/>
        </w:rPr>
        <w:t>稳定，</w:t>
      </w:r>
      <w:r w:rsidRPr="003F5882">
        <w:rPr>
          <w:rFonts w:ascii="Arial" w:hAnsi="Arial" w:cs="Times New Roman"/>
          <w:sz w:val="21"/>
        </w:rPr>
        <w:t>2014</w:t>
      </w:r>
      <w:r w:rsidRPr="003F5882">
        <w:rPr>
          <w:rFonts w:ascii="Arial" w:hAnsi="Arial" w:cs="Times New Roman"/>
          <w:sz w:val="21"/>
        </w:rPr>
        <w:t>年总计为</w:t>
      </w:r>
      <w:r w:rsidRPr="003F5882">
        <w:rPr>
          <w:rFonts w:ascii="Arial" w:hAnsi="Arial" w:cs="Times New Roman"/>
          <w:sz w:val="21"/>
        </w:rPr>
        <w:t>330</w:t>
      </w:r>
      <w:r w:rsidRPr="003F5882">
        <w:rPr>
          <w:rFonts w:ascii="Arial" w:hAnsi="Arial" w:cs="Times New Roman"/>
          <w:sz w:val="21"/>
        </w:rPr>
        <w:t>万瑞郎，</w:t>
      </w:r>
      <w:r w:rsidRPr="003F5882">
        <w:rPr>
          <w:rFonts w:ascii="Arial" w:hAnsi="Arial" w:cs="Times New Roman"/>
          <w:sz w:val="21"/>
        </w:rPr>
        <w:t>2013</w:t>
      </w:r>
      <w:r w:rsidRPr="003F5882">
        <w:rPr>
          <w:rFonts w:ascii="Arial" w:hAnsi="Arial" w:cs="Times New Roman"/>
          <w:sz w:val="21"/>
        </w:rPr>
        <w:t>年为</w:t>
      </w:r>
      <w:r w:rsidRPr="003F5882">
        <w:rPr>
          <w:rFonts w:ascii="Arial" w:hAnsi="Arial" w:cs="Times New Roman"/>
          <w:sz w:val="21"/>
        </w:rPr>
        <w:t>340</w:t>
      </w:r>
      <w:r w:rsidRPr="003F5882">
        <w:rPr>
          <w:rFonts w:ascii="Arial" w:hAnsi="Arial" w:cs="Times New Roman"/>
          <w:sz w:val="21"/>
        </w:rPr>
        <w:t>万瑞郎。</w:t>
      </w:r>
      <w:r w:rsidRPr="003F5882">
        <w:rPr>
          <w:rFonts w:ascii="Arial" w:hAnsi="Arial" w:cs="Times New Roman"/>
          <w:sz w:val="21"/>
        </w:rPr>
        <w:t>2014</w:t>
      </w:r>
      <w:r w:rsidRPr="003F5882">
        <w:rPr>
          <w:rFonts w:ascii="Arial" w:hAnsi="Arial" w:cs="Times New Roman"/>
          <w:sz w:val="21"/>
        </w:rPr>
        <w:t>年融资成本主要</w:t>
      </w:r>
      <w:r w:rsidR="00E82A23" w:rsidRPr="003F5882">
        <w:rPr>
          <w:rFonts w:ascii="Arial" w:hAnsi="Arial" w:cs="Times New Roman" w:hint="eastAsia"/>
          <w:sz w:val="21"/>
        </w:rPr>
        <w:t>用于</w:t>
      </w:r>
      <w:r w:rsidRPr="003F5882">
        <w:rPr>
          <w:rFonts w:ascii="Arial" w:hAnsi="Arial" w:cs="Times New Roman"/>
          <w:sz w:val="21"/>
        </w:rPr>
        <w:t>偿还</w:t>
      </w:r>
      <w:r w:rsidRPr="003F5882">
        <w:rPr>
          <w:rFonts w:ascii="Arial" w:hAnsi="Arial" w:cs="Times New Roman"/>
          <w:sz w:val="21"/>
        </w:rPr>
        <w:t>BCG/BCV</w:t>
      </w:r>
      <w:r w:rsidRPr="003F5882">
        <w:rPr>
          <w:rFonts w:ascii="Arial" w:hAnsi="Arial" w:cs="Times New Roman"/>
          <w:sz w:val="21"/>
        </w:rPr>
        <w:t>新办公楼贷款利息</w:t>
      </w:r>
      <w:r w:rsidR="00E82A23" w:rsidRPr="003F5882">
        <w:rPr>
          <w:rFonts w:ascii="Arial" w:hAnsi="Arial" w:cs="Times New Roman" w:hint="eastAsia"/>
          <w:sz w:val="21"/>
        </w:rPr>
        <w:t>，</w:t>
      </w:r>
      <w:r w:rsidR="00E82A23" w:rsidRPr="003F5882">
        <w:rPr>
          <w:rFonts w:ascii="Arial" w:hAnsi="Arial" w:cs="Times New Roman"/>
          <w:sz w:val="21"/>
        </w:rPr>
        <w:t>总计</w:t>
      </w:r>
      <w:r w:rsidR="00E82A23" w:rsidRPr="003F5882">
        <w:rPr>
          <w:rFonts w:ascii="Arial" w:hAnsi="Arial" w:cs="Times New Roman"/>
          <w:sz w:val="21"/>
        </w:rPr>
        <w:t>310</w:t>
      </w:r>
      <w:r w:rsidR="00E82A23" w:rsidRPr="003F5882">
        <w:rPr>
          <w:rFonts w:ascii="Arial" w:hAnsi="Arial" w:cs="Times New Roman"/>
          <w:sz w:val="21"/>
        </w:rPr>
        <w:t>万瑞郎</w:t>
      </w:r>
      <w:r w:rsidRPr="003F5882">
        <w:rPr>
          <w:rFonts w:ascii="Arial" w:hAnsi="Arial" w:cs="Times New Roman"/>
          <w:sz w:val="21"/>
        </w:rPr>
        <w:t>。其他融资成本涉及银行手续费。</w:t>
      </w:r>
    </w:p>
    <w:p w:rsidR="005A383E" w:rsidRPr="00CA4DB8" w:rsidRDefault="005A383E" w:rsidP="00CA4DB8">
      <w:pPr>
        <w:keepNext/>
        <w:overflowPunct w:val="0"/>
        <w:spacing w:beforeLines="50" w:before="120" w:afterLines="50" w:after="120" w:line="340" w:lineRule="atLeast"/>
        <w:jc w:val="both"/>
        <w:rPr>
          <w:rFonts w:eastAsia="SimSun" w:cs="Times New Roman"/>
          <w:b/>
          <w:sz w:val="21"/>
        </w:rPr>
      </w:pPr>
      <w:r w:rsidRPr="00CA4DB8">
        <w:rPr>
          <w:rFonts w:eastAsia="SimSun" w:cs="Times New Roman"/>
          <w:b/>
          <w:sz w:val="21"/>
        </w:rPr>
        <w:t>财务状况</w:t>
      </w:r>
    </w:p>
    <w:p w:rsidR="005A383E" w:rsidRPr="00F453AC" w:rsidRDefault="005A383E"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截至</w:t>
      </w:r>
      <w:r w:rsidRPr="003F5882">
        <w:rPr>
          <w:rFonts w:ascii="Arial" w:hAnsi="Arial" w:cs="Times New Roman"/>
          <w:sz w:val="21"/>
        </w:rPr>
        <w:t>2014</w:t>
      </w:r>
      <w:r w:rsidRPr="003F5882">
        <w:rPr>
          <w:rFonts w:ascii="Arial" w:hAnsi="Arial" w:cs="Times New Roman"/>
          <w:sz w:val="21"/>
        </w:rPr>
        <w:t>年</w:t>
      </w:r>
      <w:r w:rsidRPr="003F5882">
        <w:rPr>
          <w:rFonts w:ascii="Arial" w:hAnsi="Arial" w:cs="Times New Roman"/>
          <w:sz w:val="21"/>
        </w:rPr>
        <w:t>12</w:t>
      </w:r>
      <w:r w:rsidRPr="003F5882">
        <w:rPr>
          <w:rFonts w:ascii="Arial" w:hAnsi="Arial" w:cs="Times New Roman"/>
          <w:sz w:val="21"/>
        </w:rPr>
        <w:t>月</w:t>
      </w:r>
      <w:r w:rsidRPr="003F5882">
        <w:rPr>
          <w:rFonts w:ascii="Arial" w:hAnsi="Arial" w:cs="Times New Roman"/>
          <w:sz w:val="21"/>
        </w:rPr>
        <w:t>31</w:t>
      </w:r>
      <w:r w:rsidRPr="003F5882">
        <w:rPr>
          <w:rFonts w:ascii="Arial" w:hAnsi="Arial" w:cs="Times New Roman"/>
          <w:sz w:val="21"/>
        </w:rPr>
        <w:t>日，本组织净资产为</w:t>
      </w:r>
      <w:r w:rsidRPr="003F5882">
        <w:rPr>
          <w:rFonts w:ascii="Arial" w:hAnsi="Arial" w:cs="Times New Roman"/>
          <w:sz w:val="21"/>
        </w:rPr>
        <w:t>2.458</w:t>
      </w:r>
      <w:r w:rsidRPr="003F5882">
        <w:rPr>
          <w:rFonts w:ascii="Arial" w:hAnsi="Arial" w:cs="Times New Roman"/>
          <w:sz w:val="21"/>
        </w:rPr>
        <w:t>亿瑞郎，总资产为</w:t>
      </w:r>
      <w:r w:rsidRPr="003F5882">
        <w:rPr>
          <w:rFonts w:ascii="Arial" w:hAnsi="Arial" w:cs="Times New Roman"/>
          <w:sz w:val="21"/>
        </w:rPr>
        <w:t>9.694</w:t>
      </w:r>
      <w:r w:rsidRPr="003F5882">
        <w:rPr>
          <w:rFonts w:ascii="Arial" w:hAnsi="Arial" w:cs="Times New Roman"/>
          <w:sz w:val="21"/>
        </w:rPr>
        <w:t>亿瑞郎，总负债为</w:t>
      </w:r>
      <w:r w:rsidRPr="003F5882">
        <w:rPr>
          <w:rFonts w:ascii="Arial" w:hAnsi="Arial" w:cs="Times New Roman"/>
          <w:sz w:val="21"/>
        </w:rPr>
        <w:t>7.236</w:t>
      </w:r>
      <w:r w:rsidRPr="003F5882">
        <w:rPr>
          <w:rFonts w:ascii="Arial" w:hAnsi="Arial" w:cs="Times New Roman"/>
          <w:sz w:val="21"/>
        </w:rPr>
        <w:t>亿瑞郎。由于</w:t>
      </w:r>
      <w:r w:rsidRPr="003F5882">
        <w:rPr>
          <w:rFonts w:ascii="Arial" w:hAnsi="Arial" w:cs="Times New Roman"/>
          <w:sz w:val="21"/>
        </w:rPr>
        <w:t>2014</w:t>
      </w:r>
      <w:r w:rsidRPr="003F5882">
        <w:rPr>
          <w:rFonts w:ascii="Arial" w:hAnsi="Arial" w:cs="Times New Roman"/>
          <w:sz w:val="21"/>
        </w:rPr>
        <w:t>年盈余</w:t>
      </w:r>
      <w:r w:rsidRPr="003F5882">
        <w:rPr>
          <w:rFonts w:ascii="Arial" w:hAnsi="Arial" w:cs="Times New Roman"/>
          <w:sz w:val="21"/>
        </w:rPr>
        <w:t>3,700</w:t>
      </w:r>
      <w:proofErr w:type="gramStart"/>
      <w:r w:rsidRPr="003F5882">
        <w:rPr>
          <w:rFonts w:ascii="Arial" w:hAnsi="Arial" w:cs="Times New Roman"/>
          <w:sz w:val="21"/>
        </w:rPr>
        <w:t>万瑞</w:t>
      </w:r>
      <w:proofErr w:type="gramEnd"/>
      <w:r w:rsidRPr="003F5882">
        <w:rPr>
          <w:rFonts w:ascii="Arial" w:hAnsi="Arial" w:cs="Times New Roman"/>
          <w:sz w:val="21"/>
        </w:rPr>
        <w:t>郎，净资产从</w:t>
      </w:r>
      <w:r w:rsidRPr="003F5882">
        <w:rPr>
          <w:rFonts w:ascii="Arial" w:hAnsi="Arial" w:cs="Times New Roman"/>
          <w:sz w:val="21"/>
        </w:rPr>
        <w:t>2013</w:t>
      </w:r>
      <w:r w:rsidRPr="003F5882">
        <w:rPr>
          <w:rFonts w:ascii="Arial" w:hAnsi="Arial" w:cs="Times New Roman"/>
          <w:sz w:val="21"/>
        </w:rPr>
        <w:t>年底的</w:t>
      </w:r>
      <w:r w:rsidRPr="003F5882">
        <w:rPr>
          <w:rFonts w:ascii="Arial" w:hAnsi="Arial" w:cs="Times New Roman"/>
          <w:sz w:val="21"/>
        </w:rPr>
        <w:t>2.088</w:t>
      </w:r>
      <w:r w:rsidRPr="003F5882">
        <w:rPr>
          <w:rFonts w:ascii="Arial" w:hAnsi="Arial" w:cs="Times New Roman"/>
          <w:sz w:val="21"/>
        </w:rPr>
        <w:t>亿瑞郎增加到</w:t>
      </w:r>
      <w:r w:rsidRPr="003F5882">
        <w:rPr>
          <w:rFonts w:ascii="Arial" w:hAnsi="Arial" w:cs="Times New Roman"/>
          <w:sz w:val="21"/>
        </w:rPr>
        <w:t>2014</w:t>
      </w:r>
      <w:r w:rsidRPr="003F5882">
        <w:rPr>
          <w:rFonts w:ascii="Arial" w:hAnsi="Arial" w:cs="Times New Roman"/>
          <w:sz w:val="21"/>
        </w:rPr>
        <w:t>年底的</w:t>
      </w:r>
      <w:r w:rsidRPr="003F5882">
        <w:rPr>
          <w:rFonts w:ascii="Arial" w:hAnsi="Arial" w:cs="Times New Roman"/>
          <w:sz w:val="21"/>
        </w:rPr>
        <w:t>2.458</w:t>
      </w:r>
      <w:r w:rsidRPr="003F5882">
        <w:rPr>
          <w:rFonts w:ascii="Arial" w:hAnsi="Arial" w:cs="Times New Roman"/>
          <w:sz w:val="21"/>
        </w:rPr>
        <w:t>亿瑞郎。</w:t>
      </w:r>
    </w:p>
    <w:p w:rsidR="005A383E" w:rsidRPr="00F453AC" w:rsidRDefault="005A383E"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要注意的是，在涉及确认国际专利申请收入的会计政策变化之后，</w:t>
      </w:r>
      <w:r w:rsidRPr="003F5882">
        <w:rPr>
          <w:rFonts w:ascii="Arial" w:hAnsi="Arial" w:cs="Times New Roman"/>
          <w:sz w:val="21"/>
        </w:rPr>
        <w:t>WIPO</w:t>
      </w:r>
      <w:r w:rsidRPr="003F5882">
        <w:rPr>
          <w:rFonts w:ascii="Arial" w:hAnsi="Arial" w:cs="Times New Roman"/>
          <w:sz w:val="21"/>
        </w:rPr>
        <w:t>被要求重编其截至</w:t>
      </w:r>
      <w:r w:rsidRPr="003F5882">
        <w:rPr>
          <w:rFonts w:ascii="Arial" w:hAnsi="Arial" w:cs="Times New Roman"/>
          <w:sz w:val="21"/>
        </w:rPr>
        <w:t>2012</w:t>
      </w:r>
      <w:r w:rsidRPr="003F5882">
        <w:rPr>
          <w:rFonts w:ascii="Arial" w:hAnsi="Arial" w:cs="Times New Roman"/>
          <w:sz w:val="21"/>
        </w:rPr>
        <w:t>年</w:t>
      </w:r>
      <w:r w:rsidRPr="003F5882">
        <w:rPr>
          <w:rFonts w:ascii="Arial" w:hAnsi="Arial" w:cs="Times New Roman"/>
          <w:sz w:val="21"/>
        </w:rPr>
        <w:t>12</w:t>
      </w:r>
      <w:r w:rsidRPr="003F5882">
        <w:rPr>
          <w:rFonts w:ascii="Arial" w:hAnsi="Arial" w:cs="Times New Roman"/>
          <w:sz w:val="21"/>
        </w:rPr>
        <w:t>月</w:t>
      </w:r>
      <w:r w:rsidRPr="003F5882">
        <w:rPr>
          <w:rFonts w:ascii="Arial" w:hAnsi="Arial" w:cs="Times New Roman"/>
          <w:sz w:val="21"/>
        </w:rPr>
        <w:t>31</w:t>
      </w:r>
      <w:r w:rsidRPr="003F5882">
        <w:rPr>
          <w:rFonts w:ascii="Arial" w:hAnsi="Arial" w:cs="Times New Roman"/>
          <w:sz w:val="21"/>
        </w:rPr>
        <w:t>日的净资产。</w:t>
      </w:r>
      <w:r w:rsidRPr="003F5882">
        <w:rPr>
          <w:rFonts w:ascii="Arial" w:hAnsi="Arial" w:cs="Times New Roman"/>
          <w:sz w:val="21"/>
        </w:rPr>
        <w:t>2012</w:t>
      </w:r>
      <w:r w:rsidRPr="003F5882">
        <w:rPr>
          <w:rFonts w:ascii="Arial" w:hAnsi="Arial" w:cs="Times New Roman"/>
          <w:sz w:val="21"/>
        </w:rPr>
        <w:t>年底，重编的资产净额为</w:t>
      </w:r>
      <w:r w:rsidRPr="003F5882">
        <w:rPr>
          <w:rFonts w:ascii="Arial" w:hAnsi="Arial" w:cs="Times New Roman"/>
          <w:sz w:val="21"/>
        </w:rPr>
        <w:t>1.937</w:t>
      </w:r>
      <w:r w:rsidRPr="003F5882">
        <w:rPr>
          <w:rFonts w:ascii="Arial" w:hAnsi="Arial" w:cs="Times New Roman"/>
          <w:sz w:val="21"/>
        </w:rPr>
        <w:t>亿瑞郎</w:t>
      </w:r>
      <w:r w:rsidR="00F453AC" w:rsidRPr="003F5882">
        <w:rPr>
          <w:rFonts w:ascii="Arial" w:hAnsi="Arial" w:cs="Times New Roman"/>
          <w:sz w:val="21"/>
        </w:rPr>
        <w:t>（</w:t>
      </w:r>
      <w:r w:rsidRPr="003F5882">
        <w:rPr>
          <w:rFonts w:ascii="Arial" w:hAnsi="Arial" w:cs="Times New Roman"/>
          <w:sz w:val="21"/>
        </w:rPr>
        <w:t>相比之下，之前编制的资产净额为</w:t>
      </w:r>
      <w:r w:rsidRPr="003F5882">
        <w:rPr>
          <w:rFonts w:ascii="Arial" w:hAnsi="Arial" w:cs="Times New Roman"/>
          <w:sz w:val="21"/>
        </w:rPr>
        <w:t>1.782</w:t>
      </w:r>
      <w:r w:rsidRPr="003F5882">
        <w:rPr>
          <w:rFonts w:ascii="Arial" w:hAnsi="Arial" w:cs="Times New Roman"/>
          <w:sz w:val="21"/>
        </w:rPr>
        <w:t>亿瑞郎</w:t>
      </w:r>
      <w:r w:rsidR="00F453AC" w:rsidRPr="003F5882">
        <w:rPr>
          <w:rFonts w:ascii="Arial" w:hAnsi="Arial" w:cs="Times New Roman"/>
          <w:sz w:val="21"/>
        </w:rPr>
        <w:t>）</w:t>
      </w:r>
      <w:r w:rsidRPr="003F5882">
        <w:rPr>
          <w:rFonts w:ascii="Arial" w:hAnsi="Arial" w:cs="Times New Roman"/>
          <w:sz w:val="21"/>
        </w:rPr>
        <w:t>。</w:t>
      </w:r>
      <w:r w:rsidRPr="003F5882">
        <w:rPr>
          <w:rFonts w:ascii="Arial" w:hAnsi="Arial" w:cs="Times New Roman"/>
          <w:sz w:val="21"/>
        </w:rPr>
        <w:t>2013</w:t>
      </w:r>
      <w:r w:rsidRPr="003F5882">
        <w:rPr>
          <w:rFonts w:ascii="Arial" w:hAnsi="Arial" w:cs="Times New Roman"/>
          <w:sz w:val="21"/>
        </w:rPr>
        <w:t>年，本组织</w:t>
      </w:r>
      <w:r w:rsidR="00EE1B94" w:rsidRPr="003F5882">
        <w:rPr>
          <w:rFonts w:ascii="Arial" w:hAnsi="Arial" w:cs="Times New Roman" w:hint="eastAsia"/>
          <w:sz w:val="21"/>
        </w:rPr>
        <w:t>记录</w:t>
      </w:r>
      <w:r w:rsidRPr="003F5882">
        <w:rPr>
          <w:rFonts w:ascii="Arial" w:hAnsi="Arial" w:cs="Times New Roman"/>
          <w:sz w:val="21"/>
        </w:rPr>
        <w:t>的盈余为</w:t>
      </w:r>
      <w:r w:rsidRPr="003F5882">
        <w:rPr>
          <w:rFonts w:ascii="Arial" w:hAnsi="Arial" w:cs="Times New Roman"/>
          <w:sz w:val="21"/>
        </w:rPr>
        <w:t>1</w:t>
      </w:r>
      <w:r w:rsidR="00E04F07" w:rsidRPr="003F5882">
        <w:rPr>
          <w:rFonts w:ascii="Arial" w:hAnsi="Arial" w:cs="Times New Roman" w:hint="eastAsia"/>
          <w:sz w:val="21"/>
        </w:rPr>
        <w:t>,</w:t>
      </w:r>
      <w:r w:rsidRPr="003F5882">
        <w:rPr>
          <w:rFonts w:ascii="Arial" w:hAnsi="Arial" w:cs="Times New Roman"/>
          <w:sz w:val="21"/>
        </w:rPr>
        <w:t>510</w:t>
      </w:r>
      <w:r w:rsidRPr="003F5882">
        <w:rPr>
          <w:rFonts w:ascii="Arial" w:hAnsi="Arial" w:cs="Times New Roman"/>
          <w:sz w:val="21"/>
        </w:rPr>
        <w:t>万瑞郎。</w:t>
      </w:r>
    </w:p>
    <w:p w:rsidR="005A383E" w:rsidRPr="00F453AC" w:rsidRDefault="005A383E" w:rsidP="003F5882">
      <w:pPr>
        <w:keepNext/>
        <w:spacing w:afterLines="50" w:after="120" w:line="340" w:lineRule="atLeast"/>
        <w:jc w:val="center"/>
        <w:rPr>
          <w:rFonts w:ascii="Arial" w:eastAsia="SimSun" w:hAnsi="Arial" w:cs="Times New Roman"/>
          <w:sz w:val="21"/>
          <w:szCs w:val="20"/>
          <w:u w:val="single"/>
        </w:rPr>
      </w:pPr>
      <w:r w:rsidRPr="003F5882">
        <w:rPr>
          <w:rFonts w:ascii="Arial" w:hAnsi="Arial" w:cs="Times New Roman"/>
          <w:sz w:val="21"/>
          <w:u w:val="single"/>
        </w:rPr>
        <w:lastRenderedPageBreak/>
        <w:t>2012</w:t>
      </w:r>
      <w:r w:rsidRPr="003F5882">
        <w:rPr>
          <w:rFonts w:ascii="Arial" w:hAnsi="Arial" w:cs="Times New Roman"/>
          <w:sz w:val="21"/>
          <w:u w:val="single"/>
        </w:rPr>
        <w:t>年至</w:t>
      </w:r>
      <w:r w:rsidRPr="003F5882">
        <w:rPr>
          <w:rFonts w:ascii="Arial" w:hAnsi="Arial" w:cs="Times New Roman"/>
          <w:sz w:val="21"/>
          <w:u w:val="single"/>
        </w:rPr>
        <w:t>2014</w:t>
      </w:r>
      <w:r w:rsidRPr="003F5882">
        <w:rPr>
          <w:rFonts w:ascii="Arial" w:hAnsi="Arial" w:cs="Times New Roman"/>
          <w:sz w:val="21"/>
          <w:u w:val="single"/>
        </w:rPr>
        <w:t>年的净资产变动</w:t>
      </w:r>
    </w:p>
    <w:p w:rsidR="005A383E" w:rsidRPr="00F453AC" w:rsidRDefault="00D84912" w:rsidP="00D84912">
      <w:pPr>
        <w:spacing w:afterLines="50" w:after="120" w:line="340" w:lineRule="atLeast"/>
        <w:jc w:val="center"/>
        <w:rPr>
          <w:rFonts w:ascii="Arial" w:eastAsia="SimSun" w:hAnsi="Arial" w:cs="Times New Roman"/>
          <w:sz w:val="21"/>
          <w:szCs w:val="20"/>
        </w:rPr>
      </w:pPr>
      <w:r w:rsidRPr="00D84912">
        <w:rPr>
          <w:noProof/>
          <w:lang w:val="en-US" w:bidi="ar-SA"/>
        </w:rPr>
        <w:drawing>
          <wp:inline distT="0" distB="0" distL="0" distR="0">
            <wp:extent cx="5165725" cy="320040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165725" cy="3200400"/>
                    </a:xfrm>
                    <a:prstGeom prst="rect">
                      <a:avLst/>
                    </a:prstGeom>
                    <a:noFill/>
                    <a:ln>
                      <a:noFill/>
                    </a:ln>
                  </pic:spPr>
                </pic:pic>
              </a:graphicData>
            </a:graphic>
          </wp:inline>
        </w:drawing>
      </w:r>
    </w:p>
    <w:p w:rsidR="005A383E" w:rsidRPr="00F453AC" w:rsidRDefault="005A383E"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下表为截至</w:t>
      </w:r>
      <w:r w:rsidRPr="003F5882">
        <w:rPr>
          <w:rFonts w:ascii="Arial" w:hAnsi="Arial" w:cs="Times New Roman"/>
          <w:sz w:val="21"/>
        </w:rPr>
        <w:t>2014</w:t>
      </w:r>
      <w:r w:rsidRPr="003F5882">
        <w:rPr>
          <w:rFonts w:ascii="Arial" w:hAnsi="Arial" w:cs="Times New Roman"/>
          <w:sz w:val="21"/>
        </w:rPr>
        <w:t>年</w:t>
      </w:r>
      <w:r w:rsidRPr="003F5882">
        <w:rPr>
          <w:rFonts w:ascii="Arial" w:hAnsi="Arial" w:cs="Times New Roman"/>
          <w:sz w:val="21"/>
        </w:rPr>
        <w:t>12</w:t>
      </w:r>
      <w:r w:rsidRPr="003F5882">
        <w:rPr>
          <w:rFonts w:ascii="Arial" w:hAnsi="Arial" w:cs="Times New Roman"/>
          <w:sz w:val="21"/>
        </w:rPr>
        <w:t>月</w:t>
      </w:r>
      <w:r w:rsidRPr="003F5882">
        <w:rPr>
          <w:rFonts w:ascii="Arial" w:hAnsi="Arial" w:cs="Times New Roman"/>
          <w:sz w:val="21"/>
        </w:rPr>
        <w:t>31</w:t>
      </w:r>
      <w:r w:rsidRPr="003F5882">
        <w:rPr>
          <w:rFonts w:ascii="Arial" w:hAnsi="Arial" w:cs="Times New Roman"/>
          <w:sz w:val="21"/>
        </w:rPr>
        <w:t>日的</w:t>
      </w:r>
      <w:r w:rsidRPr="003F5882">
        <w:rPr>
          <w:rFonts w:ascii="Arial" w:hAnsi="Arial" w:cs="Times New Roman"/>
          <w:sz w:val="21"/>
        </w:rPr>
        <w:t>WIPO</w:t>
      </w:r>
      <w:r w:rsidRPr="003F5882">
        <w:rPr>
          <w:rFonts w:ascii="Arial" w:hAnsi="Arial" w:cs="Times New Roman"/>
          <w:sz w:val="21"/>
        </w:rPr>
        <w:t>财务状况表摘要。</w:t>
      </w:r>
    </w:p>
    <w:p w:rsidR="005A383E" w:rsidRPr="00F453AC" w:rsidRDefault="005A383E" w:rsidP="003F5882">
      <w:pPr>
        <w:keepNext/>
        <w:spacing w:afterLines="50" w:after="120" w:line="340" w:lineRule="atLeast"/>
        <w:jc w:val="center"/>
        <w:rPr>
          <w:rFonts w:ascii="Arial" w:eastAsia="SimSun" w:hAnsi="Arial" w:cs="Times New Roman"/>
          <w:sz w:val="21"/>
          <w:szCs w:val="22"/>
          <w:u w:val="single"/>
        </w:rPr>
      </w:pPr>
      <w:r w:rsidRPr="003F5882">
        <w:rPr>
          <w:rFonts w:ascii="Arial" w:hAnsi="Arial" w:cs="Times New Roman"/>
          <w:sz w:val="21"/>
          <w:u w:val="single"/>
        </w:rPr>
        <w:t>截至</w:t>
      </w:r>
      <w:r w:rsidRPr="003F5882">
        <w:rPr>
          <w:rFonts w:ascii="Arial" w:hAnsi="Arial" w:cs="Times New Roman"/>
          <w:sz w:val="21"/>
          <w:u w:val="single"/>
        </w:rPr>
        <w:t>2014</w:t>
      </w:r>
      <w:r w:rsidRPr="003F5882">
        <w:rPr>
          <w:rFonts w:ascii="Arial" w:hAnsi="Arial" w:cs="Times New Roman"/>
          <w:sz w:val="21"/>
          <w:u w:val="single"/>
        </w:rPr>
        <w:t>年</w:t>
      </w:r>
      <w:r w:rsidRPr="003F5882">
        <w:rPr>
          <w:rFonts w:ascii="Arial" w:hAnsi="Arial" w:cs="Times New Roman"/>
          <w:sz w:val="21"/>
          <w:u w:val="single"/>
        </w:rPr>
        <w:t>12</w:t>
      </w:r>
      <w:r w:rsidRPr="003F5882">
        <w:rPr>
          <w:rFonts w:ascii="Arial" w:hAnsi="Arial" w:cs="Times New Roman"/>
          <w:sz w:val="21"/>
          <w:u w:val="single"/>
        </w:rPr>
        <w:t>月</w:t>
      </w:r>
      <w:r w:rsidRPr="003F5882">
        <w:rPr>
          <w:rFonts w:ascii="Arial" w:hAnsi="Arial" w:cs="Times New Roman"/>
          <w:sz w:val="21"/>
          <w:u w:val="single"/>
        </w:rPr>
        <w:t>31</w:t>
      </w:r>
      <w:r w:rsidRPr="003F5882">
        <w:rPr>
          <w:rFonts w:ascii="Arial" w:hAnsi="Arial" w:cs="Times New Roman"/>
          <w:sz w:val="21"/>
          <w:u w:val="single"/>
        </w:rPr>
        <w:t>日的资产和负债摘要</w:t>
      </w:r>
    </w:p>
    <w:p w:rsidR="005A383E" w:rsidRPr="00F453AC" w:rsidRDefault="00D84912" w:rsidP="00D84912">
      <w:pPr>
        <w:spacing w:afterLines="50" w:after="120" w:line="340" w:lineRule="atLeast"/>
        <w:jc w:val="center"/>
        <w:rPr>
          <w:rFonts w:ascii="Arial" w:eastAsia="SimSun" w:hAnsi="Arial" w:cs="Times New Roman"/>
          <w:sz w:val="16"/>
          <w:szCs w:val="22"/>
        </w:rPr>
      </w:pPr>
      <w:r w:rsidRPr="00D84912">
        <w:rPr>
          <w:noProof/>
          <w:lang w:val="en-US" w:bidi="ar-SA"/>
        </w:rPr>
        <w:drawing>
          <wp:inline distT="0" distB="0" distL="0" distR="0" wp14:anchorId="26FE7D1A" wp14:editId="0C121C4D">
            <wp:extent cx="5977255" cy="3271176"/>
            <wp:effectExtent l="0" t="0" r="4445" b="5715"/>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977255" cy="3271176"/>
                    </a:xfrm>
                    <a:prstGeom prst="rect">
                      <a:avLst/>
                    </a:prstGeom>
                    <a:noFill/>
                    <a:ln>
                      <a:noFill/>
                    </a:ln>
                  </pic:spPr>
                </pic:pic>
              </a:graphicData>
            </a:graphic>
          </wp:inline>
        </w:drawing>
      </w:r>
    </w:p>
    <w:p w:rsidR="005A383E" w:rsidRPr="003F5882" w:rsidRDefault="005A383E" w:rsidP="003F5882">
      <w:pPr>
        <w:keepNext/>
        <w:spacing w:afterLines="50" w:after="120" w:line="340" w:lineRule="atLeast"/>
        <w:jc w:val="both"/>
        <w:rPr>
          <w:rFonts w:ascii="Arial" w:eastAsia="KaiTi" w:hAnsi="Arial" w:cs="Times New Roman"/>
          <w:b/>
          <w:i/>
          <w:sz w:val="21"/>
        </w:rPr>
      </w:pPr>
      <w:r w:rsidRPr="003F5882">
        <w:rPr>
          <w:rFonts w:ascii="Arial" w:eastAsia="KaiTi" w:hAnsi="Arial" w:cs="Times New Roman"/>
          <w:b/>
          <w:i/>
          <w:sz w:val="21"/>
        </w:rPr>
        <w:t>资</w:t>
      </w:r>
      <w:r w:rsidR="003F5882">
        <w:rPr>
          <w:rFonts w:ascii="Arial" w:eastAsia="KaiTi" w:hAnsi="Arial" w:cs="Times New Roman" w:hint="eastAsia"/>
          <w:b/>
          <w:i/>
          <w:sz w:val="21"/>
        </w:rPr>
        <w:t xml:space="preserve">　</w:t>
      </w:r>
      <w:r w:rsidRPr="003F5882">
        <w:rPr>
          <w:rFonts w:ascii="Arial" w:eastAsia="KaiTi" w:hAnsi="Arial" w:cs="Times New Roman"/>
          <w:b/>
          <w:i/>
          <w:sz w:val="21"/>
        </w:rPr>
        <w:t>产</w:t>
      </w:r>
    </w:p>
    <w:p w:rsidR="005A383E" w:rsidRPr="00F453AC" w:rsidRDefault="005A383E"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本组织拥有</w:t>
      </w:r>
      <w:r w:rsidRPr="003F5882">
        <w:rPr>
          <w:rFonts w:ascii="Arial" w:hAnsi="Arial" w:cs="Times New Roman"/>
          <w:sz w:val="21"/>
        </w:rPr>
        <w:t>4.745</w:t>
      </w:r>
      <w:r w:rsidRPr="003F5882">
        <w:rPr>
          <w:rFonts w:ascii="Arial" w:hAnsi="Arial" w:cs="Times New Roman"/>
          <w:sz w:val="21"/>
        </w:rPr>
        <w:t>亿瑞郎的现金余额，占总资产的</w:t>
      </w:r>
      <w:r w:rsidRPr="003F5882">
        <w:rPr>
          <w:rFonts w:ascii="Arial" w:hAnsi="Arial" w:cs="Times New Roman"/>
          <w:sz w:val="21"/>
        </w:rPr>
        <w:t>48.9%</w:t>
      </w:r>
      <w:r w:rsidRPr="003F5882">
        <w:rPr>
          <w:rFonts w:ascii="Arial" w:hAnsi="Arial" w:cs="Times New Roman"/>
          <w:sz w:val="21"/>
        </w:rPr>
        <w:t>，尽管其中包括按</w:t>
      </w:r>
      <w:r w:rsidRPr="003F5882">
        <w:rPr>
          <w:rFonts w:ascii="Arial" w:hAnsi="Arial" w:cs="Times New Roman"/>
          <w:sz w:val="21"/>
        </w:rPr>
        <w:t>IPSAS</w:t>
      </w:r>
      <w:r w:rsidRPr="003F5882">
        <w:rPr>
          <w:rFonts w:ascii="Arial" w:hAnsi="Arial" w:cs="Times New Roman"/>
          <w:sz w:val="21"/>
        </w:rPr>
        <w:t>被归类为受限制的</w:t>
      </w:r>
      <w:r w:rsidRPr="003F5882">
        <w:rPr>
          <w:rFonts w:ascii="Arial" w:hAnsi="Arial" w:cs="Times New Roman"/>
          <w:sz w:val="21"/>
        </w:rPr>
        <w:t>2.498</w:t>
      </w:r>
      <w:r w:rsidRPr="003F5882">
        <w:rPr>
          <w:rFonts w:ascii="Arial" w:hAnsi="Arial" w:cs="Times New Roman"/>
          <w:sz w:val="21"/>
        </w:rPr>
        <w:t>亿瑞郎。与截</w:t>
      </w:r>
      <w:r w:rsidR="007D2159" w:rsidRPr="003F5882">
        <w:rPr>
          <w:rFonts w:ascii="Arial" w:hAnsi="Arial" w:cs="Times New Roman" w:hint="eastAsia"/>
          <w:sz w:val="21"/>
        </w:rPr>
        <w:t>至</w:t>
      </w:r>
      <w:r w:rsidRPr="003F5882">
        <w:rPr>
          <w:rFonts w:ascii="Arial" w:hAnsi="Arial" w:cs="Times New Roman"/>
          <w:sz w:val="21"/>
        </w:rPr>
        <w:t>2013</w:t>
      </w:r>
      <w:r w:rsidRPr="003F5882">
        <w:rPr>
          <w:rFonts w:ascii="Arial" w:hAnsi="Arial" w:cs="Times New Roman"/>
          <w:sz w:val="21"/>
        </w:rPr>
        <w:t>年</w:t>
      </w:r>
      <w:r w:rsidRPr="003F5882">
        <w:rPr>
          <w:rFonts w:ascii="Arial" w:hAnsi="Arial" w:cs="Times New Roman"/>
          <w:sz w:val="21"/>
        </w:rPr>
        <w:t>12</w:t>
      </w:r>
      <w:r w:rsidRPr="003F5882">
        <w:rPr>
          <w:rFonts w:ascii="Arial" w:hAnsi="Arial" w:cs="Times New Roman"/>
          <w:sz w:val="21"/>
        </w:rPr>
        <w:t>月</w:t>
      </w:r>
      <w:r w:rsidRPr="003F5882">
        <w:rPr>
          <w:rFonts w:ascii="Arial" w:hAnsi="Arial" w:cs="Times New Roman"/>
          <w:sz w:val="21"/>
        </w:rPr>
        <w:t>31</w:t>
      </w:r>
      <w:r w:rsidRPr="003F5882">
        <w:rPr>
          <w:rFonts w:ascii="Arial" w:hAnsi="Arial" w:cs="Times New Roman"/>
          <w:sz w:val="21"/>
        </w:rPr>
        <w:t>日的</w:t>
      </w:r>
      <w:r w:rsidRPr="003F5882">
        <w:rPr>
          <w:rFonts w:ascii="Arial" w:hAnsi="Arial" w:cs="Times New Roman"/>
          <w:sz w:val="21"/>
        </w:rPr>
        <w:t>4.099</w:t>
      </w:r>
      <w:r w:rsidRPr="003F5882">
        <w:rPr>
          <w:rFonts w:ascii="Arial" w:hAnsi="Arial" w:cs="Times New Roman"/>
          <w:sz w:val="21"/>
        </w:rPr>
        <w:t>亿瑞郎余额相比，现金余额总量大幅增加，且根据</w:t>
      </w:r>
      <w:r w:rsidRPr="003F5882">
        <w:rPr>
          <w:rFonts w:ascii="Arial" w:hAnsi="Arial" w:cs="Times New Roman"/>
          <w:sz w:val="21"/>
        </w:rPr>
        <w:t>WIPO</w:t>
      </w:r>
      <w:r w:rsidRPr="003F5882">
        <w:rPr>
          <w:rFonts w:ascii="Arial" w:hAnsi="Arial" w:cs="Times New Roman"/>
          <w:sz w:val="21"/>
        </w:rPr>
        <w:t>投资政策规定的</w:t>
      </w:r>
      <w:r w:rsidR="007D2159" w:rsidRPr="003F5882">
        <w:rPr>
          <w:rFonts w:ascii="Arial" w:hAnsi="Arial" w:cs="Times New Roman" w:hint="eastAsia"/>
          <w:sz w:val="21"/>
        </w:rPr>
        <w:t>适</w:t>
      </w:r>
      <w:r w:rsidRPr="003F5882">
        <w:rPr>
          <w:rFonts w:ascii="Arial" w:hAnsi="Arial" w:cs="Times New Roman"/>
          <w:sz w:val="21"/>
        </w:rPr>
        <w:t>用情况进行了投资。</w:t>
      </w:r>
    </w:p>
    <w:p w:rsidR="005A383E" w:rsidRPr="00F453AC" w:rsidRDefault="005A383E"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本组织持有大量固定资产</w:t>
      </w:r>
      <w:r w:rsidR="00F453AC" w:rsidRPr="003F5882">
        <w:rPr>
          <w:rFonts w:ascii="Arial" w:hAnsi="Arial" w:cs="Times New Roman" w:hint="eastAsia"/>
          <w:sz w:val="21"/>
        </w:rPr>
        <w:t>（</w:t>
      </w:r>
      <w:r w:rsidRPr="003F5882">
        <w:rPr>
          <w:rFonts w:ascii="Arial" w:hAnsi="Arial" w:cs="Times New Roman"/>
          <w:sz w:val="21"/>
        </w:rPr>
        <w:t>土地、办公楼、投资财产、无形资产及设备</w:t>
      </w:r>
      <w:r w:rsidR="00F453AC" w:rsidRPr="003F5882">
        <w:rPr>
          <w:rFonts w:ascii="Arial" w:hAnsi="Arial" w:cs="Times New Roman" w:hint="eastAsia"/>
          <w:sz w:val="21"/>
        </w:rPr>
        <w:t>）</w:t>
      </w:r>
      <w:r w:rsidRPr="003F5882">
        <w:rPr>
          <w:rFonts w:ascii="Arial" w:hAnsi="Arial" w:cs="Times New Roman"/>
          <w:sz w:val="21"/>
        </w:rPr>
        <w:t>，账面净值总计为</w:t>
      </w:r>
      <w:r w:rsidRPr="003F5882">
        <w:rPr>
          <w:rFonts w:ascii="Arial" w:hAnsi="Arial" w:cs="Times New Roman"/>
          <w:sz w:val="21"/>
        </w:rPr>
        <w:t>4.197</w:t>
      </w:r>
      <w:r w:rsidRPr="003F5882">
        <w:rPr>
          <w:rFonts w:ascii="Arial" w:hAnsi="Arial" w:cs="Times New Roman"/>
          <w:sz w:val="21"/>
        </w:rPr>
        <w:t>亿瑞郎。相比之下，截至</w:t>
      </w:r>
      <w:r w:rsidRPr="003F5882">
        <w:rPr>
          <w:rFonts w:ascii="Arial" w:hAnsi="Arial" w:cs="Times New Roman"/>
          <w:sz w:val="21"/>
        </w:rPr>
        <w:t>2013</w:t>
      </w:r>
      <w:r w:rsidRPr="003F5882">
        <w:rPr>
          <w:rFonts w:ascii="Arial" w:hAnsi="Arial" w:cs="Times New Roman"/>
          <w:sz w:val="21"/>
        </w:rPr>
        <w:t>年</w:t>
      </w:r>
      <w:r w:rsidRPr="003F5882">
        <w:rPr>
          <w:rFonts w:ascii="Arial" w:hAnsi="Arial" w:cs="Times New Roman"/>
          <w:sz w:val="21"/>
        </w:rPr>
        <w:t>12</w:t>
      </w:r>
      <w:r w:rsidRPr="003F5882">
        <w:rPr>
          <w:rFonts w:ascii="Arial" w:hAnsi="Arial" w:cs="Times New Roman"/>
          <w:sz w:val="21"/>
        </w:rPr>
        <w:t>月</w:t>
      </w:r>
      <w:r w:rsidRPr="003F5882">
        <w:rPr>
          <w:rFonts w:ascii="Arial" w:hAnsi="Arial" w:cs="Times New Roman"/>
          <w:sz w:val="21"/>
        </w:rPr>
        <w:t>31</w:t>
      </w:r>
      <w:r w:rsidRPr="003F5882">
        <w:rPr>
          <w:rFonts w:ascii="Arial" w:hAnsi="Arial" w:cs="Times New Roman"/>
          <w:sz w:val="21"/>
        </w:rPr>
        <w:t>日的固定资产账面净值为</w:t>
      </w:r>
      <w:r w:rsidRPr="003F5882">
        <w:rPr>
          <w:rFonts w:ascii="Arial" w:hAnsi="Arial" w:cs="Times New Roman"/>
          <w:sz w:val="21"/>
        </w:rPr>
        <w:t>3.964</w:t>
      </w:r>
      <w:r w:rsidRPr="003F5882">
        <w:rPr>
          <w:rFonts w:ascii="Arial" w:hAnsi="Arial" w:cs="Times New Roman"/>
          <w:sz w:val="21"/>
        </w:rPr>
        <w:t>亿瑞郎。</w:t>
      </w:r>
      <w:r w:rsidRPr="003F5882">
        <w:rPr>
          <w:rFonts w:ascii="Arial" w:hAnsi="Arial" w:cs="Times New Roman"/>
          <w:sz w:val="21"/>
        </w:rPr>
        <w:t>2014</w:t>
      </w:r>
      <w:r w:rsidRPr="003F5882">
        <w:rPr>
          <w:rFonts w:ascii="Arial" w:hAnsi="Arial" w:cs="Times New Roman"/>
          <w:sz w:val="21"/>
        </w:rPr>
        <w:t>年，本组织</w:t>
      </w:r>
      <w:r w:rsidRPr="003F5882">
        <w:rPr>
          <w:rFonts w:ascii="Arial" w:hAnsi="Arial" w:cs="Times New Roman"/>
          <w:sz w:val="21"/>
        </w:rPr>
        <w:lastRenderedPageBreak/>
        <w:t>把新会议厅建设和安保施工项目</w:t>
      </w:r>
      <w:r w:rsidR="00F453AC" w:rsidRPr="003F5882">
        <w:rPr>
          <w:rFonts w:ascii="Arial" w:hAnsi="Arial" w:cs="Times New Roman"/>
          <w:sz w:val="21"/>
        </w:rPr>
        <w:t>（</w:t>
      </w:r>
      <w:r w:rsidRPr="003F5882">
        <w:rPr>
          <w:rFonts w:ascii="Arial" w:hAnsi="Arial" w:cs="Times New Roman"/>
          <w:sz w:val="21"/>
        </w:rPr>
        <w:t>包括通道中心和安全参数</w:t>
      </w:r>
      <w:r w:rsidR="00F453AC" w:rsidRPr="003F5882">
        <w:rPr>
          <w:rFonts w:ascii="Arial" w:hAnsi="Arial" w:cs="Times New Roman"/>
          <w:sz w:val="21"/>
        </w:rPr>
        <w:t>）</w:t>
      </w:r>
      <w:r w:rsidRPr="003F5882">
        <w:rPr>
          <w:rFonts w:ascii="Arial" w:hAnsi="Arial" w:cs="Times New Roman"/>
          <w:sz w:val="21"/>
        </w:rPr>
        <w:t>的费用记为资本，</w:t>
      </w:r>
      <w:r w:rsidR="00EE03D2" w:rsidRPr="003F5882">
        <w:rPr>
          <w:rFonts w:ascii="Arial" w:hAnsi="Arial" w:cs="Times New Roman" w:hint="eastAsia"/>
          <w:sz w:val="21"/>
        </w:rPr>
        <w:t>还</w:t>
      </w:r>
      <w:r w:rsidRPr="003F5882">
        <w:rPr>
          <w:rFonts w:ascii="Arial" w:hAnsi="Arial" w:cs="Times New Roman"/>
          <w:sz w:val="21"/>
        </w:rPr>
        <w:t>把现有办公楼</w:t>
      </w:r>
      <w:r w:rsidR="00EE03D2" w:rsidRPr="003F5882">
        <w:rPr>
          <w:rFonts w:ascii="Arial" w:hAnsi="Arial" w:cs="Times New Roman" w:hint="eastAsia"/>
          <w:sz w:val="21"/>
        </w:rPr>
        <w:t>、主要</w:t>
      </w:r>
      <w:r w:rsidR="00EE03D2" w:rsidRPr="003F5882">
        <w:rPr>
          <w:rFonts w:ascii="Arial" w:hAnsi="Arial" w:cs="Times New Roman"/>
          <w:sz w:val="21"/>
        </w:rPr>
        <w:t>是</w:t>
      </w:r>
      <w:r w:rsidR="007B516A" w:rsidRPr="003F5882">
        <w:rPr>
          <w:rFonts w:ascii="Arial" w:hAnsi="Arial" w:cs="Times New Roman" w:hint="eastAsia"/>
          <w:sz w:val="21"/>
        </w:rPr>
        <w:t>阿·鲍格</w:t>
      </w:r>
      <w:proofErr w:type="gramStart"/>
      <w:r w:rsidR="007B516A" w:rsidRPr="003F5882">
        <w:rPr>
          <w:rFonts w:ascii="Arial" w:hAnsi="Arial" w:cs="Times New Roman" w:hint="eastAsia"/>
          <w:sz w:val="21"/>
        </w:rPr>
        <w:t>胥</w:t>
      </w:r>
      <w:proofErr w:type="gramEnd"/>
      <w:r w:rsidR="007B516A" w:rsidRPr="003F5882">
        <w:rPr>
          <w:rFonts w:ascii="Arial" w:hAnsi="Arial" w:cs="Times New Roman" w:hint="eastAsia"/>
          <w:sz w:val="21"/>
        </w:rPr>
        <w:t>楼</w:t>
      </w:r>
      <w:r w:rsidRPr="003F5882">
        <w:rPr>
          <w:rFonts w:ascii="Arial" w:hAnsi="Arial" w:cs="Times New Roman"/>
          <w:sz w:val="21"/>
        </w:rPr>
        <w:t>的扩建和改进工程费用记为资本。新会议厅于</w:t>
      </w:r>
      <w:r w:rsidRPr="003F5882">
        <w:rPr>
          <w:rFonts w:ascii="Arial" w:hAnsi="Arial" w:cs="Times New Roman"/>
          <w:sz w:val="21"/>
        </w:rPr>
        <w:t>2014</w:t>
      </w:r>
      <w:r w:rsidRPr="003F5882">
        <w:rPr>
          <w:rFonts w:ascii="Arial" w:hAnsi="Arial" w:cs="Times New Roman"/>
          <w:sz w:val="21"/>
        </w:rPr>
        <w:t>年</w:t>
      </w:r>
      <w:r w:rsidRPr="003F5882">
        <w:rPr>
          <w:rFonts w:ascii="Arial" w:hAnsi="Arial" w:cs="Times New Roman"/>
          <w:sz w:val="21"/>
        </w:rPr>
        <w:t>9</w:t>
      </w:r>
      <w:r w:rsidRPr="003F5882">
        <w:rPr>
          <w:rFonts w:ascii="Arial" w:hAnsi="Arial" w:cs="Times New Roman"/>
          <w:sz w:val="21"/>
        </w:rPr>
        <w:t>月投入使用，安保施工项目有望于</w:t>
      </w:r>
      <w:r w:rsidRPr="003F5882">
        <w:rPr>
          <w:rFonts w:ascii="Arial" w:hAnsi="Arial" w:cs="Times New Roman"/>
          <w:sz w:val="21"/>
        </w:rPr>
        <w:t>2015</w:t>
      </w:r>
      <w:r w:rsidR="00FC3643" w:rsidRPr="003F5882">
        <w:rPr>
          <w:rFonts w:ascii="Arial" w:hAnsi="Arial" w:cs="Times New Roman" w:hint="eastAsia"/>
          <w:sz w:val="21"/>
        </w:rPr>
        <w:t>年</w:t>
      </w:r>
      <w:r w:rsidRPr="003F5882">
        <w:rPr>
          <w:rFonts w:ascii="Arial" w:hAnsi="Arial" w:cs="Times New Roman"/>
          <w:sz w:val="21"/>
        </w:rPr>
        <w:t>上半年完工。</w:t>
      </w:r>
      <w:r w:rsidRPr="003F5882">
        <w:rPr>
          <w:rFonts w:ascii="Arial" w:hAnsi="Arial" w:cs="Times New Roman"/>
          <w:sz w:val="21"/>
        </w:rPr>
        <w:t>2014</w:t>
      </w:r>
      <w:r w:rsidRPr="003F5882">
        <w:rPr>
          <w:rFonts w:ascii="Arial" w:hAnsi="Arial" w:cs="Times New Roman"/>
          <w:sz w:val="21"/>
        </w:rPr>
        <w:t>年，总计</w:t>
      </w:r>
      <w:r w:rsidRPr="003F5882">
        <w:rPr>
          <w:rFonts w:ascii="Arial" w:hAnsi="Arial" w:cs="Times New Roman"/>
          <w:sz w:val="21"/>
        </w:rPr>
        <w:t>3,040</w:t>
      </w:r>
      <w:r w:rsidRPr="003F5882">
        <w:rPr>
          <w:rFonts w:ascii="Arial" w:hAnsi="Arial" w:cs="Times New Roman"/>
          <w:sz w:val="21"/>
        </w:rPr>
        <w:t>万瑞郎费用已转化为资本且添加至</w:t>
      </w:r>
      <w:r w:rsidR="00FC3643" w:rsidRPr="003F5882">
        <w:rPr>
          <w:rFonts w:ascii="Arial" w:hAnsi="Arial" w:cs="Times New Roman" w:hint="eastAsia"/>
          <w:sz w:val="21"/>
        </w:rPr>
        <w:t>2014</w:t>
      </w:r>
      <w:r w:rsidR="00FC3643" w:rsidRPr="003F5882">
        <w:rPr>
          <w:rFonts w:ascii="Arial" w:hAnsi="Arial" w:cs="Times New Roman" w:hint="eastAsia"/>
          <w:sz w:val="21"/>
        </w:rPr>
        <w:t>年</w:t>
      </w:r>
      <w:r w:rsidRPr="003F5882">
        <w:rPr>
          <w:rFonts w:ascii="Arial" w:hAnsi="Arial" w:cs="Times New Roman"/>
          <w:sz w:val="21"/>
        </w:rPr>
        <w:t>本组织办公楼的费用</w:t>
      </w:r>
      <w:r w:rsidR="00C42D2A" w:rsidRPr="003F5882">
        <w:rPr>
          <w:rFonts w:ascii="Arial" w:hAnsi="Arial" w:cs="Times New Roman" w:hint="eastAsia"/>
          <w:sz w:val="21"/>
        </w:rPr>
        <w:t>中。它</w:t>
      </w:r>
      <w:r w:rsidRPr="003F5882">
        <w:rPr>
          <w:rFonts w:ascii="Arial" w:hAnsi="Arial" w:cs="Times New Roman"/>
          <w:sz w:val="21"/>
        </w:rPr>
        <w:t>部分被本年度办公楼折旧费用</w:t>
      </w:r>
      <w:r w:rsidRPr="003F5882">
        <w:rPr>
          <w:rFonts w:ascii="Arial" w:hAnsi="Arial" w:cs="Times New Roman"/>
          <w:sz w:val="21"/>
        </w:rPr>
        <w:t>710</w:t>
      </w:r>
      <w:r w:rsidRPr="003F5882">
        <w:rPr>
          <w:rFonts w:ascii="Arial" w:hAnsi="Arial" w:cs="Times New Roman"/>
          <w:sz w:val="21"/>
        </w:rPr>
        <w:t>万瑞郎所抵消。</w:t>
      </w:r>
    </w:p>
    <w:p w:rsidR="005A383E" w:rsidRPr="00F453AC" w:rsidRDefault="005A383E"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下表概述了本组织持有的固定资产。依据</w:t>
      </w:r>
      <w:r w:rsidRPr="003F5882">
        <w:rPr>
          <w:rFonts w:ascii="Arial" w:hAnsi="Arial" w:cs="Times New Roman"/>
          <w:sz w:val="21"/>
        </w:rPr>
        <w:t>IPSAS</w:t>
      </w:r>
      <w:r w:rsidRPr="003F5882">
        <w:rPr>
          <w:rFonts w:ascii="Arial" w:hAnsi="Arial" w:cs="Times New Roman"/>
          <w:sz w:val="21"/>
        </w:rPr>
        <w:t>，土地和财产根据使用目的或</w:t>
      </w:r>
      <w:r w:rsidR="00614A71" w:rsidRPr="003F5882">
        <w:rPr>
          <w:rFonts w:ascii="Arial" w:hAnsi="Arial" w:cs="Times New Roman" w:hint="eastAsia"/>
          <w:sz w:val="21"/>
        </w:rPr>
        <w:t>据以</w:t>
      </w:r>
      <w:r w:rsidRPr="003F5882">
        <w:rPr>
          <w:rFonts w:ascii="Arial" w:hAnsi="Arial" w:cs="Times New Roman"/>
          <w:sz w:val="21"/>
        </w:rPr>
        <w:t>持有</w:t>
      </w:r>
      <w:r w:rsidR="00614A71" w:rsidRPr="003F5882">
        <w:rPr>
          <w:rFonts w:ascii="Arial" w:hAnsi="Arial" w:cs="Times New Roman" w:hint="eastAsia"/>
          <w:sz w:val="21"/>
        </w:rPr>
        <w:t>土地和财产的</w:t>
      </w:r>
      <w:r w:rsidRPr="003F5882">
        <w:rPr>
          <w:rFonts w:ascii="Arial" w:hAnsi="Arial" w:cs="Times New Roman"/>
          <w:sz w:val="21"/>
        </w:rPr>
        <w:t>合同权利或</w:t>
      </w:r>
      <w:r w:rsidR="00614A71" w:rsidRPr="003F5882">
        <w:rPr>
          <w:rFonts w:ascii="Arial" w:hAnsi="Arial" w:cs="Times New Roman" w:hint="eastAsia"/>
          <w:sz w:val="21"/>
        </w:rPr>
        <w:t>协定</w:t>
      </w:r>
      <w:r w:rsidRPr="003F5882">
        <w:rPr>
          <w:rFonts w:ascii="Arial" w:hAnsi="Arial" w:cs="Times New Roman"/>
          <w:sz w:val="21"/>
        </w:rPr>
        <w:t>的性质进行不同分类。</w:t>
      </w:r>
      <w:r w:rsidRPr="003F5882">
        <w:rPr>
          <w:rFonts w:ascii="Arial" w:hAnsi="Arial" w:cs="Times New Roman"/>
        </w:rPr>
        <w:t>除了下列计入固定资产的土地和财产外，本组织在日内瓦租赁额外的场所、仓储和设施，</w:t>
      </w:r>
      <w:r w:rsidRPr="003F5882">
        <w:rPr>
          <w:rFonts w:ascii="Arial" w:hAnsi="Arial" w:cs="Times New Roman"/>
          <w:sz w:val="21"/>
        </w:rPr>
        <w:t>并且</w:t>
      </w:r>
      <w:r w:rsidRPr="003F5882">
        <w:rPr>
          <w:rFonts w:ascii="Arial" w:hAnsi="Arial" w:cs="Times New Roman"/>
        </w:rPr>
        <w:t>为其部分驻外办事处租赁办公场所</w:t>
      </w:r>
      <w:r w:rsidR="00F453AC" w:rsidRPr="003F5882">
        <w:rPr>
          <w:rFonts w:ascii="Arial" w:hAnsi="Arial" w:cs="Times New Roman" w:hint="eastAsia"/>
        </w:rPr>
        <w:t>（</w:t>
      </w:r>
      <w:r w:rsidR="00614A71" w:rsidRPr="003F5882">
        <w:rPr>
          <w:rFonts w:ascii="Arial" w:hAnsi="Arial" w:cs="Times New Roman" w:hint="eastAsia"/>
        </w:rPr>
        <w:t>见附注</w:t>
      </w:r>
      <w:r w:rsidR="00614A71" w:rsidRPr="003F5882">
        <w:rPr>
          <w:rFonts w:ascii="Arial" w:hAnsi="Arial" w:cs="Times New Roman" w:hint="eastAsia"/>
        </w:rPr>
        <w:t>19</w:t>
      </w:r>
      <w:r w:rsidR="00F453AC" w:rsidRPr="003F5882">
        <w:rPr>
          <w:rFonts w:ascii="Arial" w:hAnsi="Arial" w:cs="Times New Roman" w:hint="eastAsia"/>
        </w:rPr>
        <w:t>）</w:t>
      </w:r>
      <w:r w:rsidRPr="003F5882">
        <w:rPr>
          <w:rFonts w:ascii="Arial" w:hAnsi="Arial" w:cs="Times New Roman"/>
        </w:rPr>
        <w:t>。</w:t>
      </w:r>
      <w:r w:rsidRPr="003F5882">
        <w:rPr>
          <w:rFonts w:ascii="Arial" w:hAnsi="Arial" w:cs="Times New Roman"/>
          <w:sz w:val="21"/>
        </w:rPr>
        <w:t>本组织还拥有某些总部办公楼的地面权。这些权利由于是无偿获得，因此没有在财务报表中予以确认，但是予以披露</w:t>
      </w:r>
      <w:r w:rsidR="00F453AC" w:rsidRPr="003F5882">
        <w:rPr>
          <w:rFonts w:ascii="Arial" w:hAnsi="Arial" w:cs="Times New Roman"/>
          <w:sz w:val="21"/>
        </w:rPr>
        <w:t>（</w:t>
      </w:r>
      <w:r w:rsidRPr="003F5882">
        <w:rPr>
          <w:rFonts w:ascii="Arial" w:hAnsi="Arial" w:cs="Times New Roman"/>
          <w:sz w:val="21"/>
        </w:rPr>
        <w:t>见附注</w:t>
      </w:r>
      <w:r w:rsidRPr="003F5882">
        <w:rPr>
          <w:rFonts w:ascii="Arial" w:hAnsi="Arial" w:cs="Times New Roman"/>
          <w:sz w:val="21"/>
        </w:rPr>
        <w:t>8</w:t>
      </w:r>
      <w:r w:rsidR="00F453AC" w:rsidRPr="003F5882">
        <w:rPr>
          <w:rFonts w:ascii="Arial" w:hAnsi="Arial" w:cs="Times New Roman"/>
          <w:sz w:val="21"/>
        </w:rPr>
        <w:t>）</w:t>
      </w:r>
      <w:r w:rsidRPr="003F5882">
        <w:rPr>
          <w:rFonts w:ascii="Arial" w:hAnsi="Arial" w:cs="Times New Roman"/>
          <w:sz w:val="21"/>
        </w:rPr>
        <w:t>。</w:t>
      </w:r>
    </w:p>
    <w:p w:rsidR="005A383E" w:rsidRPr="00F453AC" w:rsidRDefault="005A383E" w:rsidP="003F5882">
      <w:pPr>
        <w:keepNext/>
        <w:spacing w:afterLines="50" w:after="120" w:line="340" w:lineRule="atLeast"/>
        <w:jc w:val="center"/>
        <w:rPr>
          <w:rFonts w:ascii="Arial" w:eastAsia="SimSun" w:hAnsi="Arial" w:cs="Times New Roman"/>
          <w:sz w:val="21"/>
          <w:szCs w:val="22"/>
          <w:u w:val="single"/>
        </w:rPr>
      </w:pPr>
      <w:r w:rsidRPr="003F5882">
        <w:rPr>
          <w:rFonts w:ascii="Arial" w:hAnsi="Arial" w:cs="Times New Roman"/>
          <w:sz w:val="21"/>
          <w:u w:val="single"/>
        </w:rPr>
        <w:t>截至</w:t>
      </w:r>
      <w:r w:rsidRPr="003F5882">
        <w:rPr>
          <w:rFonts w:ascii="Arial" w:hAnsi="Arial" w:cs="Times New Roman"/>
          <w:sz w:val="21"/>
          <w:u w:val="single"/>
        </w:rPr>
        <w:t>2014</w:t>
      </w:r>
      <w:r w:rsidRPr="003F5882">
        <w:rPr>
          <w:rFonts w:ascii="Arial" w:hAnsi="Arial" w:cs="Times New Roman"/>
          <w:sz w:val="21"/>
          <w:u w:val="single"/>
        </w:rPr>
        <w:t>年</w:t>
      </w:r>
      <w:r w:rsidRPr="003F5882">
        <w:rPr>
          <w:rFonts w:ascii="Arial" w:hAnsi="Arial" w:cs="Times New Roman"/>
          <w:sz w:val="21"/>
          <w:u w:val="single"/>
        </w:rPr>
        <w:t>12</w:t>
      </w:r>
      <w:r w:rsidRPr="003F5882">
        <w:rPr>
          <w:rFonts w:ascii="Arial" w:hAnsi="Arial" w:cs="Times New Roman"/>
          <w:sz w:val="21"/>
          <w:u w:val="single"/>
        </w:rPr>
        <w:t>月</w:t>
      </w:r>
      <w:r w:rsidRPr="003F5882">
        <w:rPr>
          <w:rFonts w:ascii="Arial" w:hAnsi="Arial" w:cs="Times New Roman"/>
          <w:sz w:val="21"/>
          <w:u w:val="single"/>
        </w:rPr>
        <w:t>31</w:t>
      </w:r>
      <w:r w:rsidRPr="003F5882">
        <w:rPr>
          <w:rFonts w:ascii="Arial" w:hAnsi="Arial" w:cs="Times New Roman"/>
          <w:sz w:val="21"/>
          <w:u w:val="single"/>
        </w:rPr>
        <w:t>日的固定资产</w:t>
      </w:r>
    </w:p>
    <w:p w:rsidR="005A383E" w:rsidRPr="00F453AC" w:rsidRDefault="00D84912" w:rsidP="00D84912">
      <w:pPr>
        <w:spacing w:afterLines="50" w:after="120" w:line="340" w:lineRule="atLeast"/>
        <w:jc w:val="center"/>
        <w:rPr>
          <w:rFonts w:ascii="Arial" w:eastAsia="SimSun" w:hAnsi="Arial" w:cs="Times New Roman"/>
        </w:rPr>
      </w:pPr>
      <w:r w:rsidRPr="00D84912">
        <w:rPr>
          <w:noProof/>
          <w:lang w:val="en-US" w:bidi="ar-SA"/>
        </w:rPr>
        <w:drawing>
          <wp:inline distT="0" distB="0" distL="0" distR="0">
            <wp:extent cx="5541010" cy="3343910"/>
            <wp:effectExtent l="0" t="0" r="254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541010" cy="3343910"/>
                    </a:xfrm>
                    <a:prstGeom prst="rect">
                      <a:avLst/>
                    </a:prstGeom>
                    <a:noFill/>
                    <a:ln>
                      <a:noFill/>
                    </a:ln>
                  </pic:spPr>
                </pic:pic>
              </a:graphicData>
            </a:graphic>
          </wp:inline>
        </w:drawing>
      </w:r>
    </w:p>
    <w:p w:rsidR="005A383E" w:rsidRPr="00F453AC" w:rsidRDefault="005A383E"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本组织持有设备的账面净值从</w:t>
      </w:r>
      <w:r w:rsidRPr="003F5882">
        <w:rPr>
          <w:rFonts w:ascii="Arial" w:hAnsi="Arial" w:cs="Times New Roman"/>
          <w:sz w:val="21"/>
        </w:rPr>
        <w:t>2013</w:t>
      </w:r>
      <w:r w:rsidRPr="003F5882">
        <w:rPr>
          <w:rFonts w:ascii="Arial" w:hAnsi="Arial" w:cs="Times New Roman"/>
          <w:sz w:val="21"/>
        </w:rPr>
        <w:t>年底的</w:t>
      </w:r>
      <w:r w:rsidRPr="003F5882">
        <w:rPr>
          <w:rFonts w:ascii="Arial" w:hAnsi="Arial" w:cs="Times New Roman"/>
          <w:sz w:val="21"/>
        </w:rPr>
        <w:t>230</w:t>
      </w:r>
      <w:proofErr w:type="gramStart"/>
      <w:r w:rsidRPr="003F5882">
        <w:rPr>
          <w:rFonts w:ascii="Arial" w:hAnsi="Arial" w:cs="Times New Roman"/>
          <w:sz w:val="21"/>
        </w:rPr>
        <w:t>万瑞郎下跌</w:t>
      </w:r>
      <w:proofErr w:type="gramEnd"/>
      <w:r w:rsidRPr="003F5882">
        <w:rPr>
          <w:rFonts w:ascii="Arial" w:hAnsi="Arial" w:cs="Times New Roman"/>
          <w:sz w:val="21"/>
        </w:rPr>
        <w:t>至</w:t>
      </w:r>
      <w:r w:rsidRPr="003F5882">
        <w:rPr>
          <w:rFonts w:ascii="Arial" w:hAnsi="Arial" w:cs="Times New Roman"/>
          <w:sz w:val="21"/>
        </w:rPr>
        <w:t>2014</w:t>
      </w:r>
      <w:r w:rsidRPr="003F5882">
        <w:rPr>
          <w:rFonts w:ascii="Arial" w:hAnsi="Arial" w:cs="Times New Roman"/>
          <w:sz w:val="21"/>
        </w:rPr>
        <w:t>年</w:t>
      </w:r>
      <w:r w:rsidR="00B301A7" w:rsidRPr="003F5882">
        <w:rPr>
          <w:rFonts w:ascii="Arial" w:hAnsi="Arial" w:cs="Times New Roman" w:hint="eastAsia"/>
          <w:sz w:val="21"/>
        </w:rPr>
        <w:t>底</w:t>
      </w:r>
      <w:r w:rsidRPr="003F5882">
        <w:rPr>
          <w:rFonts w:ascii="Arial" w:hAnsi="Arial" w:cs="Times New Roman"/>
          <w:sz w:val="21"/>
        </w:rPr>
        <w:t>的</w:t>
      </w:r>
      <w:r w:rsidRPr="003F5882">
        <w:rPr>
          <w:rFonts w:ascii="Arial" w:hAnsi="Arial" w:cs="Times New Roman"/>
          <w:sz w:val="21"/>
        </w:rPr>
        <w:t>170</w:t>
      </w:r>
      <w:proofErr w:type="gramStart"/>
      <w:r w:rsidRPr="003F5882">
        <w:rPr>
          <w:rFonts w:ascii="Arial" w:hAnsi="Arial" w:cs="Times New Roman"/>
          <w:sz w:val="21"/>
        </w:rPr>
        <w:t>万瑞</w:t>
      </w:r>
      <w:proofErr w:type="gramEnd"/>
      <w:r w:rsidRPr="003F5882">
        <w:rPr>
          <w:rFonts w:ascii="Arial" w:hAnsi="Arial" w:cs="Times New Roman"/>
          <w:sz w:val="21"/>
        </w:rPr>
        <w:t>郎，跌幅为</w:t>
      </w:r>
      <w:r w:rsidRPr="003F5882">
        <w:rPr>
          <w:rFonts w:ascii="Arial" w:hAnsi="Arial" w:cs="Times New Roman"/>
          <w:sz w:val="21"/>
        </w:rPr>
        <w:t>60</w:t>
      </w:r>
      <w:proofErr w:type="gramStart"/>
      <w:r w:rsidRPr="003F5882">
        <w:rPr>
          <w:rFonts w:ascii="Arial" w:hAnsi="Arial" w:cs="Times New Roman"/>
          <w:sz w:val="21"/>
        </w:rPr>
        <w:t>万瑞</w:t>
      </w:r>
      <w:proofErr w:type="gramEnd"/>
      <w:r w:rsidRPr="003F5882">
        <w:rPr>
          <w:rFonts w:ascii="Arial" w:hAnsi="Arial" w:cs="Times New Roman"/>
          <w:sz w:val="21"/>
        </w:rPr>
        <w:t>郎。此下跌是由于</w:t>
      </w:r>
      <w:r w:rsidRPr="003F5882">
        <w:rPr>
          <w:rFonts w:ascii="Arial" w:hAnsi="Arial" w:cs="Times New Roman"/>
          <w:sz w:val="21"/>
        </w:rPr>
        <w:t>80</w:t>
      </w:r>
      <w:r w:rsidRPr="003F5882">
        <w:rPr>
          <w:rFonts w:ascii="Arial" w:hAnsi="Arial" w:cs="Times New Roman"/>
          <w:sz w:val="21"/>
        </w:rPr>
        <w:t>万瑞郎的折旧，部分被设备增</w:t>
      </w:r>
      <w:r w:rsidR="00B301A7" w:rsidRPr="003F5882">
        <w:rPr>
          <w:rFonts w:ascii="Arial" w:hAnsi="Arial" w:cs="Times New Roman" w:hint="eastAsia"/>
          <w:sz w:val="21"/>
        </w:rPr>
        <w:t>加</w:t>
      </w:r>
      <w:r w:rsidRPr="003F5882">
        <w:rPr>
          <w:rFonts w:ascii="Arial" w:hAnsi="Arial" w:cs="Times New Roman"/>
          <w:sz w:val="21"/>
        </w:rPr>
        <w:t>所抵消。在本年度大量处置了</w:t>
      </w:r>
      <w:r w:rsidR="00B301A7" w:rsidRPr="003F5882">
        <w:rPr>
          <w:rFonts w:ascii="Arial" w:hAnsi="Arial" w:cs="Times New Roman" w:hint="eastAsia"/>
          <w:sz w:val="21"/>
        </w:rPr>
        <w:t>老旧过时</w:t>
      </w:r>
      <w:r w:rsidRPr="003F5882">
        <w:rPr>
          <w:rFonts w:ascii="Arial" w:hAnsi="Arial" w:cs="Times New Roman"/>
          <w:sz w:val="21"/>
        </w:rPr>
        <w:t>的</w:t>
      </w:r>
      <w:r w:rsidRPr="003F5882">
        <w:rPr>
          <w:rFonts w:ascii="Arial" w:hAnsi="Arial" w:cs="Times New Roman"/>
          <w:sz w:val="21"/>
        </w:rPr>
        <w:t>IT</w:t>
      </w:r>
      <w:r w:rsidRPr="003F5882">
        <w:rPr>
          <w:rFonts w:ascii="Arial" w:hAnsi="Arial" w:cs="Times New Roman"/>
          <w:sz w:val="21"/>
        </w:rPr>
        <w:t>设备。尽管处置的账面金额总值为</w:t>
      </w:r>
      <w:r w:rsidRPr="003F5882">
        <w:rPr>
          <w:rFonts w:ascii="Arial" w:hAnsi="Arial" w:cs="Times New Roman"/>
          <w:sz w:val="21"/>
        </w:rPr>
        <w:t>530</w:t>
      </w:r>
      <w:r w:rsidRPr="003F5882">
        <w:rPr>
          <w:rFonts w:ascii="Arial" w:hAnsi="Arial" w:cs="Times New Roman"/>
          <w:sz w:val="21"/>
        </w:rPr>
        <w:t>万瑞郎，但是由于该设备几乎</w:t>
      </w:r>
      <w:r w:rsidR="002B5228" w:rsidRPr="003F5882">
        <w:rPr>
          <w:rFonts w:ascii="Arial" w:hAnsi="Arial" w:cs="Times New Roman" w:hint="eastAsia"/>
          <w:sz w:val="21"/>
        </w:rPr>
        <w:t>已经</w:t>
      </w:r>
      <w:r w:rsidRPr="003F5882">
        <w:rPr>
          <w:rFonts w:ascii="Arial" w:hAnsi="Arial" w:cs="Times New Roman"/>
          <w:sz w:val="21"/>
        </w:rPr>
        <w:t>完全折旧，因此账面净额仅为</w:t>
      </w:r>
      <w:r w:rsidRPr="003F5882">
        <w:rPr>
          <w:rFonts w:ascii="Arial" w:hAnsi="Arial" w:cs="Times New Roman"/>
          <w:sz w:val="21"/>
        </w:rPr>
        <w:t>8,771</w:t>
      </w:r>
      <w:r w:rsidRPr="003F5882">
        <w:rPr>
          <w:rFonts w:ascii="Arial" w:hAnsi="Arial" w:cs="Times New Roman"/>
          <w:sz w:val="21"/>
        </w:rPr>
        <w:t>瑞郎。</w:t>
      </w:r>
      <w:r w:rsidRPr="003F5882">
        <w:rPr>
          <w:rFonts w:ascii="Arial" w:hAnsi="Arial" w:cs="Times New Roman"/>
          <w:sz w:val="21"/>
        </w:rPr>
        <w:t>2014</w:t>
      </w:r>
      <w:r w:rsidRPr="003F5882">
        <w:rPr>
          <w:rFonts w:ascii="Arial" w:hAnsi="Arial" w:cs="Times New Roman"/>
          <w:sz w:val="21"/>
        </w:rPr>
        <w:t>年，由于软件增</w:t>
      </w:r>
      <w:r w:rsidR="002B5228" w:rsidRPr="003F5882">
        <w:rPr>
          <w:rFonts w:ascii="Arial" w:hAnsi="Arial" w:cs="Times New Roman" w:hint="eastAsia"/>
          <w:sz w:val="21"/>
        </w:rPr>
        <w:t>加被</w:t>
      </w:r>
      <w:r w:rsidRPr="003F5882">
        <w:rPr>
          <w:rFonts w:ascii="Arial" w:hAnsi="Arial" w:cs="Times New Roman"/>
          <w:sz w:val="21"/>
        </w:rPr>
        <w:t>记为资本，因此本组织无形资产的账面净额增长了</w:t>
      </w:r>
      <w:r w:rsidRPr="003F5882">
        <w:rPr>
          <w:rFonts w:ascii="Arial" w:hAnsi="Arial" w:cs="Times New Roman"/>
          <w:sz w:val="21"/>
        </w:rPr>
        <w:t>60</w:t>
      </w:r>
      <w:proofErr w:type="gramStart"/>
      <w:r w:rsidRPr="003F5882">
        <w:rPr>
          <w:rFonts w:ascii="Arial" w:hAnsi="Arial" w:cs="Times New Roman"/>
          <w:sz w:val="21"/>
        </w:rPr>
        <w:t>万瑞</w:t>
      </w:r>
      <w:proofErr w:type="gramEnd"/>
      <w:r w:rsidRPr="003F5882">
        <w:rPr>
          <w:rFonts w:ascii="Arial" w:hAnsi="Arial" w:cs="Times New Roman"/>
          <w:sz w:val="21"/>
        </w:rPr>
        <w:t>郎。</w:t>
      </w:r>
    </w:p>
    <w:p w:rsidR="005A383E" w:rsidRPr="00F453AC" w:rsidRDefault="005A383E"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本组织的其他资产总计</w:t>
      </w:r>
      <w:r w:rsidRPr="003F5882">
        <w:rPr>
          <w:rFonts w:ascii="Arial" w:hAnsi="Arial" w:cs="Times New Roman"/>
          <w:sz w:val="21"/>
        </w:rPr>
        <w:t>7,520</w:t>
      </w:r>
      <w:r w:rsidRPr="003F5882">
        <w:rPr>
          <w:rFonts w:ascii="Arial" w:hAnsi="Arial" w:cs="Times New Roman"/>
          <w:sz w:val="21"/>
        </w:rPr>
        <w:t>万瑞郎，包括应收账款、库存和预付款。其中，最主要的是</w:t>
      </w:r>
      <w:r w:rsidRPr="003F5882">
        <w:rPr>
          <w:rFonts w:ascii="Arial" w:hAnsi="Arial" w:cs="Times New Roman"/>
          <w:sz w:val="21"/>
        </w:rPr>
        <w:t>PCT</w:t>
      </w:r>
      <w:r w:rsidRPr="003F5882">
        <w:rPr>
          <w:rFonts w:ascii="Arial" w:hAnsi="Arial" w:cs="Times New Roman"/>
          <w:sz w:val="21"/>
        </w:rPr>
        <w:t>应收账款，共计</w:t>
      </w:r>
      <w:r w:rsidRPr="003F5882">
        <w:rPr>
          <w:rFonts w:ascii="Arial" w:hAnsi="Arial" w:cs="Times New Roman"/>
          <w:sz w:val="21"/>
        </w:rPr>
        <w:t>4,670</w:t>
      </w:r>
      <w:r w:rsidRPr="003F5882">
        <w:rPr>
          <w:rFonts w:ascii="Arial" w:hAnsi="Arial" w:cs="Times New Roman"/>
          <w:sz w:val="21"/>
        </w:rPr>
        <w:t>万瑞郎。在任一特定时间，受理局乃至</w:t>
      </w:r>
      <w:r w:rsidRPr="003F5882">
        <w:rPr>
          <w:rFonts w:ascii="Arial" w:hAnsi="Arial" w:cs="Times New Roman"/>
          <w:sz w:val="21"/>
        </w:rPr>
        <w:t>WIPO</w:t>
      </w:r>
      <w:r w:rsidRPr="003F5882">
        <w:rPr>
          <w:rFonts w:ascii="Arial" w:hAnsi="Arial" w:cs="Times New Roman"/>
          <w:sz w:val="21"/>
        </w:rPr>
        <w:t>都受理了大量的</w:t>
      </w:r>
      <w:r w:rsidRPr="003F5882">
        <w:rPr>
          <w:rFonts w:ascii="Arial" w:hAnsi="Arial" w:cs="Times New Roman"/>
          <w:sz w:val="21"/>
        </w:rPr>
        <w:t>PCT</w:t>
      </w:r>
      <w:r w:rsidRPr="003F5882">
        <w:rPr>
          <w:rFonts w:ascii="Arial" w:hAnsi="Arial" w:cs="Times New Roman"/>
          <w:sz w:val="21"/>
        </w:rPr>
        <w:t>申请，但本组织却没有收到相应的规费。</w:t>
      </w:r>
      <w:r w:rsidRPr="003F5882">
        <w:rPr>
          <w:rFonts w:ascii="Arial" w:hAnsi="Arial" w:cs="Times New Roman"/>
          <w:sz w:val="21"/>
        </w:rPr>
        <w:t>PCT</w:t>
      </w:r>
      <w:r w:rsidRPr="003F5882">
        <w:rPr>
          <w:rFonts w:ascii="Arial" w:hAnsi="Arial" w:cs="Times New Roman"/>
          <w:sz w:val="21"/>
        </w:rPr>
        <w:t>应收账款余额与上一年度相比大幅下降</w:t>
      </w:r>
      <w:r w:rsidR="004D3DB5" w:rsidRPr="003F5882">
        <w:rPr>
          <w:rFonts w:ascii="Arial" w:hAnsi="Arial" w:cs="Times New Roman" w:hint="eastAsia"/>
          <w:sz w:val="21"/>
        </w:rPr>
        <w:t>，上一年度</w:t>
      </w:r>
      <w:r w:rsidR="004D3DB5" w:rsidRPr="003F5882">
        <w:rPr>
          <w:rFonts w:ascii="Arial" w:hAnsi="Arial" w:cs="Times New Roman"/>
          <w:sz w:val="21"/>
        </w:rPr>
        <w:t>总计为</w:t>
      </w:r>
      <w:r w:rsidR="004D3DB5" w:rsidRPr="003F5882">
        <w:rPr>
          <w:rFonts w:ascii="Arial" w:hAnsi="Arial" w:cs="Times New Roman"/>
          <w:sz w:val="21"/>
        </w:rPr>
        <w:t>6,240</w:t>
      </w:r>
      <w:r w:rsidR="004D3DB5" w:rsidRPr="003F5882">
        <w:rPr>
          <w:rFonts w:ascii="Arial" w:hAnsi="Arial" w:cs="Times New Roman"/>
          <w:sz w:val="21"/>
        </w:rPr>
        <w:t>万瑞郎</w:t>
      </w:r>
      <w:r w:rsidRPr="003F5882">
        <w:rPr>
          <w:rFonts w:ascii="Arial" w:hAnsi="Arial" w:cs="Times New Roman"/>
          <w:sz w:val="21"/>
        </w:rPr>
        <w:t>。</w:t>
      </w:r>
      <w:r w:rsidRPr="003F5882">
        <w:rPr>
          <w:rFonts w:ascii="Arial" w:hAnsi="Arial" w:cs="Times New Roman"/>
          <w:sz w:val="21"/>
        </w:rPr>
        <w:t>2013</w:t>
      </w:r>
      <w:r w:rsidRPr="003F5882">
        <w:rPr>
          <w:rFonts w:ascii="Arial" w:hAnsi="Arial" w:cs="Times New Roman"/>
          <w:sz w:val="21"/>
        </w:rPr>
        <w:t>年底，前</w:t>
      </w:r>
      <w:r w:rsidRPr="003F5882">
        <w:rPr>
          <w:rFonts w:ascii="Arial" w:hAnsi="Arial" w:cs="Times New Roman"/>
          <w:sz w:val="21"/>
        </w:rPr>
        <w:t>12</w:t>
      </w:r>
      <w:r w:rsidRPr="003F5882">
        <w:rPr>
          <w:rFonts w:ascii="Arial" w:hAnsi="Arial" w:cs="Times New Roman"/>
          <w:sz w:val="21"/>
        </w:rPr>
        <w:t>个月内提交的申请中约有</w:t>
      </w:r>
      <w:r w:rsidRPr="003F5882">
        <w:rPr>
          <w:rFonts w:ascii="Arial" w:hAnsi="Arial" w:cs="Times New Roman"/>
          <w:sz w:val="21"/>
        </w:rPr>
        <w:t>23.8%</w:t>
      </w:r>
      <w:r w:rsidRPr="003F5882">
        <w:rPr>
          <w:rFonts w:ascii="Arial" w:hAnsi="Arial" w:cs="Times New Roman"/>
          <w:sz w:val="21"/>
        </w:rPr>
        <w:t>的申请仍未支付</w:t>
      </w:r>
      <w:r w:rsidR="004D3DB5" w:rsidRPr="003F5882">
        <w:rPr>
          <w:rFonts w:ascii="Arial" w:hAnsi="Arial" w:cs="Times New Roman" w:hint="eastAsia"/>
          <w:sz w:val="21"/>
        </w:rPr>
        <w:t>费用</w:t>
      </w:r>
      <w:r w:rsidRPr="003F5882">
        <w:rPr>
          <w:rFonts w:ascii="Arial" w:hAnsi="Arial" w:cs="Times New Roman"/>
          <w:sz w:val="21"/>
        </w:rPr>
        <w:t>。</w:t>
      </w:r>
      <w:r w:rsidRPr="003F5882">
        <w:rPr>
          <w:rFonts w:ascii="Arial" w:hAnsi="Arial" w:cs="Times New Roman"/>
          <w:sz w:val="21"/>
        </w:rPr>
        <w:t>2014</w:t>
      </w:r>
      <w:r w:rsidRPr="003F5882">
        <w:rPr>
          <w:rFonts w:ascii="Arial" w:hAnsi="Arial" w:cs="Times New Roman"/>
          <w:sz w:val="21"/>
        </w:rPr>
        <w:t>年底，这个比例跌至约</w:t>
      </w:r>
      <w:r w:rsidRPr="003F5882">
        <w:rPr>
          <w:rFonts w:ascii="Arial" w:hAnsi="Arial" w:cs="Times New Roman"/>
          <w:sz w:val="21"/>
        </w:rPr>
        <w:t>16.0%</w:t>
      </w:r>
      <w:r w:rsidRPr="003F5882">
        <w:rPr>
          <w:rFonts w:ascii="Arial" w:hAnsi="Arial" w:cs="Times New Roman"/>
          <w:sz w:val="21"/>
        </w:rPr>
        <w:t>。除了年底未支付申请的比例下跌，</w:t>
      </w:r>
      <w:r w:rsidRPr="003F5882">
        <w:rPr>
          <w:rFonts w:ascii="Arial" w:hAnsi="Arial" w:cs="Times New Roman"/>
          <w:sz w:val="21"/>
        </w:rPr>
        <w:t>2014</w:t>
      </w:r>
      <w:r w:rsidRPr="003F5882">
        <w:rPr>
          <w:rFonts w:ascii="Arial" w:hAnsi="Arial" w:cs="Times New Roman"/>
          <w:sz w:val="21"/>
        </w:rPr>
        <w:t>年还弥补了</w:t>
      </w:r>
      <w:r w:rsidRPr="003F5882">
        <w:rPr>
          <w:rFonts w:ascii="Arial" w:hAnsi="Arial" w:cs="Times New Roman"/>
          <w:sz w:val="21"/>
        </w:rPr>
        <w:t>2013</w:t>
      </w:r>
      <w:r w:rsidRPr="003F5882">
        <w:rPr>
          <w:rFonts w:ascii="Arial" w:hAnsi="Arial" w:cs="Times New Roman"/>
          <w:sz w:val="21"/>
        </w:rPr>
        <w:t>年申请的欠款。这两个因素共同促使了</w:t>
      </w:r>
      <w:r w:rsidRPr="003F5882">
        <w:rPr>
          <w:rFonts w:ascii="Arial" w:hAnsi="Arial" w:cs="Times New Roman"/>
          <w:sz w:val="21"/>
        </w:rPr>
        <w:t>PCT</w:t>
      </w:r>
      <w:r w:rsidRPr="003F5882">
        <w:rPr>
          <w:rFonts w:ascii="Arial" w:hAnsi="Arial" w:cs="Times New Roman"/>
          <w:sz w:val="21"/>
        </w:rPr>
        <w:t>应收账款余额的下降。</w:t>
      </w:r>
    </w:p>
    <w:p w:rsidR="005A383E" w:rsidRPr="00F453AC" w:rsidRDefault="005A383E" w:rsidP="003F5882">
      <w:pPr>
        <w:keepNext/>
        <w:spacing w:afterLines="50" w:after="120" w:line="340" w:lineRule="atLeast"/>
        <w:jc w:val="center"/>
        <w:rPr>
          <w:rFonts w:ascii="Arial" w:eastAsia="SimSun" w:hAnsi="Arial" w:cs="Times New Roman"/>
          <w:sz w:val="21"/>
          <w:szCs w:val="22"/>
          <w:u w:val="single"/>
        </w:rPr>
      </w:pPr>
      <w:r w:rsidRPr="003F5882">
        <w:rPr>
          <w:rFonts w:ascii="Arial" w:hAnsi="Arial" w:cs="Times New Roman"/>
          <w:sz w:val="21"/>
          <w:u w:val="single"/>
        </w:rPr>
        <w:lastRenderedPageBreak/>
        <w:t>2013</w:t>
      </w:r>
      <w:r w:rsidRPr="003F5882">
        <w:rPr>
          <w:rFonts w:ascii="Arial" w:hAnsi="Arial" w:cs="Times New Roman"/>
          <w:sz w:val="21"/>
          <w:u w:val="single"/>
        </w:rPr>
        <w:t>年和</w:t>
      </w:r>
      <w:r w:rsidRPr="003F5882">
        <w:rPr>
          <w:rFonts w:ascii="Arial" w:hAnsi="Arial" w:cs="Times New Roman"/>
          <w:sz w:val="21"/>
          <w:u w:val="single"/>
        </w:rPr>
        <w:t>2014</w:t>
      </w:r>
      <w:r w:rsidRPr="003F5882">
        <w:rPr>
          <w:rFonts w:ascii="Arial" w:hAnsi="Arial" w:cs="Times New Roman"/>
          <w:sz w:val="21"/>
          <w:u w:val="single"/>
        </w:rPr>
        <w:t>年</w:t>
      </w:r>
      <w:r w:rsidRPr="003F5882">
        <w:rPr>
          <w:rFonts w:ascii="Arial" w:hAnsi="Arial" w:cs="Times New Roman"/>
          <w:sz w:val="21"/>
          <w:u w:val="single"/>
        </w:rPr>
        <w:t>PCT</w:t>
      </w:r>
      <w:r w:rsidRPr="003F5882">
        <w:rPr>
          <w:rFonts w:ascii="Arial" w:hAnsi="Arial" w:cs="Times New Roman"/>
          <w:sz w:val="21"/>
          <w:u w:val="single"/>
        </w:rPr>
        <w:t>应收</w:t>
      </w:r>
      <w:r w:rsidR="004D3DB5" w:rsidRPr="003F5882">
        <w:rPr>
          <w:rFonts w:ascii="Arial" w:hAnsi="Arial" w:cs="Times New Roman" w:hint="eastAsia"/>
          <w:sz w:val="21"/>
          <w:u w:val="single"/>
        </w:rPr>
        <w:t>账</w:t>
      </w:r>
      <w:r w:rsidRPr="003F5882">
        <w:rPr>
          <w:rFonts w:ascii="Arial" w:hAnsi="Arial" w:cs="Times New Roman"/>
          <w:sz w:val="21"/>
          <w:u w:val="single"/>
        </w:rPr>
        <w:t>款</w:t>
      </w:r>
    </w:p>
    <w:p w:rsidR="005A383E" w:rsidRPr="00F453AC" w:rsidRDefault="00D84912" w:rsidP="00D84912">
      <w:pPr>
        <w:spacing w:afterLines="50" w:after="120" w:line="340" w:lineRule="atLeast"/>
        <w:jc w:val="center"/>
        <w:rPr>
          <w:rFonts w:ascii="Arial" w:eastAsia="SimSun" w:hAnsi="Arial" w:cs="Times New Roman"/>
          <w:sz w:val="21"/>
          <w:szCs w:val="22"/>
        </w:rPr>
      </w:pPr>
      <w:r w:rsidRPr="00D84912">
        <w:rPr>
          <w:noProof/>
          <w:lang w:val="en-US" w:bidi="ar-SA"/>
        </w:rPr>
        <w:drawing>
          <wp:inline distT="0" distB="0" distL="0" distR="0">
            <wp:extent cx="4817745" cy="1924050"/>
            <wp:effectExtent l="0" t="0" r="1905"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817745" cy="1924050"/>
                    </a:xfrm>
                    <a:prstGeom prst="rect">
                      <a:avLst/>
                    </a:prstGeom>
                    <a:noFill/>
                    <a:ln>
                      <a:noFill/>
                    </a:ln>
                  </pic:spPr>
                </pic:pic>
              </a:graphicData>
            </a:graphic>
          </wp:inline>
        </w:drawing>
      </w:r>
    </w:p>
    <w:p w:rsidR="005A383E" w:rsidRPr="003F5882" w:rsidRDefault="005A383E" w:rsidP="003F5882">
      <w:pPr>
        <w:keepNext/>
        <w:spacing w:afterLines="50" w:after="120" w:line="340" w:lineRule="atLeast"/>
        <w:jc w:val="both"/>
        <w:rPr>
          <w:rFonts w:ascii="Arial" w:eastAsia="KaiTi" w:hAnsi="Arial" w:cs="Times New Roman"/>
          <w:b/>
          <w:i/>
          <w:sz w:val="21"/>
        </w:rPr>
      </w:pPr>
      <w:r w:rsidRPr="003F5882">
        <w:rPr>
          <w:rFonts w:ascii="Arial" w:eastAsia="KaiTi" w:hAnsi="Arial" w:cs="Times New Roman"/>
          <w:b/>
          <w:i/>
          <w:sz w:val="21"/>
        </w:rPr>
        <w:t>负</w:t>
      </w:r>
      <w:r w:rsidR="003F5882">
        <w:rPr>
          <w:rFonts w:ascii="Arial" w:eastAsia="KaiTi" w:hAnsi="Arial" w:cs="Times New Roman" w:hint="eastAsia"/>
          <w:b/>
          <w:i/>
          <w:sz w:val="21"/>
        </w:rPr>
        <w:t xml:space="preserve">　</w:t>
      </w:r>
      <w:r w:rsidRPr="003F5882">
        <w:rPr>
          <w:rFonts w:ascii="Arial" w:eastAsia="KaiTi" w:hAnsi="Arial" w:cs="Times New Roman"/>
          <w:b/>
          <w:i/>
          <w:sz w:val="21"/>
        </w:rPr>
        <w:t>债</w:t>
      </w:r>
    </w:p>
    <w:p w:rsidR="005A383E" w:rsidRPr="00F453AC" w:rsidRDefault="005A383E" w:rsidP="005A383E">
      <w:pPr>
        <w:jc w:val="center"/>
        <w:rPr>
          <w:rFonts w:ascii="Arial" w:eastAsia="SimSun" w:hAnsi="Arial" w:cs="Times New Roman"/>
          <w:sz w:val="21"/>
          <w:szCs w:val="22"/>
        </w:rPr>
      </w:pPr>
    </w:p>
    <w:p w:rsidR="005A383E" w:rsidRPr="00F453AC" w:rsidRDefault="005A383E"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应付及预收账款总计</w:t>
      </w:r>
      <w:r w:rsidRPr="003F5882">
        <w:rPr>
          <w:rFonts w:ascii="Arial" w:hAnsi="Arial" w:cs="Times New Roman"/>
          <w:sz w:val="21"/>
        </w:rPr>
        <w:t>3.587</w:t>
      </w:r>
      <w:r w:rsidRPr="003F5882">
        <w:rPr>
          <w:rFonts w:ascii="Arial" w:hAnsi="Arial" w:cs="Times New Roman"/>
          <w:sz w:val="21"/>
        </w:rPr>
        <w:t>亿瑞郎，主要包括国际申请</w:t>
      </w:r>
      <w:r w:rsidR="00F453AC" w:rsidRPr="003F5882">
        <w:rPr>
          <w:rFonts w:ascii="Arial" w:hAnsi="Arial" w:cs="Times New Roman"/>
          <w:sz w:val="21"/>
        </w:rPr>
        <w:t>（</w:t>
      </w:r>
      <w:r w:rsidR="00650B87" w:rsidRPr="003F5882">
        <w:rPr>
          <w:rFonts w:ascii="Arial" w:hAnsi="Arial" w:cs="Times New Roman"/>
          <w:sz w:val="21"/>
        </w:rPr>
        <w:t>商标、工业</w:t>
      </w:r>
      <w:r w:rsidR="007B51AD" w:rsidRPr="003F5882">
        <w:rPr>
          <w:rFonts w:ascii="Arial" w:hAnsi="Arial" w:cs="Times New Roman" w:hint="eastAsia"/>
          <w:sz w:val="21"/>
        </w:rPr>
        <w:t>品</w:t>
      </w:r>
      <w:r w:rsidR="00650B87" w:rsidRPr="003F5882">
        <w:rPr>
          <w:rFonts w:ascii="Arial" w:hAnsi="Arial" w:cs="Times New Roman"/>
          <w:sz w:val="21"/>
        </w:rPr>
        <w:t>外观设计、专利</w:t>
      </w:r>
      <w:r w:rsidR="00F453AC" w:rsidRPr="003F5882">
        <w:rPr>
          <w:rFonts w:ascii="Arial" w:hAnsi="Arial" w:cs="Times New Roman"/>
          <w:sz w:val="21"/>
        </w:rPr>
        <w:t>）</w:t>
      </w:r>
      <w:r w:rsidRPr="003F5882">
        <w:rPr>
          <w:rFonts w:ascii="Arial" w:hAnsi="Arial" w:cs="Times New Roman"/>
          <w:sz w:val="21"/>
        </w:rPr>
        <w:t>处理</w:t>
      </w:r>
      <w:r w:rsidR="00650B87" w:rsidRPr="003F5882">
        <w:rPr>
          <w:rFonts w:ascii="Arial" w:hAnsi="Arial" w:cs="Times New Roman" w:hint="eastAsia"/>
          <w:sz w:val="21"/>
        </w:rPr>
        <w:t>的</w:t>
      </w:r>
      <w:r w:rsidRPr="003F5882">
        <w:rPr>
          <w:rFonts w:ascii="Arial" w:hAnsi="Arial" w:cs="Times New Roman"/>
          <w:sz w:val="21"/>
        </w:rPr>
        <w:t>递</w:t>
      </w:r>
      <w:proofErr w:type="gramStart"/>
      <w:r w:rsidRPr="003F5882">
        <w:rPr>
          <w:rFonts w:ascii="Arial" w:hAnsi="Arial" w:cs="Times New Roman"/>
          <w:sz w:val="21"/>
        </w:rPr>
        <w:t>延收入</w:t>
      </w:r>
      <w:proofErr w:type="gramEnd"/>
      <w:r w:rsidRPr="003F5882">
        <w:rPr>
          <w:rFonts w:ascii="Arial" w:hAnsi="Arial" w:cs="Times New Roman"/>
          <w:sz w:val="21"/>
        </w:rPr>
        <w:t>2.037</w:t>
      </w:r>
      <w:r w:rsidRPr="003F5882">
        <w:rPr>
          <w:rFonts w:ascii="Arial" w:hAnsi="Arial" w:cs="Times New Roman"/>
          <w:sz w:val="21"/>
        </w:rPr>
        <w:t>亿瑞郎。这一递延收入余额主要涉及</w:t>
      </w:r>
      <w:r w:rsidRPr="003F5882">
        <w:rPr>
          <w:rFonts w:ascii="Arial" w:hAnsi="Arial" w:cs="Times New Roman"/>
          <w:sz w:val="21"/>
        </w:rPr>
        <w:t>1.997</w:t>
      </w:r>
      <w:r w:rsidRPr="003F5882">
        <w:rPr>
          <w:rFonts w:ascii="Arial" w:hAnsi="Arial" w:cs="Times New Roman"/>
          <w:sz w:val="21"/>
        </w:rPr>
        <w:t>亿瑞郎的</w:t>
      </w:r>
      <w:r w:rsidRPr="003F5882">
        <w:rPr>
          <w:rFonts w:ascii="Arial" w:hAnsi="Arial" w:cs="Times New Roman"/>
          <w:sz w:val="21"/>
        </w:rPr>
        <w:t>PCT</w:t>
      </w:r>
      <w:r w:rsidRPr="003F5882">
        <w:rPr>
          <w:rFonts w:ascii="Arial" w:hAnsi="Arial" w:cs="Times New Roman"/>
          <w:sz w:val="21"/>
        </w:rPr>
        <w:t>规费。与国际申请处理相关的收入递延到相关申请公布为止。在任一特定时间，受理局或</w:t>
      </w:r>
      <w:r w:rsidRPr="003F5882">
        <w:rPr>
          <w:rFonts w:ascii="Arial" w:hAnsi="Arial" w:cs="Times New Roman"/>
          <w:sz w:val="21"/>
        </w:rPr>
        <w:t>WIPO</w:t>
      </w:r>
      <w:r w:rsidRPr="003F5882">
        <w:rPr>
          <w:rFonts w:ascii="Arial" w:hAnsi="Arial" w:cs="Times New Roman"/>
          <w:sz w:val="21"/>
        </w:rPr>
        <w:t>都受理了</w:t>
      </w:r>
      <w:r w:rsidR="00ED723C" w:rsidRPr="003F5882">
        <w:rPr>
          <w:rFonts w:ascii="Arial" w:hAnsi="Arial" w:cs="Times New Roman" w:hint="eastAsia"/>
          <w:sz w:val="21"/>
        </w:rPr>
        <w:t>一些</w:t>
      </w:r>
      <w:r w:rsidRPr="003F5882">
        <w:rPr>
          <w:rFonts w:ascii="Arial" w:hAnsi="Arial" w:cs="Times New Roman"/>
          <w:sz w:val="21"/>
        </w:rPr>
        <w:t>有待公布的</w:t>
      </w:r>
      <w:r w:rsidRPr="003F5882">
        <w:rPr>
          <w:rFonts w:ascii="Arial" w:hAnsi="Arial" w:cs="Times New Roman"/>
          <w:sz w:val="21"/>
        </w:rPr>
        <w:t>PCT</w:t>
      </w:r>
      <w:r w:rsidRPr="003F5882">
        <w:rPr>
          <w:rFonts w:ascii="Arial" w:hAnsi="Arial" w:cs="Times New Roman"/>
          <w:sz w:val="21"/>
        </w:rPr>
        <w:t>申请。截至</w:t>
      </w:r>
      <w:r w:rsidRPr="003F5882">
        <w:rPr>
          <w:rFonts w:ascii="Arial" w:hAnsi="Arial" w:cs="Times New Roman"/>
          <w:sz w:val="21"/>
        </w:rPr>
        <w:t>2014</w:t>
      </w:r>
      <w:r w:rsidRPr="003F5882">
        <w:rPr>
          <w:rFonts w:ascii="Arial" w:hAnsi="Arial" w:cs="Times New Roman"/>
          <w:sz w:val="21"/>
        </w:rPr>
        <w:t>年</w:t>
      </w:r>
      <w:r w:rsidRPr="003F5882">
        <w:rPr>
          <w:rFonts w:ascii="Arial" w:hAnsi="Arial" w:cs="Times New Roman"/>
          <w:sz w:val="21"/>
        </w:rPr>
        <w:t>12</w:t>
      </w:r>
      <w:r w:rsidRPr="003F5882">
        <w:rPr>
          <w:rFonts w:ascii="Arial" w:hAnsi="Arial" w:cs="Times New Roman"/>
          <w:sz w:val="21"/>
        </w:rPr>
        <w:t>月</w:t>
      </w:r>
      <w:r w:rsidRPr="003F5882">
        <w:rPr>
          <w:rFonts w:ascii="Arial" w:hAnsi="Arial" w:cs="Times New Roman"/>
          <w:sz w:val="21"/>
        </w:rPr>
        <w:t>31</w:t>
      </w:r>
      <w:r w:rsidRPr="003F5882">
        <w:rPr>
          <w:rFonts w:ascii="Arial" w:hAnsi="Arial" w:cs="Times New Roman"/>
          <w:sz w:val="21"/>
        </w:rPr>
        <w:t>日，就</w:t>
      </w:r>
      <w:r w:rsidRPr="003F5882">
        <w:rPr>
          <w:rFonts w:ascii="Arial" w:hAnsi="Arial" w:cs="Times New Roman"/>
          <w:sz w:val="21"/>
        </w:rPr>
        <w:t>2013</w:t>
      </w:r>
      <w:r w:rsidRPr="003F5882">
        <w:rPr>
          <w:rFonts w:ascii="Arial" w:hAnsi="Arial" w:cs="Times New Roman"/>
          <w:sz w:val="21"/>
        </w:rPr>
        <w:t>年或</w:t>
      </w:r>
      <w:r w:rsidRPr="003F5882">
        <w:rPr>
          <w:rFonts w:ascii="Arial" w:hAnsi="Arial" w:cs="Times New Roman"/>
          <w:sz w:val="21"/>
        </w:rPr>
        <w:t>2014</w:t>
      </w:r>
      <w:r w:rsidRPr="003F5882">
        <w:rPr>
          <w:rFonts w:ascii="Arial" w:hAnsi="Arial" w:cs="Times New Roman"/>
          <w:sz w:val="21"/>
        </w:rPr>
        <w:t>年提交的申请而言，大约还有</w:t>
      </w:r>
      <w:r w:rsidRPr="003F5882">
        <w:rPr>
          <w:rFonts w:ascii="Arial" w:hAnsi="Arial" w:cs="Times New Roman"/>
          <w:sz w:val="21"/>
        </w:rPr>
        <w:t>145,157</w:t>
      </w:r>
      <w:r w:rsidRPr="003F5882">
        <w:rPr>
          <w:rFonts w:ascii="Arial" w:hAnsi="Arial" w:cs="Times New Roman"/>
          <w:sz w:val="21"/>
        </w:rPr>
        <w:t>件申请有待公布。尽管这一数目比</w:t>
      </w:r>
      <w:r w:rsidRPr="003F5882">
        <w:rPr>
          <w:rFonts w:ascii="Arial" w:hAnsi="Arial" w:cs="Times New Roman"/>
          <w:sz w:val="21"/>
        </w:rPr>
        <w:t>2013</w:t>
      </w:r>
      <w:r w:rsidRPr="003F5882">
        <w:rPr>
          <w:rFonts w:ascii="Arial" w:hAnsi="Arial" w:cs="Times New Roman"/>
          <w:sz w:val="21"/>
        </w:rPr>
        <w:t>年</w:t>
      </w:r>
      <w:r w:rsidR="002C1A71" w:rsidRPr="003F5882">
        <w:rPr>
          <w:rFonts w:ascii="Arial" w:hAnsi="Arial" w:cs="Times New Roman" w:hint="eastAsia"/>
          <w:sz w:val="21"/>
        </w:rPr>
        <w:t>底的少</w:t>
      </w:r>
      <w:r w:rsidRPr="003F5882">
        <w:rPr>
          <w:rFonts w:ascii="Arial" w:hAnsi="Arial" w:cs="Times New Roman"/>
          <w:sz w:val="21"/>
        </w:rPr>
        <w:t>，但是因</w:t>
      </w:r>
      <w:r w:rsidRPr="003F5882">
        <w:rPr>
          <w:rFonts w:ascii="Arial" w:hAnsi="Arial" w:cs="Times New Roman"/>
          <w:sz w:val="21"/>
        </w:rPr>
        <w:t>2014</w:t>
      </w:r>
      <w:r w:rsidRPr="003F5882">
        <w:rPr>
          <w:rFonts w:ascii="Arial" w:hAnsi="Arial" w:cs="Times New Roman"/>
          <w:sz w:val="21"/>
        </w:rPr>
        <w:t>年下半年美元兑瑞郎升值，以及专利性报告翻译的平均费用增加，递延收入的总额增加。</w:t>
      </w:r>
    </w:p>
    <w:p w:rsidR="005A383E" w:rsidRPr="00F453AC" w:rsidRDefault="005A383E" w:rsidP="003F5882">
      <w:pPr>
        <w:keepNext/>
        <w:spacing w:afterLines="50" w:after="120" w:line="340" w:lineRule="atLeast"/>
        <w:jc w:val="center"/>
        <w:rPr>
          <w:rFonts w:ascii="Arial" w:eastAsia="SimSun" w:hAnsi="Arial" w:cs="Times New Roman"/>
          <w:sz w:val="21"/>
          <w:szCs w:val="20"/>
        </w:rPr>
      </w:pPr>
      <w:r w:rsidRPr="003F5882">
        <w:rPr>
          <w:rFonts w:ascii="Arial" w:hAnsi="Arial" w:cs="Times New Roman"/>
          <w:sz w:val="21"/>
          <w:u w:val="single"/>
        </w:rPr>
        <w:t>2013</w:t>
      </w:r>
      <w:r w:rsidRPr="003F5882">
        <w:rPr>
          <w:rFonts w:ascii="Arial" w:hAnsi="Arial" w:cs="Times New Roman"/>
          <w:sz w:val="21"/>
          <w:u w:val="single"/>
        </w:rPr>
        <w:t>年和</w:t>
      </w:r>
      <w:r w:rsidRPr="003F5882">
        <w:rPr>
          <w:rFonts w:ascii="Arial" w:hAnsi="Arial" w:cs="Times New Roman"/>
          <w:sz w:val="21"/>
          <w:u w:val="single"/>
        </w:rPr>
        <w:t>2014</w:t>
      </w:r>
      <w:r w:rsidRPr="003F5882">
        <w:rPr>
          <w:rFonts w:ascii="Arial" w:hAnsi="Arial" w:cs="Times New Roman"/>
          <w:sz w:val="21"/>
          <w:u w:val="single"/>
        </w:rPr>
        <w:t>年</w:t>
      </w:r>
      <w:r w:rsidRPr="003F5882">
        <w:rPr>
          <w:rFonts w:ascii="Arial" w:hAnsi="Arial" w:cs="Times New Roman"/>
          <w:sz w:val="21"/>
          <w:u w:val="single"/>
        </w:rPr>
        <w:t>PCT</w:t>
      </w:r>
      <w:r w:rsidRPr="003F5882">
        <w:rPr>
          <w:rFonts w:ascii="Arial" w:hAnsi="Arial" w:cs="Times New Roman"/>
          <w:sz w:val="21"/>
          <w:u w:val="single"/>
        </w:rPr>
        <w:t>递延收入</w:t>
      </w:r>
    </w:p>
    <w:p w:rsidR="005A383E" w:rsidRPr="00F453AC" w:rsidRDefault="00D84912" w:rsidP="00D84912">
      <w:pPr>
        <w:spacing w:afterLines="50" w:after="120" w:line="340" w:lineRule="atLeast"/>
        <w:jc w:val="center"/>
        <w:rPr>
          <w:rFonts w:ascii="Arial" w:eastAsia="SimSun" w:hAnsi="Arial" w:cs="Times New Roman"/>
          <w:sz w:val="21"/>
          <w:szCs w:val="22"/>
          <w:u w:val="single"/>
        </w:rPr>
      </w:pPr>
      <w:r w:rsidRPr="00D84912">
        <w:rPr>
          <w:noProof/>
          <w:lang w:val="en-US" w:bidi="ar-SA"/>
        </w:rPr>
        <w:drawing>
          <wp:inline distT="0" distB="0" distL="0" distR="0">
            <wp:extent cx="4817745" cy="2231390"/>
            <wp:effectExtent l="0" t="0" r="1905"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817745" cy="2231390"/>
                    </a:xfrm>
                    <a:prstGeom prst="rect">
                      <a:avLst/>
                    </a:prstGeom>
                    <a:noFill/>
                    <a:ln>
                      <a:noFill/>
                    </a:ln>
                  </pic:spPr>
                </pic:pic>
              </a:graphicData>
            </a:graphic>
          </wp:inline>
        </w:drawing>
      </w:r>
    </w:p>
    <w:p w:rsidR="005A383E" w:rsidRPr="00F453AC" w:rsidRDefault="005A383E"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雇员福利负债为</w:t>
      </w:r>
      <w:r w:rsidRPr="003F5882">
        <w:rPr>
          <w:rFonts w:ascii="Arial" w:hAnsi="Arial" w:cs="Times New Roman"/>
          <w:sz w:val="21"/>
        </w:rPr>
        <w:t>1.612</w:t>
      </w:r>
      <w:r w:rsidRPr="003F5882">
        <w:rPr>
          <w:rFonts w:ascii="Arial" w:hAnsi="Arial" w:cs="Times New Roman"/>
          <w:sz w:val="21"/>
        </w:rPr>
        <w:t>亿瑞郎，主要是</w:t>
      </w:r>
      <w:r w:rsidRPr="003F5882">
        <w:rPr>
          <w:rFonts w:ascii="Arial" w:hAnsi="Arial" w:cs="Times New Roman"/>
          <w:sz w:val="21"/>
        </w:rPr>
        <w:t>1.279</w:t>
      </w:r>
      <w:r w:rsidRPr="003F5882">
        <w:rPr>
          <w:rFonts w:ascii="Arial" w:hAnsi="Arial" w:cs="Times New Roman"/>
          <w:sz w:val="21"/>
        </w:rPr>
        <w:t>亿瑞郎的离职后健康保险</w:t>
      </w:r>
      <w:r w:rsidR="00F453AC" w:rsidRPr="003F5882">
        <w:rPr>
          <w:rFonts w:ascii="Arial" w:hAnsi="Arial" w:cs="Times New Roman" w:hint="eastAsia"/>
          <w:sz w:val="21"/>
        </w:rPr>
        <w:t>（</w:t>
      </w:r>
      <w:r w:rsidRPr="003F5882">
        <w:rPr>
          <w:rFonts w:ascii="Arial" w:hAnsi="Arial" w:cs="Times New Roman"/>
          <w:sz w:val="21"/>
        </w:rPr>
        <w:t>ASHI</w:t>
      </w:r>
      <w:r w:rsidR="00F453AC" w:rsidRPr="003F5882">
        <w:rPr>
          <w:rFonts w:ascii="Arial" w:hAnsi="Arial" w:cs="Times New Roman" w:hint="eastAsia"/>
          <w:sz w:val="21"/>
        </w:rPr>
        <w:t>）</w:t>
      </w:r>
      <w:r w:rsidRPr="003F5882">
        <w:rPr>
          <w:rFonts w:ascii="Arial" w:hAnsi="Arial" w:cs="Times New Roman"/>
          <w:sz w:val="21"/>
        </w:rPr>
        <w:t>负债，占截至</w:t>
      </w:r>
      <w:r w:rsidRPr="003F5882">
        <w:rPr>
          <w:rFonts w:ascii="Arial" w:hAnsi="Arial" w:cs="Times New Roman"/>
          <w:sz w:val="21"/>
        </w:rPr>
        <w:t>2014</w:t>
      </w:r>
      <w:r w:rsidRPr="003F5882">
        <w:rPr>
          <w:rFonts w:ascii="Arial" w:hAnsi="Arial" w:cs="Times New Roman"/>
          <w:sz w:val="21"/>
        </w:rPr>
        <w:t>年</w:t>
      </w:r>
      <w:r w:rsidRPr="003F5882">
        <w:rPr>
          <w:rFonts w:ascii="Arial" w:hAnsi="Arial" w:cs="Times New Roman"/>
          <w:sz w:val="21"/>
        </w:rPr>
        <w:t>12</w:t>
      </w:r>
      <w:r w:rsidRPr="003F5882">
        <w:rPr>
          <w:rFonts w:ascii="Arial" w:hAnsi="Arial" w:cs="Times New Roman"/>
          <w:sz w:val="21"/>
        </w:rPr>
        <w:t>月</w:t>
      </w:r>
      <w:r w:rsidRPr="003F5882">
        <w:rPr>
          <w:rFonts w:ascii="Arial" w:hAnsi="Arial" w:cs="Times New Roman"/>
          <w:sz w:val="21"/>
        </w:rPr>
        <w:t>31</w:t>
      </w:r>
      <w:r w:rsidRPr="003F5882">
        <w:rPr>
          <w:rFonts w:ascii="Arial" w:hAnsi="Arial" w:cs="Times New Roman"/>
          <w:sz w:val="21"/>
        </w:rPr>
        <w:t>日的雇员福利负债总额的</w:t>
      </w:r>
      <w:r w:rsidRPr="003F5882">
        <w:rPr>
          <w:rFonts w:ascii="Arial" w:hAnsi="Arial" w:cs="Times New Roman"/>
          <w:sz w:val="21"/>
        </w:rPr>
        <w:t>79.4%</w:t>
      </w:r>
      <w:r w:rsidRPr="003F5882">
        <w:rPr>
          <w:rFonts w:ascii="Arial" w:hAnsi="Arial" w:cs="Times New Roman"/>
          <w:sz w:val="21"/>
        </w:rPr>
        <w:t>。和</w:t>
      </w:r>
      <w:r w:rsidRPr="003F5882">
        <w:rPr>
          <w:rFonts w:ascii="Arial" w:hAnsi="Arial" w:cs="Times New Roman"/>
          <w:sz w:val="21"/>
        </w:rPr>
        <w:t>2013</w:t>
      </w:r>
      <w:r w:rsidRPr="003F5882">
        <w:rPr>
          <w:rFonts w:ascii="Arial" w:hAnsi="Arial" w:cs="Times New Roman"/>
          <w:sz w:val="21"/>
        </w:rPr>
        <w:t>年相比，</w:t>
      </w:r>
      <w:r w:rsidRPr="003F5882">
        <w:rPr>
          <w:rFonts w:ascii="Arial" w:hAnsi="Arial" w:cs="Times New Roman"/>
          <w:sz w:val="21"/>
        </w:rPr>
        <w:t>ASHI</w:t>
      </w:r>
      <w:r w:rsidRPr="003F5882">
        <w:rPr>
          <w:rFonts w:ascii="Arial" w:hAnsi="Arial" w:cs="Times New Roman"/>
          <w:sz w:val="21"/>
        </w:rPr>
        <w:t>负债增加了</w:t>
      </w:r>
      <w:r w:rsidRPr="003F5882">
        <w:rPr>
          <w:rFonts w:ascii="Arial" w:hAnsi="Arial" w:cs="Times New Roman"/>
          <w:sz w:val="21"/>
        </w:rPr>
        <w:t>830</w:t>
      </w:r>
      <w:r w:rsidRPr="003F5882">
        <w:rPr>
          <w:rFonts w:ascii="Arial" w:hAnsi="Arial" w:cs="Times New Roman"/>
          <w:sz w:val="21"/>
        </w:rPr>
        <w:t>万瑞郎。该负债由独立的精算师计算，反映了</w:t>
      </w:r>
      <w:r w:rsidRPr="003F5882">
        <w:rPr>
          <w:rFonts w:ascii="Arial" w:hAnsi="Arial" w:cs="Times New Roman"/>
          <w:sz w:val="21"/>
        </w:rPr>
        <w:t>WIPO</w:t>
      </w:r>
      <w:r w:rsidRPr="003F5882">
        <w:rPr>
          <w:rFonts w:ascii="Arial" w:hAnsi="Arial" w:cs="Times New Roman"/>
          <w:sz w:val="21"/>
        </w:rPr>
        <w:t>为其已退休人员以及在职</w:t>
      </w:r>
      <w:r w:rsidRPr="003F5882">
        <w:rPr>
          <w:rFonts w:ascii="Arial" w:hAnsi="Arial" w:cs="Times New Roman"/>
          <w:sz w:val="21"/>
        </w:rPr>
        <w:t>WIPO</w:t>
      </w:r>
      <w:r w:rsidRPr="003F5882">
        <w:rPr>
          <w:rFonts w:ascii="Arial" w:hAnsi="Arial" w:cs="Times New Roman"/>
          <w:sz w:val="21"/>
        </w:rPr>
        <w:t>工作人员将来要退休的预计人数所承担的健康保险费的全部未来成本。</w:t>
      </w:r>
    </w:p>
    <w:p w:rsidR="005A383E" w:rsidRPr="00F453AC" w:rsidRDefault="005A383E" w:rsidP="003F5882">
      <w:pPr>
        <w:keepNext/>
        <w:spacing w:afterLines="50" w:after="120" w:line="340" w:lineRule="atLeast"/>
        <w:jc w:val="center"/>
        <w:rPr>
          <w:rFonts w:ascii="Arial" w:eastAsia="SimSun" w:hAnsi="Arial" w:cs="Times New Roman"/>
          <w:sz w:val="21"/>
          <w:szCs w:val="22"/>
          <w:u w:val="single"/>
        </w:rPr>
      </w:pPr>
      <w:r w:rsidRPr="003F5882">
        <w:rPr>
          <w:rFonts w:ascii="Arial" w:hAnsi="Arial" w:cs="Times New Roman"/>
          <w:sz w:val="21"/>
          <w:u w:val="single"/>
        </w:rPr>
        <w:lastRenderedPageBreak/>
        <w:t>截至</w:t>
      </w:r>
      <w:r w:rsidRPr="003F5882">
        <w:rPr>
          <w:rFonts w:ascii="Arial" w:hAnsi="Arial" w:cs="Times New Roman"/>
          <w:sz w:val="21"/>
          <w:u w:val="single"/>
        </w:rPr>
        <w:t>2014</w:t>
      </w:r>
      <w:r w:rsidRPr="003F5882">
        <w:rPr>
          <w:rFonts w:ascii="Arial" w:hAnsi="Arial" w:cs="Times New Roman"/>
          <w:sz w:val="21"/>
          <w:u w:val="single"/>
        </w:rPr>
        <w:t>年</w:t>
      </w:r>
      <w:r w:rsidRPr="003F5882">
        <w:rPr>
          <w:rFonts w:ascii="Arial" w:hAnsi="Arial" w:cs="Times New Roman"/>
          <w:sz w:val="21"/>
          <w:u w:val="single"/>
        </w:rPr>
        <w:t>12</w:t>
      </w:r>
      <w:r w:rsidRPr="003F5882">
        <w:rPr>
          <w:rFonts w:ascii="Arial" w:hAnsi="Arial" w:cs="Times New Roman"/>
          <w:sz w:val="21"/>
          <w:u w:val="single"/>
        </w:rPr>
        <w:t>月</w:t>
      </w:r>
      <w:r w:rsidRPr="003F5882">
        <w:rPr>
          <w:rFonts w:ascii="Arial" w:hAnsi="Arial" w:cs="Times New Roman"/>
          <w:sz w:val="21"/>
          <w:u w:val="single"/>
        </w:rPr>
        <w:t>31</w:t>
      </w:r>
      <w:r w:rsidRPr="003F5882">
        <w:rPr>
          <w:rFonts w:ascii="Arial" w:hAnsi="Arial" w:cs="Times New Roman"/>
          <w:sz w:val="21"/>
          <w:u w:val="single"/>
        </w:rPr>
        <w:t>日雇员福利负债构成</w:t>
      </w:r>
    </w:p>
    <w:p w:rsidR="005A383E" w:rsidRPr="00F453AC" w:rsidRDefault="00D84912" w:rsidP="00D84912">
      <w:pPr>
        <w:spacing w:afterLines="50" w:after="120" w:line="340" w:lineRule="atLeast"/>
        <w:jc w:val="center"/>
        <w:rPr>
          <w:rFonts w:ascii="Arial" w:eastAsia="SimSun" w:hAnsi="Arial" w:cs="Times New Roman"/>
          <w:sz w:val="21"/>
          <w:szCs w:val="22"/>
        </w:rPr>
      </w:pPr>
      <w:r w:rsidRPr="00D84912">
        <w:rPr>
          <w:noProof/>
          <w:lang w:val="en-US" w:bidi="ar-SA"/>
        </w:rPr>
        <w:drawing>
          <wp:inline distT="0" distB="0" distL="0" distR="0">
            <wp:extent cx="5657215" cy="2456815"/>
            <wp:effectExtent l="0" t="0" r="635"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657215" cy="2456815"/>
                    </a:xfrm>
                    <a:prstGeom prst="rect">
                      <a:avLst/>
                    </a:prstGeom>
                    <a:noFill/>
                    <a:ln>
                      <a:noFill/>
                    </a:ln>
                  </pic:spPr>
                </pic:pic>
              </a:graphicData>
            </a:graphic>
          </wp:inline>
        </w:drawing>
      </w:r>
    </w:p>
    <w:p w:rsidR="005A383E" w:rsidRPr="00F453AC" w:rsidRDefault="005A383E"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ASHI</w:t>
      </w:r>
      <w:r w:rsidRPr="003F5882">
        <w:rPr>
          <w:rFonts w:ascii="Arial" w:hAnsi="Arial" w:cs="Times New Roman"/>
          <w:sz w:val="21"/>
        </w:rPr>
        <w:t>负债在过去六年间稳步增长，同时按照精算预</w:t>
      </w:r>
      <w:r w:rsidR="00D01893" w:rsidRPr="003F5882">
        <w:rPr>
          <w:rFonts w:ascii="Arial" w:hAnsi="Arial" w:cs="Times New Roman" w:hint="eastAsia"/>
          <w:sz w:val="21"/>
        </w:rPr>
        <w:t>测</w:t>
      </w:r>
      <w:r w:rsidRPr="003F5882">
        <w:rPr>
          <w:rFonts w:ascii="Arial" w:hAnsi="Arial" w:cs="Times New Roman"/>
          <w:sz w:val="21"/>
        </w:rPr>
        <w:t>，接下来预计将继续保持增长的势头。负债每年随着本期服务费用和利息成本而增加，且每年随着本组织支付的福利而减少。本期服务费用是本年度雇员服务产生的净影响。利息成本是每一位在职工作人员接近</w:t>
      </w:r>
      <w:r w:rsidRPr="003F5882">
        <w:rPr>
          <w:rFonts w:ascii="Arial" w:hAnsi="Arial" w:cs="Times New Roman"/>
          <w:sz w:val="21"/>
        </w:rPr>
        <w:t>ASHI</w:t>
      </w:r>
      <w:r w:rsidRPr="003F5882">
        <w:rPr>
          <w:rFonts w:ascii="Arial" w:hAnsi="Arial" w:cs="Times New Roman"/>
          <w:sz w:val="21"/>
        </w:rPr>
        <w:t>参与资格的年龄一年而产生的影响。本组织每年支付的福利是其每月为退休人员参加</w:t>
      </w:r>
      <w:r w:rsidRPr="003F5882">
        <w:rPr>
          <w:rFonts w:ascii="Arial" w:hAnsi="Arial" w:cs="Times New Roman"/>
          <w:sz w:val="21"/>
        </w:rPr>
        <w:t>ASHI</w:t>
      </w:r>
      <w:r w:rsidRPr="003F5882">
        <w:rPr>
          <w:rFonts w:ascii="Arial" w:hAnsi="Arial" w:cs="Times New Roman"/>
          <w:sz w:val="21"/>
        </w:rPr>
        <w:t>缴纳的款项</w:t>
      </w:r>
      <w:r w:rsidR="00F453AC" w:rsidRPr="003F5882">
        <w:rPr>
          <w:rFonts w:ascii="Arial" w:hAnsi="Arial" w:cs="Times New Roman"/>
          <w:sz w:val="21"/>
        </w:rPr>
        <w:t>（</w:t>
      </w:r>
      <w:r w:rsidRPr="003F5882">
        <w:rPr>
          <w:rFonts w:ascii="Arial" w:hAnsi="Arial" w:cs="Times New Roman"/>
          <w:sz w:val="21"/>
        </w:rPr>
        <w:t>目前是保费的</w:t>
      </w:r>
      <w:r w:rsidRPr="003F5882">
        <w:rPr>
          <w:rFonts w:ascii="Arial" w:hAnsi="Arial" w:cs="Times New Roman"/>
          <w:sz w:val="21"/>
        </w:rPr>
        <w:t>6</w:t>
      </w:r>
      <w:r w:rsidR="00D01893" w:rsidRPr="003F5882">
        <w:rPr>
          <w:rFonts w:ascii="Arial" w:hAnsi="Arial" w:cs="Times New Roman" w:hint="eastAsia"/>
          <w:sz w:val="21"/>
        </w:rPr>
        <w:t>5.</w:t>
      </w:r>
      <w:r w:rsidRPr="003F5882">
        <w:rPr>
          <w:rFonts w:ascii="Arial" w:hAnsi="Arial" w:cs="Times New Roman"/>
          <w:sz w:val="21"/>
        </w:rPr>
        <w:t>0%</w:t>
      </w:r>
      <w:r w:rsidR="00F453AC" w:rsidRPr="003F5882">
        <w:rPr>
          <w:rFonts w:ascii="Arial" w:hAnsi="Arial" w:cs="Times New Roman"/>
          <w:sz w:val="21"/>
        </w:rPr>
        <w:t>）</w:t>
      </w:r>
      <w:r w:rsidRPr="003F5882">
        <w:rPr>
          <w:rFonts w:ascii="Arial" w:hAnsi="Arial" w:cs="Times New Roman"/>
          <w:sz w:val="21"/>
        </w:rPr>
        <w:t>。因此，</w:t>
      </w:r>
      <w:r w:rsidRPr="003F5882">
        <w:rPr>
          <w:rFonts w:ascii="Arial" w:hAnsi="Arial" w:cs="Times New Roman"/>
          <w:sz w:val="21"/>
        </w:rPr>
        <w:t>WIPO</w:t>
      </w:r>
      <w:r w:rsidRPr="003F5882">
        <w:rPr>
          <w:rFonts w:ascii="Arial" w:hAnsi="Arial" w:cs="Times New Roman"/>
          <w:sz w:val="21"/>
        </w:rPr>
        <w:t>工作人员的人口统计概况，以及目前在职工作人员与退休人员的比例对负债变动产生重大影响。在这种情况下，应注意到</w:t>
      </w:r>
      <w:r w:rsidRPr="003F5882">
        <w:rPr>
          <w:rFonts w:ascii="Arial" w:hAnsi="Arial" w:cs="Times New Roman"/>
          <w:sz w:val="21"/>
        </w:rPr>
        <w:t>2014</w:t>
      </w:r>
      <w:r w:rsidRPr="003F5882">
        <w:rPr>
          <w:rFonts w:ascii="Arial" w:hAnsi="Arial" w:cs="Times New Roman"/>
          <w:sz w:val="21"/>
        </w:rPr>
        <w:t>年</w:t>
      </w:r>
      <w:r w:rsidRPr="003F5882">
        <w:rPr>
          <w:rFonts w:ascii="Arial" w:hAnsi="Arial" w:cs="Times New Roman"/>
          <w:sz w:val="21"/>
        </w:rPr>
        <w:t>1</w:t>
      </w:r>
      <w:r w:rsidRPr="003F5882">
        <w:rPr>
          <w:rFonts w:ascii="Arial" w:hAnsi="Arial" w:cs="Times New Roman"/>
          <w:sz w:val="21"/>
        </w:rPr>
        <w:t>月</w:t>
      </w:r>
      <w:r w:rsidRPr="003F5882">
        <w:rPr>
          <w:rFonts w:ascii="Arial" w:hAnsi="Arial" w:cs="Times New Roman"/>
          <w:sz w:val="21"/>
        </w:rPr>
        <w:t>1</w:t>
      </w:r>
      <w:r w:rsidRPr="003F5882">
        <w:rPr>
          <w:rFonts w:ascii="Arial" w:hAnsi="Arial" w:cs="Times New Roman"/>
          <w:sz w:val="21"/>
        </w:rPr>
        <w:t>日当天或之后任命生效的工作人员退休年龄</w:t>
      </w:r>
      <w:r w:rsidR="00D01893" w:rsidRPr="003F5882">
        <w:rPr>
          <w:rFonts w:ascii="Arial" w:hAnsi="Arial" w:cs="Times New Roman" w:hint="eastAsia"/>
          <w:sz w:val="21"/>
        </w:rPr>
        <w:t>最近的</w:t>
      </w:r>
      <w:r w:rsidRPr="003F5882">
        <w:rPr>
          <w:rFonts w:ascii="Arial" w:hAnsi="Arial" w:cs="Times New Roman"/>
          <w:sz w:val="21"/>
        </w:rPr>
        <w:t>变化。对于这些工作人员来说，其退休年龄</w:t>
      </w:r>
      <w:r w:rsidR="00D01893" w:rsidRPr="003F5882">
        <w:rPr>
          <w:rFonts w:ascii="Arial" w:hAnsi="Arial" w:cs="Times New Roman" w:hint="eastAsia"/>
          <w:sz w:val="21"/>
        </w:rPr>
        <w:t>已经提高至</w:t>
      </w:r>
      <w:r w:rsidR="00D01893" w:rsidRPr="003F5882">
        <w:rPr>
          <w:rFonts w:ascii="Arial" w:hAnsi="Arial" w:cs="Times New Roman" w:hint="eastAsia"/>
          <w:sz w:val="21"/>
        </w:rPr>
        <w:t>65</w:t>
      </w:r>
      <w:r w:rsidR="00D01893" w:rsidRPr="003F5882">
        <w:rPr>
          <w:rFonts w:ascii="Arial" w:hAnsi="Arial" w:cs="Times New Roman" w:hint="eastAsia"/>
          <w:sz w:val="21"/>
        </w:rPr>
        <w:t>岁，而</w:t>
      </w:r>
      <w:r w:rsidRPr="003F5882">
        <w:rPr>
          <w:rFonts w:ascii="Arial" w:hAnsi="Arial" w:cs="Times New Roman"/>
          <w:sz w:val="21"/>
        </w:rPr>
        <w:t>1990</w:t>
      </w:r>
      <w:r w:rsidRPr="003F5882">
        <w:rPr>
          <w:rFonts w:ascii="Arial" w:hAnsi="Arial" w:cs="Times New Roman"/>
          <w:sz w:val="21"/>
        </w:rPr>
        <w:t>年</w:t>
      </w:r>
      <w:r w:rsidRPr="003F5882">
        <w:rPr>
          <w:rFonts w:ascii="Arial" w:hAnsi="Arial" w:cs="Times New Roman"/>
          <w:sz w:val="21"/>
        </w:rPr>
        <w:t>11</w:t>
      </w:r>
      <w:r w:rsidRPr="003F5882">
        <w:rPr>
          <w:rFonts w:ascii="Arial" w:hAnsi="Arial" w:cs="Times New Roman"/>
          <w:sz w:val="21"/>
        </w:rPr>
        <w:t>月</w:t>
      </w:r>
      <w:r w:rsidRPr="003F5882">
        <w:rPr>
          <w:rFonts w:ascii="Arial" w:hAnsi="Arial" w:cs="Times New Roman"/>
          <w:sz w:val="21"/>
        </w:rPr>
        <w:t>1</w:t>
      </w:r>
      <w:r w:rsidRPr="003F5882">
        <w:rPr>
          <w:rFonts w:ascii="Arial" w:hAnsi="Arial" w:cs="Times New Roman"/>
          <w:sz w:val="21"/>
        </w:rPr>
        <w:t>日当天或之后</w:t>
      </w:r>
      <w:r w:rsidR="00D01893" w:rsidRPr="003F5882">
        <w:rPr>
          <w:rFonts w:ascii="Arial" w:hAnsi="Arial" w:cs="Times New Roman" w:hint="eastAsia"/>
          <w:sz w:val="21"/>
        </w:rPr>
        <w:t>、</w:t>
      </w:r>
      <w:r w:rsidRPr="003F5882">
        <w:rPr>
          <w:rFonts w:ascii="Arial" w:hAnsi="Arial" w:cs="Times New Roman"/>
          <w:sz w:val="21"/>
        </w:rPr>
        <w:t>2014</w:t>
      </w:r>
      <w:r w:rsidRPr="003F5882">
        <w:rPr>
          <w:rFonts w:ascii="Arial" w:hAnsi="Arial" w:cs="Times New Roman"/>
          <w:sz w:val="21"/>
        </w:rPr>
        <w:t>年</w:t>
      </w:r>
      <w:r w:rsidRPr="003F5882">
        <w:rPr>
          <w:rFonts w:ascii="Arial" w:hAnsi="Arial" w:cs="Times New Roman"/>
          <w:sz w:val="21"/>
        </w:rPr>
        <w:t>1</w:t>
      </w:r>
      <w:r w:rsidRPr="003F5882">
        <w:rPr>
          <w:rFonts w:ascii="Arial" w:hAnsi="Arial" w:cs="Times New Roman"/>
          <w:sz w:val="21"/>
        </w:rPr>
        <w:t>月</w:t>
      </w:r>
      <w:r w:rsidRPr="003F5882">
        <w:rPr>
          <w:rFonts w:ascii="Arial" w:hAnsi="Arial" w:cs="Times New Roman"/>
          <w:sz w:val="21"/>
        </w:rPr>
        <w:t>1</w:t>
      </w:r>
      <w:r w:rsidRPr="003F5882">
        <w:rPr>
          <w:rFonts w:ascii="Arial" w:hAnsi="Arial" w:cs="Times New Roman"/>
          <w:sz w:val="21"/>
        </w:rPr>
        <w:t>日以前任命生效的工作人员</w:t>
      </w:r>
      <w:r w:rsidR="00383E7F" w:rsidRPr="003F5882">
        <w:rPr>
          <w:rFonts w:ascii="Arial" w:hAnsi="Arial" w:cs="Times New Roman" w:hint="eastAsia"/>
          <w:sz w:val="21"/>
        </w:rPr>
        <w:t>则为</w:t>
      </w:r>
      <w:r w:rsidRPr="003F5882">
        <w:rPr>
          <w:rFonts w:ascii="Arial" w:hAnsi="Arial" w:cs="Times New Roman"/>
          <w:sz w:val="21"/>
        </w:rPr>
        <w:t>62</w:t>
      </w:r>
      <w:r w:rsidRPr="003F5882">
        <w:rPr>
          <w:rFonts w:ascii="Arial" w:hAnsi="Arial" w:cs="Times New Roman"/>
          <w:sz w:val="21"/>
        </w:rPr>
        <w:t>岁。</w:t>
      </w:r>
    </w:p>
    <w:p w:rsidR="005A383E" w:rsidRPr="00F453AC" w:rsidRDefault="005A383E" w:rsidP="003F5882">
      <w:pPr>
        <w:keepNext/>
        <w:spacing w:afterLines="50" w:after="120" w:line="340" w:lineRule="atLeast"/>
        <w:jc w:val="center"/>
        <w:rPr>
          <w:rFonts w:ascii="Arial" w:eastAsia="SimSun" w:hAnsi="Arial" w:cs="Times New Roman"/>
          <w:sz w:val="21"/>
          <w:szCs w:val="22"/>
          <w:u w:val="single"/>
        </w:rPr>
      </w:pPr>
      <w:r w:rsidRPr="003F5882">
        <w:rPr>
          <w:rFonts w:ascii="Arial" w:hAnsi="Arial" w:cs="Times New Roman"/>
          <w:sz w:val="21"/>
          <w:u w:val="single"/>
        </w:rPr>
        <w:t>2009</w:t>
      </w:r>
      <w:r w:rsidRPr="003F5882">
        <w:rPr>
          <w:rFonts w:ascii="Arial" w:hAnsi="Arial" w:cs="Times New Roman"/>
          <w:sz w:val="21"/>
          <w:u w:val="single"/>
        </w:rPr>
        <w:t>年至</w:t>
      </w:r>
      <w:r w:rsidRPr="003F5882">
        <w:rPr>
          <w:rFonts w:ascii="Arial" w:hAnsi="Arial" w:cs="Times New Roman"/>
          <w:sz w:val="21"/>
          <w:u w:val="single"/>
        </w:rPr>
        <w:t>2018</w:t>
      </w:r>
      <w:r w:rsidRPr="003F5882">
        <w:rPr>
          <w:rFonts w:ascii="Arial" w:hAnsi="Arial" w:cs="Times New Roman"/>
          <w:sz w:val="21"/>
          <w:u w:val="single"/>
        </w:rPr>
        <w:t>年</w:t>
      </w:r>
      <w:r w:rsidRPr="003F5882">
        <w:rPr>
          <w:rFonts w:ascii="Arial" w:hAnsi="Arial" w:cs="Times New Roman"/>
          <w:sz w:val="21"/>
          <w:u w:val="single"/>
        </w:rPr>
        <w:t>ASHI</w:t>
      </w:r>
      <w:r w:rsidRPr="003F5882">
        <w:rPr>
          <w:rFonts w:ascii="Arial" w:hAnsi="Arial" w:cs="Times New Roman"/>
          <w:sz w:val="21"/>
          <w:u w:val="single"/>
        </w:rPr>
        <w:t>负债变动</w:t>
      </w:r>
    </w:p>
    <w:p w:rsidR="005A383E" w:rsidRPr="00F453AC" w:rsidRDefault="00D84912" w:rsidP="00D84912">
      <w:pPr>
        <w:spacing w:afterLines="50" w:after="120" w:line="340" w:lineRule="atLeast"/>
        <w:jc w:val="center"/>
        <w:rPr>
          <w:rFonts w:ascii="Arial" w:eastAsia="SimSun" w:hAnsi="Arial" w:cs="Times New Roman"/>
        </w:rPr>
      </w:pPr>
      <w:r w:rsidRPr="00D84912">
        <w:rPr>
          <w:noProof/>
          <w:lang w:val="en-US" w:bidi="ar-SA"/>
        </w:rPr>
        <w:drawing>
          <wp:inline distT="0" distB="0" distL="0" distR="0">
            <wp:extent cx="4994910" cy="2825115"/>
            <wp:effectExtent l="0" t="0" r="0"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994910" cy="2825115"/>
                    </a:xfrm>
                    <a:prstGeom prst="rect">
                      <a:avLst/>
                    </a:prstGeom>
                    <a:noFill/>
                    <a:ln>
                      <a:noFill/>
                    </a:ln>
                  </pic:spPr>
                </pic:pic>
              </a:graphicData>
            </a:graphic>
          </wp:inline>
        </w:drawing>
      </w:r>
    </w:p>
    <w:p w:rsidR="005A383E" w:rsidRPr="00F453AC" w:rsidRDefault="005A383E"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独立精算师的计算还包括</w:t>
      </w:r>
      <w:r w:rsidR="0084216B" w:rsidRPr="003F5882">
        <w:rPr>
          <w:rFonts w:ascii="Arial" w:hAnsi="Arial" w:cs="Times New Roman" w:hint="eastAsia"/>
          <w:sz w:val="21"/>
        </w:rPr>
        <w:t>一些</w:t>
      </w:r>
      <w:r w:rsidRPr="003F5882">
        <w:rPr>
          <w:rFonts w:ascii="Arial" w:hAnsi="Arial" w:cs="Times New Roman"/>
          <w:sz w:val="21"/>
        </w:rPr>
        <w:t>精算假设，包括贴现率、医疗费</w:t>
      </w:r>
      <w:proofErr w:type="gramStart"/>
      <w:r w:rsidRPr="003F5882">
        <w:rPr>
          <w:rFonts w:ascii="Arial" w:hAnsi="Arial" w:cs="Times New Roman"/>
          <w:sz w:val="21"/>
        </w:rPr>
        <w:t>用趋势率</w:t>
      </w:r>
      <w:proofErr w:type="gramEnd"/>
      <w:r w:rsidRPr="003F5882">
        <w:rPr>
          <w:rFonts w:ascii="Arial" w:hAnsi="Arial" w:cs="Times New Roman"/>
          <w:sz w:val="21"/>
        </w:rPr>
        <w:t>、员工流动率和死亡率。这些假设的同比变动导致精算</w:t>
      </w:r>
      <w:r w:rsidR="0084216B" w:rsidRPr="003F5882">
        <w:rPr>
          <w:rFonts w:ascii="Arial" w:hAnsi="Arial" w:cs="Times New Roman" w:hint="eastAsia"/>
          <w:sz w:val="21"/>
        </w:rPr>
        <w:t>盈余和亏损</w:t>
      </w:r>
      <w:r w:rsidRPr="003F5882">
        <w:rPr>
          <w:rFonts w:ascii="Arial" w:hAnsi="Arial" w:cs="Times New Roman"/>
          <w:sz w:val="21"/>
        </w:rPr>
        <w:t>。根据</w:t>
      </w:r>
      <w:r w:rsidRPr="003F5882">
        <w:rPr>
          <w:rFonts w:ascii="Arial" w:hAnsi="Arial" w:cs="Times New Roman"/>
          <w:sz w:val="21"/>
        </w:rPr>
        <w:t>IPSAS</w:t>
      </w:r>
      <w:r w:rsidRPr="003F5882">
        <w:rPr>
          <w:rFonts w:ascii="Arial" w:hAnsi="Arial" w:cs="Times New Roman"/>
          <w:sz w:val="21"/>
        </w:rPr>
        <w:t>，</w:t>
      </w:r>
      <w:r w:rsidRPr="003F5882">
        <w:rPr>
          <w:rFonts w:ascii="Arial" w:hAnsi="Arial" w:cs="Times New Roman"/>
          <w:sz w:val="21"/>
        </w:rPr>
        <w:t>WIPO</w:t>
      </w:r>
      <w:r w:rsidRPr="003F5882">
        <w:rPr>
          <w:rFonts w:ascii="Arial" w:hAnsi="Arial" w:cs="Times New Roman"/>
          <w:sz w:val="21"/>
        </w:rPr>
        <w:t>采用居间法对这些精算</w:t>
      </w:r>
      <w:r w:rsidR="0084216B" w:rsidRPr="003F5882">
        <w:rPr>
          <w:rFonts w:ascii="Arial" w:hAnsi="Arial" w:cs="Times New Roman" w:hint="eastAsia"/>
          <w:sz w:val="21"/>
        </w:rPr>
        <w:t>盈余和亏损</w:t>
      </w:r>
      <w:r w:rsidRPr="003F5882">
        <w:rPr>
          <w:rFonts w:ascii="Arial" w:hAnsi="Arial" w:cs="Times New Roman"/>
          <w:sz w:val="21"/>
        </w:rPr>
        <w:t>进行会计处理，这意味着他们没有立即在财务报表中予以</w:t>
      </w:r>
      <w:r w:rsidR="0084216B" w:rsidRPr="003F5882">
        <w:rPr>
          <w:rFonts w:ascii="Arial" w:hAnsi="Arial" w:cs="Times New Roman" w:hint="eastAsia"/>
          <w:sz w:val="21"/>
        </w:rPr>
        <w:t>认定</w:t>
      </w:r>
      <w:r w:rsidRPr="003F5882">
        <w:rPr>
          <w:rFonts w:ascii="Arial" w:hAnsi="Arial" w:cs="Times New Roman"/>
          <w:sz w:val="21"/>
        </w:rPr>
        <w:t>。应该注意的是</w:t>
      </w:r>
      <w:r w:rsidR="0084216B" w:rsidRPr="003F5882">
        <w:rPr>
          <w:rFonts w:ascii="Arial" w:hAnsi="Arial" w:cs="Times New Roman" w:hint="eastAsia"/>
          <w:sz w:val="21"/>
        </w:rPr>
        <w:t>，</w:t>
      </w:r>
      <w:r w:rsidR="00E04F07" w:rsidRPr="003F5882">
        <w:rPr>
          <w:rFonts w:ascii="Arial" w:hAnsi="Arial" w:cs="Times New Roman" w:hint="eastAsia"/>
          <w:sz w:val="21"/>
        </w:rPr>
        <w:t>《</w:t>
      </w:r>
      <w:r w:rsidRPr="003F5882">
        <w:rPr>
          <w:rFonts w:ascii="Arial" w:hAnsi="Arial" w:cs="Times New Roman"/>
          <w:sz w:val="21"/>
        </w:rPr>
        <w:t>国际财务报告准则</w:t>
      </w:r>
      <w:r w:rsidR="00E04F07" w:rsidRPr="003F5882">
        <w:rPr>
          <w:rFonts w:ascii="Arial" w:hAnsi="Arial" w:cs="Times New Roman" w:hint="eastAsia"/>
          <w:sz w:val="21"/>
        </w:rPr>
        <w:t>》</w:t>
      </w:r>
      <w:r w:rsidR="00F453AC" w:rsidRPr="003F5882">
        <w:rPr>
          <w:rFonts w:ascii="Arial" w:hAnsi="Arial" w:cs="Times New Roman"/>
          <w:sz w:val="21"/>
        </w:rPr>
        <w:t>（</w:t>
      </w:r>
      <w:r w:rsidRPr="003F5882">
        <w:rPr>
          <w:rFonts w:ascii="Arial" w:hAnsi="Arial" w:cs="Times New Roman"/>
          <w:sz w:val="21"/>
        </w:rPr>
        <w:t>IFRS</w:t>
      </w:r>
      <w:r w:rsidR="00F453AC" w:rsidRPr="003F5882">
        <w:rPr>
          <w:rFonts w:ascii="Arial" w:hAnsi="Arial" w:cs="Times New Roman"/>
          <w:sz w:val="21"/>
        </w:rPr>
        <w:t>）</w:t>
      </w:r>
      <w:r w:rsidRPr="003F5882">
        <w:rPr>
          <w:rFonts w:ascii="Arial" w:hAnsi="Arial" w:cs="Times New Roman"/>
          <w:sz w:val="21"/>
        </w:rPr>
        <w:t>如今已经淘汰了用居间法来递延</w:t>
      </w:r>
      <w:r w:rsidR="0084216B" w:rsidRPr="003F5882">
        <w:rPr>
          <w:rFonts w:ascii="Arial" w:hAnsi="Arial" w:cs="Times New Roman" w:hint="eastAsia"/>
          <w:sz w:val="21"/>
        </w:rPr>
        <w:t>认定</w:t>
      </w:r>
      <w:r w:rsidRPr="003F5882">
        <w:rPr>
          <w:rFonts w:ascii="Arial" w:hAnsi="Arial" w:cs="Times New Roman"/>
          <w:sz w:val="21"/>
        </w:rPr>
        <w:t>精算</w:t>
      </w:r>
      <w:r w:rsidR="0084216B" w:rsidRPr="003F5882">
        <w:rPr>
          <w:rFonts w:ascii="Arial" w:hAnsi="Arial" w:cs="Times New Roman" w:hint="eastAsia"/>
          <w:sz w:val="21"/>
        </w:rPr>
        <w:t>盈余和亏损</w:t>
      </w:r>
      <w:r w:rsidRPr="003F5882">
        <w:rPr>
          <w:rFonts w:ascii="Arial" w:hAnsi="Arial" w:cs="Times New Roman"/>
          <w:sz w:val="21"/>
        </w:rPr>
        <w:t>。如果</w:t>
      </w:r>
      <w:r w:rsidRPr="003F5882">
        <w:rPr>
          <w:rFonts w:ascii="Arial" w:hAnsi="Arial" w:cs="Times New Roman"/>
          <w:sz w:val="21"/>
        </w:rPr>
        <w:t>IPSAS</w:t>
      </w:r>
      <w:r w:rsidRPr="003F5882">
        <w:rPr>
          <w:rFonts w:ascii="Arial" w:hAnsi="Arial" w:cs="Times New Roman"/>
          <w:sz w:val="21"/>
        </w:rPr>
        <w:t>标准遵守</w:t>
      </w:r>
      <w:r w:rsidRPr="003F5882">
        <w:rPr>
          <w:rFonts w:ascii="Arial" w:hAnsi="Arial" w:cs="Times New Roman"/>
          <w:sz w:val="21"/>
        </w:rPr>
        <w:t>IFRS</w:t>
      </w:r>
      <w:r w:rsidRPr="003F5882">
        <w:rPr>
          <w:rFonts w:ascii="Arial" w:hAnsi="Arial" w:cs="Times New Roman"/>
          <w:sz w:val="21"/>
        </w:rPr>
        <w:t>的这一变更，这</w:t>
      </w:r>
      <w:r w:rsidR="0084216B" w:rsidRPr="003F5882">
        <w:rPr>
          <w:rFonts w:ascii="Arial" w:hAnsi="Arial" w:cs="Times New Roman" w:hint="eastAsia"/>
          <w:sz w:val="21"/>
        </w:rPr>
        <w:t>可能</w:t>
      </w:r>
      <w:r w:rsidRPr="003F5882">
        <w:rPr>
          <w:rFonts w:ascii="Arial" w:hAnsi="Arial" w:cs="Times New Roman"/>
          <w:sz w:val="21"/>
        </w:rPr>
        <w:lastRenderedPageBreak/>
        <w:t>会引发财务状况表确认的</w:t>
      </w:r>
      <w:r w:rsidRPr="003F5882">
        <w:rPr>
          <w:rFonts w:ascii="Arial" w:hAnsi="Arial" w:cs="Times New Roman"/>
          <w:sz w:val="21"/>
        </w:rPr>
        <w:t>ASHI</w:t>
      </w:r>
      <w:r w:rsidRPr="003F5882">
        <w:rPr>
          <w:rFonts w:ascii="Arial" w:hAnsi="Arial" w:cs="Times New Roman"/>
          <w:sz w:val="21"/>
        </w:rPr>
        <w:t>负债出现更大幅的波动。截至</w:t>
      </w:r>
      <w:r w:rsidRPr="003F5882">
        <w:rPr>
          <w:rFonts w:ascii="Arial" w:hAnsi="Arial" w:cs="Times New Roman"/>
          <w:sz w:val="21"/>
        </w:rPr>
        <w:t>2014</w:t>
      </w:r>
      <w:r w:rsidRPr="003F5882">
        <w:rPr>
          <w:rFonts w:ascii="Arial" w:hAnsi="Arial" w:cs="Times New Roman"/>
          <w:sz w:val="21"/>
        </w:rPr>
        <w:t>年</w:t>
      </w:r>
      <w:r w:rsidRPr="003F5882">
        <w:rPr>
          <w:rFonts w:ascii="Arial" w:hAnsi="Arial" w:cs="Times New Roman"/>
          <w:sz w:val="21"/>
        </w:rPr>
        <w:t>12</w:t>
      </w:r>
      <w:r w:rsidRPr="003F5882">
        <w:rPr>
          <w:rFonts w:ascii="Arial" w:hAnsi="Arial" w:cs="Times New Roman"/>
          <w:sz w:val="21"/>
        </w:rPr>
        <w:t>月</w:t>
      </w:r>
      <w:r w:rsidRPr="003F5882">
        <w:rPr>
          <w:rFonts w:ascii="Arial" w:hAnsi="Arial" w:cs="Times New Roman"/>
          <w:sz w:val="21"/>
        </w:rPr>
        <w:t>31</w:t>
      </w:r>
      <w:r w:rsidRPr="003F5882">
        <w:rPr>
          <w:rFonts w:ascii="Arial" w:hAnsi="Arial" w:cs="Times New Roman"/>
          <w:sz w:val="21"/>
        </w:rPr>
        <w:t>日，</w:t>
      </w:r>
      <w:r w:rsidRPr="003F5882">
        <w:rPr>
          <w:rFonts w:ascii="Arial" w:hAnsi="Arial" w:cs="Times New Roman"/>
          <w:sz w:val="21"/>
        </w:rPr>
        <w:t>WIPO</w:t>
      </w:r>
      <w:r w:rsidRPr="003F5882">
        <w:rPr>
          <w:rFonts w:ascii="Arial" w:hAnsi="Arial" w:cs="Times New Roman"/>
          <w:sz w:val="21"/>
        </w:rPr>
        <w:t>与</w:t>
      </w:r>
      <w:r w:rsidRPr="003F5882">
        <w:rPr>
          <w:rFonts w:ascii="Arial" w:hAnsi="Arial" w:cs="Times New Roman"/>
          <w:sz w:val="21"/>
        </w:rPr>
        <w:t>ASHI</w:t>
      </w:r>
      <w:r w:rsidRPr="003F5882">
        <w:rPr>
          <w:rFonts w:ascii="Arial" w:hAnsi="Arial" w:cs="Times New Roman"/>
          <w:sz w:val="21"/>
        </w:rPr>
        <w:t>相关的累计未</w:t>
      </w:r>
      <w:r w:rsidR="0084216B" w:rsidRPr="003F5882">
        <w:rPr>
          <w:rFonts w:ascii="Arial" w:hAnsi="Arial" w:cs="Times New Roman" w:hint="eastAsia"/>
          <w:sz w:val="21"/>
        </w:rPr>
        <w:t>认定</w:t>
      </w:r>
      <w:r w:rsidRPr="003F5882">
        <w:rPr>
          <w:rFonts w:ascii="Arial" w:hAnsi="Arial" w:cs="Times New Roman"/>
          <w:sz w:val="21"/>
        </w:rPr>
        <w:t>精算</w:t>
      </w:r>
      <w:r w:rsidR="0084216B" w:rsidRPr="003F5882">
        <w:rPr>
          <w:rFonts w:ascii="Arial" w:hAnsi="Arial" w:cs="Times New Roman" w:hint="eastAsia"/>
          <w:sz w:val="21"/>
        </w:rPr>
        <w:t>亏损</w:t>
      </w:r>
      <w:r w:rsidRPr="003F5882">
        <w:rPr>
          <w:rFonts w:ascii="Arial" w:hAnsi="Arial" w:cs="Times New Roman"/>
          <w:sz w:val="21"/>
        </w:rPr>
        <w:t>总额为</w:t>
      </w:r>
      <w:r w:rsidRPr="003F5882">
        <w:rPr>
          <w:rFonts w:ascii="Arial" w:hAnsi="Arial" w:cs="Times New Roman"/>
          <w:sz w:val="21"/>
        </w:rPr>
        <w:t>2,660</w:t>
      </w:r>
      <w:r w:rsidRPr="003F5882">
        <w:rPr>
          <w:rFonts w:ascii="Arial" w:hAnsi="Arial" w:cs="Times New Roman"/>
          <w:sz w:val="21"/>
        </w:rPr>
        <w:t>万瑞郎。</w:t>
      </w:r>
    </w:p>
    <w:p w:rsidR="005A383E" w:rsidRPr="00F453AC" w:rsidRDefault="005A383E" w:rsidP="00F04843">
      <w:pPr>
        <w:numPr>
          <w:ilvl w:val="0"/>
          <w:numId w:val="1"/>
        </w:numPr>
        <w:tabs>
          <w:tab w:val="clear" w:pos="567"/>
        </w:tabs>
        <w:overflowPunct w:val="0"/>
        <w:spacing w:afterLines="50" w:after="120" w:line="340" w:lineRule="atLeast"/>
        <w:jc w:val="both"/>
        <w:rPr>
          <w:rFonts w:ascii="Arial" w:eastAsia="SimSun" w:hAnsi="Arial" w:cs="Times New Roman"/>
          <w:sz w:val="21"/>
          <w:szCs w:val="22"/>
        </w:rPr>
      </w:pPr>
      <w:r w:rsidRPr="003F5882">
        <w:rPr>
          <w:rFonts w:ascii="Arial" w:hAnsi="Arial" w:cs="Times New Roman"/>
          <w:sz w:val="21"/>
        </w:rPr>
        <w:t>借款为国际组织不动产基金会</w:t>
      </w:r>
      <w:r w:rsidR="00F453AC" w:rsidRPr="003F5882">
        <w:rPr>
          <w:rFonts w:ascii="Arial" w:hAnsi="Arial" w:cs="Times New Roman"/>
          <w:sz w:val="21"/>
        </w:rPr>
        <w:t>（</w:t>
      </w:r>
      <w:r w:rsidRPr="003F5882">
        <w:rPr>
          <w:rFonts w:ascii="Arial" w:hAnsi="Arial" w:cs="Times New Roman"/>
          <w:sz w:val="21"/>
        </w:rPr>
        <w:t>FIPOI</w:t>
      </w:r>
      <w:r w:rsidR="00F453AC" w:rsidRPr="003F5882">
        <w:rPr>
          <w:rFonts w:ascii="Arial" w:hAnsi="Arial" w:cs="Times New Roman"/>
          <w:sz w:val="21"/>
        </w:rPr>
        <w:t>）</w:t>
      </w:r>
      <w:r w:rsidRPr="003F5882">
        <w:rPr>
          <w:rFonts w:ascii="Arial" w:hAnsi="Arial" w:cs="Times New Roman"/>
          <w:sz w:val="21"/>
        </w:rPr>
        <w:t>的贷款</w:t>
      </w:r>
      <w:r w:rsidR="00F453AC" w:rsidRPr="003F5882">
        <w:rPr>
          <w:rFonts w:ascii="Arial" w:hAnsi="Arial" w:cs="Times New Roman" w:hint="eastAsia"/>
          <w:sz w:val="21"/>
        </w:rPr>
        <w:t>（</w:t>
      </w:r>
      <w:r w:rsidRPr="003F5882">
        <w:rPr>
          <w:rFonts w:ascii="Arial" w:hAnsi="Arial" w:cs="Times New Roman"/>
          <w:sz w:val="21"/>
        </w:rPr>
        <w:t>2,090</w:t>
      </w:r>
      <w:proofErr w:type="gramStart"/>
      <w:r w:rsidRPr="003F5882">
        <w:rPr>
          <w:rFonts w:ascii="Arial" w:hAnsi="Arial" w:cs="Times New Roman"/>
          <w:sz w:val="21"/>
        </w:rPr>
        <w:t>万瑞</w:t>
      </w:r>
      <w:proofErr w:type="gramEnd"/>
      <w:r w:rsidRPr="003F5882">
        <w:rPr>
          <w:rFonts w:ascii="Arial" w:hAnsi="Arial" w:cs="Times New Roman"/>
          <w:sz w:val="21"/>
        </w:rPr>
        <w:t>郎</w:t>
      </w:r>
      <w:r w:rsidR="00F453AC" w:rsidRPr="003F5882">
        <w:rPr>
          <w:rFonts w:ascii="Arial" w:hAnsi="Arial" w:cs="Times New Roman" w:hint="eastAsia"/>
          <w:sz w:val="21"/>
        </w:rPr>
        <w:t>）</w:t>
      </w:r>
      <w:r w:rsidRPr="003F5882">
        <w:rPr>
          <w:rFonts w:ascii="Arial" w:hAnsi="Arial" w:cs="Times New Roman"/>
          <w:sz w:val="21"/>
        </w:rPr>
        <w:t>和日内瓦州立银行和</w:t>
      </w:r>
      <w:proofErr w:type="gramStart"/>
      <w:r w:rsidRPr="003F5882">
        <w:rPr>
          <w:rFonts w:ascii="Arial" w:hAnsi="Arial" w:cs="Times New Roman"/>
          <w:sz w:val="21"/>
        </w:rPr>
        <w:t>沃州</w:t>
      </w:r>
      <w:proofErr w:type="gramEnd"/>
      <w:r w:rsidRPr="003F5882">
        <w:rPr>
          <w:rFonts w:ascii="Arial" w:hAnsi="Arial" w:cs="Times New Roman"/>
          <w:sz w:val="21"/>
        </w:rPr>
        <w:t>州立银行</w:t>
      </w:r>
      <w:r w:rsidR="00F453AC" w:rsidRPr="003F5882">
        <w:rPr>
          <w:rFonts w:ascii="Arial" w:hAnsi="Arial" w:cs="Times New Roman"/>
          <w:sz w:val="21"/>
        </w:rPr>
        <w:t>（</w:t>
      </w:r>
      <w:r w:rsidRPr="003F5882">
        <w:rPr>
          <w:rFonts w:ascii="Arial" w:hAnsi="Arial" w:cs="Times New Roman"/>
          <w:sz w:val="21"/>
        </w:rPr>
        <w:t>BCG/BCV</w:t>
      </w:r>
      <w:r w:rsidR="00F453AC" w:rsidRPr="003F5882">
        <w:rPr>
          <w:rFonts w:ascii="Arial" w:hAnsi="Arial" w:cs="Times New Roman"/>
          <w:sz w:val="21"/>
        </w:rPr>
        <w:t>）</w:t>
      </w:r>
      <w:r w:rsidRPr="003F5882">
        <w:rPr>
          <w:rFonts w:ascii="Arial" w:hAnsi="Arial" w:cs="Times New Roman"/>
          <w:sz w:val="21"/>
        </w:rPr>
        <w:t>新办公楼贷款</w:t>
      </w:r>
      <w:r w:rsidR="00F453AC" w:rsidRPr="003F5882">
        <w:rPr>
          <w:rFonts w:ascii="Arial" w:hAnsi="Arial" w:cs="Times New Roman" w:hint="eastAsia"/>
          <w:sz w:val="21"/>
        </w:rPr>
        <w:t>（</w:t>
      </w:r>
      <w:r w:rsidRPr="003F5882">
        <w:rPr>
          <w:rFonts w:ascii="Arial" w:hAnsi="Arial" w:cs="Times New Roman"/>
          <w:sz w:val="21"/>
        </w:rPr>
        <w:t>1.183</w:t>
      </w:r>
      <w:r w:rsidRPr="003F5882">
        <w:rPr>
          <w:rFonts w:ascii="Arial" w:hAnsi="Arial" w:cs="Times New Roman"/>
          <w:sz w:val="21"/>
        </w:rPr>
        <w:t>亿瑞郎</w:t>
      </w:r>
      <w:r w:rsidR="00F453AC" w:rsidRPr="003F5882">
        <w:rPr>
          <w:rFonts w:ascii="Arial" w:hAnsi="Arial" w:cs="Times New Roman" w:hint="eastAsia"/>
          <w:sz w:val="21"/>
        </w:rPr>
        <w:t>）</w:t>
      </w:r>
      <w:r w:rsidRPr="003F5882">
        <w:rPr>
          <w:rFonts w:ascii="Arial" w:hAnsi="Arial" w:cs="Times New Roman"/>
          <w:sz w:val="21"/>
        </w:rPr>
        <w:t>。这些贷款本金</w:t>
      </w:r>
      <w:r w:rsidRPr="003F5882">
        <w:rPr>
          <w:rFonts w:ascii="Arial" w:hAnsi="Arial" w:cs="Times New Roman"/>
          <w:sz w:val="21"/>
        </w:rPr>
        <w:t>2014</w:t>
      </w:r>
      <w:r w:rsidRPr="003F5882">
        <w:rPr>
          <w:rFonts w:ascii="Arial" w:hAnsi="Arial" w:cs="Times New Roman"/>
          <w:sz w:val="21"/>
        </w:rPr>
        <w:t>年还款总额为</w:t>
      </w:r>
      <w:r w:rsidRPr="003F5882">
        <w:rPr>
          <w:rFonts w:ascii="Arial" w:hAnsi="Arial" w:cs="Times New Roman"/>
          <w:sz w:val="21"/>
        </w:rPr>
        <w:t>530</w:t>
      </w:r>
      <w:proofErr w:type="gramStart"/>
      <w:r w:rsidRPr="003F5882">
        <w:rPr>
          <w:rFonts w:ascii="Arial" w:hAnsi="Arial" w:cs="Times New Roman"/>
          <w:sz w:val="21"/>
        </w:rPr>
        <w:t>万瑞</w:t>
      </w:r>
      <w:proofErr w:type="gramEnd"/>
      <w:r w:rsidRPr="003F5882">
        <w:rPr>
          <w:rFonts w:ascii="Arial" w:hAnsi="Arial" w:cs="Times New Roman"/>
          <w:sz w:val="21"/>
        </w:rPr>
        <w:t>郎。本组织将于</w:t>
      </w:r>
      <w:r w:rsidRPr="003F5882">
        <w:rPr>
          <w:rFonts w:ascii="Arial" w:hAnsi="Arial" w:cs="Times New Roman"/>
          <w:sz w:val="21"/>
        </w:rPr>
        <w:t>2015</w:t>
      </w:r>
      <w:r w:rsidRPr="003F5882">
        <w:rPr>
          <w:rFonts w:ascii="Arial" w:hAnsi="Arial" w:cs="Times New Roman"/>
          <w:sz w:val="21"/>
        </w:rPr>
        <w:t>年</w:t>
      </w:r>
      <w:r w:rsidRPr="003F5882">
        <w:rPr>
          <w:rFonts w:ascii="Arial" w:hAnsi="Arial" w:cs="Times New Roman"/>
          <w:sz w:val="21"/>
        </w:rPr>
        <w:t>11</w:t>
      </w:r>
      <w:r w:rsidRPr="003F5882">
        <w:rPr>
          <w:rFonts w:ascii="Arial" w:hAnsi="Arial" w:cs="Times New Roman"/>
          <w:sz w:val="21"/>
        </w:rPr>
        <w:t>月进行第一期一次性偿还</w:t>
      </w:r>
      <w:r w:rsidRPr="003F5882">
        <w:rPr>
          <w:rFonts w:ascii="Arial" w:hAnsi="Arial" w:cs="Times New Roman"/>
          <w:sz w:val="21"/>
        </w:rPr>
        <w:t>BCG/BCV</w:t>
      </w:r>
      <w:r w:rsidRPr="003F5882">
        <w:rPr>
          <w:rFonts w:ascii="Arial" w:hAnsi="Arial" w:cs="Times New Roman"/>
          <w:sz w:val="21"/>
        </w:rPr>
        <w:t>新办公楼贷款，偿还金额为</w:t>
      </w:r>
      <w:r w:rsidRPr="003F5882">
        <w:rPr>
          <w:rFonts w:ascii="Arial" w:hAnsi="Arial" w:cs="Times New Roman"/>
          <w:sz w:val="21"/>
        </w:rPr>
        <w:t>2,400</w:t>
      </w:r>
      <w:proofErr w:type="gramStart"/>
      <w:r w:rsidRPr="003F5882">
        <w:rPr>
          <w:rFonts w:ascii="Arial" w:hAnsi="Arial" w:cs="Times New Roman"/>
          <w:sz w:val="21"/>
        </w:rPr>
        <w:t>万瑞</w:t>
      </w:r>
      <w:proofErr w:type="gramEnd"/>
      <w:r w:rsidRPr="003F5882">
        <w:rPr>
          <w:rFonts w:ascii="Arial" w:hAnsi="Arial" w:cs="Times New Roman"/>
          <w:sz w:val="21"/>
        </w:rPr>
        <w:t>郎。其他负债总计为</w:t>
      </w:r>
      <w:r w:rsidRPr="003F5882">
        <w:rPr>
          <w:rFonts w:ascii="Arial" w:hAnsi="Arial" w:cs="Times New Roman"/>
          <w:sz w:val="21"/>
        </w:rPr>
        <w:t>6,450</w:t>
      </w:r>
      <w:proofErr w:type="gramStart"/>
      <w:r w:rsidRPr="003F5882">
        <w:rPr>
          <w:rFonts w:ascii="Arial" w:hAnsi="Arial" w:cs="Times New Roman"/>
          <w:sz w:val="21"/>
        </w:rPr>
        <w:t>万瑞</w:t>
      </w:r>
      <w:proofErr w:type="gramEnd"/>
      <w:r w:rsidRPr="003F5882">
        <w:rPr>
          <w:rFonts w:ascii="Arial" w:hAnsi="Arial" w:cs="Times New Roman"/>
          <w:sz w:val="21"/>
        </w:rPr>
        <w:t>郎，其中主要包括代表申请人和缔约方持有的</w:t>
      </w:r>
      <w:r w:rsidRPr="003F5882">
        <w:rPr>
          <w:rFonts w:ascii="Arial" w:hAnsi="Arial" w:cs="Times New Roman"/>
          <w:sz w:val="21"/>
        </w:rPr>
        <w:t>6,360</w:t>
      </w:r>
      <w:proofErr w:type="gramStart"/>
      <w:r w:rsidRPr="003F5882">
        <w:rPr>
          <w:rFonts w:ascii="Arial" w:hAnsi="Arial" w:cs="Times New Roman"/>
          <w:sz w:val="21"/>
        </w:rPr>
        <w:t>万瑞</w:t>
      </w:r>
      <w:proofErr w:type="gramEnd"/>
      <w:r w:rsidRPr="003F5882">
        <w:rPr>
          <w:rFonts w:ascii="Arial" w:hAnsi="Arial" w:cs="Times New Roman"/>
          <w:sz w:val="21"/>
        </w:rPr>
        <w:t>郎的活期账户存款，以及</w:t>
      </w:r>
      <w:r w:rsidRPr="003F5882">
        <w:rPr>
          <w:rFonts w:ascii="Arial" w:hAnsi="Arial" w:cs="Times New Roman"/>
          <w:sz w:val="21"/>
        </w:rPr>
        <w:t>90</w:t>
      </w:r>
      <w:proofErr w:type="gramStart"/>
      <w:r w:rsidRPr="003F5882">
        <w:rPr>
          <w:rFonts w:ascii="Arial" w:hAnsi="Arial" w:cs="Times New Roman"/>
          <w:sz w:val="21"/>
        </w:rPr>
        <w:t>万瑞</w:t>
      </w:r>
      <w:proofErr w:type="gramEnd"/>
      <w:r w:rsidRPr="003F5882">
        <w:rPr>
          <w:rFonts w:ascii="Arial" w:hAnsi="Arial" w:cs="Times New Roman"/>
          <w:sz w:val="21"/>
        </w:rPr>
        <w:t>郎的法律费用准备金。</w:t>
      </w:r>
    </w:p>
    <w:p w:rsidR="006C0099" w:rsidRPr="00CA4DB8" w:rsidRDefault="006C0099" w:rsidP="00CA4DB8">
      <w:pPr>
        <w:keepNext/>
        <w:overflowPunct w:val="0"/>
        <w:spacing w:beforeLines="50" w:before="120" w:afterLines="50" w:after="120" w:line="340" w:lineRule="atLeast"/>
        <w:jc w:val="both"/>
        <w:rPr>
          <w:rFonts w:eastAsia="SimSun" w:cs="Times New Roman"/>
          <w:b/>
          <w:sz w:val="21"/>
        </w:rPr>
      </w:pPr>
      <w:r w:rsidRPr="00CA4DB8">
        <w:rPr>
          <w:rFonts w:eastAsia="SimSun" w:cs="Times New Roman"/>
          <w:b/>
          <w:sz w:val="21"/>
        </w:rPr>
        <w:t>现金流量</w:t>
      </w:r>
    </w:p>
    <w:p w:rsidR="006C0099" w:rsidRPr="003F5882" w:rsidRDefault="006C0099" w:rsidP="00F04843">
      <w:pPr>
        <w:numPr>
          <w:ilvl w:val="0"/>
          <w:numId w:val="1"/>
        </w:numPr>
        <w:tabs>
          <w:tab w:val="clear" w:pos="567"/>
        </w:tabs>
        <w:overflowPunct w:val="0"/>
        <w:spacing w:afterLines="50" w:after="120" w:line="340" w:lineRule="atLeast"/>
        <w:jc w:val="both"/>
        <w:rPr>
          <w:rFonts w:ascii="Arial" w:hAnsi="Arial" w:cs="Times New Roman"/>
          <w:sz w:val="21"/>
          <w:szCs w:val="22"/>
        </w:rPr>
      </w:pPr>
      <w:r w:rsidRPr="003F5882">
        <w:rPr>
          <w:rFonts w:ascii="Arial" w:hAnsi="Arial" w:cs="Times New Roman"/>
          <w:sz w:val="21"/>
        </w:rPr>
        <w:t>截至</w:t>
      </w:r>
      <w:r w:rsidRPr="003F5882">
        <w:rPr>
          <w:rFonts w:ascii="Arial" w:hAnsi="Arial" w:cs="Times New Roman"/>
          <w:sz w:val="21"/>
        </w:rPr>
        <w:t>2014</w:t>
      </w:r>
      <w:r w:rsidRPr="003F5882">
        <w:rPr>
          <w:rFonts w:ascii="Arial" w:hAnsi="Arial" w:cs="Times New Roman"/>
          <w:sz w:val="21"/>
        </w:rPr>
        <w:t>年</w:t>
      </w:r>
      <w:r w:rsidRPr="003F5882">
        <w:rPr>
          <w:rFonts w:ascii="Arial" w:hAnsi="Arial" w:cs="Times New Roman"/>
          <w:sz w:val="21"/>
        </w:rPr>
        <w:t>12</w:t>
      </w:r>
      <w:r w:rsidRPr="003F5882">
        <w:rPr>
          <w:rFonts w:ascii="Arial" w:hAnsi="Arial" w:cs="Times New Roman"/>
          <w:sz w:val="21"/>
        </w:rPr>
        <w:t>月</w:t>
      </w:r>
      <w:r w:rsidRPr="003F5882">
        <w:rPr>
          <w:rFonts w:ascii="Arial" w:hAnsi="Arial" w:cs="Times New Roman"/>
          <w:sz w:val="21"/>
        </w:rPr>
        <w:t>31</w:t>
      </w:r>
      <w:r w:rsidRPr="003F5882">
        <w:rPr>
          <w:rFonts w:ascii="Arial" w:hAnsi="Arial" w:cs="Times New Roman"/>
          <w:sz w:val="21"/>
        </w:rPr>
        <w:t>日</w:t>
      </w:r>
      <w:r w:rsidRPr="003F5882">
        <w:rPr>
          <w:rFonts w:ascii="Arial" w:hAnsi="Arial" w:cs="Times New Roman"/>
          <w:sz w:val="21"/>
        </w:rPr>
        <w:t>,</w:t>
      </w:r>
      <w:r w:rsidRPr="003F5882">
        <w:rPr>
          <w:rFonts w:ascii="Arial" w:hAnsi="Arial" w:cs="Times New Roman"/>
          <w:sz w:val="21"/>
        </w:rPr>
        <w:t>本组织现金余额为</w:t>
      </w:r>
      <w:r w:rsidRPr="003F5882">
        <w:rPr>
          <w:rFonts w:ascii="Arial" w:hAnsi="Arial" w:cs="Times New Roman"/>
          <w:sz w:val="21"/>
        </w:rPr>
        <w:t>4.745</w:t>
      </w:r>
      <w:r w:rsidRPr="003F5882">
        <w:rPr>
          <w:rFonts w:ascii="Arial" w:hAnsi="Arial" w:cs="Times New Roman"/>
          <w:sz w:val="21"/>
        </w:rPr>
        <w:t>亿瑞郎</w:t>
      </w:r>
      <w:r w:rsidR="007B1C92" w:rsidRPr="003F5882">
        <w:rPr>
          <w:rFonts w:ascii="Arial" w:hAnsi="Arial" w:cs="Times New Roman" w:hint="eastAsia"/>
          <w:sz w:val="21"/>
        </w:rPr>
        <w:t>，</w:t>
      </w:r>
      <w:r w:rsidRPr="003F5882">
        <w:rPr>
          <w:rFonts w:ascii="Arial" w:hAnsi="Arial" w:cs="Times New Roman"/>
          <w:sz w:val="21"/>
        </w:rPr>
        <w:t>相比之下</w:t>
      </w:r>
      <w:r w:rsidR="007B1C92" w:rsidRPr="003F5882">
        <w:rPr>
          <w:rFonts w:ascii="Arial" w:hAnsi="Arial" w:cs="Times New Roman" w:hint="eastAsia"/>
          <w:sz w:val="21"/>
        </w:rPr>
        <w:t>，</w:t>
      </w:r>
      <w:r w:rsidRPr="003F5882">
        <w:rPr>
          <w:rFonts w:ascii="Arial" w:hAnsi="Arial" w:cs="Times New Roman"/>
          <w:sz w:val="21"/>
        </w:rPr>
        <w:t>截至</w:t>
      </w:r>
      <w:r w:rsidRPr="003F5882">
        <w:rPr>
          <w:rFonts w:ascii="Arial" w:hAnsi="Arial" w:cs="Times New Roman"/>
          <w:sz w:val="21"/>
        </w:rPr>
        <w:t>2013</w:t>
      </w:r>
      <w:r w:rsidRPr="003F5882">
        <w:rPr>
          <w:rFonts w:ascii="Arial" w:hAnsi="Arial" w:cs="Times New Roman"/>
          <w:sz w:val="21"/>
        </w:rPr>
        <w:t>年</w:t>
      </w:r>
      <w:r w:rsidRPr="003F5882">
        <w:rPr>
          <w:rFonts w:ascii="Arial" w:hAnsi="Arial" w:cs="Times New Roman"/>
          <w:sz w:val="21"/>
        </w:rPr>
        <w:t>12</w:t>
      </w:r>
      <w:r w:rsidRPr="003F5882">
        <w:rPr>
          <w:rFonts w:ascii="Arial" w:hAnsi="Arial" w:cs="Times New Roman"/>
          <w:sz w:val="21"/>
        </w:rPr>
        <w:t>月</w:t>
      </w:r>
      <w:r w:rsidRPr="003F5882">
        <w:rPr>
          <w:rFonts w:ascii="Arial" w:hAnsi="Arial" w:cs="Times New Roman"/>
          <w:sz w:val="21"/>
        </w:rPr>
        <w:t>31</w:t>
      </w:r>
      <w:r w:rsidRPr="003F5882">
        <w:rPr>
          <w:rFonts w:ascii="Arial" w:hAnsi="Arial" w:cs="Times New Roman"/>
          <w:sz w:val="21"/>
        </w:rPr>
        <w:t>日</w:t>
      </w:r>
      <w:r w:rsidR="007B1C92" w:rsidRPr="003F5882">
        <w:rPr>
          <w:rFonts w:ascii="Arial" w:hAnsi="Arial" w:cs="Times New Roman" w:hint="eastAsia"/>
          <w:sz w:val="21"/>
        </w:rPr>
        <w:t>的</w:t>
      </w:r>
      <w:r w:rsidRPr="003F5882">
        <w:rPr>
          <w:rFonts w:ascii="Arial" w:hAnsi="Arial" w:cs="Times New Roman"/>
          <w:sz w:val="21"/>
        </w:rPr>
        <w:t>现金余额为</w:t>
      </w:r>
      <w:r w:rsidRPr="003F5882">
        <w:rPr>
          <w:rFonts w:ascii="Arial" w:hAnsi="Arial" w:cs="Times New Roman"/>
          <w:sz w:val="21"/>
        </w:rPr>
        <w:t>4.099</w:t>
      </w:r>
      <w:r w:rsidRPr="003F5882">
        <w:rPr>
          <w:rFonts w:ascii="Arial" w:hAnsi="Arial" w:cs="Times New Roman"/>
          <w:sz w:val="21"/>
        </w:rPr>
        <w:t>亿瑞郎。现金余额总额自</w:t>
      </w:r>
      <w:r w:rsidRPr="003F5882">
        <w:rPr>
          <w:rFonts w:ascii="Arial" w:hAnsi="Arial" w:cs="Times New Roman"/>
          <w:sz w:val="21"/>
        </w:rPr>
        <w:t>2011</w:t>
      </w:r>
      <w:r w:rsidRPr="003F5882">
        <w:rPr>
          <w:rFonts w:ascii="Arial" w:hAnsi="Arial" w:cs="Times New Roman"/>
          <w:sz w:val="21"/>
        </w:rPr>
        <w:t>年起持续增长。</w:t>
      </w:r>
      <w:r w:rsidRPr="003F5882">
        <w:rPr>
          <w:rFonts w:ascii="Arial" w:hAnsi="Arial" w:cs="Times New Roman"/>
          <w:sz w:val="21"/>
        </w:rPr>
        <w:t>2014</w:t>
      </w:r>
      <w:r w:rsidRPr="003F5882">
        <w:rPr>
          <w:rFonts w:ascii="Arial" w:hAnsi="Arial" w:cs="Times New Roman"/>
          <w:sz w:val="21"/>
        </w:rPr>
        <w:t>年现金余额比</w:t>
      </w:r>
      <w:r w:rsidRPr="003F5882">
        <w:rPr>
          <w:rFonts w:ascii="Arial" w:hAnsi="Arial" w:cs="Times New Roman"/>
          <w:sz w:val="21"/>
        </w:rPr>
        <w:t>2013</w:t>
      </w:r>
      <w:r w:rsidRPr="003F5882">
        <w:rPr>
          <w:rFonts w:ascii="Arial" w:hAnsi="Arial" w:cs="Times New Roman"/>
          <w:sz w:val="21"/>
        </w:rPr>
        <w:t>年增长了</w:t>
      </w:r>
      <w:r w:rsidRPr="003F5882">
        <w:rPr>
          <w:rFonts w:ascii="Arial" w:hAnsi="Arial" w:cs="Times New Roman"/>
          <w:sz w:val="21"/>
        </w:rPr>
        <w:t>6,460</w:t>
      </w:r>
      <w:r w:rsidRPr="003F5882">
        <w:rPr>
          <w:rFonts w:ascii="Arial" w:hAnsi="Arial" w:cs="Times New Roman"/>
          <w:sz w:val="21"/>
        </w:rPr>
        <w:t>万瑞郎，这主要因为本年度</w:t>
      </w:r>
      <w:r w:rsidRPr="003F5882">
        <w:rPr>
          <w:rFonts w:ascii="Arial" w:hAnsi="Arial" w:cs="Times New Roman"/>
          <w:sz w:val="21"/>
        </w:rPr>
        <w:t>PCT</w:t>
      </w:r>
      <w:r w:rsidRPr="003F5882">
        <w:rPr>
          <w:rFonts w:ascii="Arial" w:hAnsi="Arial" w:cs="Times New Roman"/>
          <w:sz w:val="21"/>
        </w:rPr>
        <w:t>体系规费现金收入水平</w:t>
      </w:r>
      <w:r w:rsidR="007B1C92" w:rsidRPr="003F5882">
        <w:rPr>
          <w:rFonts w:ascii="Arial" w:hAnsi="Arial" w:cs="Times New Roman" w:hint="eastAsia"/>
          <w:sz w:val="21"/>
        </w:rPr>
        <w:t>提高</w:t>
      </w:r>
      <w:r w:rsidRPr="003F5882">
        <w:rPr>
          <w:rFonts w:ascii="Arial" w:hAnsi="Arial" w:cs="Times New Roman"/>
          <w:sz w:val="21"/>
        </w:rPr>
        <w:t>。此外，还因为为第三方持有的往来账户余额增加</w:t>
      </w:r>
      <w:r w:rsidR="00353659" w:rsidRPr="003F5882">
        <w:rPr>
          <w:rFonts w:ascii="Arial" w:hAnsi="Arial" w:cs="Times New Roman" w:hint="eastAsia"/>
          <w:sz w:val="21"/>
        </w:rPr>
        <w:t>了</w:t>
      </w:r>
      <w:r w:rsidRPr="003F5882">
        <w:rPr>
          <w:rFonts w:ascii="Arial" w:hAnsi="Arial" w:cs="Times New Roman"/>
          <w:sz w:val="21"/>
        </w:rPr>
        <w:t>870</w:t>
      </w:r>
      <w:proofErr w:type="gramStart"/>
      <w:r w:rsidRPr="003F5882">
        <w:rPr>
          <w:rFonts w:ascii="Arial" w:hAnsi="Arial" w:cs="Times New Roman"/>
          <w:sz w:val="21"/>
        </w:rPr>
        <w:t>万瑞</w:t>
      </w:r>
      <w:proofErr w:type="gramEnd"/>
      <w:r w:rsidRPr="003F5882">
        <w:rPr>
          <w:rFonts w:ascii="Arial" w:hAnsi="Arial" w:cs="Times New Roman"/>
          <w:sz w:val="21"/>
        </w:rPr>
        <w:t>郎，马德里联盟存款</w:t>
      </w:r>
      <w:r w:rsidR="00F453AC" w:rsidRPr="003F5882">
        <w:rPr>
          <w:rFonts w:ascii="Arial" w:hAnsi="Arial" w:cs="Times New Roman"/>
          <w:sz w:val="21"/>
        </w:rPr>
        <w:t>（</w:t>
      </w:r>
      <w:r w:rsidRPr="003F5882">
        <w:rPr>
          <w:rFonts w:ascii="Arial" w:hAnsi="Arial" w:cs="Times New Roman"/>
          <w:sz w:val="21"/>
        </w:rPr>
        <w:t>归为应付转账款或预收账款</w:t>
      </w:r>
      <w:r w:rsidR="00F453AC" w:rsidRPr="003F5882">
        <w:rPr>
          <w:rFonts w:ascii="Arial" w:hAnsi="Arial" w:cs="Times New Roman"/>
          <w:sz w:val="21"/>
        </w:rPr>
        <w:t>）</w:t>
      </w:r>
      <w:r w:rsidRPr="003F5882">
        <w:rPr>
          <w:rFonts w:ascii="Arial" w:hAnsi="Arial" w:cs="Times New Roman"/>
          <w:sz w:val="21"/>
        </w:rPr>
        <w:t>增加</w:t>
      </w:r>
      <w:r w:rsidR="00353659" w:rsidRPr="003F5882">
        <w:rPr>
          <w:rFonts w:ascii="Arial" w:hAnsi="Arial" w:cs="Times New Roman" w:hint="eastAsia"/>
          <w:sz w:val="21"/>
        </w:rPr>
        <w:t>了</w:t>
      </w:r>
      <w:r w:rsidRPr="003F5882">
        <w:rPr>
          <w:rFonts w:ascii="Arial" w:hAnsi="Arial" w:cs="Times New Roman"/>
          <w:sz w:val="21"/>
        </w:rPr>
        <w:t>840</w:t>
      </w:r>
      <w:proofErr w:type="gramStart"/>
      <w:r w:rsidRPr="003F5882">
        <w:rPr>
          <w:rFonts w:ascii="Arial" w:hAnsi="Arial" w:cs="Times New Roman"/>
          <w:sz w:val="21"/>
        </w:rPr>
        <w:t>万瑞</w:t>
      </w:r>
      <w:proofErr w:type="gramEnd"/>
      <w:r w:rsidRPr="003F5882">
        <w:rPr>
          <w:rFonts w:ascii="Arial" w:hAnsi="Arial" w:cs="Times New Roman"/>
          <w:sz w:val="21"/>
        </w:rPr>
        <w:t>郎。</w:t>
      </w:r>
    </w:p>
    <w:p w:rsidR="006C0099" w:rsidRPr="003F5882" w:rsidRDefault="006C0099" w:rsidP="00F04843">
      <w:pPr>
        <w:numPr>
          <w:ilvl w:val="0"/>
          <w:numId w:val="1"/>
        </w:numPr>
        <w:tabs>
          <w:tab w:val="clear" w:pos="567"/>
        </w:tabs>
        <w:overflowPunct w:val="0"/>
        <w:spacing w:afterLines="50" w:after="120" w:line="340" w:lineRule="atLeast"/>
        <w:jc w:val="both"/>
        <w:rPr>
          <w:rFonts w:ascii="Arial" w:hAnsi="Arial" w:cs="Times New Roman"/>
          <w:sz w:val="21"/>
          <w:szCs w:val="22"/>
        </w:rPr>
      </w:pPr>
      <w:r w:rsidRPr="003F5882">
        <w:rPr>
          <w:rFonts w:ascii="Arial" w:hAnsi="Arial" w:cs="Times New Roman"/>
          <w:sz w:val="21"/>
        </w:rPr>
        <w:t>在财务报表中</w:t>
      </w:r>
      <w:r w:rsidR="00F453AC" w:rsidRPr="003F5882">
        <w:rPr>
          <w:rFonts w:ascii="Arial" w:hAnsi="Arial" w:cs="Times New Roman"/>
          <w:sz w:val="21"/>
        </w:rPr>
        <w:t>（</w:t>
      </w:r>
      <w:r w:rsidRPr="003F5882">
        <w:rPr>
          <w:rFonts w:ascii="Arial" w:hAnsi="Arial" w:cs="Times New Roman"/>
          <w:sz w:val="21"/>
        </w:rPr>
        <w:t>见附注</w:t>
      </w:r>
      <w:r w:rsidRPr="003F5882">
        <w:rPr>
          <w:rFonts w:ascii="Arial" w:hAnsi="Arial" w:cs="Times New Roman"/>
          <w:sz w:val="21"/>
        </w:rPr>
        <w:t>3</w:t>
      </w:r>
      <w:r w:rsidR="00F453AC" w:rsidRPr="003F5882">
        <w:rPr>
          <w:rFonts w:ascii="Arial" w:hAnsi="Arial" w:cs="Times New Roman"/>
          <w:sz w:val="21"/>
        </w:rPr>
        <w:t>）</w:t>
      </w:r>
      <w:r w:rsidRPr="003F5882">
        <w:rPr>
          <w:rFonts w:ascii="Arial" w:hAnsi="Arial" w:cs="Times New Roman"/>
          <w:sz w:val="21"/>
        </w:rPr>
        <w:t>，现金按照受限和不受限分别列示。受限资金包括</w:t>
      </w:r>
      <w:r w:rsidR="007B51AD" w:rsidRPr="003F5882">
        <w:rPr>
          <w:rFonts w:ascii="Arial" w:hAnsi="Arial" w:cs="Times New Roman" w:hint="eastAsia"/>
          <w:sz w:val="21"/>
        </w:rPr>
        <w:t>为</w:t>
      </w:r>
      <w:r w:rsidR="007B51AD" w:rsidRPr="003F5882">
        <w:rPr>
          <w:rFonts w:ascii="Arial" w:hAnsi="Arial" w:cs="Times New Roman"/>
          <w:sz w:val="21"/>
        </w:rPr>
        <w:t>商标或工业品外观设计</w:t>
      </w:r>
      <w:r w:rsidR="00F35C80" w:rsidRPr="003F5882">
        <w:rPr>
          <w:rFonts w:ascii="Arial" w:hAnsi="Arial" w:cs="Times New Roman" w:hint="eastAsia"/>
          <w:sz w:val="21"/>
        </w:rPr>
        <w:t>注册而</w:t>
      </w:r>
      <w:r w:rsidRPr="003F5882">
        <w:rPr>
          <w:rFonts w:ascii="Arial" w:hAnsi="Arial" w:cs="Times New Roman"/>
          <w:sz w:val="21"/>
        </w:rPr>
        <w:t>代表第三方持有的资金，还包括</w:t>
      </w:r>
      <w:r w:rsidR="00F35C80" w:rsidRPr="003F5882">
        <w:rPr>
          <w:rFonts w:ascii="Arial" w:hAnsi="Arial" w:cs="Times New Roman" w:hint="eastAsia"/>
          <w:sz w:val="21"/>
        </w:rPr>
        <w:t>代表</w:t>
      </w:r>
      <w:r w:rsidRPr="003F5882">
        <w:rPr>
          <w:rFonts w:ascii="Arial" w:hAnsi="Arial" w:cs="Times New Roman"/>
          <w:sz w:val="21"/>
        </w:rPr>
        <w:t>《马德里协定》和《议定书》</w:t>
      </w:r>
      <w:r w:rsidR="00F35C80" w:rsidRPr="003F5882">
        <w:rPr>
          <w:rFonts w:ascii="Arial" w:hAnsi="Arial" w:cs="Times New Roman" w:hint="eastAsia"/>
          <w:sz w:val="21"/>
        </w:rPr>
        <w:t>以及</w:t>
      </w:r>
      <w:r w:rsidRPr="003F5882">
        <w:rPr>
          <w:rFonts w:ascii="Arial" w:hAnsi="Arial" w:cs="Times New Roman"/>
          <w:sz w:val="21"/>
        </w:rPr>
        <w:t>《海牙协定》的缔约方以及代表</w:t>
      </w:r>
      <w:r w:rsidRPr="003F5882">
        <w:rPr>
          <w:rFonts w:ascii="Arial" w:hAnsi="Arial" w:cs="Times New Roman"/>
          <w:sz w:val="21"/>
        </w:rPr>
        <w:t>PCT</w:t>
      </w:r>
      <w:r w:rsidRPr="003F5882">
        <w:rPr>
          <w:rFonts w:ascii="Arial" w:hAnsi="Arial" w:cs="Times New Roman"/>
          <w:sz w:val="21"/>
        </w:rPr>
        <w:t>国际检索单位</w:t>
      </w:r>
      <w:r w:rsidR="00F453AC" w:rsidRPr="003F5882">
        <w:rPr>
          <w:rFonts w:ascii="Arial" w:hAnsi="Arial" w:cs="Times New Roman" w:hint="eastAsia"/>
          <w:sz w:val="21"/>
        </w:rPr>
        <w:t>（</w:t>
      </w:r>
      <w:r w:rsidRPr="003F5882">
        <w:rPr>
          <w:rFonts w:ascii="Arial" w:hAnsi="Arial" w:cs="Times New Roman"/>
          <w:sz w:val="21"/>
        </w:rPr>
        <w:t>ISAs</w:t>
      </w:r>
      <w:r w:rsidR="00F453AC" w:rsidRPr="003F5882">
        <w:rPr>
          <w:rFonts w:ascii="Arial" w:hAnsi="Arial" w:cs="Times New Roman" w:hint="eastAsia"/>
          <w:sz w:val="21"/>
        </w:rPr>
        <w:t>）</w:t>
      </w:r>
      <w:r w:rsidRPr="003F5882">
        <w:rPr>
          <w:rFonts w:ascii="Arial" w:hAnsi="Arial" w:cs="Times New Roman"/>
          <w:sz w:val="21"/>
        </w:rPr>
        <w:t>收取的</w:t>
      </w:r>
      <w:proofErr w:type="gramStart"/>
      <w:r w:rsidRPr="003F5882">
        <w:rPr>
          <w:rFonts w:ascii="Arial" w:hAnsi="Arial" w:cs="Times New Roman"/>
          <w:sz w:val="21"/>
        </w:rPr>
        <w:t>规</w:t>
      </w:r>
      <w:proofErr w:type="gramEnd"/>
      <w:r w:rsidRPr="003F5882">
        <w:rPr>
          <w:rFonts w:ascii="Arial" w:hAnsi="Arial" w:cs="Times New Roman"/>
          <w:sz w:val="21"/>
        </w:rPr>
        <w:t>费。收到的与商标未决程序相关押金</w:t>
      </w:r>
      <w:r w:rsidR="00F453AC" w:rsidRPr="003F5882">
        <w:rPr>
          <w:rFonts w:ascii="Arial" w:hAnsi="Arial" w:cs="Times New Roman" w:hint="eastAsia"/>
          <w:sz w:val="21"/>
        </w:rPr>
        <w:t>（</w:t>
      </w:r>
      <w:r w:rsidRPr="003F5882">
        <w:rPr>
          <w:rFonts w:ascii="Arial" w:hAnsi="Arial" w:cs="Times New Roman"/>
          <w:sz w:val="21"/>
        </w:rPr>
        <w:t>预计向本组织缴纳的预付款比例除外</w:t>
      </w:r>
      <w:r w:rsidR="00F453AC" w:rsidRPr="003F5882">
        <w:rPr>
          <w:rFonts w:ascii="Arial" w:hAnsi="Arial" w:cs="Times New Roman" w:hint="eastAsia"/>
          <w:sz w:val="21"/>
        </w:rPr>
        <w:t>）</w:t>
      </w:r>
      <w:r w:rsidRPr="003F5882">
        <w:rPr>
          <w:rFonts w:ascii="Arial" w:hAnsi="Arial" w:cs="Times New Roman"/>
          <w:sz w:val="21"/>
        </w:rPr>
        <w:t>也被视为受限资金，</w:t>
      </w:r>
      <w:r w:rsidR="00F35C80" w:rsidRPr="003F5882">
        <w:rPr>
          <w:rFonts w:ascii="Arial" w:hAnsi="Arial" w:cs="Times New Roman" w:hint="eastAsia"/>
          <w:sz w:val="21"/>
        </w:rPr>
        <w:t>一如</w:t>
      </w:r>
      <w:r w:rsidRPr="003F5882">
        <w:rPr>
          <w:rFonts w:ascii="Arial" w:hAnsi="Arial" w:cs="Times New Roman"/>
          <w:sz w:val="21"/>
        </w:rPr>
        <w:t>代表自愿捐款的捐助人</w:t>
      </w:r>
      <w:r w:rsidR="00F35C80" w:rsidRPr="003F5882">
        <w:rPr>
          <w:rFonts w:ascii="Arial" w:hAnsi="Arial" w:cs="Times New Roman" w:hint="eastAsia"/>
          <w:sz w:val="21"/>
        </w:rPr>
        <w:t>所</w:t>
      </w:r>
      <w:r w:rsidRPr="003F5882">
        <w:rPr>
          <w:rFonts w:ascii="Arial" w:hAnsi="Arial" w:cs="Times New Roman"/>
          <w:sz w:val="21"/>
        </w:rPr>
        <w:t>持有的账户。</w:t>
      </w:r>
    </w:p>
    <w:p w:rsidR="006C0099" w:rsidRPr="003F5882" w:rsidRDefault="006C0099" w:rsidP="00F04843">
      <w:pPr>
        <w:numPr>
          <w:ilvl w:val="0"/>
          <w:numId w:val="1"/>
        </w:numPr>
        <w:tabs>
          <w:tab w:val="clear" w:pos="567"/>
        </w:tabs>
        <w:overflowPunct w:val="0"/>
        <w:spacing w:afterLines="50" w:after="120" w:line="340" w:lineRule="atLeast"/>
        <w:jc w:val="both"/>
        <w:rPr>
          <w:rFonts w:ascii="Arial" w:hAnsi="Arial" w:cs="Times New Roman"/>
          <w:sz w:val="21"/>
          <w:szCs w:val="22"/>
        </w:rPr>
      </w:pPr>
      <w:r w:rsidRPr="003F5882">
        <w:rPr>
          <w:rFonts w:ascii="Arial" w:hAnsi="Arial" w:cs="Times New Roman"/>
          <w:sz w:val="21"/>
        </w:rPr>
        <w:t>2014</w:t>
      </w:r>
      <w:r w:rsidRPr="003F5882">
        <w:rPr>
          <w:rFonts w:ascii="Arial" w:hAnsi="Arial" w:cs="Times New Roman"/>
          <w:sz w:val="21"/>
        </w:rPr>
        <w:t>年期间，本组织向为持有</w:t>
      </w:r>
      <w:r w:rsidR="00F35C80" w:rsidRPr="003F5882">
        <w:rPr>
          <w:rFonts w:ascii="Arial" w:hAnsi="Arial" w:cs="Times New Roman" w:hint="eastAsia"/>
          <w:sz w:val="21"/>
        </w:rPr>
        <w:t>被分配用于</w:t>
      </w:r>
      <w:r w:rsidRPr="003F5882">
        <w:rPr>
          <w:rFonts w:ascii="Arial" w:hAnsi="Arial" w:cs="Times New Roman"/>
          <w:sz w:val="21"/>
        </w:rPr>
        <w:t>未来离职后雇员福利负债融资</w:t>
      </w:r>
      <w:r w:rsidR="00F35C80" w:rsidRPr="003F5882">
        <w:rPr>
          <w:rFonts w:ascii="Arial" w:hAnsi="Arial" w:cs="Times New Roman" w:hint="eastAsia"/>
          <w:sz w:val="21"/>
        </w:rPr>
        <w:t>的</w:t>
      </w:r>
      <w:r w:rsidRPr="003F5882">
        <w:rPr>
          <w:rFonts w:ascii="Arial" w:hAnsi="Arial" w:cs="Times New Roman"/>
          <w:sz w:val="21"/>
        </w:rPr>
        <w:t>资金而开立的单独银行账户转账</w:t>
      </w:r>
      <w:r w:rsidRPr="003F5882">
        <w:rPr>
          <w:rFonts w:ascii="Arial" w:hAnsi="Arial" w:cs="Times New Roman"/>
          <w:sz w:val="21"/>
        </w:rPr>
        <w:t>8,520</w:t>
      </w:r>
      <w:proofErr w:type="gramStart"/>
      <w:r w:rsidRPr="003F5882">
        <w:rPr>
          <w:rFonts w:ascii="Arial" w:hAnsi="Arial" w:cs="Times New Roman"/>
          <w:sz w:val="21"/>
        </w:rPr>
        <w:t>万瑞</w:t>
      </w:r>
      <w:proofErr w:type="gramEnd"/>
      <w:r w:rsidRPr="003F5882">
        <w:rPr>
          <w:rFonts w:ascii="Arial" w:hAnsi="Arial" w:cs="Times New Roman"/>
          <w:sz w:val="21"/>
        </w:rPr>
        <w:t>郎。该账户截至</w:t>
      </w:r>
      <w:r w:rsidRPr="003F5882">
        <w:rPr>
          <w:rFonts w:ascii="Arial" w:hAnsi="Arial" w:cs="Times New Roman"/>
          <w:sz w:val="21"/>
        </w:rPr>
        <w:t>2014</w:t>
      </w:r>
      <w:r w:rsidRPr="003F5882">
        <w:rPr>
          <w:rFonts w:ascii="Arial" w:hAnsi="Arial" w:cs="Times New Roman"/>
          <w:sz w:val="21"/>
        </w:rPr>
        <w:t>年</w:t>
      </w:r>
      <w:r w:rsidRPr="003F5882">
        <w:rPr>
          <w:rFonts w:ascii="Arial" w:hAnsi="Arial" w:cs="Times New Roman"/>
          <w:sz w:val="21"/>
        </w:rPr>
        <w:t>12</w:t>
      </w:r>
      <w:r w:rsidRPr="003F5882">
        <w:rPr>
          <w:rFonts w:ascii="Arial" w:hAnsi="Arial" w:cs="Times New Roman"/>
          <w:sz w:val="21"/>
        </w:rPr>
        <w:t>月</w:t>
      </w:r>
      <w:r w:rsidRPr="003F5882">
        <w:rPr>
          <w:rFonts w:ascii="Arial" w:hAnsi="Arial" w:cs="Times New Roman"/>
          <w:sz w:val="21"/>
        </w:rPr>
        <w:t>31</w:t>
      </w:r>
      <w:r w:rsidRPr="003F5882">
        <w:rPr>
          <w:rFonts w:ascii="Arial" w:hAnsi="Arial" w:cs="Times New Roman"/>
          <w:sz w:val="21"/>
        </w:rPr>
        <w:t>日的余额也被归为受限资金。</w:t>
      </w:r>
    </w:p>
    <w:p w:rsidR="006C0099" w:rsidRPr="00F453AC" w:rsidRDefault="006C0099" w:rsidP="003F5882">
      <w:pPr>
        <w:keepNext/>
        <w:spacing w:afterLines="50" w:after="120" w:line="340" w:lineRule="atLeast"/>
        <w:jc w:val="center"/>
        <w:rPr>
          <w:rFonts w:ascii="Arial" w:eastAsia="SimSun" w:hAnsi="Arial" w:cs="Times New Roman"/>
          <w:sz w:val="21"/>
          <w:szCs w:val="22"/>
          <w:u w:val="single"/>
        </w:rPr>
      </w:pPr>
      <w:r w:rsidRPr="003F5882">
        <w:rPr>
          <w:rFonts w:ascii="Arial" w:hAnsi="Arial" w:cs="Times New Roman"/>
          <w:sz w:val="21"/>
          <w:u w:val="single"/>
        </w:rPr>
        <w:t>2010</w:t>
      </w:r>
      <w:r w:rsidRPr="003F5882">
        <w:rPr>
          <w:rFonts w:ascii="Arial" w:hAnsi="Arial" w:cs="Times New Roman"/>
          <w:sz w:val="21"/>
          <w:u w:val="single"/>
        </w:rPr>
        <w:t>年至</w:t>
      </w:r>
      <w:r w:rsidRPr="003F5882">
        <w:rPr>
          <w:rFonts w:ascii="Arial" w:hAnsi="Arial" w:cs="Times New Roman"/>
          <w:sz w:val="21"/>
          <w:u w:val="single"/>
        </w:rPr>
        <w:t>2014</w:t>
      </w:r>
      <w:r w:rsidRPr="003F5882">
        <w:rPr>
          <w:rFonts w:ascii="Arial" w:hAnsi="Arial" w:cs="Times New Roman"/>
          <w:sz w:val="21"/>
          <w:u w:val="single"/>
        </w:rPr>
        <w:t>年非受限和受限现金余额</w:t>
      </w:r>
    </w:p>
    <w:p w:rsidR="006C0099" w:rsidRPr="00F453AC" w:rsidRDefault="00D84912" w:rsidP="00D84912">
      <w:pPr>
        <w:spacing w:afterLines="50" w:after="120" w:line="340" w:lineRule="atLeast"/>
        <w:jc w:val="center"/>
        <w:rPr>
          <w:rFonts w:ascii="Arial" w:eastAsia="SimSun" w:hAnsi="Arial" w:cs="Times New Roman"/>
          <w:sz w:val="21"/>
          <w:szCs w:val="22"/>
        </w:rPr>
      </w:pPr>
      <w:r w:rsidRPr="00D84912">
        <w:rPr>
          <w:noProof/>
          <w:lang w:val="en-US" w:bidi="ar-SA"/>
        </w:rPr>
        <w:drawing>
          <wp:inline distT="0" distB="0" distL="0" distR="0">
            <wp:extent cx="5370195" cy="3343910"/>
            <wp:effectExtent l="0" t="0" r="1905" b="8890"/>
            <wp:docPr id="122" name="图片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370195" cy="3343910"/>
                    </a:xfrm>
                    <a:prstGeom prst="rect">
                      <a:avLst/>
                    </a:prstGeom>
                    <a:noFill/>
                    <a:ln>
                      <a:noFill/>
                    </a:ln>
                  </pic:spPr>
                </pic:pic>
              </a:graphicData>
            </a:graphic>
          </wp:inline>
        </w:drawing>
      </w:r>
    </w:p>
    <w:p w:rsidR="006C0099" w:rsidRPr="003F5882" w:rsidRDefault="006C0099" w:rsidP="00F04843">
      <w:pPr>
        <w:numPr>
          <w:ilvl w:val="0"/>
          <w:numId w:val="1"/>
        </w:numPr>
        <w:tabs>
          <w:tab w:val="clear" w:pos="567"/>
        </w:tabs>
        <w:overflowPunct w:val="0"/>
        <w:spacing w:afterLines="50" w:after="120" w:line="340" w:lineRule="atLeast"/>
        <w:jc w:val="both"/>
        <w:rPr>
          <w:rFonts w:ascii="Arial" w:hAnsi="Arial" w:cs="Times New Roman"/>
          <w:sz w:val="21"/>
        </w:rPr>
      </w:pPr>
      <w:r w:rsidRPr="003F5882">
        <w:rPr>
          <w:rFonts w:ascii="Arial" w:hAnsi="Arial" w:cs="Times New Roman"/>
          <w:sz w:val="21"/>
        </w:rPr>
        <w:t>如以上借款分析中所述，本组织在</w:t>
      </w:r>
      <w:r w:rsidRPr="003F5882">
        <w:rPr>
          <w:rFonts w:ascii="Arial" w:hAnsi="Arial" w:cs="Times New Roman"/>
          <w:sz w:val="21"/>
        </w:rPr>
        <w:t>2015</w:t>
      </w:r>
      <w:r w:rsidRPr="003F5882">
        <w:rPr>
          <w:rFonts w:ascii="Arial" w:hAnsi="Arial" w:cs="Times New Roman"/>
          <w:sz w:val="21"/>
        </w:rPr>
        <w:t>年计划开始一次性偿还</w:t>
      </w:r>
      <w:r w:rsidRPr="003F5882">
        <w:rPr>
          <w:rFonts w:ascii="Arial" w:hAnsi="Arial" w:cs="Times New Roman"/>
          <w:sz w:val="21"/>
        </w:rPr>
        <w:t>BCG/BCV</w:t>
      </w:r>
      <w:r w:rsidRPr="003F5882">
        <w:rPr>
          <w:rFonts w:ascii="Arial" w:hAnsi="Arial" w:cs="Times New Roman"/>
          <w:sz w:val="21"/>
        </w:rPr>
        <w:t>新办公楼贷款。第一次还款</w:t>
      </w:r>
      <w:r w:rsidR="00F4070F" w:rsidRPr="003F5882">
        <w:rPr>
          <w:rFonts w:ascii="Arial" w:hAnsi="Arial" w:cs="Times New Roman" w:hint="eastAsia"/>
          <w:sz w:val="21"/>
        </w:rPr>
        <w:t>是在</w:t>
      </w:r>
      <w:r w:rsidRPr="003F5882">
        <w:rPr>
          <w:rFonts w:ascii="Arial" w:hAnsi="Arial" w:cs="Times New Roman"/>
          <w:sz w:val="21"/>
        </w:rPr>
        <w:t>2015</w:t>
      </w:r>
      <w:r w:rsidRPr="003F5882">
        <w:rPr>
          <w:rFonts w:ascii="Arial" w:hAnsi="Arial" w:cs="Times New Roman"/>
          <w:sz w:val="21"/>
        </w:rPr>
        <w:t>年</w:t>
      </w:r>
      <w:r w:rsidRPr="003F5882">
        <w:rPr>
          <w:rFonts w:ascii="Arial" w:hAnsi="Arial" w:cs="Times New Roman"/>
          <w:sz w:val="21"/>
        </w:rPr>
        <w:t>11</w:t>
      </w:r>
      <w:r w:rsidRPr="003F5882">
        <w:rPr>
          <w:rFonts w:ascii="Arial" w:hAnsi="Arial" w:cs="Times New Roman"/>
          <w:sz w:val="21"/>
        </w:rPr>
        <w:t>月</w:t>
      </w:r>
      <w:r w:rsidR="00F4070F" w:rsidRPr="003F5882">
        <w:rPr>
          <w:rFonts w:ascii="Arial" w:hAnsi="Arial" w:cs="Times New Roman" w:hint="eastAsia"/>
          <w:sz w:val="21"/>
        </w:rPr>
        <w:t>支付</w:t>
      </w:r>
      <w:r w:rsidRPr="003F5882">
        <w:rPr>
          <w:rFonts w:ascii="Arial" w:hAnsi="Arial" w:cs="Times New Roman"/>
          <w:sz w:val="21"/>
        </w:rPr>
        <w:t>2,400</w:t>
      </w:r>
      <w:r w:rsidRPr="003F5882">
        <w:rPr>
          <w:rFonts w:ascii="Arial" w:hAnsi="Arial" w:cs="Times New Roman"/>
          <w:sz w:val="21"/>
        </w:rPr>
        <w:t>万瑞郎，这</w:t>
      </w:r>
      <w:r w:rsidR="00F4070F" w:rsidRPr="003F5882">
        <w:rPr>
          <w:rFonts w:ascii="Arial" w:hAnsi="Arial" w:cs="Times New Roman" w:hint="eastAsia"/>
          <w:sz w:val="21"/>
        </w:rPr>
        <w:t>显然</w:t>
      </w:r>
      <w:r w:rsidRPr="003F5882">
        <w:rPr>
          <w:rFonts w:ascii="Arial" w:hAnsi="Arial" w:cs="Times New Roman"/>
          <w:sz w:val="21"/>
        </w:rPr>
        <w:t>将极大地影响本组织在</w:t>
      </w:r>
      <w:r w:rsidRPr="003F5882">
        <w:rPr>
          <w:rFonts w:ascii="Arial" w:hAnsi="Arial" w:cs="Times New Roman"/>
          <w:sz w:val="21"/>
        </w:rPr>
        <w:t>2015</w:t>
      </w:r>
      <w:r w:rsidRPr="003F5882">
        <w:rPr>
          <w:rFonts w:ascii="Arial" w:hAnsi="Arial" w:cs="Times New Roman"/>
          <w:sz w:val="21"/>
        </w:rPr>
        <w:t>年年底的现金余额。</w:t>
      </w:r>
    </w:p>
    <w:p w:rsidR="006C0099" w:rsidRPr="003F5882" w:rsidRDefault="006C0099" w:rsidP="00F04843">
      <w:pPr>
        <w:numPr>
          <w:ilvl w:val="0"/>
          <w:numId w:val="1"/>
        </w:numPr>
        <w:tabs>
          <w:tab w:val="clear" w:pos="567"/>
        </w:tabs>
        <w:overflowPunct w:val="0"/>
        <w:spacing w:afterLines="50" w:after="120" w:line="340" w:lineRule="atLeast"/>
        <w:jc w:val="both"/>
        <w:rPr>
          <w:rFonts w:ascii="Arial" w:hAnsi="Arial" w:cs="Times New Roman"/>
          <w:sz w:val="21"/>
          <w:szCs w:val="22"/>
        </w:rPr>
      </w:pPr>
      <w:r w:rsidRPr="003F5882">
        <w:rPr>
          <w:rFonts w:ascii="Arial" w:hAnsi="Arial" w:cs="Times New Roman"/>
          <w:sz w:val="21"/>
        </w:rPr>
        <w:lastRenderedPageBreak/>
        <w:t>本组织主要的现金流入是</w:t>
      </w:r>
      <w:r w:rsidRPr="003F5882">
        <w:rPr>
          <w:rFonts w:ascii="Arial" w:hAnsi="Arial" w:cs="Times New Roman"/>
          <w:sz w:val="21"/>
        </w:rPr>
        <w:t>PCT</w:t>
      </w:r>
      <w:r w:rsidRPr="003F5882">
        <w:rPr>
          <w:rFonts w:ascii="Arial" w:hAnsi="Arial" w:cs="Times New Roman"/>
          <w:sz w:val="21"/>
        </w:rPr>
        <w:t>活动相关的付款。</w:t>
      </w:r>
      <w:r w:rsidRPr="003F5882">
        <w:rPr>
          <w:rFonts w:ascii="Arial" w:hAnsi="Arial" w:cs="Times New Roman"/>
          <w:sz w:val="21"/>
        </w:rPr>
        <w:t>2014</w:t>
      </w:r>
      <w:r w:rsidRPr="003F5882">
        <w:rPr>
          <w:rFonts w:ascii="Arial" w:hAnsi="Arial" w:cs="Times New Roman"/>
          <w:sz w:val="21"/>
        </w:rPr>
        <w:t>年来自</w:t>
      </w:r>
      <w:r w:rsidRPr="003F5882">
        <w:rPr>
          <w:rFonts w:ascii="Arial" w:hAnsi="Arial" w:cs="Times New Roman"/>
          <w:sz w:val="21"/>
        </w:rPr>
        <w:t>PCT</w:t>
      </w:r>
      <w:r w:rsidRPr="003F5882">
        <w:rPr>
          <w:rFonts w:ascii="Arial" w:hAnsi="Arial" w:cs="Times New Roman"/>
          <w:sz w:val="21"/>
        </w:rPr>
        <w:t>活动的月均现金流入为</w:t>
      </w:r>
      <w:r w:rsidRPr="003F5882">
        <w:rPr>
          <w:rFonts w:ascii="Arial" w:hAnsi="Arial" w:cs="Times New Roman"/>
          <w:sz w:val="21"/>
        </w:rPr>
        <w:t>2,460</w:t>
      </w:r>
      <w:r w:rsidRPr="003F5882">
        <w:rPr>
          <w:rFonts w:ascii="Arial" w:hAnsi="Arial" w:cs="Times New Roman"/>
          <w:sz w:val="21"/>
        </w:rPr>
        <w:t>万瑞郎，相比之下，</w:t>
      </w:r>
      <w:r w:rsidRPr="003F5882">
        <w:rPr>
          <w:rFonts w:ascii="Arial" w:hAnsi="Arial" w:cs="Times New Roman"/>
          <w:sz w:val="21"/>
        </w:rPr>
        <w:t>2013</w:t>
      </w:r>
      <w:r w:rsidRPr="003F5882">
        <w:rPr>
          <w:rFonts w:ascii="Arial" w:hAnsi="Arial" w:cs="Times New Roman"/>
          <w:sz w:val="21"/>
        </w:rPr>
        <w:t>年的月均现金流入为</w:t>
      </w:r>
      <w:r w:rsidRPr="003F5882">
        <w:rPr>
          <w:rFonts w:ascii="Arial" w:hAnsi="Arial" w:cs="Times New Roman"/>
          <w:sz w:val="21"/>
        </w:rPr>
        <w:t>2,110</w:t>
      </w:r>
      <w:r w:rsidRPr="003F5882">
        <w:rPr>
          <w:rFonts w:ascii="Arial" w:hAnsi="Arial" w:cs="Times New Roman"/>
          <w:sz w:val="21"/>
        </w:rPr>
        <w:t>万瑞郎</w:t>
      </w:r>
      <w:r w:rsidR="000E71F4" w:rsidRPr="003F5882">
        <w:rPr>
          <w:rFonts w:ascii="Arial" w:hAnsi="Arial" w:cs="Times New Roman" w:hint="eastAsia"/>
          <w:sz w:val="21"/>
        </w:rPr>
        <w:t>；</w:t>
      </w:r>
      <w:r w:rsidRPr="003F5882">
        <w:rPr>
          <w:rFonts w:ascii="Arial" w:hAnsi="Arial" w:cs="Times New Roman"/>
          <w:sz w:val="21"/>
        </w:rPr>
        <w:t>而</w:t>
      </w:r>
      <w:r w:rsidRPr="003F5882">
        <w:rPr>
          <w:rFonts w:ascii="Arial" w:hAnsi="Arial" w:cs="Times New Roman"/>
          <w:sz w:val="21"/>
        </w:rPr>
        <w:t>2014</w:t>
      </w:r>
      <w:r w:rsidRPr="003F5882">
        <w:rPr>
          <w:rFonts w:ascii="Arial" w:hAnsi="Arial" w:cs="Times New Roman"/>
          <w:sz w:val="21"/>
        </w:rPr>
        <w:t>年其他来源的月均现金流入为</w:t>
      </w:r>
      <w:r w:rsidRPr="003F5882">
        <w:rPr>
          <w:rFonts w:ascii="Arial" w:hAnsi="Arial" w:cs="Times New Roman"/>
          <w:sz w:val="21"/>
        </w:rPr>
        <w:t>700</w:t>
      </w:r>
      <w:r w:rsidRPr="003F5882">
        <w:rPr>
          <w:rFonts w:ascii="Arial" w:hAnsi="Arial" w:cs="Times New Roman"/>
          <w:sz w:val="21"/>
        </w:rPr>
        <w:t>万瑞郎，相比之下，</w:t>
      </w:r>
      <w:r w:rsidRPr="003F5882">
        <w:rPr>
          <w:rFonts w:ascii="Arial" w:hAnsi="Arial" w:cs="Times New Roman"/>
          <w:sz w:val="21"/>
        </w:rPr>
        <w:t>2013</w:t>
      </w:r>
      <w:r w:rsidRPr="003F5882">
        <w:rPr>
          <w:rFonts w:ascii="Arial" w:hAnsi="Arial" w:cs="Times New Roman"/>
          <w:sz w:val="21"/>
        </w:rPr>
        <w:t>年为</w:t>
      </w:r>
      <w:r w:rsidRPr="003F5882">
        <w:rPr>
          <w:rFonts w:ascii="Arial" w:hAnsi="Arial" w:cs="Times New Roman"/>
          <w:sz w:val="21"/>
        </w:rPr>
        <w:t>730</w:t>
      </w:r>
      <w:r w:rsidRPr="003F5882">
        <w:rPr>
          <w:rFonts w:ascii="Arial" w:hAnsi="Arial" w:cs="Times New Roman"/>
          <w:sz w:val="21"/>
        </w:rPr>
        <w:t>万瑞郎。如下一页的图</w:t>
      </w:r>
      <w:r w:rsidR="000E71F4" w:rsidRPr="003F5882">
        <w:rPr>
          <w:rFonts w:ascii="Arial" w:hAnsi="Arial" w:cs="Times New Roman" w:hint="eastAsia"/>
          <w:sz w:val="21"/>
        </w:rPr>
        <w:t>表</w:t>
      </w:r>
      <w:r w:rsidRPr="003F5882">
        <w:rPr>
          <w:rFonts w:ascii="Arial" w:hAnsi="Arial" w:cs="Times New Roman"/>
          <w:sz w:val="21"/>
        </w:rPr>
        <w:t>所示，各月现金流入有着显著差异。由于弥补</w:t>
      </w:r>
      <w:r w:rsidRPr="003F5882">
        <w:rPr>
          <w:rFonts w:ascii="Arial" w:hAnsi="Arial" w:cs="Times New Roman"/>
          <w:sz w:val="21"/>
        </w:rPr>
        <w:t>2013</w:t>
      </w:r>
      <w:r w:rsidRPr="003F5882">
        <w:rPr>
          <w:rFonts w:ascii="Arial" w:hAnsi="Arial" w:cs="Times New Roman"/>
          <w:sz w:val="21"/>
        </w:rPr>
        <w:t>年申请的欠款以及</w:t>
      </w:r>
      <w:r w:rsidRPr="003F5882">
        <w:rPr>
          <w:rFonts w:ascii="Arial" w:hAnsi="Arial" w:cs="Times New Roman"/>
          <w:sz w:val="21"/>
        </w:rPr>
        <w:t>2014</w:t>
      </w:r>
      <w:r w:rsidRPr="003F5882">
        <w:rPr>
          <w:rFonts w:ascii="Arial" w:hAnsi="Arial" w:cs="Times New Roman"/>
          <w:sz w:val="21"/>
        </w:rPr>
        <w:t>年</w:t>
      </w:r>
      <w:r w:rsidRPr="003F5882">
        <w:rPr>
          <w:rFonts w:ascii="Arial" w:hAnsi="Arial" w:cs="Times New Roman"/>
          <w:sz w:val="21"/>
        </w:rPr>
        <w:t>3</w:t>
      </w:r>
      <w:r w:rsidRPr="003F5882">
        <w:rPr>
          <w:rFonts w:ascii="Arial" w:hAnsi="Arial" w:cs="Times New Roman"/>
          <w:sz w:val="21"/>
        </w:rPr>
        <w:t>月申请水平上升，</w:t>
      </w:r>
      <w:r w:rsidRPr="003F5882">
        <w:rPr>
          <w:rFonts w:ascii="Arial" w:hAnsi="Arial" w:cs="Times New Roman"/>
          <w:sz w:val="21"/>
        </w:rPr>
        <w:t>2014</w:t>
      </w:r>
      <w:r w:rsidRPr="003F5882">
        <w:rPr>
          <w:rFonts w:ascii="Arial" w:hAnsi="Arial" w:cs="Times New Roman"/>
          <w:sz w:val="21"/>
        </w:rPr>
        <w:t>年</w:t>
      </w:r>
      <w:r w:rsidRPr="003F5882">
        <w:rPr>
          <w:rFonts w:ascii="Arial" w:hAnsi="Arial" w:cs="Times New Roman"/>
          <w:sz w:val="21"/>
        </w:rPr>
        <w:t>4</w:t>
      </w:r>
      <w:r w:rsidRPr="003F5882">
        <w:rPr>
          <w:rFonts w:ascii="Arial" w:hAnsi="Arial" w:cs="Times New Roman"/>
          <w:sz w:val="21"/>
        </w:rPr>
        <w:t>月和</w:t>
      </w:r>
      <w:r w:rsidRPr="003F5882">
        <w:rPr>
          <w:rFonts w:ascii="Arial" w:hAnsi="Arial" w:cs="Times New Roman"/>
          <w:sz w:val="21"/>
        </w:rPr>
        <w:t>5</w:t>
      </w:r>
      <w:r w:rsidRPr="003F5882">
        <w:rPr>
          <w:rFonts w:ascii="Arial" w:hAnsi="Arial" w:cs="Times New Roman"/>
          <w:sz w:val="21"/>
        </w:rPr>
        <w:t>月来自</w:t>
      </w:r>
      <w:r w:rsidRPr="003F5882">
        <w:rPr>
          <w:rFonts w:ascii="Arial" w:hAnsi="Arial" w:cs="Times New Roman"/>
          <w:sz w:val="21"/>
        </w:rPr>
        <w:t>PCT</w:t>
      </w:r>
      <w:r w:rsidRPr="003F5882">
        <w:rPr>
          <w:rFonts w:ascii="Arial" w:hAnsi="Arial" w:cs="Times New Roman"/>
          <w:sz w:val="21"/>
        </w:rPr>
        <w:t>活动的现金流</w:t>
      </w:r>
      <w:r w:rsidR="000E71F4" w:rsidRPr="003F5882">
        <w:rPr>
          <w:rFonts w:ascii="Arial" w:hAnsi="Arial" w:cs="Times New Roman" w:hint="eastAsia"/>
          <w:sz w:val="21"/>
        </w:rPr>
        <w:t>入</w:t>
      </w:r>
      <w:r w:rsidRPr="003F5882">
        <w:rPr>
          <w:rFonts w:ascii="Arial" w:hAnsi="Arial" w:cs="Times New Roman"/>
          <w:sz w:val="21"/>
        </w:rPr>
        <w:t>明显较高。</w:t>
      </w:r>
      <w:r w:rsidRPr="003F5882">
        <w:rPr>
          <w:rFonts w:ascii="Arial" w:hAnsi="Arial" w:cs="Times New Roman"/>
          <w:sz w:val="21"/>
        </w:rPr>
        <w:t>2014</w:t>
      </w:r>
      <w:r w:rsidRPr="003F5882">
        <w:rPr>
          <w:rFonts w:ascii="Arial" w:hAnsi="Arial" w:cs="Times New Roman"/>
          <w:sz w:val="21"/>
        </w:rPr>
        <w:t>年</w:t>
      </w:r>
      <w:r w:rsidRPr="003F5882">
        <w:rPr>
          <w:rFonts w:ascii="Arial" w:hAnsi="Arial" w:cs="Times New Roman"/>
          <w:sz w:val="21"/>
        </w:rPr>
        <w:t>7</w:t>
      </w:r>
      <w:r w:rsidRPr="003F5882">
        <w:rPr>
          <w:rFonts w:ascii="Arial" w:hAnsi="Arial" w:cs="Times New Roman"/>
          <w:sz w:val="21"/>
        </w:rPr>
        <w:t>月</w:t>
      </w:r>
      <w:r w:rsidR="007E074E" w:rsidRPr="003F5882">
        <w:rPr>
          <w:rFonts w:ascii="Arial" w:hAnsi="Arial" w:cs="Times New Roman" w:hint="eastAsia"/>
          <w:sz w:val="21"/>
        </w:rPr>
        <w:t>，</w:t>
      </w:r>
      <w:r w:rsidRPr="003F5882">
        <w:rPr>
          <w:rFonts w:ascii="Arial" w:hAnsi="Arial" w:cs="Times New Roman"/>
          <w:sz w:val="21"/>
        </w:rPr>
        <w:t>由于未从</w:t>
      </w:r>
      <w:r w:rsidR="007E074E" w:rsidRPr="003F5882">
        <w:rPr>
          <w:rFonts w:ascii="Arial" w:hAnsi="Arial" w:cs="Times New Roman" w:hint="eastAsia"/>
          <w:sz w:val="21"/>
        </w:rPr>
        <w:t>两个</w:t>
      </w:r>
      <w:r w:rsidRPr="003F5882">
        <w:rPr>
          <w:rFonts w:ascii="Arial" w:hAnsi="Arial" w:cs="Times New Roman"/>
          <w:sz w:val="21"/>
        </w:rPr>
        <w:t>受理局收到付款，因此现金流入低于平均水平。</w:t>
      </w:r>
    </w:p>
    <w:p w:rsidR="006C0099" w:rsidRPr="003F5882" w:rsidRDefault="006C0099" w:rsidP="003F5882">
      <w:pPr>
        <w:keepNext/>
        <w:spacing w:afterLines="50" w:after="120" w:line="340" w:lineRule="atLeast"/>
        <w:jc w:val="center"/>
        <w:rPr>
          <w:rFonts w:ascii="Arial" w:hAnsi="Arial" w:cs="Times New Roman"/>
          <w:sz w:val="21"/>
          <w:u w:val="single"/>
        </w:rPr>
      </w:pPr>
      <w:r w:rsidRPr="00F453AC">
        <w:rPr>
          <w:rFonts w:ascii="Arial" w:hAnsi="Arial" w:cs="Times New Roman"/>
          <w:sz w:val="21"/>
          <w:u w:val="single"/>
        </w:rPr>
        <w:t>2014</w:t>
      </w:r>
      <w:r w:rsidRPr="00F453AC">
        <w:rPr>
          <w:rFonts w:ascii="Arial" w:hAnsi="Arial" w:cs="Times New Roman"/>
          <w:sz w:val="21"/>
          <w:u w:val="single"/>
        </w:rPr>
        <w:t>年</w:t>
      </w:r>
      <w:r w:rsidR="007F3925" w:rsidRPr="00F453AC">
        <w:rPr>
          <w:rFonts w:ascii="Arial" w:hAnsi="Arial" w:cs="Times New Roman" w:hint="eastAsia"/>
          <w:sz w:val="21"/>
          <w:u w:val="single"/>
        </w:rPr>
        <w:t>每</w:t>
      </w:r>
      <w:r w:rsidRPr="00F453AC">
        <w:rPr>
          <w:rFonts w:ascii="Arial" w:hAnsi="Arial" w:cs="Times New Roman"/>
          <w:sz w:val="21"/>
          <w:u w:val="single"/>
        </w:rPr>
        <w:t>月现金流入</w:t>
      </w:r>
    </w:p>
    <w:p w:rsidR="006C0099" w:rsidRPr="00F453AC" w:rsidRDefault="00D84912" w:rsidP="00D84912">
      <w:pPr>
        <w:pStyle w:val="ONUME"/>
        <w:numPr>
          <w:ilvl w:val="0"/>
          <w:numId w:val="0"/>
        </w:numPr>
        <w:spacing w:afterLines="50" w:after="120" w:line="340" w:lineRule="atLeast"/>
        <w:jc w:val="center"/>
        <w:rPr>
          <w:rFonts w:ascii="Arial" w:hAnsi="Arial" w:cs="Times New Roman"/>
          <w:sz w:val="21"/>
        </w:rPr>
      </w:pPr>
      <w:r w:rsidRPr="00D84912">
        <w:rPr>
          <w:noProof/>
          <w:lang w:val="en-US" w:bidi="ar-SA"/>
        </w:rPr>
        <w:drawing>
          <wp:inline distT="0" distB="0" distL="0" distR="0">
            <wp:extent cx="5124450" cy="2954655"/>
            <wp:effectExtent l="0" t="0" r="0" b="0"/>
            <wp:docPr id="123"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124450" cy="2954655"/>
                    </a:xfrm>
                    <a:prstGeom prst="rect">
                      <a:avLst/>
                    </a:prstGeom>
                    <a:noFill/>
                    <a:ln>
                      <a:noFill/>
                    </a:ln>
                  </pic:spPr>
                </pic:pic>
              </a:graphicData>
            </a:graphic>
          </wp:inline>
        </w:drawing>
      </w:r>
    </w:p>
    <w:p w:rsidR="006C0099" w:rsidRPr="00F453AC" w:rsidRDefault="006C0099" w:rsidP="003F5882">
      <w:pPr>
        <w:keepNext/>
        <w:spacing w:afterLines="50" w:after="120" w:line="340" w:lineRule="atLeast"/>
        <w:jc w:val="center"/>
        <w:rPr>
          <w:rFonts w:ascii="Arial" w:hAnsi="Arial" w:cs="Times New Roman"/>
          <w:sz w:val="21"/>
          <w:szCs w:val="22"/>
          <w:u w:val="single"/>
        </w:rPr>
      </w:pPr>
      <w:r w:rsidRPr="00F453AC">
        <w:rPr>
          <w:rFonts w:ascii="Arial" w:hAnsi="Arial" w:cs="Times New Roman"/>
          <w:sz w:val="21"/>
          <w:u w:val="single"/>
        </w:rPr>
        <w:t>2013</w:t>
      </w:r>
      <w:r w:rsidRPr="00F453AC">
        <w:rPr>
          <w:rFonts w:ascii="Arial" w:hAnsi="Arial" w:cs="Times New Roman"/>
          <w:sz w:val="21"/>
          <w:u w:val="single"/>
        </w:rPr>
        <w:t>年</w:t>
      </w:r>
      <w:r w:rsidR="007F3925" w:rsidRPr="00F453AC">
        <w:rPr>
          <w:rFonts w:ascii="Arial" w:hAnsi="Arial" w:cs="Times New Roman" w:hint="eastAsia"/>
          <w:sz w:val="21"/>
          <w:u w:val="single"/>
        </w:rPr>
        <w:t>每</w:t>
      </w:r>
      <w:r w:rsidRPr="00F453AC">
        <w:rPr>
          <w:rFonts w:ascii="Arial" w:hAnsi="Arial" w:cs="Times New Roman"/>
          <w:sz w:val="21"/>
          <w:u w:val="single"/>
        </w:rPr>
        <w:t>月现金流入</w:t>
      </w:r>
    </w:p>
    <w:p w:rsidR="00D84912" w:rsidRDefault="00D84912" w:rsidP="00D84912">
      <w:pPr>
        <w:pStyle w:val="ONUME"/>
        <w:numPr>
          <w:ilvl w:val="0"/>
          <w:numId w:val="0"/>
        </w:numPr>
        <w:spacing w:afterLines="50" w:after="120" w:line="340" w:lineRule="atLeast"/>
        <w:jc w:val="center"/>
        <w:rPr>
          <w:rFonts w:ascii="Arial" w:hAnsi="Arial" w:cs="Times New Roman"/>
          <w:noProof/>
          <w:sz w:val="21"/>
          <w:lang w:val="en-US" w:bidi="ar-SA"/>
        </w:rPr>
      </w:pPr>
      <w:r w:rsidRPr="00D84912">
        <w:rPr>
          <w:rFonts w:hint="eastAsia"/>
          <w:noProof/>
          <w:lang w:val="en-US" w:bidi="ar-SA"/>
        </w:rPr>
        <w:drawing>
          <wp:inline distT="0" distB="0" distL="0" distR="0">
            <wp:extent cx="5131435" cy="2920365"/>
            <wp:effectExtent l="0" t="0" r="0" b="0"/>
            <wp:docPr id="124" name="图片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131435" cy="2920365"/>
                    </a:xfrm>
                    <a:prstGeom prst="rect">
                      <a:avLst/>
                    </a:prstGeom>
                    <a:noFill/>
                    <a:ln>
                      <a:noFill/>
                    </a:ln>
                  </pic:spPr>
                </pic:pic>
              </a:graphicData>
            </a:graphic>
          </wp:inline>
        </w:drawing>
      </w:r>
    </w:p>
    <w:p w:rsidR="006C0099" w:rsidRPr="00F453AC" w:rsidRDefault="006C0099" w:rsidP="00637B23">
      <w:pPr>
        <w:pStyle w:val="ONUME"/>
        <w:numPr>
          <w:ilvl w:val="0"/>
          <w:numId w:val="0"/>
        </w:numPr>
        <w:spacing w:afterLines="50" w:after="120" w:line="340" w:lineRule="atLeast"/>
        <w:jc w:val="center"/>
        <w:rPr>
          <w:rFonts w:ascii="Arial" w:hAnsi="Arial" w:cs="Times New Roman"/>
          <w:sz w:val="21"/>
          <w:szCs w:val="22"/>
        </w:rPr>
      </w:pPr>
      <w:r w:rsidRPr="00F453AC">
        <w:rPr>
          <w:rFonts w:ascii="Arial" w:hAnsi="Arial" w:cs="Times New Roman"/>
          <w:sz w:val="21"/>
        </w:rPr>
        <w:br w:type="page"/>
      </w:r>
      <w:r w:rsidRPr="00F453AC">
        <w:rPr>
          <w:rFonts w:ascii="Arial" w:eastAsia="SimHei" w:hAnsi="Arial" w:cs="Times New Roman"/>
          <w:caps/>
          <w:kern w:val="32"/>
          <w:sz w:val="21"/>
        </w:rPr>
        <w:lastRenderedPageBreak/>
        <w:t>报表一</w:t>
      </w:r>
      <w:r w:rsidRPr="00F453AC">
        <w:rPr>
          <w:rFonts w:ascii="Arial" w:eastAsia="SimHei" w:hAnsi="Arial" w:cs="Times New Roman"/>
          <w:bCs/>
          <w:caps/>
          <w:kern w:val="32"/>
          <w:sz w:val="21"/>
          <w:szCs w:val="32"/>
        </w:rPr>
        <w:br/>
      </w:r>
      <w:r w:rsidRPr="00F453AC">
        <w:rPr>
          <w:rFonts w:ascii="Arial" w:eastAsia="SimHei" w:hAnsi="Arial" w:cs="Times New Roman"/>
          <w:bCs/>
          <w:caps/>
          <w:kern w:val="32"/>
          <w:sz w:val="21"/>
          <w:szCs w:val="32"/>
        </w:rPr>
        <w:br/>
      </w:r>
      <w:r w:rsidRPr="00F453AC">
        <w:rPr>
          <w:rFonts w:ascii="Arial" w:eastAsia="SimHei" w:hAnsi="Arial" w:cs="Times New Roman"/>
          <w:caps/>
          <w:kern w:val="32"/>
          <w:sz w:val="21"/>
        </w:rPr>
        <w:t>财务状况表</w:t>
      </w:r>
    </w:p>
    <w:p w:rsidR="006C0099" w:rsidRPr="005D406D" w:rsidRDefault="006C0099" w:rsidP="005D406D">
      <w:pPr>
        <w:spacing w:line="340" w:lineRule="atLeast"/>
        <w:jc w:val="center"/>
        <w:rPr>
          <w:rFonts w:eastAsia="SimSun" w:cs="Times New Roman"/>
          <w:b/>
          <w:sz w:val="21"/>
          <w:szCs w:val="22"/>
        </w:rPr>
      </w:pPr>
      <w:r w:rsidRPr="005D406D">
        <w:rPr>
          <w:rFonts w:eastAsia="SimSun" w:cs="Times New Roman"/>
          <w:b/>
          <w:sz w:val="21"/>
        </w:rPr>
        <w:t>截至2014年12月31日</w:t>
      </w:r>
    </w:p>
    <w:p w:rsidR="006C0099" w:rsidRPr="005D406D" w:rsidRDefault="00F453AC" w:rsidP="005D406D">
      <w:pPr>
        <w:spacing w:afterLines="200" w:after="480" w:line="340" w:lineRule="atLeast"/>
        <w:jc w:val="center"/>
        <w:rPr>
          <w:rFonts w:ascii="Arial" w:eastAsia="KaiTi" w:hAnsi="Arial" w:cs="Times New Roman"/>
          <w:i/>
          <w:sz w:val="21"/>
          <w:szCs w:val="22"/>
        </w:rPr>
      </w:pPr>
      <w:r w:rsidRPr="005D406D">
        <w:rPr>
          <w:rFonts w:ascii="Arial" w:eastAsia="KaiTi" w:hAnsi="Arial" w:cs="Times New Roman" w:hint="eastAsia"/>
          <w:i/>
          <w:sz w:val="21"/>
        </w:rPr>
        <w:t>（</w:t>
      </w:r>
      <w:r w:rsidR="006C0099" w:rsidRPr="005D406D">
        <w:rPr>
          <w:rFonts w:ascii="Arial" w:eastAsia="KaiTi" w:hAnsi="Arial" w:cs="Times New Roman"/>
          <w:i/>
          <w:sz w:val="21"/>
        </w:rPr>
        <w:t>单位：</w:t>
      </w:r>
      <w:proofErr w:type="gramStart"/>
      <w:r w:rsidR="006C0099" w:rsidRPr="005D406D">
        <w:rPr>
          <w:rFonts w:ascii="Arial" w:eastAsia="KaiTi" w:hAnsi="Arial" w:cs="Times New Roman"/>
          <w:i/>
          <w:sz w:val="21"/>
        </w:rPr>
        <w:t>千瑞郎</w:t>
      </w:r>
      <w:proofErr w:type="gramEnd"/>
      <w:r w:rsidRPr="005D406D">
        <w:rPr>
          <w:rFonts w:ascii="Arial" w:eastAsia="KaiTi" w:hAnsi="Arial" w:cs="Times New Roman" w:hint="eastAsia"/>
          <w:i/>
          <w:sz w:val="21"/>
        </w:rPr>
        <w:t>）</w:t>
      </w:r>
    </w:p>
    <w:p w:rsidR="006C0099" w:rsidRPr="00F453AC" w:rsidRDefault="00DA4636" w:rsidP="006C0099">
      <w:pPr>
        <w:jc w:val="center"/>
        <w:rPr>
          <w:rFonts w:ascii="Arial" w:eastAsia="SimSun" w:hAnsi="Arial" w:cs="Times New Roman"/>
        </w:rPr>
      </w:pPr>
      <w:r w:rsidRPr="00DA4636">
        <w:rPr>
          <w:noProof/>
          <w:lang w:val="en-US" w:bidi="ar-SA"/>
        </w:rPr>
        <w:drawing>
          <wp:inline distT="0" distB="0" distL="0" distR="0" wp14:anchorId="5033FF1D" wp14:editId="75CEE781">
            <wp:extent cx="5977255" cy="6955914"/>
            <wp:effectExtent l="0" t="0" r="4445" b="0"/>
            <wp:docPr id="125" name="图片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977255" cy="6955914"/>
                    </a:xfrm>
                    <a:prstGeom prst="rect">
                      <a:avLst/>
                    </a:prstGeom>
                    <a:noFill/>
                    <a:ln>
                      <a:noFill/>
                    </a:ln>
                  </pic:spPr>
                </pic:pic>
              </a:graphicData>
            </a:graphic>
          </wp:inline>
        </w:drawing>
      </w:r>
    </w:p>
    <w:p w:rsidR="006C0099" w:rsidRDefault="006C0099" w:rsidP="006C0099">
      <w:pPr>
        <w:rPr>
          <w:rFonts w:ascii="Arial" w:hAnsi="Arial" w:cs="Times New Roman"/>
        </w:rPr>
      </w:pPr>
    </w:p>
    <w:p w:rsidR="00DA4636" w:rsidRPr="003F5882" w:rsidRDefault="00DA4636" w:rsidP="006C0099">
      <w:pPr>
        <w:rPr>
          <w:rFonts w:ascii="Arial" w:hAnsi="Arial" w:cs="Times New Roman"/>
        </w:rPr>
        <w:sectPr w:rsidR="00DA4636" w:rsidRPr="003F5882" w:rsidSect="00737FA8">
          <w:headerReference w:type="even" r:id="rId51"/>
          <w:pgSz w:w="11907" w:h="16840" w:code="9"/>
          <w:pgMar w:top="851" w:right="1247" w:bottom="1191" w:left="1247" w:header="709" w:footer="709" w:gutter="0"/>
          <w:cols w:space="708"/>
          <w:docGrid w:linePitch="360"/>
        </w:sectPr>
      </w:pPr>
    </w:p>
    <w:p w:rsidR="006C0099" w:rsidRPr="005D406D" w:rsidRDefault="006C0099" w:rsidP="005D406D">
      <w:pPr>
        <w:pStyle w:val="ONUME"/>
        <w:numPr>
          <w:ilvl w:val="0"/>
          <w:numId w:val="0"/>
        </w:numPr>
        <w:spacing w:afterLines="50" w:after="120" w:line="340" w:lineRule="atLeast"/>
        <w:jc w:val="center"/>
        <w:rPr>
          <w:rFonts w:ascii="Arial" w:eastAsia="SimHei" w:hAnsi="Arial" w:cs="Times New Roman"/>
          <w:caps/>
          <w:kern w:val="32"/>
          <w:sz w:val="21"/>
        </w:rPr>
      </w:pPr>
      <w:r w:rsidRPr="005D406D">
        <w:rPr>
          <w:rFonts w:ascii="Arial" w:eastAsia="SimHei" w:hAnsi="Arial" w:cs="Times New Roman"/>
          <w:caps/>
          <w:kern w:val="32"/>
          <w:sz w:val="21"/>
        </w:rPr>
        <w:lastRenderedPageBreak/>
        <w:t>报表</w:t>
      </w:r>
      <w:r w:rsidRPr="00F453AC">
        <w:rPr>
          <w:rFonts w:ascii="Arial" w:eastAsia="SimHei" w:hAnsi="Arial" w:cs="Times New Roman"/>
          <w:b/>
          <w:caps/>
          <w:kern w:val="32"/>
          <w:sz w:val="21"/>
        </w:rPr>
        <w:t>二</w:t>
      </w:r>
      <w:r w:rsidRPr="00F453AC">
        <w:rPr>
          <w:rFonts w:ascii="Arial" w:eastAsia="SimHei" w:hAnsi="Arial" w:cs="Times New Roman"/>
          <w:b/>
          <w:bCs/>
          <w:caps/>
          <w:kern w:val="32"/>
          <w:sz w:val="21"/>
          <w:szCs w:val="32"/>
        </w:rPr>
        <w:br/>
      </w:r>
      <w:r w:rsidRPr="005D406D">
        <w:rPr>
          <w:rFonts w:ascii="Arial" w:eastAsia="SimHei" w:hAnsi="Arial" w:cs="Times New Roman"/>
          <w:caps/>
          <w:kern w:val="32"/>
          <w:sz w:val="21"/>
        </w:rPr>
        <w:br/>
      </w:r>
      <w:r w:rsidRPr="005D406D">
        <w:rPr>
          <w:rFonts w:ascii="Arial" w:eastAsia="SimHei" w:hAnsi="Arial" w:cs="Times New Roman"/>
          <w:caps/>
          <w:kern w:val="32"/>
          <w:sz w:val="21"/>
        </w:rPr>
        <w:t>财务执行情况表</w:t>
      </w:r>
    </w:p>
    <w:p w:rsidR="006C0099" w:rsidRPr="005D406D" w:rsidRDefault="006C0099" w:rsidP="005D406D">
      <w:pPr>
        <w:spacing w:line="340" w:lineRule="atLeast"/>
        <w:jc w:val="center"/>
        <w:rPr>
          <w:rFonts w:eastAsia="SimSun" w:cs="Times New Roman"/>
          <w:b/>
          <w:sz w:val="21"/>
        </w:rPr>
      </w:pPr>
      <w:r w:rsidRPr="005D406D">
        <w:rPr>
          <w:rFonts w:eastAsia="SimSun" w:cs="Times New Roman"/>
          <w:b/>
          <w:sz w:val="21"/>
        </w:rPr>
        <w:t>2014年12月31日截止的年度</w:t>
      </w:r>
    </w:p>
    <w:p w:rsidR="006C0099" w:rsidRPr="005D406D" w:rsidRDefault="00F453AC" w:rsidP="005D406D">
      <w:pPr>
        <w:spacing w:afterLines="200" w:after="480" w:line="340" w:lineRule="atLeast"/>
        <w:jc w:val="center"/>
        <w:rPr>
          <w:rFonts w:ascii="Arial" w:eastAsia="KaiTi" w:hAnsi="Arial" w:cs="Times New Roman"/>
          <w:i/>
          <w:sz w:val="21"/>
        </w:rPr>
      </w:pPr>
      <w:r w:rsidRPr="005D406D">
        <w:rPr>
          <w:rFonts w:ascii="Arial" w:eastAsia="KaiTi" w:hAnsi="Arial" w:cs="Times New Roman" w:hint="eastAsia"/>
          <w:i/>
          <w:sz w:val="21"/>
        </w:rPr>
        <w:t>（</w:t>
      </w:r>
      <w:r w:rsidR="006C0099" w:rsidRPr="005D406D">
        <w:rPr>
          <w:rFonts w:ascii="Arial" w:eastAsia="KaiTi" w:hAnsi="Arial" w:cs="Times New Roman"/>
          <w:i/>
          <w:sz w:val="21"/>
        </w:rPr>
        <w:t>单位：</w:t>
      </w:r>
      <w:proofErr w:type="gramStart"/>
      <w:r w:rsidR="006C0099" w:rsidRPr="005D406D">
        <w:rPr>
          <w:rFonts w:ascii="Arial" w:eastAsia="KaiTi" w:hAnsi="Arial" w:cs="Times New Roman"/>
          <w:i/>
          <w:sz w:val="21"/>
        </w:rPr>
        <w:t>千瑞郎</w:t>
      </w:r>
      <w:proofErr w:type="gramEnd"/>
      <w:r w:rsidRPr="005D406D">
        <w:rPr>
          <w:rFonts w:ascii="Arial" w:eastAsia="KaiTi" w:hAnsi="Arial" w:cs="Times New Roman" w:hint="eastAsia"/>
          <w:i/>
          <w:sz w:val="21"/>
        </w:rPr>
        <w:t>）</w:t>
      </w:r>
    </w:p>
    <w:p w:rsidR="00DA4636" w:rsidRDefault="00DA4636" w:rsidP="00DA4636">
      <w:pPr>
        <w:pStyle w:val="ONUME"/>
        <w:numPr>
          <w:ilvl w:val="0"/>
          <w:numId w:val="0"/>
        </w:numPr>
        <w:spacing w:after="0"/>
        <w:jc w:val="center"/>
        <w:rPr>
          <w:rFonts w:ascii="Arial" w:eastAsia="SimHei" w:hAnsi="Arial" w:cs="Times New Roman"/>
          <w:b/>
          <w:noProof/>
          <w:lang w:val="en-US" w:bidi="ar-SA"/>
        </w:rPr>
      </w:pPr>
      <w:r w:rsidRPr="00DA4636">
        <w:rPr>
          <w:rFonts w:hint="eastAsia"/>
          <w:noProof/>
          <w:lang w:val="en-US" w:bidi="ar-SA"/>
        </w:rPr>
        <w:drawing>
          <wp:inline distT="0" distB="0" distL="0" distR="0">
            <wp:extent cx="5841365" cy="5479415"/>
            <wp:effectExtent l="0" t="0" r="6985" b="6985"/>
            <wp:docPr id="126" name="图片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841365" cy="5479415"/>
                    </a:xfrm>
                    <a:prstGeom prst="rect">
                      <a:avLst/>
                    </a:prstGeom>
                    <a:noFill/>
                    <a:ln>
                      <a:noFill/>
                    </a:ln>
                  </pic:spPr>
                </pic:pic>
              </a:graphicData>
            </a:graphic>
          </wp:inline>
        </w:drawing>
      </w:r>
    </w:p>
    <w:p w:rsidR="006C0099" w:rsidRPr="005D406D" w:rsidRDefault="006C0099" w:rsidP="005D406D">
      <w:pPr>
        <w:pStyle w:val="ONUME"/>
        <w:numPr>
          <w:ilvl w:val="0"/>
          <w:numId w:val="0"/>
        </w:numPr>
        <w:spacing w:afterLines="50" w:after="120" w:line="340" w:lineRule="atLeast"/>
        <w:jc w:val="center"/>
        <w:rPr>
          <w:rFonts w:ascii="Arial" w:eastAsia="SimHei" w:hAnsi="Arial" w:cs="Times New Roman"/>
          <w:caps/>
          <w:kern w:val="32"/>
          <w:sz w:val="21"/>
        </w:rPr>
      </w:pPr>
      <w:r w:rsidRPr="00F453AC">
        <w:rPr>
          <w:rFonts w:ascii="Arial" w:eastAsia="SimHei" w:hAnsi="Arial" w:cs="Times New Roman"/>
          <w:b/>
        </w:rPr>
        <w:br w:type="page"/>
      </w:r>
      <w:r w:rsidRPr="005D406D">
        <w:rPr>
          <w:rFonts w:ascii="Arial" w:eastAsia="SimHei" w:hAnsi="Arial" w:cs="Times New Roman"/>
          <w:caps/>
          <w:kern w:val="32"/>
          <w:sz w:val="21"/>
        </w:rPr>
        <w:lastRenderedPageBreak/>
        <w:t>报表三</w:t>
      </w:r>
      <w:r w:rsidRPr="005D406D">
        <w:rPr>
          <w:rFonts w:ascii="Arial" w:eastAsia="SimHei" w:hAnsi="Arial" w:cs="Times New Roman"/>
          <w:caps/>
          <w:kern w:val="32"/>
          <w:sz w:val="21"/>
        </w:rPr>
        <w:br/>
      </w:r>
      <w:r w:rsidRPr="005D406D">
        <w:rPr>
          <w:rFonts w:ascii="Arial" w:eastAsia="SimHei" w:hAnsi="Arial" w:cs="Times New Roman"/>
          <w:caps/>
          <w:kern w:val="32"/>
          <w:sz w:val="21"/>
        </w:rPr>
        <w:br/>
      </w:r>
      <w:r w:rsidRPr="005D406D">
        <w:rPr>
          <w:rFonts w:ascii="Arial" w:eastAsia="SimHei" w:hAnsi="Arial" w:cs="Times New Roman"/>
          <w:caps/>
          <w:kern w:val="32"/>
          <w:sz w:val="21"/>
        </w:rPr>
        <w:t>净资产变动表</w:t>
      </w:r>
    </w:p>
    <w:p w:rsidR="006C0099" w:rsidRPr="005D406D" w:rsidRDefault="006C0099" w:rsidP="005D406D">
      <w:pPr>
        <w:spacing w:line="340" w:lineRule="atLeast"/>
        <w:jc w:val="center"/>
        <w:rPr>
          <w:rFonts w:eastAsia="SimSun" w:cs="Times New Roman"/>
          <w:b/>
          <w:sz w:val="21"/>
        </w:rPr>
      </w:pPr>
      <w:r w:rsidRPr="005D406D">
        <w:rPr>
          <w:rFonts w:eastAsia="SimSun" w:cs="Times New Roman"/>
          <w:b/>
          <w:sz w:val="21"/>
        </w:rPr>
        <w:t>2014年12月31日截止的年度</w:t>
      </w:r>
    </w:p>
    <w:p w:rsidR="006C0099" w:rsidRPr="005D406D" w:rsidRDefault="00F453AC" w:rsidP="005D406D">
      <w:pPr>
        <w:spacing w:afterLines="200" w:after="480" w:line="340" w:lineRule="atLeast"/>
        <w:jc w:val="center"/>
        <w:rPr>
          <w:rFonts w:ascii="Arial" w:eastAsia="KaiTi" w:hAnsi="Arial" w:cs="Times New Roman"/>
          <w:i/>
          <w:sz w:val="21"/>
        </w:rPr>
      </w:pPr>
      <w:r w:rsidRPr="005D406D">
        <w:rPr>
          <w:rFonts w:ascii="Arial" w:eastAsia="KaiTi" w:hAnsi="Arial" w:cs="Times New Roman" w:hint="eastAsia"/>
          <w:i/>
          <w:sz w:val="21"/>
        </w:rPr>
        <w:t>（</w:t>
      </w:r>
      <w:r w:rsidR="006C0099" w:rsidRPr="005D406D">
        <w:rPr>
          <w:rFonts w:ascii="Arial" w:eastAsia="KaiTi" w:hAnsi="Arial" w:cs="Times New Roman"/>
          <w:i/>
          <w:sz w:val="21"/>
        </w:rPr>
        <w:t>单位：</w:t>
      </w:r>
      <w:proofErr w:type="gramStart"/>
      <w:r w:rsidR="006C0099" w:rsidRPr="005D406D">
        <w:rPr>
          <w:rFonts w:ascii="Arial" w:eastAsia="KaiTi" w:hAnsi="Arial" w:cs="Times New Roman"/>
          <w:i/>
          <w:sz w:val="21"/>
        </w:rPr>
        <w:t>千瑞郎</w:t>
      </w:r>
      <w:proofErr w:type="gramEnd"/>
      <w:r w:rsidRPr="005D406D">
        <w:rPr>
          <w:rFonts w:ascii="Arial" w:eastAsia="KaiTi" w:hAnsi="Arial" w:cs="Times New Roman" w:hint="eastAsia"/>
          <w:i/>
          <w:sz w:val="21"/>
        </w:rPr>
        <w:t>）</w:t>
      </w:r>
    </w:p>
    <w:p w:rsidR="00DA4636" w:rsidRDefault="00DA4636" w:rsidP="00DA4636">
      <w:pPr>
        <w:pStyle w:val="ONUME"/>
        <w:numPr>
          <w:ilvl w:val="0"/>
          <w:numId w:val="0"/>
        </w:numPr>
        <w:spacing w:after="0"/>
        <w:jc w:val="center"/>
        <w:rPr>
          <w:rFonts w:ascii="Arial" w:eastAsia="SimHei" w:hAnsi="Arial" w:cs="Times New Roman"/>
          <w:b/>
          <w:noProof/>
          <w:lang w:val="en-US" w:bidi="ar-SA"/>
        </w:rPr>
      </w:pPr>
      <w:r w:rsidRPr="00DA4636">
        <w:rPr>
          <w:rFonts w:hint="eastAsia"/>
          <w:noProof/>
          <w:lang w:val="en-US" w:bidi="ar-SA"/>
        </w:rPr>
        <w:drawing>
          <wp:inline distT="0" distB="0" distL="0" distR="0" wp14:anchorId="41940065" wp14:editId="65DFE8E6">
            <wp:extent cx="5977255" cy="2636246"/>
            <wp:effectExtent l="0" t="0" r="4445" b="0"/>
            <wp:docPr id="127" name="图片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977255" cy="2636246"/>
                    </a:xfrm>
                    <a:prstGeom prst="rect">
                      <a:avLst/>
                    </a:prstGeom>
                    <a:noFill/>
                    <a:ln>
                      <a:noFill/>
                    </a:ln>
                  </pic:spPr>
                </pic:pic>
              </a:graphicData>
            </a:graphic>
          </wp:inline>
        </w:drawing>
      </w:r>
    </w:p>
    <w:p w:rsidR="006C0099" w:rsidRPr="005D406D" w:rsidRDefault="006C0099" w:rsidP="005D406D">
      <w:pPr>
        <w:pStyle w:val="ONUME"/>
        <w:numPr>
          <w:ilvl w:val="0"/>
          <w:numId w:val="0"/>
        </w:numPr>
        <w:spacing w:afterLines="50" w:after="120" w:line="340" w:lineRule="atLeast"/>
        <w:jc w:val="center"/>
        <w:rPr>
          <w:rFonts w:ascii="Arial" w:eastAsia="SimHei" w:hAnsi="Arial" w:cs="Times New Roman"/>
          <w:caps/>
          <w:kern w:val="32"/>
          <w:sz w:val="21"/>
        </w:rPr>
      </w:pPr>
      <w:r w:rsidRPr="00F453AC">
        <w:rPr>
          <w:rFonts w:ascii="Arial" w:eastAsia="SimHei" w:hAnsi="Arial" w:cs="Times New Roman"/>
          <w:b/>
        </w:rPr>
        <w:br w:type="page"/>
      </w:r>
      <w:r w:rsidRPr="005D406D">
        <w:rPr>
          <w:rFonts w:ascii="Arial" w:eastAsia="SimHei" w:hAnsi="Arial" w:cs="Times New Roman"/>
          <w:caps/>
          <w:kern w:val="32"/>
          <w:sz w:val="21"/>
        </w:rPr>
        <w:lastRenderedPageBreak/>
        <w:t>报表四</w:t>
      </w:r>
      <w:r w:rsidRPr="005D406D">
        <w:rPr>
          <w:rFonts w:ascii="Arial" w:eastAsia="SimHei" w:hAnsi="Arial" w:cs="Times New Roman"/>
          <w:caps/>
          <w:kern w:val="32"/>
          <w:sz w:val="21"/>
        </w:rPr>
        <w:br/>
      </w:r>
      <w:r w:rsidRPr="005D406D">
        <w:rPr>
          <w:rFonts w:ascii="Arial" w:eastAsia="SimHei" w:hAnsi="Arial" w:cs="Times New Roman"/>
          <w:caps/>
          <w:kern w:val="32"/>
          <w:sz w:val="21"/>
        </w:rPr>
        <w:br/>
      </w:r>
      <w:r w:rsidRPr="005D406D">
        <w:rPr>
          <w:rFonts w:ascii="Arial" w:eastAsia="SimHei" w:hAnsi="Arial" w:cs="Times New Roman"/>
          <w:caps/>
          <w:kern w:val="32"/>
          <w:sz w:val="21"/>
        </w:rPr>
        <w:t>现金流量表</w:t>
      </w:r>
    </w:p>
    <w:p w:rsidR="006C0099" w:rsidRPr="005D406D" w:rsidRDefault="006C0099" w:rsidP="005D406D">
      <w:pPr>
        <w:spacing w:line="340" w:lineRule="atLeast"/>
        <w:jc w:val="center"/>
        <w:rPr>
          <w:rFonts w:eastAsia="SimSun" w:cs="Times New Roman"/>
          <w:b/>
          <w:sz w:val="21"/>
        </w:rPr>
      </w:pPr>
      <w:r w:rsidRPr="005D406D">
        <w:rPr>
          <w:rFonts w:eastAsia="SimSun" w:cs="Times New Roman"/>
          <w:b/>
          <w:sz w:val="21"/>
        </w:rPr>
        <w:t>2014年12月31日截止的年度</w:t>
      </w:r>
    </w:p>
    <w:p w:rsidR="006C0099" w:rsidRPr="005D406D" w:rsidRDefault="00F453AC" w:rsidP="005D406D">
      <w:pPr>
        <w:spacing w:afterLines="200" w:after="480" w:line="340" w:lineRule="atLeast"/>
        <w:jc w:val="center"/>
        <w:rPr>
          <w:rFonts w:ascii="Arial" w:eastAsia="KaiTi" w:hAnsi="Arial" w:cs="Times New Roman"/>
          <w:i/>
          <w:sz w:val="21"/>
        </w:rPr>
      </w:pPr>
      <w:r w:rsidRPr="005D406D">
        <w:rPr>
          <w:rFonts w:ascii="Arial" w:eastAsia="KaiTi" w:hAnsi="Arial" w:cs="Times New Roman" w:hint="eastAsia"/>
          <w:i/>
          <w:sz w:val="21"/>
        </w:rPr>
        <w:t>（</w:t>
      </w:r>
      <w:r w:rsidR="006C0099" w:rsidRPr="005D406D">
        <w:rPr>
          <w:rFonts w:ascii="Arial" w:eastAsia="KaiTi" w:hAnsi="Arial" w:cs="Times New Roman"/>
          <w:i/>
          <w:sz w:val="21"/>
        </w:rPr>
        <w:t>单位：</w:t>
      </w:r>
      <w:proofErr w:type="gramStart"/>
      <w:r w:rsidR="006C0099" w:rsidRPr="005D406D">
        <w:rPr>
          <w:rFonts w:ascii="Arial" w:eastAsia="KaiTi" w:hAnsi="Arial" w:cs="Times New Roman"/>
          <w:i/>
          <w:sz w:val="21"/>
        </w:rPr>
        <w:t>千瑞郎</w:t>
      </w:r>
      <w:proofErr w:type="gramEnd"/>
      <w:r w:rsidRPr="005D406D">
        <w:rPr>
          <w:rFonts w:ascii="Arial" w:eastAsia="KaiTi" w:hAnsi="Arial" w:cs="Times New Roman" w:hint="eastAsia"/>
          <w:i/>
          <w:sz w:val="21"/>
        </w:rPr>
        <w:t>）</w:t>
      </w:r>
    </w:p>
    <w:p w:rsidR="006C0099" w:rsidRPr="003F5882" w:rsidRDefault="00DA4636" w:rsidP="006C0099">
      <w:pPr>
        <w:jc w:val="center"/>
        <w:rPr>
          <w:rFonts w:ascii="Arial" w:hAnsi="Arial" w:cs="Times New Roman"/>
        </w:rPr>
      </w:pPr>
      <w:r w:rsidRPr="00DA4636">
        <w:rPr>
          <w:noProof/>
          <w:lang w:val="en-US" w:bidi="ar-SA"/>
        </w:rPr>
        <w:drawing>
          <wp:inline distT="0" distB="0" distL="0" distR="0">
            <wp:extent cx="5827395" cy="5970905"/>
            <wp:effectExtent l="0" t="0" r="1905" b="0"/>
            <wp:docPr id="128" name="图片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827395" cy="5970905"/>
                    </a:xfrm>
                    <a:prstGeom prst="rect">
                      <a:avLst/>
                    </a:prstGeom>
                    <a:noFill/>
                    <a:ln>
                      <a:noFill/>
                    </a:ln>
                  </pic:spPr>
                </pic:pic>
              </a:graphicData>
            </a:graphic>
          </wp:inline>
        </w:drawing>
      </w:r>
    </w:p>
    <w:p w:rsidR="006C0099" w:rsidRPr="003F5882" w:rsidRDefault="006C0099" w:rsidP="006C0099">
      <w:pPr>
        <w:jc w:val="both"/>
        <w:rPr>
          <w:rFonts w:ascii="Arial" w:hAnsi="Arial" w:cs="Times New Roman"/>
          <w:sz w:val="16"/>
          <w:szCs w:val="16"/>
        </w:rPr>
      </w:pPr>
      <w:r w:rsidRPr="00F453AC">
        <w:rPr>
          <w:rFonts w:ascii="Arial" w:eastAsia="SimHei" w:hAnsi="Arial" w:cs="Times New Roman"/>
          <w:sz w:val="16"/>
        </w:rPr>
        <w:t>(1)</w:t>
      </w:r>
      <w:r w:rsidRPr="003F5882">
        <w:rPr>
          <w:rFonts w:ascii="Arial" w:hAnsi="Arial" w:cs="Times New Roman"/>
          <w:sz w:val="16"/>
        </w:rPr>
        <w:t xml:space="preserve"> -</w:t>
      </w:r>
      <w:r w:rsidRPr="003F5882">
        <w:rPr>
          <w:rFonts w:ascii="Arial" w:hAnsi="Arial" w:cs="Times New Roman"/>
          <w:sz w:val="16"/>
        </w:rPr>
        <w:t>不包括利息所得和为借款支付的利息，以及汇率变化对现金及现金等价物产生的影响。利息所得包括在投资收入中，见附注</w:t>
      </w:r>
      <w:r w:rsidRPr="003F5882">
        <w:rPr>
          <w:rFonts w:ascii="Arial" w:hAnsi="Arial" w:cs="Times New Roman"/>
          <w:sz w:val="16"/>
        </w:rPr>
        <w:t>23</w:t>
      </w:r>
      <w:r w:rsidRPr="003F5882">
        <w:rPr>
          <w:rFonts w:ascii="Arial" w:hAnsi="Arial" w:cs="Times New Roman"/>
          <w:sz w:val="16"/>
        </w:rPr>
        <w:t>。为借款支付的利息详见附注</w:t>
      </w:r>
      <w:r w:rsidRPr="003F5882">
        <w:rPr>
          <w:rFonts w:ascii="Arial" w:hAnsi="Arial" w:cs="Times New Roman"/>
          <w:sz w:val="16"/>
        </w:rPr>
        <w:t>15</w:t>
      </w:r>
      <w:r w:rsidRPr="003F5882">
        <w:rPr>
          <w:rFonts w:ascii="Arial" w:hAnsi="Arial" w:cs="Times New Roman"/>
          <w:sz w:val="16"/>
        </w:rPr>
        <w:t>。汇率变化对现金及现金等价物产生的影响见附注</w:t>
      </w:r>
      <w:r w:rsidRPr="003F5882">
        <w:rPr>
          <w:rFonts w:ascii="Arial" w:hAnsi="Arial" w:cs="Times New Roman"/>
          <w:sz w:val="16"/>
        </w:rPr>
        <w:t>26</w:t>
      </w:r>
      <w:r w:rsidR="00E04F07" w:rsidRPr="003F5882">
        <w:rPr>
          <w:rFonts w:ascii="Arial" w:hAnsi="Arial" w:cs="Times New Roman" w:hint="eastAsia"/>
          <w:sz w:val="16"/>
        </w:rPr>
        <w:t>。</w:t>
      </w:r>
    </w:p>
    <w:p w:rsidR="006C0099" w:rsidRPr="005D406D" w:rsidRDefault="006C0099" w:rsidP="005D406D">
      <w:pPr>
        <w:pStyle w:val="ONUME"/>
        <w:numPr>
          <w:ilvl w:val="0"/>
          <w:numId w:val="0"/>
        </w:numPr>
        <w:spacing w:afterLines="50" w:after="120" w:line="340" w:lineRule="atLeast"/>
        <w:jc w:val="center"/>
        <w:rPr>
          <w:rFonts w:ascii="Arial" w:eastAsia="SimHei" w:hAnsi="Arial" w:cs="Times New Roman"/>
          <w:caps/>
          <w:kern w:val="32"/>
          <w:sz w:val="21"/>
        </w:rPr>
      </w:pPr>
      <w:r w:rsidRPr="00F453AC">
        <w:rPr>
          <w:rFonts w:ascii="Arial" w:eastAsia="SimHei" w:hAnsi="Arial" w:cs="Times New Roman"/>
          <w:b/>
        </w:rPr>
        <w:br w:type="page"/>
      </w:r>
      <w:r w:rsidRPr="005D406D">
        <w:rPr>
          <w:rFonts w:ascii="Arial" w:eastAsia="SimHei" w:hAnsi="Arial" w:cs="Times New Roman"/>
          <w:caps/>
          <w:kern w:val="32"/>
          <w:sz w:val="21"/>
        </w:rPr>
        <w:lastRenderedPageBreak/>
        <w:t>报表五</w:t>
      </w:r>
      <w:r w:rsidRPr="005D406D">
        <w:rPr>
          <w:rFonts w:ascii="Arial" w:eastAsia="SimHei" w:hAnsi="Arial" w:cs="Times New Roman"/>
          <w:caps/>
          <w:kern w:val="32"/>
          <w:sz w:val="21"/>
        </w:rPr>
        <w:br/>
      </w:r>
      <w:r w:rsidRPr="005D406D">
        <w:rPr>
          <w:rFonts w:ascii="Arial" w:eastAsia="SimHei" w:hAnsi="Arial" w:cs="Times New Roman"/>
          <w:caps/>
          <w:kern w:val="32"/>
          <w:sz w:val="21"/>
        </w:rPr>
        <w:br/>
      </w:r>
      <w:r w:rsidRPr="005D406D">
        <w:rPr>
          <w:rFonts w:ascii="Arial" w:eastAsia="SimHei" w:hAnsi="Arial" w:cs="Times New Roman"/>
          <w:caps/>
          <w:kern w:val="32"/>
          <w:sz w:val="21"/>
        </w:rPr>
        <w:t>预算与实际金额对比表</w:t>
      </w:r>
      <w:r w:rsidRPr="005D406D">
        <w:rPr>
          <w:rFonts w:ascii="Arial" w:eastAsia="SimHei" w:hAnsi="Arial" w:cs="Times New Roman"/>
          <w:caps/>
          <w:kern w:val="32"/>
          <w:sz w:val="21"/>
        </w:rPr>
        <w:t>-</w:t>
      </w:r>
      <w:r w:rsidRPr="005D406D">
        <w:rPr>
          <w:rFonts w:ascii="Arial" w:eastAsia="SimHei" w:hAnsi="Arial" w:cs="Times New Roman"/>
          <w:caps/>
          <w:kern w:val="32"/>
          <w:sz w:val="21"/>
        </w:rPr>
        <w:t>收入</w:t>
      </w:r>
    </w:p>
    <w:p w:rsidR="006C0099" w:rsidRPr="005D406D" w:rsidRDefault="006C0099" w:rsidP="005D406D">
      <w:pPr>
        <w:spacing w:line="340" w:lineRule="atLeast"/>
        <w:jc w:val="center"/>
        <w:rPr>
          <w:rFonts w:eastAsia="SimSun" w:cs="Times New Roman"/>
          <w:b/>
          <w:sz w:val="21"/>
        </w:rPr>
      </w:pPr>
      <w:r w:rsidRPr="005D406D">
        <w:rPr>
          <w:rFonts w:eastAsia="SimSun" w:cs="Times New Roman"/>
          <w:b/>
          <w:sz w:val="21"/>
        </w:rPr>
        <w:t>2014年12月31日截止的年度</w:t>
      </w:r>
    </w:p>
    <w:p w:rsidR="006C0099" w:rsidRPr="005D406D" w:rsidRDefault="00F453AC" w:rsidP="005D406D">
      <w:pPr>
        <w:spacing w:afterLines="200" w:after="480" w:line="340" w:lineRule="atLeast"/>
        <w:jc w:val="center"/>
        <w:rPr>
          <w:rFonts w:ascii="Arial" w:eastAsia="KaiTi" w:hAnsi="Arial" w:cs="Times New Roman"/>
          <w:i/>
          <w:sz w:val="21"/>
        </w:rPr>
      </w:pPr>
      <w:r w:rsidRPr="005D406D">
        <w:rPr>
          <w:rFonts w:ascii="Arial" w:eastAsia="KaiTi" w:hAnsi="Arial" w:cs="Times New Roman" w:hint="eastAsia"/>
          <w:i/>
          <w:sz w:val="21"/>
        </w:rPr>
        <w:t>（</w:t>
      </w:r>
      <w:r w:rsidR="006C0099" w:rsidRPr="005D406D">
        <w:rPr>
          <w:rFonts w:ascii="Arial" w:eastAsia="KaiTi" w:hAnsi="Arial" w:cs="Times New Roman"/>
          <w:i/>
          <w:sz w:val="21"/>
        </w:rPr>
        <w:t>单位：</w:t>
      </w:r>
      <w:proofErr w:type="gramStart"/>
      <w:r w:rsidR="006C0099" w:rsidRPr="005D406D">
        <w:rPr>
          <w:rFonts w:ascii="Arial" w:eastAsia="KaiTi" w:hAnsi="Arial" w:cs="Times New Roman"/>
          <w:i/>
          <w:sz w:val="21"/>
        </w:rPr>
        <w:t>千瑞郎</w:t>
      </w:r>
      <w:proofErr w:type="gramEnd"/>
      <w:r w:rsidRPr="005D406D">
        <w:rPr>
          <w:rFonts w:ascii="Arial" w:eastAsia="KaiTi" w:hAnsi="Arial" w:cs="Times New Roman" w:hint="eastAsia"/>
          <w:i/>
          <w:sz w:val="21"/>
        </w:rPr>
        <w:t>）</w:t>
      </w:r>
    </w:p>
    <w:p w:rsidR="006C0099" w:rsidRPr="003F5882" w:rsidRDefault="00DA4636" w:rsidP="006C0099">
      <w:pPr>
        <w:jc w:val="center"/>
        <w:rPr>
          <w:rFonts w:ascii="Arial" w:hAnsi="Arial" w:cs="Times New Roman"/>
          <w:sz w:val="21"/>
          <w:szCs w:val="22"/>
        </w:rPr>
      </w:pPr>
      <w:r w:rsidRPr="00DA4636">
        <w:rPr>
          <w:noProof/>
          <w:lang w:val="en-US" w:bidi="ar-SA"/>
        </w:rPr>
        <w:drawing>
          <wp:inline distT="0" distB="0" distL="0" distR="0">
            <wp:extent cx="5950585" cy="3268345"/>
            <wp:effectExtent l="0" t="0" r="0" b="0"/>
            <wp:docPr id="129" name="图片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950585" cy="3268345"/>
                    </a:xfrm>
                    <a:prstGeom prst="rect">
                      <a:avLst/>
                    </a:prstGeom>
                    <a:noFill/>
                    <a:ln>
                      <a:noFill/>
                    </a:ln>
                  </pic:spPr>
                </pic:pic>
              </a:graphicData>
            </a:graphic>
          </wp:inline>
        </w:drawing>
      </w:r>
    </w:p>
    <w:p w:rsidR="006C0099" w:rsidRPr="003F5882" w:rsidRDefault="002C7CB0" w:rsidP="006C0099">
      <w:pPr>
        <w:tabs>
          <w:tab w:val="left" w:pos="644"/>
        </w:tabs>
        <w:jc w:val="both"/>
        <w:rPr>
          <w:rFonts w:ascii="Arial" w:hAnsi="Arial" w:cs="Times New Roman"/>
          <w:sz w:val="16"/>
          <w:szCs w:val="16"/>
        </w:rPr>
      </w:pPr>
      <w:r w:rsidRPr="003F5882">
        <w:rPr>
          <w:rFonts w:ascii="Arial" w:hAnsi="Arial" w:cs="Times New Roman"/>
          <w:sz w:val="16"/>
        </w:rPr>
        <w:t>(</w:t>
      </w:r>
      <w:r w:rsidR="006C0099" w:rsidRPr="003F5882">
        <w:rPr>
          <w:rFonts w:ascii="Arial" w:hAnsi="Arial" w:cs="Times New Roman"/>
          <w:sz w:val="16"/>
        </w:rPr>
        <w:t>1</w:t>
      </w:r>
      <w:r w:rsidRPr="003F5882">
        <w:rPr>
          <w:rFonts w:ascii="Arial" w:hAnsi="Arial" w:cs="Times New Roman"/>
          <w:sz w:val="16"/>
        </w:rPr>
        <w:t>)</w:t>
      </w:r>
      <w:r w:rsidR="006C0099" w:rsidRPr="003F5882">
        <w:rPr>
          <w:rFonts w:ascii="Arial" w:hAnsi="Arial" w:cs="Times New Roman"/>
          <w:sz w:val="16"/>
        </w:rPr>
        <w:t>-</w:t>
      </w:r>
      <w:r w:rsidR="002C0646" w:rsidRPr="003F5882">
        <w:rPr>
          <w:rFonts w:ascii="Arial" w:hAnsi="Arial" w:cs="Times New Roman" w:hint="eastAsia"/>
          <w:sz w:val="16"/>
        </w:rPr>
        <w:t>“</w:t>
      </w:r>
      <w:r w:rsidR="006C0099" w:rsidRPr="003F5882">
        <w:rPr>
          <w:rFonts w:ascii="Arial" w:hAnsi="Arial" w:cs="Times New Roman"/>
          <w:sz w:val="16"/>
        </w:rPr>
        <w:t>原始预算</w:t>
      </w:r>
      <w:r w:rsidR="00E04F07" w:rsidRPr="003F5882">
        <w:rPr>
          <w:rFonts w:ascii="Arial" w:hAnsi="Arial" w:cs="Times New Roman" w:hint="eastAsia"/>
          <w:sz w:val="16"/>
        </w:rPr>
        <w:t>”</w:t>
      </w:r>
      <w:r w:rsidR="006C0099" w:rsidRPr="003F5882">
        <w:rPr>
          <w:rFonts w:ascii="Arial" w:hAnsi="Arial" w:cs="Times New Roman"/>
          <w:sz w:val="16"/>
        </w:rPr>
        <w:t>和</w:t>
      </w:r>
      <w:r w:rsidR="00E04F07" w:rsidRPr="003F5882">
        <w:rPr>
          <w:rFonts w:ascii="Arial" w:hAnsi="Arial" w:cs="Times New Roman" w:hint="eastAsia"/>
          <w:sz w:val="16"/>
        </w:rPr>
        <w:t>“</w:t>
      </w:r>
      <w:r w:rsidR="006C0099" w:rsidRPr="003F5882">
        <w:rPr>
          <w:rFonts w:ascii="Arial" w:hAnsi="Arial" w:cs="Times New Roman"/>
          <w:sz w:val="16"/>
        </w:rPr>
        <w:t>最终预算</w:t>
      </w:r>
      <w:r w:rsidR="00E04F07" w:rsidRPr="003F5882">
        <w:rPr>
          <w:rFonts w:ascii="Arial" w:hAnsi="Arial" w:cs="Times New Roman" w:hint="eastAsia"/>
          <w:sz w:val="16"/>
        </w:rPr>
        <w:t>”</w:t>
      </w:r>
      <w:r w:rsidR="006C0099" w:rsidRPr="003F5882">
        <w:rPr>
          <w:rFonts w:ascii="Arial" w:hAnsi="Arial" w:cs="Times New Roman"/>
          <w:sz w:val="16"/>
        </w:rPr>
        <w:t>两栏表示</w:t>
      </w:r>
      <w:r w:rsidR="006C0099" w:rsidRPr="003F5882">
        <w:rPr>
          <w:rFonts w:ascii="Arial" w:hAnsi="Arial" w:cs="Times New Roman"/>
          <w:sz w:val="16"/>
        </w:rPr>
        <w:t>2014/15</w:t>
      </w:r>
      <w:r w:rsidR="006C0099" w:rsidRPr="003F5882">
        <w:rPr>
          <w:rFonts w:ascii="Arial" w:hAnsi="Arial" w:cs="Times New Roman"/>
          <w:sz w:val="16"/>
        </w:rPr>
        <w:t>两年期核定预算的第一年。</w:t>
      </w:r>
    </w:p>
    <w:p w:rsidR="006C0099" w:rsidRPr="003F5882" w:rsidRDefault="002C7CB0" w:rsidP="006C0099">
      <w:pPr>
        <w:tabs>
          <w:tab w:val="left" w:pos="540"/>
        </w:tabs>
        <w:jc w:val="both"/>
        <w:rPr>
          <w:rFonts w:ascii="Arial" w:hAnsi="Arial" w:cs="Times New Roman"/>
          <w:sz w:val="16"/>
          <w:szCs w:val="16"/>
        </w:rPr>
      </w:pPr>
      <w:r w:rsidRPr="003F5882">
        <w:rPr>
          <w:rFonts w:ascii="Arial" w:hAnsi="Arial" w:cs="Times New Roman"/>
          <w:sz w:val="16"/>
        </w:rPr>
        <w:t>(</w:t>
      </w:r>
      <w:r w:rsidR="006C0099" w:rsidRPr="003F5882">
        <w:rPr>
          <w:rFonts w:ascii="Arial" w:hAnsi="Arial" w:cs="Times New Roman"/>
          <w:sz w:val="16"/>
        </w:rPr>
        <w:t>2</w:t>
      </w:r>
      <w:r w:rsidRPr="003F5882">
        <w:rPr>
          <w:rFonts w:ascii="Arial" w:hAnsi="Arial" w:cs="Times New Roman"/>
          <w:sz w:val="16"/>
        </w:rPr>
        <w:t>)</w:t>
      </w:r>
      <w:r w:rsidR="006C0099" w:rsidRPr="003F5882">
        <w:rPr>
          <w:rFonts w:ascii="Arial" w:hAnsi="Arial" w:cs="Times New Roman"/>
          <w:sz w:val="16"/>
        </w:rPr>
        <w:t>-</w:t>
      </w:r>
      <w:r w:rsidR="006C0099" w:rsidRPr="003F5882">
        <w:rPr>
          <w:rFonts w:ascii="Arial" w:hAnsi="Arial" w:cs="Times New Roman"/>
          <w:sz w:val="16"/>
        </w:rPr>
        <w:t>表示</w:t>
      </w:r>
      <w:r w:rsidR="006C0099" w:rsidRPr="003F5882">
        <w:rPr>
          <w:rFonts w:ascii="Arial" w:hAnsi="Arial" w:cs="Times New Roman"/>
          <w:sz w:val="16"/>
        </w:rPr>
        <w:t>2014</w:t>
      </w:r>
      <w:r w:rsidR="006C0099" w:rsidRPr="003F5882">
        <w:rPr>
          <w:rFonts w:ascii="Arial" w:hAnsi="Arial" w:cs="Times New Roman"/>
          <w:sz w:val="16"/>
        </w:rPr>
        <w:t>年</w:t>
      </w:r>
      <w:r w:rsidR="00E04F07" w:rsidRPr="003F5882">
        <w:rPr>
          <w:rFonts w:ascii="Arial" w:hAnsi="Arial" w:cs="Times New Roman" w:hint="eastAsia"/>
          <w:sz w:val="16"/>
        </w:rPr>
        <w:t>“</w:t>
      </w:r>
      <w:r w:rsidR="006C0099" w:rsidRPr="003F5882">
        <w:rPr>
          <w:rFonts w:ascii="Arial" w:hAnsi="Arial" w:cs="Times New Roman"/>
          <w:sz w:val="16"/>
        </w:rPr>
        <w:t>最终</w:t>
      </w:r>
      <w:r w:rsidR="00E04F07" w:rsidRPr="003F5882">
        <w:rPr>
          <w:rFonts w:ascii="Arial" w:hAnsi="Arial" w:cs="Times New Roman" w:hint="eastAsia"/>
          <w:sz w:val="16"/>
        </w:rPr>
        <w:t>”</w:t>
      </w:r>
      <w:r w:rsidR="006C0099" w:rsidRPr="003F5882">
        <w:rPr>
          <w:rFonts w:ascii="Arial" w:hAnsi="Arial" w:cs="Times New Roman"/>
          <w:sz w:val="16"/>
        </w:rPr>
        <w:t>预算与</w:t>
      </w:r>
      <w:r w:rsidR="006C0099" w:rsidRPr="003F5882">
        <w:rPr>
          <w:rFonts w:ascii="Arial" w:hAnsi="Arial" w:cs="Times New Roman"/>
          <w:sz w:val="16"/>
        </w:rPr>
        <w:t>2014</w:t>
      </w:r>
      <w:r w:rsidR="006C0099" w:rsidRPr="003F5882">
        <w:rPr>
          <w:rFonts w:ascii="Arial" w:hAnsi="Arial" w:cs="Times New Roman"/>
          <w:sz w:val="16"/>
        </w:rPr>
        <w:t>年</w:t>
      </w:r>
      <w:r w:rsidR="006C0099" w:rsidRPr="003F5882">
        <w:rPr>
          <w:rFonts w:ascii="Arial" w:hAnsi="Arial" w:cs="Times New Roman"/>
          <w:sz w:val="16"/>
        </w:rPr>
        <w:t>12</w:t>
      </w:r>
      <w:r w:rsidR="006C0099" w:rsidRPr="003F5882">
        <w:rPr>
          <w:rFonts w:ascii="Arial" w:hAnsi="Arial" w:cs="Times New Roman"/>
          <w:sz w:val="16"/>
        </w:rPr>
        <w:t>月</w:t>
      </w:r>
      <w:r w:rsidR="006C0099" w:rsidRPr="003F5882">
        <w:rPr>
          <w:rFonts w:ascii="Arial" w:hAnsi="Arial" w:cs="Times New Roman"/>
          <w:sz w:val="16"/>
        </w:rPr>
        <w:t>31</w:t>
      </w:r>
      <w:r w:rsidR="006C0099" w:rsidRPr="003F5882">
        <w:rPr>
          <w:rFonts w:ascii="Arial" w:hAnsi="Arial" w:cs="Times New Roman"/>
          <w:sz w:val="16"/>
        </w:rPr>
        <w:t>日截止的年度实际可比收入的差额。</w:t>
      </w:r>
    </w:p>
    <w:p w:rsidR="006C0099" w:rsidRPr="005D406D" w:rsidRDefault="006C0099" w:rsidP="005D406D">
      <w:pPr>
        <w:pStyle w:val="ONUME"/>
        <w:numPr>
          <w:ilvl w:val="0"/>
          <w:numId w:val="0"/>
        </w:numPr>
        <w:spacing w:afterLines="50" w:after="120" w:line="340" w:lineRule="atLeast"/>
        <w:jc w:val="center"/>
        <w:rPr>
          <w:rFonts w:ascii="Arial" w:eastAsia="SimHei" w:hAnsi="Arial" w:cs="Times New Roman"/>
          <w:caps/>
          <w:kern w:val="32"/>
          <w:sz w:val="21"/>
        </w:rPr>
      </w:pPr>
      <w:r w:rsidRPr="00F453AC">
        <w:rPr>
          <w:rFonts w:ascii="Arial" w:eastAsia="SimHei" w:hAnsi="Arial" w:cs="Times New Roman"/>
          <w:b/>
        </w:rPr>
        <w:br w:type="page"/>
      </w:r>
      <w:r w:rsidRPr="005D406D">
        <w:rPr>
          <w:rFonts w:ascii="Arial" w:eastAsia="SimHei" w:hAnsi="Arial" w:cs="Times New Roman"/>
          <w:caps/>
          <w:kern w:val="32"/>
          <w:sz w:val="21"/>
        </w:rPr>
        <w:lastRenderedPageBreak/>
        <w:t>报表五</w:t>
      </w:r>
      <w:r w:rsidRPr="005D406D">
        <w:rPr>
          <w:rFonts w:ascii="Arial" w:eastAsia="SimHei" w:hAnsi="Arial" w:cs="Times New Roman"/>
          <w:caps/>
          <w:kern w:val="32"/>
          <w:sz w:val="21"/>
        </w:rPr>
        <w:br/>
      </w:r>
      <w:r w:rsidRPr="005D406D">
        <w:rPr>
          <w:rFonts w:ascii="Arial" w:eastAsia="SimHei" w:hAnsi="Arial" w:cs="Times New Roman"/>
          <w:caps/>
          <w:kern w:val="32"/>
          <w:sz w:val="21"/>
        </w:rPr>
        <w:br/>
      </w:r>
      <w:r w:rsidRPr="005D406D">
        <w:rPr>
          <w:rFonts w:ascii="Arial" w:eastAsia="SimHei" w:hAnsi="Arial" w:cs="Times New Roman"/>
          <w:caps/>
          <w:kern w:val="32"/>
          <w:sz w:val="21"/>
        </w:rPr>
        <w:t>预算与实际金额对比表</w:t>
      </w:r>
      <w:r w:rsidRPr="005D406D">
        <w:rPr>
          <w:rFonts w:ascii="Arial" w:eastAsia="SimHei" w:hAnsi="Arial" w:cs="Times New Roman"/>
          <w:caps/>
          <w:kern w:val="32"/>
          <w:sz w:val="21"/>
        </w:rPr>
        <w:t>-</w:t>
      </w:r>
      <w:r w:rsidRPr="005D406D">
        <w:rPr>
          <w:rFonts w:ascii="Arial" w:eastAsia="SimHei" w:hAnsi="Arial" w:cs="Times New Roman"/>
          <w:caps/>
          <w:kern w:val="32"/>
          <w:sz w:val="21"/>
        </w:rPr>
        <w:t>支出</w:t>
      </w:r>
    </w:p>
    <w:p w:rsidR="006C0099" w:rsidRPr="005D406D" w:rsidRDefault="006C0099" w:rsidP="005D406D">
      <w:pPr>
        <w:spacing w:line="340" w:lineRule="atLeast"/>
        <w:jc w:val="center"/>
        <w:rPr>
          <w:rFonts w:eastAsia="SimSun" w:cs="Times New Roman"/>
          <w:b/>
          <w:sz w:val="21"/>
        </w:rPr>
      </w:pPr>
      <w:r w:rsidRPr="005D406D">
        <w:rPr>
          <w:rFonts w:eastAsia="SimSun" w:cs="Times New Roman"/>
          <w:b/>
          <w:sz w:val="21"/>
        </w:rPr>
        <w:t>2014年12月31日截止的年度</w:t>
      </w:r>
    </w:p>
    <w:p w:rsidR="006C0099" w:rsidRPr="005D406D" w:rsidRDefault="00F453AC" w:rsidP="005D406D">
      <w:pPr>
        <w:spacing w:afterLines="200" w:after="480" w:line="340" w:lineRule="atLeast"/>
        <w:jc w:val="center"/>
        <w:rPr>
          <w:rFonts w:ascii="Arial" w:eastAsia="KaiTi" w:hAnsi="Arial" w:cs="Times New Roman"/>
          <w:i/>
          <w:sz w:val="21"/>
        </w:rPr>
      </w:pPr>
      <w:r w:rsidRPr="005D406D">
        <w:rPr>
          <w:rFonts w:ascii="Arial" w:eastAsia="KaiTi" w:hAnsi="Arial" w:cs="Times New Roman" w:hint="eastAsia"/>
          <w:i/>
          <w:sz w:val="21"/>
        </w:rPr>
        <w:t>（</w:t>
      </w:r>
      <w:r w:rsidR="006C0099" w:rsidRPr="005D406D">
        <w:rPr>
          <w:rFonts w:ascii="Arial" w:eastAsia="KaiTi" w:hAnsi="Arial" w:cs="Times New Roman"/>
          <w:i/>
          <w:sz w:val="21"/>
        </w:rPr>
        <w:t>单位：</w:t>
      </w:r>
      <w:proofErr w:type="gramStart"/>
      <w:r w:rsidR="006C0099" w:rsidRPr="005D406D">
        <w:rPr>
          <w:rFonts w:ascii="Arial" w:eastAsia="KaiTi" w:hAnsi="Arial" w:cs="Times New Roman"/>
          <w:i/>
          <w:sz w:val="21"/>
        </w:rPr>
        <w:t>千瑞郎</w:t>
      </w:r>
      <w:proofErr w:type="gramEnd"/>
      <w:r w:rsidRPr="005D406D">
        <w:rPr>
          <w:rFonts w:ascii="Arial" w:eastAsia="KaiTi" w:hAnsi="Arial" w:cs="Times New Roman" w:hint="eastAsia"/>
          <w:i/>
          <w:sz w:val="21"/>
        </w:rPr>
        <w:t>）</w:t>
      </w:r>
    </w:p>
    <w:p w:rsidR="006C0099" w:rsidRPr="003F5882" w:rsidRDefault="00DA4636" w:rsidP="006C0099">
      <w:pPr>
        <w:jc w:val="center"/>
        <w:rPr>
          <w:rFonts w:ascii="Arial" w:hAnsi="Arial" w:cs="Times New Roman"/>
          <w:noProof/>
        </w:rPr>
      </w:pPr>
      <w:r w:rsidRPr="00DA4636">
        <w:rPr>
          <w:noProof/>
          <w:lang w:val="en-US" w:bidi="ar-SA"/>
        </w:rPr>
        <w:drawing>
          <wp:inline distT="0" distB="0" distL="0" distR="0" wp14:anchorId="5512FF91" wp14:editId="54E337F7">
            <wp:extent cx="5977255" cy="6919303"/>
            <wp:effectExtent l="0" t="0" r="4445" b="0"/>
            <wp:docPr id="131" name="图片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977255" cy="6919303"/>
                    </a:xfrm>
                    <a:prstGeom prst="rect">
                      <a:avLst/>
                    </a:prstGeom>
                    <a:noFill/>
                    <a:ln>
                      <a:noFill/>
                    </a:ln>
                  </pic:spPr>
                </pic:pic>
              </a:graphicData>
            </a:graphic>
          </wp:inline>
        </w:drawing>
      </w:r>
    </w:p>
    <w:p w:rsidR="006C0099" w:rsidRPr="003F5882" w:rsidRDefault="002C7CB0" w:rsidP="006C0099">
      <w:pPr>
        <w:tabs>
          <w:tab w:val="left" w:pos="644"/>
        </w:tabs>
        <w:jc w:val="both"/>
        <w:rPr>
          <w:rFonts w:ascii="Arial" w:hAnsi="Arial" w:cs="Times New Roman"/>
          <w:sz w:val="16"/>
          <w:szCs w:val="16"/>
        </w:rPr>
      </w:pPr>
      <w:r w:rsidRPr="003F5882">
        <w:rPr>
          <w:rFonts w:ascii="Arial" w:hAnsi="Arial" w:cs="Times New Roman"/>
          <w:sz w:val="16"/>
        </w:rPr>
        <w:t>(</w:t>
      </w:r>
      <w:r w:rsidR="006C0099" w:rsidRPr="003F5882">
        <w:rPr>
          <w:rFonts w:ascii="Arial" w:hAnsi="Arial" w:cs="Times New Roman"/>
          <w:sz w:val="16"/>
        </w:rPr>
        <w:t>1</w:t>
      </w:r>
      <w:r w:rsidRPr="003F5882">
        <w:rPr>
          <w:rFonts w:ascii="Arial" w:hAnsi="Arial" w:cs="Times New Roman"/>
          <w:sz w:val="16"/>
        </w:rPr>
        <w:t>)</w:t>
      </w:r>
      <w:r w:rsidR="006C0099" w:rsidRPr="003F5882">
        <w:rPr>
          <w:rFonts w:ascii="Arial" w:hAnsi="Arial" w:cs="Times New Roman"/>
          <w:sz w:val="16"/>
        </w:rPr>
        <w:t>-</w:t>
      </w:r>
      <w:r w:rsidR="00154D37" w:rsidRPr="003F5882">
        <w:rPr>
          <w:rFonts w:ascii="Arial" w:hAnsi="Arial" w:cs="Times New Roman" w:hint="eastAsia"/>
          <w:sz w:val="16"/>
        </w:rPr>
        <w:t>“</w:t>
      </w:r>
      <w:r w:rsidR="006C0099" w:rsidRPr="003F5882">
        <w:rPr>
          <w:rFonts w:ascii="Arial" w:hAnsi="Arial" w:cs="Times New Roman"/>
          <w:sz w:val="16"/>
        </w:rPr>
        <w:t>原始预算</w:t>
      </w:r>
      <w:r w:rsidR="00E04F07" w:rsidRPr="003F5882">
        <w:rPr>
          <w:rFonts w:ascii="Arial" w:hAnsi="Arial" w:cs="Times New Roman" w:hint="eastAsia"/>
          <w:sz w:val="16"/>
        </w:rPr>
        <w:t>”</w:t>
      </w:r>
      <w:r w:rsidR="006C0099" w:rsidRPr="003F5882">
        <w:rPr>
          <w:rFonts w:ascii="Arial" w:hAnsi="Arial" w:cs="Times New Roman"/>
          <w:sz w:val="16"/>
        </w:rPr>
        <w:t>和</w:t>
      </w:r>
      <w:r w:rsidR="00E04F07" w:rsidRPr="003F5882">
        <w:rPr>
          <w:rFonts w:ascii="Arial" w:hAnsi="Arial" w:cs="Times New Roman" w:hint="eastAsia"/>
          <w:sz w:val="16"/>
        </w:rPr>
        <w:t>“</w:t>
      </w:r>
      <w:r w:rsidR="006C0099" w:rsidRPr="003F5882">
        <w:rPr>
          <w:rFonts w:ascii="Arial" w:hAnsi="Arial" w:cs="Times New Roman"/>
          <w:sz w:val="16"/>
        </w:rPr>
        <w:t>最终预算</w:t>
      </w:r>
      <w:r w:rsidR="00E04F07" w:rsidRPr="003F5882">
        <w:rPr>
          <w:rFonts w:ascii="Arial" w:hAnsi="Arial" w:cs="Times New Roman" w:hint="eastAsia"/>
          <w:sz w:val="16"/>
        </w:rPr>
        <w:t>”</w:t>
      </w:r>
      <w:r w:rsidR="006C0099" w:rsidRPr="003F5882">
        <w:rPr>
          <w:rFonts w:ascii="Arial" w:hAnsi="Arial" w:cs="Times New Roman"/>
          <w:sz w:val="16"/>
        </w:rPr>
        <w:t>两栏表示</w:t>
      </w:r>
      <w:r w:rsidR="006C0099" w:rsidRPr="003F5882">
        <w:rPr>
          <w:rFonts w:ascii="Arial" w:hAnsi="Arial" w:cs="Times New Roman"/>
          <w:sz w:val="16"/>
        </w:rPr>
        <w:t>2014/15</w:t>
      </w:r>
      <w:r w:rsidR="006C0099" w:rsidRPr="003F5882">
        <w:rPr>
          <w:rFonts w:ascii="Arial" w:hAnsi="Arial" w:cs="Times New Roman"/>
          <w:sz w:val="16"/>
        </w:rPr>
        <w:t>两年期核定预算的第一年。原始预算基于</w:t>
      </w:r>
      <w:r w:rsidR="006C0099" w:rsidRPr="003F5882">
        <w:rPr>
          <w:rFonts w:ascii="Arial" w:hAnsi="Arial" w:cs="Times New Roman"/>
          <w:sz w:val="16"/>
        </w:rPr>
        <w:t>WIPO</w:t>
      </w:r>
      <w:r w:rsidR="006C0099" w:rsidRPr="003F5882">
        <w:rPr>
          <w:rFonts w:ascii="Arial" w:hAnsi="Arial" w:cs="Times New Roman"/>
          <w:sz w:val="16"/>
        </w:rPr>
        <w:t>成员国大会</w:t>
      </w:r>
      <w:r w:rsidR="006C0099" w:rsidRPr="003F5882">
        <w:rPr>
          <w:rFonts w:ascii="Arial" w:hAnsi="Arial" w:cs="Times New Roman"/>
          <w:sz w:val="16"/>
        </w:rPr>
        <w:t>2013</w:t>
      </w:r>
      <w:r w:rsidR="006C0099" w:rsidRPr="003F5882">
        <w:rPr>
          <w:rFonts w:ascii="Arial" w:hAnsi="Arial" w:cs="Times New Roman"/>
          <w:sz w:val="16"/>
        </w:rPr>
        <w:t>年</w:t>
      </w:r>
      <w:r w:rsidR="006C0099" w:rsidRPr="003F5882">
        <w:rPr>
          <w:rFonts w:ascii="Arial" w:hAnsi="Arial" w:cs="Times New Roman"/>
          <w:sz w:val="16"/>
        </w:rPr>
        <w:t>12</w:t>
      </w:r>
      <w:r w:rsidR="006C0099" w:rsidRPr="003F5882">
        <w:rPr>
          <w:rFonts w:ascii="Arial" w:hAnsi="Arial" w:cs="Times New Roman"/>
          <w:sz w:val="16"/>
        </w:rPr>
        <w:t>月</w:t>
      </w:r>
      <w:r w:rsidR="006C0099" w:rsidRPr="003F5882">
        <w:rPr>
          <w:rFonts w:ascii="Arial" w:hAnsi="Arial" w:cs="Times New Roman"/>
          <w:sz w:val="16"/>
        </w:rPr>
        <w:t>12</w:t>
      </w:r>
      <w:r w:rsidR="006C0099" w:rsidRPr="003F5882">
        <w:rPr>
          <w:rFonts w:ascii="Arial" w:hAnsi="Arial" w:cs="Times New Roman"/>
          <w:sz w:val="16"/>
        </w:rPr>
        <w:t>日批准的</w:t>
      </w:r>
      <w:r w:rsidR="006C0099" w:rsidRPr="003F5882">
        <w:rPr>
          <w:rFonts w:ascii="Arial" w:hAnsi="Arial" w:cs="Times New Roman"/>
          <w:sz w:val="16"/>
        </w:rPr>
        <w:t>6.74</w:t>
      </w:r>
      <w:r w:rsidR="00154D37" w:rsidRPr="003F5882">
        <w:rPr>
          <w:rFonts w:ascii="Arial" w:hAnsi="Arial" w:cs="Times New Roman" w:hint="eastAsia"/>
          <w:sz w:val="16"/>
        </w:rPr>
        <w:t>0</w:t>
      </w:r>
      <w:r w:rsidR="006C0099" w:rsidRPr="003F5882">
        <w:rPr>
          <w:rFonts w:ascii="Arial" w:hAnsi="Arial" w:cs="Times New Roman"/>
          <w:sz w:val="16"/>
        </w:rPr>
        <w:t>亿瑞郎的两年期预算</w:t>
      </w:r>
      <w:r w:rsidR="00154D37" w:rsidRPr="003F5882">
        <w:rPr>
          <w:rFonts w:ascii="Arial" w:hAnsi="Arial" w:cs="Times New Roman" w:hint="eastAsia"/>
          <w:sz w:val="16"/>
        </w:rPr>
        <w:t>。</w:t>
      </w:r>
    </w:p>
    <w:p w:rsidR="006C0099" w:rsidRPr="003F5882" w:rsidRDefault="002C7CB0" w:rsidP="006C0099">
      <w:pPr>
        <w:jc w:val="both"/>
        <w:rPr>
          <w:rFonts w:ascii="Arial" w:hAnsi="Arial" w:cs="Times New Roman"/>
          <w:sz w:val="16"/>
          <w:szCs w:val="16"/>
        </w:rPr>
      </w:pPr>
      <w:r w:rsidRPr="003F5882">
        <w:rPr>
          <w:rFonts w:ascii="Arial" w:hAnsi="Arial" w:cs="Times New Roman"/>
          <w:sz w:val="16"/>
        </w:rPr>
        <w:t>(</w:t>
      </w:r>
      <w:r w:rsidR="006C0099" w:rsidRPr="003F5882">
        <w:rPr>
          <w:rFonts w:ascii="Arial" w:hAnsi="Arial" w:cs="Times New Roman"/>
          <w:sz w:val="16"/>
        </w:rPr>
        <w:t>2</w:t>
      </w:r>
      <w:r w:rsidRPr="003F5882">
        <w:rPr>
          <w:rFonts w:ascii="Arial" w:hAnsi="Arial" w:cs="Times New Roman"/>
          <w:sz w:val="16"/>
        </w:rPr>
        <w:t>)</w:t>
      </w:r>
      <w:r w:rsidR="006C0099" w:rsidRPr="003F5882">
        <w:rPr>
          <w:rFonts w:ascii="Arial" w:hAnsi="Arial" w:cs="Times New Roman"/>
          <w:sz w:val="16"/>
        </w:rPr>
        <w:t>-</w:t>
      </w:r>
      <w:r w:rsidR="006C0099" w:rsidRPr="003F5882">
        <w:rPr>
          <w:rFonts w:ascii="Arial" w:hAnsi="Arial" w:cs="Times New Roman"/>
          <w:sz w:val="16"/>
        </w:rPr>
        <w:t>表示</w:t>
      </w:r>
      <w:r w:rsidR="006C0099" w:rsidRPr="003F5882">
        <w:rPr>
          <w:rFonts w:ascii="Arial" w:hAnsi="Arial" w:cs="Times New Roman"/>
          <w:sz w:val="16"/>
        </w:rPr>
        <w:t>2014</w:t>
      </w:r>
      <w:r w:rsidR="006C0099" w:rsidRPr="003F5882">
        <w:rPr>
          <w:rFonts w:ascii="Arial" w:hAnsi="Arial" w:cs="Times New Roman"/>
          <w:sz w:val="16"/>
        </w:rPr>
        <w:t>年</w:t>
      </w:r>
      <w:r w:rsidR="003D06E3" w:rsidRPr="003F5882">
        <w:rPr>
          <w:rFonts w:ascii="Arial" w:hAnsi="Arial" w:cs="Times New Roman" w:hint="eastAsia"/>
          <w:sz w:val="16"/>
        </w:rPr>
        <w:t>“</w:t>
      </w:r>
      <w:r w:rsidR="006C0099" w:rsidRPr="003F5882">
        <w:rPr>
          <w:rFonts w:ascii="Arial" w:hAnsi="Arial" w:cs="Times New Roman"/>
          <w:sz w:val="16"/>
        </w:rPr>
        <w:t>最终</w:t>
      </w:r>
      <w:r w:rsidR="003D06E3" w:rsidRPr="003F5882">
        <w:rPr>
          <w:rFonts w:ascii="Arial" w:hAnsi="Arial" w:cs="Times New Roman" w:hint="eastAsia"/>
          <w:sz w:val="16"/>
        </w:rPr>
        <w:t>”</w:t>
      </w:r>
      <w:r w:rsidR="006C0099" w:rsidRPr="003F5882">
        <w:rPr>
          <w:rFonts w:ascii="Arial" w:hAnsi="Arial" w:cs="Times New Roman"/>
          <w:sz w:val="16"/>
        </w:rPr>
        <w:t>预算与</w:t>
      </w:r>
      <w:r w:rsidR="006C0099" w:rsidRPr="003F5882">
        <w:rPr>
          <w:rFonts w:ascii="Arial" w:hAnsi="Arial" w:cs="Times New Roman"/>
          <w:sz w:val="16"/>
        </w:rPr>
        <w:t>2014</w:t>
      </w:r>
      <w:r w:rsidR="006C0099" w:rsidRPr="003F5882">
        <w:rPr>
          <w:rFonts w:ascii="Arial" w:hAnsi="Arial" w:cs="Times New Roman"/>
          <w:sz w:val="16"/>
        </w:rPr>
        <w:t>年</w:t>
      </w:r>
      <w:r w:rsidR="006C0099" w:rsidRPr="003F5882">
        <w:rPr>
          <w:rFonts w:ascii="Arial" w:hAnsi="Arial" w:cs="Times New Roman"/>
          <w:sz w:val="16"/>
        </w:rPr>
        <w:t>12</w:t>
      </w:r>
      <w:r w:rsidR="006C0099" w:rsidRPr="003F5882">
        <w:rPr>
          <w:rFonts w:ascii="Arial" w:hAnsi="Arial" w:cs="Times New Roman"/>
          <w:sz w:val="16"/>
        </w:rPr>
        <w:t>月</w:t>
      </w:r>
      <w:r w:rsidR="006C0099" w:rsidRPr="003F5882">
        <w:rPr>
          <w:rFonts w:ascii="Arial" w:hAnsi="Arial" w:cs="Times New Roman"/>
          <w:sz w:val="16"/>
        </w:rPr>
        <w:t>31</w:t>
      </w:r>
      <w:r w:rsidR="006C0099" w:rsidRPr="003F5882">
        <w:rPr>
          <w:rFonts w:ascii="Arial" w:hAnsi="Arial" w:cs="Times New Roman"/>
          <w:sz w:val="16"/>
        </w:rPr>
        <w:t>日截止的年度实际可比支出的差额。</w:t>
      </w:r>
    </w:p>
    <w:p w:rsidR="006C0099" w:rsidRPr="003F5882" w:rsidRDefault="002C7CB0" w:rsidP="006C0099">
      <w:pPr>
        <w:jc w:val="both"/>
        <w:rPr>
          <w:rFonts w:ascii="Arial" w:hAnsi="Arial" w:cs="Times New Roman"/>
          <w:sz w:val="16"/>
          <w:szCs w:val="16"/>
        </w:rPr>
      </w:pPr>
      <w:r w:rsidRPr="003F5882">
        <w:rPr>
          <w:rFonts w:ascii="Arial" w:hAnsi="Arial" w:cs="Times New Roman"/>
          <w:sz w:val="16"/>
        </w:rPr>
        <w:t>(</w:t>
      </w:r>
      <w:r w:rsidR="006C0099" w:rsidRPr="003F5882">
        <w:rPr>
          <w:rFonts w:ascii="Arial" w:hAnsi="Arial" w:cs="Times New Roman"/>
          <w:sz w:val="16"/>
        </w:rPr>
        <w:t>3</w:t>
      </w:r>
      <w:r w:rsidRPr="003F5882">
        <w:rPr>
          <w:rFonts w:ascii="Arial" w:hAnsi="Arial" w:cs="Times New Roman"/>
          <w:sz w:val="16"/>
        </w:rPr>
        <w:t>)</w:t>
      </w:r>
      <w:r w:rsidR="006C0099" w:rsidRPr="003F5882">
        <w:rPr>
          <w:rFonts w:ascii="Arial" w:hAnsi="Arial" w:cs="Times New Roman"/>
          <w:sz w:val="16"/>
        </w:rPr>
        <w:t>-</w:t>
      </w:r>
      <w:r w:rsidR="006C0099" w:rsidRPr="003F5882">
        <w:rPr>
          <w:rFonts w:ascii="Arial" w:hAnsi="Arial" w:cs="Times New Roman"/>
          <w:sz w:val="16"/>
        </w:rPr>
        <w:t>依据</w:t>
      </w:r>
      <w:r w:rsidR="006C0099" w:rsidRPr="003F5882">
        <w:rPr>
          <w:rFonts w:ascii="Arial" w:hAnsi="Arial" w:cs="Times New Roman"/>
          <w:sz w:val="16"/>
        </w:rPr>
        <w:t>IPSAS</w:t>
      </w:r>
      <w:r w:rsidR="006C0099" w:rsidRPr="003F5882">
        <w:rPr>
          <w:rFonts w:ascii="Arial" w:hAnsi="Arial" w:cs="Times New Roman"/>
          <w:sz w:val="16"/>
        </w:rPr>
        <w:t>对盈余的调整详见财务报表附注</w:t>
      </w:r>
      <w:r w:rsidR="006C0099" w:rsidRPr="003F5882">
        <w:rPr>
          <w:rFonts w:ascii="Arial" w:hAnsi="Arial" w:cs="Times New Roman"/>
          <w:sz w:val="16"/>
        </w:rPr>
        <w:t>22</w:t>
      </w:r>
      <w:r w:rsidR="006C0099" w:rsidRPr="003F5882">
        <w:rPr>
          <w:rFonts w:ascii="Arial" w:hAnsi="Arial" w:cs="Times New Roman"/>
          <w:sz w:val="16"/>
        </w:rPr>
        <w:t>。</w:t>
      </w:r>
    </w:p>
    <w:p w:rsidR="006C0099" w:rsidRPr="00F453AC" w:rsidRDefault="006C0099" w:rsidP="006C0099">
      <w:pPr>
        <w:rPr>
          <w:rFonts w:ascii="Arial" w:eastAsia="SimHei" w:hAnsi="Arial" w:cs="Times New Roman"/>
          <w:sz w:val="21"/>
          <w:szCs w:val="22"/>
        </w:rPr>
        <w:sectPr w:rsidR="006C0099" w:rsidRPr="00F453AC" w:rsidSect="000E71F4">
          <w:headerReference w:type="default" r:id="rId57"/>
          <w:footerReference w:type="default" r:id="rId58"/>
          <w:pgSz w:w="11907" w:h="16840" w:code="9"/>
          <w:pgMar w:top="851" w:right="1247" w:bottom="1191" w:left="1247" w:header="709" w:footer="709" w:gutter="0"/>
          <w:cols w:space="708"/>
          <w:docGrid w:linePitch="360"/>
        </w:sectPr>
      </w:pPr>
    </w:p>
    <w:p w:rsidR="006C0099" w:rsidRPr="007D62CB" w:rsidRDefault="006C0099" w:rsidP="007D62CB">
      <w:pPr>
        <w:keepNext/>
        <w:spacing w:beforeLines="100" w:before="240" w:afterLines="100" w:after="240" w:line="340" w:lineRule="atLeast"/>
        <w:jc w:val="center"/>
        <w:outlineLvl w:val="0"/>
        <w:rPr>
          <w:rFonts w:eastAsia="SimHei"/>
          <w:b/>
          <w:caps/>
          <w:kern w:val="32"/>
          <w:sz w:val="21"/>
        </w:rPr>
      </w:pPr>
      <w:bookmarkStart w:id="9" w:name="_Toc301187116"/>
      <w:r w:rsidRPr="007D62CB">
        <w:rPr>
          <w:rFonts w:ascii="Arial" w:eastAsia="SimHei" w:hAnsi="Arial" w:cs="Times New Roman"/>
          <w:caps/>
          <w:kern w:val="32"/>
          <w:sz w:val="21"/>
        </w:rPr>
        <w:lastRenderedPageBreak/>
        <w:t>财务报表附注</w:t>
      </w:r>
      <w:bookmarkEnd w:id="9"/>
    </w:p>
    <w:p w:rsidR="006C0099" w:rsidRPr="00F453AC" w:rsidRDefault="006C0099" w:rsidP="007D62CB">
      <w:pPr>
        <w:pStyle w:val="STYLETITRENOTES"/>
        <w:keepNext/>
        <w:overflowPunct w:val="0"/>
        <w:spacing w:beforeLines="100" w:before="240" w:afterLines="100" w:after="240" w:line="340" w:lineRule="atLeast"/>
        <w:rPr>
          <w:rFonts w:ascii="Arial" w:eastAsia="SimHei" w:hAnsi="Arial" w:cs="Times New Roman"/>
          <w:b w:val="0"/>
          <w:sz w:val="21"/>
        </w:rPr>
      </w:pPr>
      <w:r w:rsidRPr="00F453AC">
        <w:rPr>
          <w:rFonts w:ascii="Arial" w:eastAsia="SimHei" w:hAnsi="Arial" w:cs="Times New Roman"/>
          <w:b w:val="0"/>
          <w:sz w:val="21"/>
        </w:rPr>
        <w:t>附注</w:t>
      </w:r>
      <w:r w:rsidRPr="00F453AC">
        <w:rPr>
          <w:rFonts w:ascii="Arial" w:eastAsia="SimHei" w:hAnsi="Arial" w:cs="Times New Roman"/>
          <w:b w:val="0"/>
          <w:sz w:val="21"/>
        </w:rPr>
        <w:t>1</w:t>
      </w:r>
      <w:r w:rsidRPr="00F453AC">
        <w:rPr>
          <w:rFonts w:ascii="Arial" w:eastAsia="SimHei" w:hAnsi="Arial" w:cs="Times New Roman"/>
          <w:b w:val="0"/>
          <w:sz w:val="21"/>
        </w:rPr>
        <w:t>：</w:t>
      </w:r>
      <w:r w:rsidRPr="00F453AC">
        <w:rPr>
          <w:rFonts w:ascii="Arial" w:eastAsia="SimHei" w:hAnsi="Arial" w:cs="Times New Roman"/>
          <w:b w:val="0"/>
          <w:sz w:val="21"/>
        </w:rPr>
        <w:tab/>
      </w:r>
      <w:r w:rsidRPr="00F453AC">
        <w:rPr>
          <w:rFonts w:ascii="Arial" w:eastAsia="SimHei" w:hAnsi="Arial" w:cs="Times New Roman"/>
          <w:b w:val="0"/>
          <w:sz w:val="21"/>
        </w:rPr>
        <w:t>本组织的目标和预算</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世界知识产权组织</w:t>
      </w:r>
      <w:r w:rsidR="00F453AC" w:rsidRPr="003F5882">
        <w:rPr>
          <w:rFonts w:ascii="Arial" w:hAnsi="Arial" w:cs="Times New Roman" w:hint="eastAsia"/>
          <w:sz w:val="21"/>
        </w:rPr>
        <w:t>（</w:t>
      </w:r>
      <w:r w:rsidRPr="003F5882">
        <w:rPr>
          <w:rFonts w:ascii="Arial" w:hAnsi="Arial" w:cs="Times New Roman"/>
          <w:sz w:val="21"/>
        </w:rPr>
        <w:t>WIPO</w:t>
      </w:r>
      <w:r w:rsidR="00F453AC" w:rsidRPr="003F5882">
        <w:rPr>
          <w:rFonts w:ascii="Arial" w:hAnsi="Arial" w:cs="Times New Roman" w:hint="eastAsia"/>
          <w:sz w:val="21"/>
        </w:rPr>
        <w:t>）</w:t>
      </w:r>
      <w:r w:rsidRPr="003F5882">
        <w:rPr>
          <w:rFonts w:ascii="Arial" w:hAnsi="Arial" w:cs="Times New Roman"/>
          <w:sz w:val="21"/>
        </w:rPr>
        <w:t>成立于</w:t>
      </w:r>
      <w:r w:rsidRPr="003F5882">
        <w:rPr>
          <w:rFonts w:ascii="Arial" w:hAnsi="Arial" w:cs="Times New Roman"/>
          <w:sz w:val="21"/>
        </w:rPr>
        <w:t>1967</w:t>
      </w:r>
      <w:r w:rsidRPr="003F5882">
        <w:rPr>
          <w:rFonts w:ascii="Arial" w:hAnsi="Arial" w:cs="Times New Roman"/>
          <w:sz w:val="21"/>
        </w:rPr>
        <w:t>年，前身为保护知识产权联合国际局</w:t>
      </w:r>
      <w:r w:rsidR="00F453AC" w:rsidRPr="003F5882">
        <w:rPr>
          <w:rFonts w:ascii="Arial" w:hAnsi="Arial" w:cs="Times New Roman" w:hint="eastAsia"/>
          <w:sz w:val="21"/>
        </w:rPr>
        <w:t>（</w:t>
      </w:r>
      <w:r w:rsidRPr="003F5882">
        <w:rPr>
          <w:rFonts w:ascii="Arial" w:hAnsi="Arial" w:cs="Times New Roman"/>
          <w:sz w:val="21"/>
        </w:rPr>
        <w:t>BIRPI</w:t>
      </w:r>
      <w:r w:rsidR="00F453AC" w:rsidRPr="003F5882">
        <w:rPr>
          <w:rFonts w:ascii="Arial" w:hAnsi="Arial" w:cs="Times New Roman" w:hint="eastAsia"/>
          <w:sz w:val="21"/>
        </w:rPr>
        <w:t>）</w:t>
      </w:r>
      <w:r w:rsidRPr="003F5882">
        <w:rPr>
          <w:rFonts w:ascii="Arial" w:hAnsi="Arial" w:cs="Times New Roman"/>
          <w:sz w:val="21"/>
        </w:rPr>
        <w:t>。</w:t>
      </w:r>
      <w:r w:rsidRPr="003F5882">
        <w:rPr>
          <w:rFonts w:ascii="Arial" w:hAnsi="Arial" w:cs="Times New Roman"/>
          <w:sz w:val="21"/>
        </w:rPr>
        <w:t>BIRPI</w:t>
      </w:r>
      <w:r w:rsidRPr="003F5882">
        <w:rPr>
          <w:rFonts w:ascii="Arial" w:hAnsi="Arial" w:cs="Times New Roman"/>
          <w:sz w:val="21"/>
        </w:rPr>
        <w:t>是法文缩写，全称为</w:t>
      </w:r>
      <w:r w:rsidRPr="003F5882">
        <w:rPr>
          <w:rFonts w:ascii="Arial" w:eastAsia="KaiTi" w:hAnsi="Arial" w:cs="Times New Roman"/>
          <w:sz w:val="21"/>
        </w:rPr>
        <w:t>Bureaux Internationaux Réunis pour la Protection de la Propriété Intellectuelle</w:t>
      </w:r>
      <w:r w:rsidRPr="003F5882">
        <w:rPr>
          <w:rFonts w:ascii="Arial" w:hAnsi="Arial" w:cs="Times New Roman"/>
          <w:sz w:val="21"/>
        </w:rPr>
        <w:t>，成立于</w:t>
      </w:r>
      <w:r w:rsidRPr="003F5882">
        <w:rPr>
          <w:rFonts w:ascii="Arial" w:hAnsi="Arial" w:cs="Times New Roman"/>
          <w:sz w:val="21"/>
        </w:rPr>
        <w:t>1893</w:t>
      </w:r>
      <w:r w:rsidRPr="003F5882">
        <w:rPr>
          <w:rFonts w:ascii="Arial" w:hAnsi="Arial" w:cs="Times New Roman"/>
          <w:sz w:val="21"/>
        </w:rPr>
        <w:t>年，目的是管理《保护工业产权巴黎公约》</w:t>
      </w:r>
      <w:r w:rsidR="00F453AC" w:rsidRPr="003F5882">
        <w:rPr>
          <w:rFonts w:ascii="Arial" w:hAnsi="Arial" w:cs="Times New Roman" w:hint="eastAsia"/>
          <w:sz w:val="21"/>
        </w:rPr>
        <w:t>（</w:t>
      </w:r>
      <w:r w:rsidRPr="003F5882">
        <w:rPr>
          <w:rFonts w:ascii="Arial" w:hAnsi="Arial" w:cs="Times New Roman"/>
          <w:sz w:val="21"/>
        </w:rPr>
        <w:t>1883</w:t>
      </w:r>
      <w:r w:rsidRPr="003F5882">
        <w:rPr>
          <w:rFonts w:ascii="Arial" w:hAnsi="Arial" w:cs="Times New Roman"/>
          <w:sz w:val="21"/>
        </w:rPr>
        <w:t>年</w:t>
      </w:r>
      <w:r w:rsidR="00F453AC" w:rsidRPr="003F5882">
        <w:rPr>
          <w:rFonts w:ascii="Arial" w:hAnsi="Arial" w:cs="Times New Roman" w:hint="eastAsia"/>
          <w:sz w:val="21"/>
        </w:rPr>
        <w:t>）</w:t>
      </w:r>
      <w:r w:rsidRPr="003F5882">
        <w:rPr>
          <w:rFonts w:ascii="Arial" w:hAnsi="Arial" w:cs="Times New Roman"/>
          <w:sz w:val="21"/>
        </w:rPr>
        <w:t>和《保护文学和艺术作品伯尓尼公约》</w:t>
      </w:r>
      <w:r w:rsidR="00F453AC" w:rsidRPr="003F5882">
        <w:rPr>
          <w:rFonts w:ascii="Arial" w:hAnsi="Arial" w:cs="Times New Roman" w:hint="eastAsia"/>
          <w:sz w:val="21"/>
        </w:rPr>
        <w:t>（</w:t>
      </w:r>
      <w:r w:rsidRPr="003F5882">
        <w:rPr>
          <w:rFonts w:ascii="Arial" w:hAnsi="Arial" w:cs="Times New Roman"/>
          <w:sz w:val="21"/>
        </w:rPr>
        <w:t>1886</w:t>
      </w:r>
      <w:r w:rsidRPr="003F5882">
        <w:rPr>
          <w:rFonts w:ascii="Arial" w:hAnsi="Arial" w:cs="Times New Roman"/>
          <w:sz w:val="21"/>
        </w:rPr>
        <w:t>年</w:t>
      </w:r>
      <w:r w:rsidR="00F453AC" w:rsidRPr="003F5882">
        <w:rPr>
          <w:rFonts w:ascii="Arial" w:hAnsi="Arial" w:cs="Times New Roman" w:hint="eastAsia"/>
          <w:sz w:val="21"/>
        </w:rPr>
        <w:t>）</w:t>
      </w:r>
      <w:r w:rsidRPr="003F5882">
        <w:rPr>
          <w:rFonts w:ascii="Arial" w:hAnsi="Arial" w:cs="Times New Roman"/>
          <w:sz w:val="21"/>
        </w:rPr>
        <w:t>。</w:t>
      </w:r>
      <w:r w:rsidRPr="003F5882">
        <w:rPr>
          <w:rFonts w:ascii="Arial" w:hAnsi="Arial" w:cs="Times New Roman"/>
          <w:sz w:val="21"/>
        </w:rPr>
        <w:t>1974</w:t>
      </w:r>
      <w:r w:rsidRPr="003F5882">
        <w:rPr>
          <w:rFonts w:ascii="Arial" w:hAnsi="Arial" w:cs="Times New Roman"/>
          <w:sz w:val="21"/>
        </w:rPr>
        <w:t>年，</w:t>
      </w:r>
      <w:r w:rsidRPr="003F5882">
        <w:rPr>
          <w:rFonts w:ascii="Arial" w:hAnsi="Arial" w:cs="Times New Roman"/>
          <w:sz w:val="21"/>
        </w:rPr>
        <w:t>WIPO</w:t>
      </w:r>
      <w:r w:rsidRPr="003F5882">
        <w:rPr>
          <w:rFonts w:ascii="Arial" w:hAnsi="Arial" w:cs="Times New Roman"/>
          <w:sz w:val="21"/>
        </w:rPr>
        <w:t>被认可为联合国专门机构。</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WIPO</w:t>
      </w:r>
      <w:r w:rsidRPr="003F5882">
        <w:rPr>
          <w:rFonts w:ascii="Arial" w:hAnsi="Arial" w:cs="Times New Roman"/>
          <w:sz w:val="21"/>
        </w:rPr>
        <w:t>开展多种与知识产权保护有关的工作，包括：帮助各国政府和各种组织发展必要的政策、结构和技能以挖掘知识产权促进经济发展的潜力；与成员国一同制定国际知识产权法律；管理条约；管理商标、工业品外观设计和原产地名称的全球注册体系和专利申请体系；提供争议解决服务；为知情辩论和交流专门知识提供论坛。</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本组织依照</w:t>
      </w:r>
      <w:r w:rsidRPr="003F5882">
        <w:rPr>
          <w:rFonts w:ascii="Arial" w:hAnsi="Arial" w:cs="Times New Roman"/>
          <w:sz w:val="21"/>
        </w:rPr>
        <w:t>1967</w:t>
      </w:r>
      <w:r w:rsidRPr="003F5882">
        <w:rPr>
          <w:rFonts w:ascii="Arial" w:hAnsi="Arial" w:cs="Times New Roman"/>
          <w:sz w:val="21"/>
        </w:rPr>
        <w:t>年</w:t>
      </w:r>
      <w:r w:rsidRPr="003F5882">
        <w:rPr>
          <w:rFonts w:ascii="Arial" w:hAnsi="Arial" w:cs="Times New Roman"/>
          <w:sz w:val="21"/>
        </w:rPr>
        <w:t>7</w:t>
      </w:r>
      <w:r w:rsidRPr="003F5882">
        <w:rPr>
          <w:rFonts w:ascii="Arial" w:hAnsi="Arial" w:cs="Times New Roman"/>
          <w:sz w:val="21"/>
        </w:rPr>
        <w:t>月</w:t>
      </w:r>
      <w:r w:rsidRPr="003F5882">
        <w:rPr>
          <w:rFonts w:ascii="Arial" w:hAnsi="Arial" w:cs="Times New Roman"/>
          <w:sz w:val="21"/>
        </w:rPr>
        <w:t>14</w:t>
      </w:r>
      <w:r w:rsidRPr="003F5882">
        <w:rPr>
          <w:rFonts w:ascii="Arial" w:hAnsi="Arial" w:cs="Times New Roman"/>
          <w:sz w:val="21"/>
        </w:rPr>
        <w:t>日于斯德哥</w:t>
      </w:r>
      <w:proofErr w:type="gramStart"/>
      <w:r w:rsidRPr="003F5882">
        <w:rPr>
          <w:rFonts w:ascii="Arial" w:hAnsi="Arial" w:cs="Times New Roman"/>
          <w:sz w:val="21"/>
        </w:rPr>
        <w:t>尓摩签署</w:t>
      </w:r>
      <w:proofErr w:type="gramEnd"/>
      <w:r w:rsidRPr="003F5882">
        <w:rPr>
          <w:rFonts w:ascii="Arial" w:hAnsi="Arial" w:cs="Times New Roman"/>
          <w:sz w:val="21"/>
        </w:rPr>
        <w:t>并于</w:t>
      </w:r>
      <w:r w:rsidRPr="003F5882">
        <w:rPr>
          <w:rFonts w:ascii="Arial" w:hAnsi="Arial" w:cs="Times New Roman"/>
          <w:sz w:val="21"/>
        </w:rPr>
        <w:t>1979</w:t>
      </w:r>
      <w:r w:rsidRPr="003F5882">
        <w:rPr>
          <w:rFonts w:ascii="Arial" w:hAnsi="Arial" w:cs="Times New Roman"/>
          <w:sz w:val="21"/>
        </w:rPr>
        <w:t>年</w:t>
      </w:r>
      <w:r w:rsidRPr="003F5882">
        <w:rPr>
          <w:rFonts w:ascii="Arial" w:hAnsi="Arial" w:cs="Times New Roman"/>
          <w:sz w:val="21"/>
        </w:rPr>
        <w:t>9</w:t>
      </w:r>
      <w:r w:rsidRPr="003F5882">
        <w:rPr>
          <w:rFonts w:ascii="Arial" w:hAnsi="Arial" w:cs="Times New Roman"/>
          <w:sz w:val="21"/>
        </w:rPr>
        <w:t>月</w:t>
      </w:r>
      <w:r w:rsidRPr="003F5882">
        <w:rPr>
          <w:rFonts w:ascii="Arial" w:hAnsi="Arial" w:cs="Times New Roman"/>
          <w:sz w:val="21"/>
        </w:rPr>
        <w:t>28</w:t>
      </w:r>
      <w:r w:rsidRPr="003F5882">
        <w:rPr>
          <w:rFonts w:ascii="Arial" w:hAnsi="Arial" w:cs="Times New Roman"/>
          <w:sz w:val="21"/>
        </w:rPr>
        <w:t>日修订的《</w:t>
      </w:r>
      <w:r w:rsidRPr="003F5882">
        <w:rPr>
          <w:rFonts w:ascii="Arial" w:hAnsi="Arial" w:cs="Times New Roman"/>
          <w:sz w:val="21"/>
        </w:rPr>
        <w:t>WIPO</w:t>
      </w:r>
      <w:r w:rsidRPr="003F5882">
        <w:rPr>
          <w:rFonts w:ascii="Arial" w:hAnsi="Arial" w:cs="Times New Roman"/>
          <w:sz w:val="21"/>
        </w:rPr>
        <w:t>公约》开展活动。</w:t>
      </w:r>
      <w:r w:rsidRPr="003F5882">
        <w:rPr>
          <w:rFonts w:ascii="Arial" w:hAnsi="Arial" w:cs="Times New Roman"/>
          <w:sz w:val="21"/>
        </w:rPr>
        <w:t>WIPO</w:t>
      </w:r>
      <w:r w:rsidRPr="003F5882">
        <w:rPr>
          <w:rFonts w:ascii="Arial" w:hAnsi="Arial" w:cs="Times New Roman"/>
          <w:sz w:val="21"/>
        </w:rPr>
        <w:t>现有</w:t>
      </w:r>
      <w:r w:rsidRPr="003F5882">
        <w:rPr>
          <w:rFonts w:ascii="Arial" w:hAnsi="Arial" w:cs="Times New Roman"/>
          <w:sz w:val="21"/>
        </w:rPr>
        <w:t>188</w:t>
      </w:r>
      <w:r w:rsidRPr="003F5882">
        <w:rPr>
          <w:rFonts w:ascii="Arial" w:hAnsi="Arial" w:cs="Times New Roman"/>
          <w:sz w:val="21"/>
        </w:rPr>
        <w:t>个成员国。</w:t>
      </w:r>
      <w:r w:rsidRPr="003F5882">
        <w:rPr>
          <w:rFonts w:ascii="Arial" w:hAnsi="Arial" w:cs="Times New Roman"/>
          <w:sz w:val="21"/>
        </w:rPr>
        <w:t>WIPO</w:t>
      </w:r>
      <w:r w:rsidRPr="003F5882">
        <w:rPr>
          <w:rFonts w:ascii="Arial" w:hAnsi="Arial" w:cs="Times New Roman"/>
          <w:sz w:val="21"/>
        </w:rPr>
        <w:t>总部设在瑞士日内瓦，并在北京、莫斯科</w:t>
      </w:r>
      <w:r w:rsidR="00F453AC" w:rsidRPr="003F5882">
        <w:rPr>
          <w:rFonts w:ascii="Arial" w:hAnsi="Arial" w:cs="Times New Roman"/>
          <w:sz w:val="21"/>
        </w:rPr>
        <w:t>（</w:t>
      </w:r>
      <w:r w:rsidRPr="003F5882">
        <w:rPr>
          <w:rFonts w:ascii="Arial" w:hAnsi="Arial" w:cs="Times New Roman"/>
          <w:sz w:val="21"/>
        </w:rPr>
        <w:t>均于</w:t>
      </w:r>
      <w:r w:rsidRPr="003F5882">
        <w:rPr>
          <w:rFonts w:ascii="Arial" w:hAnsi="Arial" w:cs="Times New Roman"/>
          <w:sz w:val="21"/>
        </w:rPr>
        <w:t>2014</w:t>
      </w:r>
      <w:r w:rsidRPr="003F5882">
        <w:rPr>
          <w:rFonts w:ascii="Arial" w:hAnsi="Arial" w:cs="Times New Roman"/>
          <w:sz w:val="21"/>
        </w:rPr>
        <w:t>年成立</w:t>
      </w:r>
      <w:r w:rsidR="00F453AC" w:rsidRPr="003F5882">
        <w:rPr>
          <w:rFonts w:ascii="Arial" w:hAnsi="Arial" w:cs="Times New Roman"/>
          <w:sz w:val="21"/>
        </w:rPr>
        <w:t>）</w:t>
      </w:r>
      <w:r w:rsidRPr="003F5882">
        <w:rPr>
          <w:rFonts w:ascii="Arial" w:hAnsi="Arial" w:cs="Times New Roman"/>
          <w:sz w:val="21"/>
        </w:rPr>
        <w:t>、纽约、里约热内卢、新加坡和东京设有代表处。本组织享有</w:t>
      </w:r>
      <w:r w:rsidRPr="003F5882">
        <w:rPr>
          <w:rFonts w:ascii="Arial" w:hAnsi="Arial" w:cs="Times New Roman"/>
          <w:sz w:val="21"/>
        </w:rPr>
        <w:t>1947</w:t>
      </w:r>
      <w:r w:rsidRPr="003F5882">
        <w:rPr>
          <w:rFonts w:ascii="Arial" w:hAnsi="Arial" w:cs="Times New Roman"/>
          <w:sz w:val="21"/>
        </w:rPr>
        <w:t>年联合国《专门机构特权和豁免公约》和与瑞士联邦委员会签署的</w:t>
      </w:r>
      <w:r w:rsidR="003D06E3" w:rsidRPr="003F5882">
        <w:rPr>
          <w:rFonts w:ascii="Arial" w:hAnsi="Arial" w:cs="Times New Roman" w:hint="eastAsia"/>
          <w:sz w:val="21"/>
        </w:rPr>
        <w:t>1970</w:t>
      </w:r>
      <w:r w:rsidR="003D06E3" w:rsidRPr="003F5882">
        <w:rPr>
          <w:rFonts w:ascii="Arial" w:hAnsi="Arial" w:cs="Times New Roman" w:hint="eastAsia"/>
          <w:sz w:val="21"/>
        </w:rPr>
        <w:t>年《</w:t>
      </w:r>
      <w:r w:rsidRPr="003F5882">
        <w:rPr>
          <w:rFonts w:ascii="Arial" w:hAnsi="Arial" w:cs="Times New Roman"/>
          <w:sz w:val="21"/>
        </w:rPr>
        <w:t>总部协定</w:t>
      </w:r>
      <w:r w:rsidR="003D06E3" w:rsidRPr="003F5882">
        <w:rPr>
          <w:rFonts w:ascii="Arial" w:hAnsi="Arial" w:cs="Times New Roman" w:hint="eastAsia"/>
          <w:sz w:val="21"/>
        </w:rPr>
        <w:t>》</w:t>
      </w:r>
      <w:r w:rsidRPr="003F5882">
        <w:rPr>
          <w:rFonts w:ascii="Arial" w:hAnsi="Arial" w:cs="Times New Roman"/>
          <w:sz w:val="21"/>
        </w:rPr>
        <w:t>中给予的特权和豁免权，特别是免除支付多种形式的直接税和间接税。</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根据《建立世界知识产权组织公约》设立的以下组成机关是世界知识产权组织的最高决策机构。这些机构至少每两年举行一次例会，可隔年举行特别会议：</w:t>
      </w:r>
    </w:p>
    <w:p w:rsidR="007D62CB" w:rsidRDefault="006C0099" w:rsidP="003374D7">
      <w:pPr>
        <w:pStyle w:val="STYLEDUTEXTE"/>
        <w:numPr>
          <w:ilvl w:val="0"/>
          <w:numId w:val="10"/>
        </w:numPr>
        <w:overflowPunct w:val="0"/>
        <w:spacing w:afterLines="50" w:after="120" w:line="340" w:lineRule="atLeast"/>
        <w:ind w:left="714" w:hanging="357"/>
        <w:rPr>
          <w:rFonts w:ascii="Arial" w:hAnsi="Arial" w:cs="Times New Roman"/>
          <w:sz w:val="21"/>
          <w:szCs w:val="22"/>
        </w:rPr>
      </w:pPr>
      <w:r w:rsidRPr="003F5882">
        <w:rPr>
          <w:rFonts w:ascii="Arial" w:hAnsi="Arial" w:cs="Times New Roman"/>
          <w:sz w:val="21"/>
        </w:rPr>
        <w:t>大会</w:t>
      </w:r>
      <w:proofErr w:type="gramStart"/>
      <w:r w:rsidRPr="003F5882">
        <w:rPr>
          <w:rFonts w:ascii="Arial" w:hAnsi="Arial" w:cs="Times New Roman"/>
          <w:sz w:val="21"/>
        </w:rPr>
        <w:t>由同时</w:t>
      </w:r>
      <w:proofErr w:type="gramEnd"/>
      <w:r w:rsidRPr="003F5882">
        <w:rPr>
          <w:rFonts w:ascii="Arial" w:hAnsi="Arial" w:cs="Times New Roman"/>
          <w:sz w:val="21"/>
        </w:rPr>
        <w:t>是各联盟成员的《</w:t>
      </w:r>
      <w:r w:rsidRPr="003F5882">
        <w:rPr>
          <w:rFonts w:ascii="Arial" w:hAnsi="Arial" w:cs="Times New Roman"/>
          <w:sz w:val="21"/>
        </w:rPr>
        <w:t>WIPO</w:t>
      </w:r>
      <w:r w:rsidRPr="003F5882">
        <w:rPr>
          <w:rFonts w:ascii="Arial" w:hAnsi="Arial" w:cs="Times New Roman"/>
          <w:sz w:val="21"/>
        </w:rPr>
        <w:t>公约》</w:t>
      </w:r>
      <w:r w:rsidR="00621366" w:rsidRPr="003F5882">
        <w:rPr>
          <w:rFonts w:ascii="Arial" w:hAnsi="Arial" w:cs="Times New Roman" w:hint="eastAsia"/>
          <w:sz w:val="21"/>
        </w:rPr>
        <w:t>缔约</w:t>
      </w:r>
      <w:r w:rsidRPr="003F5882">
        <w:rPr>
          <w:rFonts w:ascii="Arial" w:hAnsi="Arial" w:cs="Times New Roman"/>
          <w:sz w:val="21"/>
        </w:rPr>
        <w:t>国组成，负责任命总干事，总干事任期固定，每任不少于六年；通过各联盟共同开支预算；通过财务条例；邀请有关国家成为成员国，以及履行</w:t>
      </w:r>
      <w:r w:rsidR="003D06E3" w:rsidRPr="003F5882">
        <w:rPr>
          <w:rFonts w:ascii="Arial" w:hAnsi="Arial" w:cs="Times New Roman" w:hint="eastAsia"/>
          <w:sz w:val="21"/>
        </w:rPr>
        <w:t>《</w:t>
      </w:r>
      <w:r w:rsidRPr="003F5882">
        <w:rPr>
          <w:rFonts w:ascii="Arial" w:hAnsi="Arial" w:cs="Times New Roman"/>
          <w:sz w:val="21"/>
        </w:rPr>
        <w:t>公约</w:t>
      </w:r>
      <w:r w:rsidR="003D06E3" w:rsidRPr="003F5882">
        <w:rPr>
          <w:rFonts w:ascii="Arial" w:hAnsi="Arial" w:cs="Times New Roman" w:hint="eastAsia"/>
          <w:sz w:val="21"/>
        </w:rPr>
        <w:t>》</w:t>
      </w:r>
      <w:r w:rsidRPr="003F5882">
        <w:rPr>
          <w:rFonts w:ascii="Arial" w:hAnsi="Arial" w:cs="Times New Roman"/>
          <w:sz w:val="21"/>
        </w:rPr>
        <w:t>所规定的其他所有任务。</w:t>
      </w:r>
    </w:p>
    <w:p w:rsidR="007D62CB" w:rsidRDefault="006C0099" w:rsidP="003374D7">
      <w:pPr>
        <w:pStyle w:val="STYLEDUTEXTE"/>
        <w:numPr>
          <w:ilvl w:val="0"/>
          <w:numId w:val="10"/>
        </w:numPr>
        <w:overflowPunct w:val="0"/>
        <w:spacing w:afterLines="50" w:after="120" w:line="340" w:lineRule="atLeast"/>
        <w:ind w:left="714" w:hanging="357"/>
        <w:rPr>
          <w:rFonts w:ascii="Arial" w:hAnsi="Arial" w:cs="Times New Roman"/>
          <w:sz w:val="21"/>
          <w:szCs w:val="22"/>
        </w:rPr>
      </w:pPr>
      <w:r w:rsidRPr="003F5882">
        <w:rPr>
          <w:rFonts w:ascii="Arial" w:hAnsi="Arial" w:cs="Times New Roman"/>
          <w:sz w:val="21"/>
        </w:rPr>
        <w:t>成员国会议由所有成员国组成，不管其是否属于某一联盟。成员国会议通过预算、通过对《公约》的修正并酌情履行其他任务。</w:t>
      </w:r>
    </w:p>
    <w:p w:rsidR="007D62CB" w:rsidRDefault="006C0099" w:rsidP="003374D7">
      <w:pPr>
        <w:pStyle w:val="Style3"/>
        <w:numPr>
          <w:ilvl w:val="0"/>
          <w:numId w:val="10"/>
        </w:numPr>
        <w:overflowPunct w:val="0"/>
        <w:spacing w:afterLines="50" w:line="340" w:lineRule="atLeast"/>
        <w:ind w:left="714" w:hanging="357"/>
        <w:rPr>
          <w:rFonts w:ascii="Arial" w:hAnsi="Arial" w:cs="Times New Roman"/>
          <w:sz w:val="21"/>
          <w:szCs w:val="22"/>
        </w:rPr>
      </w:pPr>
      <w:r w:rsidRPr="003F5882">
        <w:rPr>
          <w:rFonts w:ascii="Arial" w:hAnsi="Arial" w:cs="Times New Roman"/>
          <w:sz w:val="21"/>
        </w:rPr>
        <w:t>协调委员会由巴黎或伯尔尼联盟的执行委员会的委员、非</w:t>
      </w:r>
      <w:r w:rsidR="00DC3A3F" w:rsidRPr="003F5882">
        <w:rPr>
          <w:rFonts w:ascii="Arial" w:hAnsi="Arial" w:cs="Times New Roman" w:hint="eastAsia"/>
          <w:sz w:val="21"/>
        </w:rPr>
        <w:t>任何</w:t>
      </w:r>
      <w:r w:rsidRPr="003F5882">
        <w:rPr>
          <w:rFonts w:ascii="Arial" w:hAnsi="Arial" w:cs="Times New Roman"/>
          <w:sz w:val="21"/>
        </w:rPr>
        <w:t>联盟成员的《</w:t>
      </w:r>
      <w:r w:rsidRPr="003F5882">
        <w:rPr>
          <w:rFonts w:ascii="Arial" w:hAnsi="Arial" w:cs="Times New Roman"/>
          <w:sz w:val="21"/>
        </w:rPr>
        <w:t>WIPO</w:t>
      </w:r>
      <w:r w:rsidRPr="003F5882">
        <w:rPr>
          <w:rFonts w:ascii="Arial" w:hAnsi="Arial" w:cs="Times New Roman"/>
          <w:sz w:val="21"/>
        </w:rPr>
        <w:t>公约》</w:t>
      </w:r>
      <w:r w:rsidR="00DC3A3F" w:rsidRPr="003F5882">
        <w:rPr>
          <w:rFonts w:ascii="Arial" w:hAnsi="Arial" w:cs="Times New Roman" w:hint="eastAsia"/>
          <w:sz w:val="21"/>
        </w:rPr>
        <w:t>缔约</w:t>
      </w:r>
      <w:r w:rsidRPr="003F5882">
        <w:rPr>
          <w:rFonts w:ascii="Arial" w:hAnsi="Arial" w:cs="Times New Roman"/>
          <w:sz w:val="21"/>
        </w:rPr>
        <w:t>国的四分之一以及瑞士组成。瑞士是本组织总部的所在地。协调委员会提名总干事候选人，编拟大会议程和成员国会议的计划和预算，并履行《</w:t>
      </w:r>
      <w:r w:rsidRPr="003F5882">
        <w:rPr>
          <w:rFonts w:ascii="Arial" w:hAnsi="Arial" w:cs="Times New Roman"/>
          <w:sz w:val="21"/>
        </w:rPr>
        <w:t>WIPO</w:t>
      </w:r>
      <w:r w:rsidRPr="003F5882">
        <w:rPr>
          <w:rFonts w:ascii="Arial" w:hAnsi="Arial" w:cs="Times New Roman"/>
          <w:sz w:val="21"/>
        </w:rPr>
        <w:t>公约》分配的其他职责。</w:t>
      </w:r>
    </w:p>
    <w:p w:rsidR="007D62CB" w:rsidRDefault="006C0099" w:rsidP="003374D7">
      <w:pPr>
        <w:pStyle w:val="Style3"/>
        <w:numPr>
          <w:ilvl w:val="0"/>
          <w:numId w:val="10"/>
        </w:numPr>
        <w:overflowPunct w:val="0"/>
        <w:spacing w:afterLines="50" w:line="340" w:lineRule="atLeast"/>
        <w:ind w:left="714" w:hanging="357"/>
        <w:rPr>
          <w:rFonts w:ascii="Arial" w:hAnsi="Arial" w:cs="Times New Roman"/>
          <w:sz w:val="21"/>
          <w:szCs w:val="22"/>
        </w:rPr>
      </w:pPr>
      <w:r w:rsidRPr="003F5882">
        <w:rPr>
          <w:rFonts w:ascii="Arial" w:hAnsi="Arial" w:cs="Times New Roman"/>
          <w:sz w:val="21"/>
        </w:rPr>
        <w:t>伯</w:t>
      </w:r>
      <w:proofErr w:type="gramStart"/>
      <w:r w:rsidRPr="003F5882">
        <w:rPr>
          <w:rFonts w:ascii="Arial" w:hAnsi="Arial" w:cs="Times New Roman"/>
          <w:sz w:val="21"/>
        </w:rPr>
        <w:t>尓</w:t>
      </w:r>
      <w:proofErr w:type="gramEnd"/>
      <w:r w:rsidRPr="003F5882">
        <w:rPr>
          <w:rFonts w:ascii="Arial" w:hAnsi="Arial" w:cs="Times New Roman"/>
          <w:sz w:val="21"/>
        </w:rPr>
        <w:t>尼、海牙、尼斯、里斯本、</w:t>
      </w:r>
      <w:proofErr w:type="gramStart"/>
      <w:r w:rsidRPr="003F5882">
        <w:rPr>
          <w:rFonts w:ascii="Arial" w:hAnsi="Arial" w:cs="Times New Roman"/>
          <w:sz w:val="21"/>
        </w:rPr>
        <w:t>洛迦</w:t>
      </w:r>
      <w:proofErr w:type="gramEnd"/>
      <w:r w:rsidRPr="003F5882">
        <w:rPr>
          <w:rFonts w:ascii="Arial" w:hAnsi="Arial" w:cs="Times New Roman"/>
          <w:sz w:val="21"/>
        </w:rPr>
        <w:t>诺、维也纳、布达佩斯国际专利分类和巴黎联盟等联盟大会，根据</w:t>
      </w:r>
      <w:r w:rsidRPr="003F5882">
        <w:rPr>
          <w:rFonts w:ascii="Arial" w:hAnsi="Arial" w:cs="Times New Roman"/>
          <w:sz w:val="21"/>
        </w:rPr>
        <w:t>WIPO</w:t>
      </w:r>
      <w:r w:rsidRPr="003F5882">
        <w:rPr>
          <w:rFonts w:ascii="Arial" w:hAnsi="Arial" w:cs="Times New Roman"/>
          <w:sz w:val="21"/>
        </w:rPr>
        <w:t>管理的创建各联盟的各个条约的授权举行会议，并通过</w:t>
      </w:r>
      <w:r w:rsidRPr="003F5882">
        <w:rPr>
          <w:rFonts w:ascii="Arial" w:hAnsi="Arial" w:cs="Times New Roman"/>
          <w:sz w:val="21"/>
        </w:rPr>
        <w:t>WIPO</w:t>
      </w:r>
      <w:r w:rsidRPr="003F5882">
        <w:rPr>
          <w:rFonts w:ascii="Arial" w:hAnsi="Arial" w:cs="Times New Roman"/>
          <w:sz w:val="21"/>
        </w:rPr>
        <w:t>预算中仅与各自收入和费用相关的部分，以及确定向</w:t>
      </w:r>
      <w:r w:rsidRPr="003F5882">
        <w:rPr>
          <w:rFonts w:ascii="Arial" w:hAnsi="Arial" w:cs="Times New Roman"/>
          <w:sz w:val="21"/>
        </w:rPr>
        <w:t>WIPO</w:t>
      </w:r>
      <w:r w:rsidRPr="003F5882">
        <w:rPr>
          <w:rFonts w:ascii="Arial" w:hAnsi="Arial" w:cs="Times New Roman"/>
          <w:sz w:val="21"/>
        </w:rPr>
        <w:t>根据每一条约提供服务需支付费用的水平。</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WIPO</w:t>
      </w:r>
      <w:r w:rsidRPr="003F5882">
        <w:rPr>
          <w:rFonts w:ascii="Arial" w:hAnsi="Arial" w:cs="Times New Roman"/>
          <w:sz w:val="21"/>
        </w:rPr>
        <w:t>的资金来源包括从本组织提供的各项服务中收取的费用、成员国支付的分摊会费以及成员国和其他捐助方的自愿捐款。本组织在提供批款的两年期计划和预算的框架内开展工作，</w:t>
      </w:r>
      <w:r w:rsidRPr="003F5882">
        <w:rPr>
          <w:rFonts w:ascii="Arial" w:hAnsi="Arial" w:cs="Times New Roman"/>
          <w:sz w:val="21"/>
        </w:rPr>
        <w:t>“</w:t>
      </w:r>
      <w:r w:rsidRPr="003F5882">
        <w:rPr>
          <w:rFonts w:ascii="Arial" w:hAnsi="Arial" w:cs="Times New Roman"/>
          <w:sz w:val="21"/>
        </w:rPr>
        <w:t>批款</w:t>
      </w:r>
      <w:r w:rsidRPr="003F5882">
        <w:rPr>
          <w:rFonts w:ascii="Arial" w:hAnsi="Arial" w:cs="Times New Roman"/>
          <w:sz w:val="21"/>
        </w:rPr>
        <w:t>”</w:t>
      </w:r>
      <w:r w:rsidRPr="003F5882">
        <w:rPr>
          <w:rFonts w:ascii="Arial" w:hAnsi="Arial" w:cs="Times New Roman"/>
          <w:sz w:val="21"/>
        </w:rPr>
        <w:t>系指大会为每一财政期间批准的预算支出授权。批准批款向总干事提供了承付和授权支出以及为批款限度内指定目的而支付款项的权利。</w:t>
      </w:r>
    </w:p>
    <w:p w:rsidR="007D62CB" w:rsidRDefault="006C0099" w:rsidP="007D62CB">
      <w:pPr>
        <w:pStyle w:val="STYLETITRENOTES"/>
        <w:keepNext/>
        <w:overflowPunct w:val="0"/>
        <w:spacing w:beforeLines="100" w:before="240" w:afterLines="100" w:after="240" w:line="340" w:lineRule="atLeast"/>
        <w:rPr>
          <w:rFonts w:ascii="Arial" w:eastAsia="SimHei" w:hAnsi="Arial" w:cs="Times New Roman"/>
          <w:b w:val="0"/>
          <w:sz w:val="21"/>
          <w:szCs w:val="22"/>
        </w:rPr>
      </w:pPr>
      <w:r w:rsidRPr="00F453AC">
        <w:rPr>
          <w:rFonts w:ascii="Arial" w:eastAsia="SimHei" w:hAnsi="Arial" w:cs="Times New Roman"/>
          <w:b w:val="0"/>
          <w:sz w:val="21"/>
        </w:rPr>
        <w:lastRenderedPageBreak/>
        <w:t>附注</w:t>
      </w:r>
      <w:r w:rsidRPr="00F453AC">
        <w:rPr>
          <w:rFonts w:ascii="Arial" w:eastAsia="SimHei" w:hAnsi="Arial" w:cs="Times New Roman"/>
          <w:b w:val="0"/>
          <w:sz w:val="21"/>
        </w:rPr>
        <w:t>2</w:t>
      </w:r>
      <w:r w:rsidRPr="00F453AC">
        <w:rPr>
          <w:rFonts w:ascii="Arial" w:eastAsia="SimHei" w:hAnsi="Arial" w:cs="Times New Roman"/>
          <w:b w:val="0"/>
          <w:sz w:val="21"/>
        </w:rPr>
        <w:t>：</w:t>
      </w:r>
      <w:r w:rsidRPr="00F453AC">
        <w:rPr>
          <w:rFonts w:ascii="Arial" w:eastAsia="SimHei" w:hAnsi="Arial" w:cs="Times New Roman"/>
          <w:b w:val="0"/>
          <w:sz w:val="21"/>
        </w:rPr>
        <w:tab/>
      </w:r>
      <w:r w:rsidRPr="00F453AC">
        <w:rPr>
          <w:rFonts w:ascii="Arial" w:eastAsia="SimHei" w:hAnsi="Arial" w:cs="Times New Roman"/>
          <w:b w:val="0"/>
          <w:sz w:val="21"/>
        </w:rPr>
        <w:t>重大会计政策</w:t>
      </w:r>
    </w:p>
    <w:p w:rsidR="007D62CB" w:rsidRPr="003374D7" w:rsidRDefault="006C0099" w:rsidP="003374D7">
      <w:pPr>
        <w:pStyle w:val="Style3Bold"/>
        <w:keepNext/>
        <w:spacing w:afterLines="50" w:line="340" w:lineRule="atLeast"/>
        <w:rPr>
          <w:rFonts w:eastAsia="SimSun" w:cs="Times New Roman"/>
          <w:sz w:val="21"/>
          <w:szCs w:val="22"/>
        </w:rPr>
      </w:pPr>
      <w:r w:rsidRPr="003374D7">
        <w:rPr>
          <w:rFonts w:eastAsia="SimSun" w:cs="Times New Roman"/>
          <w:sz w:val="21"/>
        </w:rPr>
        <w:t>编制基准</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本套财务报表是根据权责发生制和持续经营编制的，整个财务期间会计政策都得到了持续应用。财务报表符合</w:t>
      </w:r>
      <w:r w:rsidR="003D06E3" w:rsidRPr="003F5882">
        <w:rPr>
          <w:rFonts w:ascii="Arial" w:hAnsi="Arial" w:cs="Times New Roman" w:hint="eastAsia"/>
          <w:sz w:val="21"/>
        </w:rPr>
        <w:t>《</w:t>
      </w:r>
      <w:r w:rsidRPr="003F5882">
        <w:rPr>
          <w:rFonts w:ascii="Arial" w:hAnsi="Arial" w:cs="Times New Roman"/>
          <w:sz w:val="21"/>
        </w:rPr>
        <w:t>国际公共部门会计</w:t>
      </w:r>
      <w:r w:rsidR="003D06E3" w:rsidRPr="003F5882">
        <w:rPr>
          <w:rFonts w:ascii="Arial" w:hAnsi="Arial" w:cs="Times New Roman" w:hint="eastAsia"/>
          <w:sz w:val="21"/>
        </w:rPr>
        <w:t>准则》</w:t>
      </w:r>
      <w:r w:rsidR="00F453AC" w:rsidRPr="003F5882">
        <w:rPr>
          <w:rFonts w:ascii="Arial" w:hAnsi="Arial" w:cs="Times New Roman" w:hint="eastAsia"/>
          <w:sz w:val="21"/>
        </w:rPr>
        <w:t>（</w:t>
      </w:r>
      <w:r w:rsidRPr="003F5882">
        <w:rPr>
          <w:rFonts w:ascii="Arial" w:hAnsi="Arial" w:cs="Times New Roman"/>
          <w:sz w:val="21"/>
        </w:rPr>
        <w:t>IPSAS</w:t>
      </w:r>
      <w:r w:rsidR="00F453AC" w:rsidRPr="003F5882">
        <w:rPr>
          <w:rFonts w:ascii="Arial" w:hAnsi="Arial" w:cs="Times New Roman" w:hint="eastAsia"/>
          <w:sz w:val="21"/>
        </w:rPr>
        <w:t>）</w:t>
      </w:r>
      <w:r w:rsidRPr="003F5882">
        <w:rPr>
          <w:rFonts w:ascii="Arial" w:hAnsi="Arial" w:cs="Times New Roman"/>
          <w:sz w:val="21"/>
        </w:rPr>
        <w:t>的要求。</w:t>
      </w:r>
    </w:p>
    <w:p w:rsidR="007D62CB" w:rsidRPr="003374D7" w:rsidRDefault="006C0099" w:rsidP="003374D7">
      <w:pPr>
        <w:pStyle w:val="Style3Bold"/>
        <w:keepLines/>
        <w:spacing w:afterLines="50" w:line="340" w:lineRule="atLeast"/>
        <w:rPr>
          <w:rFonts w:eastAsia="SimSun" w:cs="Times New Roman"/>
          <w:sz w:val="21"/>
        </w:rPr>
      </w:pPr>
      <w:r w:rsidRPr="003374D7">
        <w:rPr>
          <w:rFonts w:eastAsia="SimSun" w:cs="Times New Roman"/>
          <w:sz w:val="21"/>
        </w:rPr>
        <w:t>借款成本</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所有与借款有关的成本都被作为这些成本发生期间的支出。与建设新办公楼有关的借款成本</w:t>
      </w:r>
      <w:r w:rsidR="00F453AC" w:rsidRPr="003F5882">
        <w:rPr>
          <w:rFonts w:ascii="Arial" w:hAnsi="Arial" w:cs="Times New Roman" w:hint="eastAsia"/>
          <w:sz w:val="21"/>
        </w:rPr>
        <w:t>（</w:t>
      </w:r>
      <w:r w:rsidRPr="003F5882">
        <w:rPr>
          <w:rFonts w:ascii="Arial" w:hAnsi="Arial" w:cs="Times New Roman"/>
          <w:sz w:val="21"/>
        </w:rPr>
        <w:t>利息和费用</w:t>
      </w:r>
      <w:r w:rsidR="00F453AC" w:rsidRPr="003F5882">
        <w:rPr>
          <w:rFonts w:ascii="Arial" w:hAnsi="Arial" w:cs="Times New Roman" w:hint="eastAsia"/>
          <w:sz w:val="21"/>
        </w:rPr>
        <w:t>）</w:t>
      </w:r>
      <w:r w:rsidRPr="003F5882">
        <w:rPr>
          <w:rFonts w:ascii="Arial" w:hAnsi="Arial" w:cs="Times New Roman"/>
          <w:sz w:val="21"/>
        </w:rPr>
        <w:t>已经作为在建项目转化为资本</w:t>
      </w:r>
      <w:r w:rsidR="00F453AC" w:rsidRPr="003F5882">
        <w:rPr>
          <w:rFonts w:ascii="Arial" w:hAnsi="Arial" w:cs="Times New Roman" w:hint="eastAsia"/>
          <w:sz w:val="21"/>
        </w:rPr>
        <w:t>（</w:t>
      </w:r>
      <w:r w:rsidRPr="003F5882">
        <w:rPr>
          <w:rFonts w:ascii="Arial" w:hAnsi="Arial" w:cs="Times New Roman"/>
          <w:sz w:val="21"/>
        </w:rPr>
        <w:t>见附注</w:t>
      </w:r>
      <w:r w:rsidRPr="003F5882">
        <w:rPr>
          <w:rFonts w:ascii="Arial" w:hAnsi="Arial" w:cs="Times New Roman"/>
          <w:sz w:val="21"/>
        </w:rPr>
        <w:t>9</w:t>
      </w:r>
      <w:r w:rsidR="00F453AC" w:rsidRPr="003F5882">
        <w:rPr>
          <w:rFonts w:ascii="Arial" w:hAnsi="Arial" w:cs="Times New Roman" w:hint="eastAsia"/>
          <w:sz w:val="21"/>
        </w:rPr>
        <w:t>）</w:t>
      </w:r>
      <w:r w:rsidRPr="003F5882">
        <w:rPr>
          <w:rFonts w:ascii="Arial" w:hAnsi="Arial" w:cs="Times New Roman"/>
          <w:sz w:val="21"/>
        </w:rPr>
        <w:t>。与建设新</w:t>
      </w:r>
      <w:r w:rsidR="00884E92" w:rsidRPr="003F5882">
        <w:rPr>
          <w:rFonts w:ascii="Arial" w:hAnsi="Arial" w:cs="Times New Roman" w:hint="eastAsia"/>
          <w:sz w:val="21"/>
        </w:rPr>
        <w:t>会议厅</w:t>
      </w:r>
      <w:r w:rsidRPr="003F5882">
        <w:rPr>
          <w:rFonts w:ascii="Arial" w:hAnsi="Arial" w:cs="Times New Roman"/>
          <w:sz w:val="21"/>
        </w:rPr>
        <w:t>有关的借款成本</w:t>
      </w:r>
      <w:r w:rsidR="00F453AC" w:rsidRPr="003F5882">
        <w:rPr>
          <w:rFonts w:ascii="Arial" w:hAnsi="Arial" w:cs="Times New Roman" w:hint="eastAsia"/>
          <w:sz w:val="21"/>
        </w:rPr>
        <w:t>（</w:t>
      </w:r>
      <w:r w:rsidRPr="003F5882">
        <w:rPr>
          <w:rFonts w:ascii="Arial" w:hAnsi="Arial" w:cs="Times New Roman"/>
          <w:sz w:val="21"/>
        </w:rPr>
        <w:t>未动用贷款金额手续费</w:t>
      </w:r>
      <w:r w:rsidR="00F453AC" w:rsidRPr="003F5882">
        <w:rPr>
          <w:rFonts w:ascii="Arial" w:hAnsi="Arial" w:cs="Times New Roman" w:hint="eastAsia"/>
          <w:sz w:val="21"/>
        </w:rPr>
        <w:t>）</w:t>
      </w:r>
      <w:r w:rsidRPr="003F5882">
        <w:rPr>
          <w:rFonts w:ascii="Arial" w:hAnsi="Arial" w:cs="Times New Roman"/>
          <w:sz w:val="21"/>
        </w:rPr>
        <w:t>已经作为在建项目转化为资本</w:t>
      </w:r>
      <w:r w:rsidR="00F453AC" w:rsidRPr="003F5882">
        <w:rPr>
          <w:rFonts w:ascii="Arial" w:hAnsi="Arial" w:cs="Times New Roman" w:hint="eastAsia"/>
          <w:sz w:val="21"/>
        </w:rPr>
        <w:t>（</w:t>
      </w:r>
      <w:r w:rsidRPr="003F5882">
        <w:rPr>
          <w:rFonts w:ascii="Arial" w:hAnsi="Arial" w:cs="Times New Roman"/>
          <w:sz w:val="21"/>
        </w:rPr>
        <w:t>见附注</w:t>
      </w:r>
      <w:r w:rsidRPr="003F5882">
        <w:rPr>
          <w:rFonts w:ascii="Arial" w:hAnsi="Arial" w:cs="Times New Roman"/>
          <w:sz w:val="21"/>
        </w:rPr>
        <w:t>9</w:t>
      </w:r>
      <w:r w:rsidR="00F453AC" w:rsidRPr="003F5882">
        <w:rPr>
          <w:rFonts w:ascii="Arial" w:hAnsi="Arial" w:cs="Times New Roman" w:hint="eastAsia"/>
          <w:sz w:val="21"/>
        </w:rPr>
        <w:t>）</w:t>
      </w:r>
      <w:r w:rsidRPr="003F5882">
        <w:rPr>
          <w:rFonts w:ascii="Arial" w:hAnsi="Arial" w:cs="Times New Roman"/>
          <w:sz w:val="21"/>
        </w:rPr>
        <w:t>。从世界气象组织收购</w:t>
      </w:r>
      <w:r w:rsidRPr="003F5882">
        <w:rPr>
          <w:rFonts w:ascii="Arial" w:hAnsi="Arial" w:cs="Times New Roman"/>
          <w:sz w:val="21"/>
        </w:rPr>
        <w:t>PCT</w:t>
      </w:r>
      <w:r w:rsidRPr="003F5882">
        <w:rPr>
          <w:rFonts w:ascii="Arial" w:hAnsi="Arial" w:cs="Times New Roman"/>
          <w:sz w:val="21"/>
        </w:rPr>
        <w:t>楼所在地土地权</w:t>
      </w:r>
      <w:r w:rsidR="00F453AC" w:rsidRPr="003F5882">
        <w:rPr>
          <w:rFonts w:ascii="Arial" w:hAnsi="Arial" w:cs="Times New Roman" w:hint="eastAsia"/>
          <w:sz w:val="21"/>
        </w:rPr>
        <w:t>（</w:t>
      </w:r>
      <w:r w:rsidRPr="003F5882">
        <w:rPr>
          <w:rFonts w:ascii="Arial" w:eastAsia="KaiTi" w:hAnsi="Arial" w:cs="Times New Roman"/>
          <w:sz w:val="21"/>
        </w:rPr>
        <w:t>droits de superficie</w:t>
      </w:r>
      <w:r w:rsidR="00F453AC" w:rsidRPr="003F5882">
        <w:rPr>
          <w:rFonts w:ascii="Arial" w:hAnsi="Arial" w:cs="Times New Roman" w:hint="eastAsia"/>
          <w:sz w:val="21"/>
        </w:rPr>
        <w:t>）</w:t>
      </w:r>
      <w:r w:rsidRPr="003F5882">
        <w:rPr>
          <w:rFonts w:ascii="Arial" w:hAnsi="Arial" w:cs="Times New Roman"/>
          <w:sz w:val="21"/>
        </w:rPr>
        <w:t>有关的借款成本</w:t>
      </w:r>
      <w:r w:rsidR="00F453AC" w:rsidRPr="003F5882">
        <w:rPr>
          <w:rFonts w:ascii="Arial" w:hAnsi="Arial" w:cs="Times New Roman" w:hint="eastAsia"/>
          <w:sz w:val="21"/>
        </w:rPr>
        <w:t>（</w:t>
      </w:r>
      <w:r w:rsidRPr="003F5882">
        <w:rPr>
          <w:rFonts w:ascii="Arial" w:hAnsi="Arial" w:cs="Times New Roman"/>
          <w:sz w:val="21"/>
        </w:rPr>
        <w:t>利息和费用</w:t>
      </w:r>
      <w:r w:rsidR="00F453AC" w:rsidRPr="003F5882">
        <w:rPr>
          <w:rFonts w:ascii="Arial" w:hAnsi="Arial" w:cs="Times New Roman" w:hint="eastAsia"/>
          <w:sz w:val="21"/>
        </w:rPr>
        <w:t>）</w:t>
      </w:r>
      <w:r w:rsidRPr="003F5882">
        <w:rPr>
          <w:rFonts w:ascii="Arial" w:hAnsi="Arial" w:cs="Times New Roman"/>
          <w:sz w:val="21"/>
        </w:rPr>
        <w:t>已作为资产价值的一部分计入资本，并在土地权的剩余年限中摊销</w:t>
      </w:r>
      <w:r w:rsidR="00F453AC" w:rsidRPr="003F5882">
        <w:rPr>
          <w:rFonts w:ascii="Arial" w:hAnsi="Arial" w:cs="Times New Roman" w:hint="eastAsia"/>
          <w:sz w:val="21"/>
        </w:rPr>
        <w:t>（</w:t>
      </w:r>
      <w:r w:rsidRPr="003F5882">
        <w:rPr>
          <w:rFonts w:ascii="Arial" w:hAnsi="Arial" w:cs="Times New Roman"/>
          <w:sz w:val="21"/>
        </w:rPr>
        <w:t>见附注</w:t>
      </w:r>
      <w:r w:rsidRPr="003F5882">
        <w:rPr>
          <w:rFonts w:ascii="Arial" w:hAnsi="Arial" w:cs="Times New Roman"/>
          <w:sz w:val="21"/>
        </w:rPr>
        <w:t>8</w:t>
      </w:r>
      <w:r w:rsidR="00F453AC" w:rsidRPr="003F5882">
        <w:rPr>
          <w:rFonts w:ascii="Arial" w:hAnsi="Arial" w:cs="Times New Roman" w:hint="eastAsia"/>
          <w:sz w:val="21"/>
        </w:rPr>
        <w:t>）</w:t>
      </w:r>
      <w:r w:rsidRPr="003F5882">
        <w:rPr>
          <w:rFonts w:ascii="Arial" w:hAnsi="Arial" w:cs="Times New Roman"/>
          <w:sz w:val="21"/>
        </w:rPr>
        <w:t>。</w:t>
      </w:r>
    </w:p>
    <w:p w:rsidR="007D62CB" w:rsidRPr="003374D7" w:rsidRDefault="006C0099" w:rsidP="003374D7">
      <w:pPr>
        <w:pStyle w:val="Style3Bold"/>
        <w:keepLines/>
        <w:spacing w:afterLines="50" w:line="340" w:lineRule="atLeast"/>
        <w:rPr>
          <w:rFonts w:eastAsia="SimSun" w:cs="Times New Roman"/>
          <w:sz w:val="21"/>
        </w:rPr>
      </w:pPr>
      <w:r w:rsidRPr="003374D7">
        <w:rPr>
          <w:rFonts w:eastAsia="SimSun" w:cs="Times New Roman"/>
          <w:sz w:val="21"/>
        </w:rPr>
        <w:t>现金、投资和其他金融资产</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现金和现金等价物包括库存现金、银行通知存款、不超过</w:t>
      </w:r>
      <w:r w:rsidRPr="003F5882">
        <w:rPr>
          <w:rFonts w:ascii="Arial" w:hAnsi="Arial" w:cs="Times New Roman"/>
          <w:sz w:val="21"/>
        </w:rPr>
        <w:t>90</w:t>
      </w:r>
      <w:r w:rsidRPr="003F5882">
        <w:rPr>
          <w:rFonts w:ascii="Arial" w:hAnsi="Arial" w:cs="Times New Roman"/>
          <w:sz w:val="21"/>
        </w:rPr>
        <w:t>天的存款及其他可随时变现且价值变动风险不大的短期高流动性投资。</w:t>
      </w:r>
    </w:p>
    <w:p w:rsidR="007D62CB" w:rsidRPr="003374D7" w:rsidRDefault="006C0099" w:rsidP="003374D7">
      <w:pPr>
        <w:pStyle w:val="Style3Bold"/>
        <w:keepLines/>
        <w:spacing w:afterLines="50" w:line="340" w:lineRule="atLeast"/>
        <w:rPr>
          <w:rFonts w:eastAsia="SimSun" w:cs="Times New Roman"/>
          <w:sz w:val="21"/>
        </w:rPr>
      </w:pPr>
      <w:r w:rsidRPr="003374D7">
        <w:rPr>
          <w:rFonts w:eastAsia="SimSun" w:cs="Times New Roman"/>
          <w:sz w:val="21"/>
        </w:rPr>
        <w:t>雇员福利</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根据独立精算师利用预计单位福利法在年度基础上确定的结果，把离职后健康保险</w:t>
      </w:r>
      <w:r w:rsidR="00F453AC" w:rsidRPr="003F5882">
        <w:rPr>
          <w:rFonts w:ascii="Arial" w:hAnsi="Arial" w:cs="Times New Roman" w:hint="eastAsia"/>
          <w:sz w:val="21"/>
        </w:rPr>
        <w:t>（</w:t>
      </w:r>
      <w:r w:rsidRPr="003F5882">
        <w:rPr>
          <w:rFonts w:ascii="Arial" w:hAnsi="Arial" w:cs="Times New Roman"/>
          <w:sz w:val="21"/>
        </w:rPr>
        <w:t>ASHI</w:t>
      </w:r>
      <w:r w:rsidR="00F453AC" w:rsidRPr="003F5882">
        <w:rPr>
          <w:rFonts w:ascii="Arial" w:hAnsi="Arial" w:cs="Times New Roman" w:hint="eastAsia"/>
          <w:sz w:val="21"/>
        </w:rPr>
        <w:t>）</w:t>
      </w:r>
      <w:r w:rsidRPr="003F5882">
        <w:rPr>
          <w:rFonts w:ascii="Arial" w:hAnsi="Arial" w:cs="Times New Roman"/>
          <w:sz w:val="21"/>
        </w:rPr>
        <w:t>和回国补助金以及旅费规定为负债。</w:t>
      </w:r>
      <w:r w:rsidRPr="003F5882">
        <w:rPr>
          <w:rFonts w:ascii="Arial" w:hAnsi="Arial" w:cs="Times New Roman"/>
          <w:sz w:val="21"/>
        </w:rPr>
        <w:t>ASHI</w:t>
      </w:r>
      <w:r w:rsidRPr="003F5882">
        <w:rPr>
          <w:rFonts w:ascii="Arial" w:hAnsi="Arial" w:cs="Times New Roman"/>
          <w:sz w:val="21"/>
        </w:rPr>
        <w:t>负债的精算盈余和亏损用居间法来认定，并按照在职工作人员的未来平均服务年数摊销。此外，在报告日尚未支付的累计假期、未执行回籍假</w:t>
      </w:r>
      <w:r w:rsidR="0004367C" w:rsidRPr="003F5882">
        <w:rPr>
          <w:rFonts w:ascii="Arial" w:hAnsi="Arial" w:cs="Times New Roman" w:hint="eastAsia"/>
          <w:sz w:val="21"/>
        </w:rPr>
        <w:t>、未支付</w:t>
      </w:r>
      <w:r w:rsidRPr="003F5882">
        <w:rPr>
          <w:rFonts w:ascii="Arial" w:hAnsi="Arial" w:cs="Times New Roman"/>
          <w:sz w:val="21"/>
        </w:rPr>
        <w:t>加班费、离职福利、绩效奖励以及在报告日没有纳入当期支出的应支付教育补助金也规定为负债。</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WIPO</w:t>
      </w:r>
      <w:r w:rsidRPr="003F5882">
        <w:rPr>
          <w:rFonts w:ascii="Arial" w:hAnsi="Arial" w:cs="Times New Roman"/>
          <w:sz w:val="21"/>
        </w:rPr>
        <w:t>为联合国合办工作人员养恤基金</w:t>
      </w:r>
      <w:r w:rsidR="00F453AC" w:rsidRPr="003F5882">
        <w:rPr>
          <w:rFonts w:ascii="Arial" w:hAnsi="Arial" w:cs="Times New Roman" w:hint="eastAsia"/>
          <w:sz w:val="21"/>
        </w:rPr>
        <w:t>（</w:t>
      </w:r>
      <w:r w:rsidRPr="003F5882">
        <w:rPr>
          <w:rFonts w:ascii="Arial" w:hAnsi="Arial" w:cs="Times New Roman"/>
          <w:sz w:val="21"/>
        </w:rPr>
        <w:t>UNJSPF</w:t>
      </w:r>
      <w:r w:rsidR="00F453AC" w:rsidRPr="003F5882">
        <w:rPr>
          <w:rFonts w:ascii="Arial" w:hAnsi="Arial" w:cs="Times New Roman" w:hint="eastAsia"/>
          <w:sz w:val="21"/>
        </w:rPr>
        <w:t>）</w:t>
      </w:r>
      <w:r w:rsidRPr="003F5882">
        <w:rPr>
          <w:rFonts w:ascii="Arial" w:hAnsi="Arial" w:cs="Times New Roman"/>
          <w:sz w:val="21"/>
        </w:rPr>
        <w:t>的成员组织，该基金由联合国大会成立，旨在为雇员提供退休、死亡、残障和相关福利。养恤基金是一个多雇主资助和有明确规定的福利计划。根据该基金条例第</w:t>
      </w:r>
      <w:r w:rsidRPr="003F5882">
        <w:rPr>
          <w:rFonts w:ascii="Arial" w:hAnsi="Arial" w:cs="Times New Roman"/>
          <w:sz w:val="21"/>
        </w:rPr>
        <w:t>3</w:t>
      </w:r>
      <w:r w:rsidR="003D06E3" w:rsidRPr="003F5882">
        <w:rPr>
          <w:rFonts w:ascii="Arial" w:hAnsi="Arial" w:cs="Times New Roman"/>
          <w:sz w:val="21"/>
        </w:rPr>
        <w:t>条</w:t>
      </w:r>
      <w:r w:rsidRPr="003F5882">
        <w:rPr>
          <w:rFonts w:ascii="Arial" w:hAnsi="Arial" w:cs="Times New Roman"/>
          <w:sz w:val="21"/>
        </w:rPr>
        <w:t>b</w:t>
      </w:r>
      <w:r w:rsidRPr="003F5882">
        <w:rPr>
          <w:rFonts w:ascii="Arial" w:hAnsi="Arial" w:cs="Times New Roman"/>
          <w:sz w:val="21"/>
        </w:rPr>
        <w:t>款的规定，该基金的成员资格须向联合国专门机构以及参加联合国薪金、津贴和其他福利统一制度的任何其他国际、政府间组织及专门机构开放。</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该计划使成员组织面临着有关其他组织现有和前雇员的精算风险。其结果是，在将义务、计划资产和费用分配至参与该计划的各个组织方面没有统一、可靠的基准。</w:t>
      </w:r>
      <w:r w:rsidRPr="003F5882">
        <w:rPr>
          <w:rFonts w:ascii="Arial" w:hAnsi="Arial" w:cs="Times New Roman"/>
          <w:sz w:val="21"/>
        </w:rPr>
        <w:t>WIPO</w:t>
      </w:r>
      <w:r w:rsidRPr="003F5882">
        <w:rPr>
          <w:rFonts w:ascii="Arial" w:hAnsi="Arial" w:cs="Times New Roman"/>
          <w:sz w:val="21"/>
        </w:rPr>
        <w:t>和</w:t>
      </w:r>
      <w:r w:rsidRPr="003F5882">
        <w:rPr>
          <w:rFonts w:ascii="Arial" w:hAnsi="Arial" w:cs="Times New Roman"/>
          <w:sz w:val="21"/>
        </w:rPr>
        <w:t>UNJSPF</w:t>
      </w:r>
      <w:r w:rsidRPr="003F5882">
        <w:rPr>
          <w:rFonts w:ascii="Arial" w:hAnsi="Arial" w:cs="Times New Roman"/>
          <w:sz w:val="21"/>
        </w:rPr>
        <w:t>与其他参与基金的组织一样，无法从财务角度以足够的可靠性来确定其与该计划相关的</w:t>
      </w:r>
      <w:r w:rsidR="007B516A" w:rsidRPr="003F5882">
        <w:rPr>
          <w:rFonts w:ascii="Arial" w:hAnsi="Arial" w:cs="Times New Roman"/>
          <w:sz w:val="21"/>
        </w:rPr>
        <w:t>固定福利债务</w:t>
      </w:r>
      <w:r w:rsidRPr="003F5882">
        <w:rPr>
          <w:rFonts w:ascii="Arial" w:hAnsi="Arial" w:cs="Times New Roman"/>
          <w:sz w:val="21"/>
        </w:rPr>
        <w:t>、计划资产和费用的相应份额，因此</w:t>
      </w:r>
      <w:r w:rsidRPr="003F5882">
        <w:rPr>
          <w:rFonts w:ascii="Arial" w:hAnsi="Arial" w:cs="Times New Roman"/>
          <w:sz w:val="21"/>
        </w:rPr>
        <w:t>WIPO</w:t>
      </w:r>
      <w:r w:rsidRPr="003F5882">
        <w:rPr>
          <w:rFonts w:ascii="Arial" w:hAnsi="Arial" w:cs="Times New Roman"/>
          <w:sz w:val="21"/>
        </w:rPr>
        <w:t>将该计划当成是符合</w:t>
      </w:r>
      <w:r w:rsidRPr="003F5882">
        <w:rPr>
          <w:rFonts w:ascii="Arial" w:hAnsi="Arial" w:cs="Times New Roman"/>
          <w:sz w:val="21"/>
        </w:rPr>
        <w:t>IPSAS 25</w:t>
      </w:r>
      <w:r w:rsidRPr="003F5882">
        <w:rPr>
          <w:rFonts w:ascii="Arial" w:hAnsi="Arial" w:cs="Times New Roman"/>
          <w:sz w:val="21"/>
        </w:rPr>
        <w:t>要求的固定缴款计划。</w:t>
      </w:r>
      <w:r w:rsidRPr="003F5882">
        <w:rPr>
          <w:rFonts w:ascii="Arial" w:hAnsi="Arial" w:cs="Times New Roman"/>
          <w:sz w:val="21"/>
        </w:rPr>
        <w:t>WIPO</w:t>
      </w:r>
      <w:r w:rsidRPr="003F5882">
        <w:rPr>
          <w:rFonts w:ascii="Arial" w:hAnsi="Arial" w:cs="Times New Roman"/>
          <w:sz w:val="21"/>
        </w:rPr>
        <w:t>在本财务期内为该计划的缴款在财务执行情况表中被列为支出。</w:t>
      </w:r>
    </w:p>
    <w:p w:rsidR="007D62CB" w:rsidRPr="003374D7" w:rsidRDefault="006C0099" w:rsidP="003374D7">
      <w:pPr>
        <w:pStyle w:val="Style3Bold"/>
        <w:keepLines/>
        <w:spacing w:afterLines="50" w:line="340" w:lineRule="atLeast"/>
        <w:rPr>
          <w:rFonts w:eastAsia="SimSun" w:cs="Times New Roman"/>
          <w:sz w:val="21"/>
        </w:rPr>
      </w:pPr>
      <w:r w:rsidRPr="003374D7">
        <w:rPr>
          <w:rFonts w:eastAsia="SimSun" w:cs="Times New Roman"/>
          <w:sz w:val="21"/>
        </w:rPr>
        <w:t>费用确认</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货物收到和服务交付时，即可记为费用已支出。</w:t>
      </w:r>
    </w:p>
    <w:p w:rsidR="007D62CB" w:rsidRPr="003374D7" w:rsidRDefault="006C0099" w:rsidP="003374D7">
      <w:pPr>
        <w:pStyle w:val="Style3Bold"/>
        <w:keepNext/>
        <w:spacing w:afterLines="50" w:line="340" w:lineRule="atLeast"/>
        <w:rPr>
          <w:rFonts w:eastAsia="SimSun" w:cs="Times New Roman"/>
          <w:sz w:val="21"/>
        </w:rPr>
      </w:pPr>
      <w:r w:rsidRPr="003374D7">
        <w:rPr>
          <w:rFonts w:eastAsia="SimSun" w:cs="Times New Roman"/>
          <w:sz w:val="21"/>
        </w:rPr>
        <w:t>金融工具</w:t>
      </w:r>
    </w:p>
    <w:p w:rsidR="007D62CB" w:rsidRPr="003374D7" w:rsidRDefault="006C0099" w:rsidP="003374D7">
      <w:pPr>
        <w:pStyle w:val="Style3"/>
        <w:keepNext/>
        <w:spacing w:afterLines="50" w:line="340" w:lineRule="atLeast"/>
        <w:rPr>
          <w:rFonts w:ascii="Arial" w:eastAsia="KaiTi" w:hAnsi="Arial" w:cs="Times New Roman"/>
          <w:b/>
          <w:i/>
          <w:sz w:val="21"/>
          <w:szCs w:val="22"/>
        </w:rPr>
      </w:pPr>
      <w:r w:rsidRPr="003374D7">
        <w:rPr>
          <w:rFonts w:ascii="Arial" w:eastAsia="KaiTi" w:hAnsi="Arial" w:cs="Times New Roman"/>
          <w:b/>
          <w:i/>
          <w:sz w:val="21"/>
        </w:rPr>
        <w:t>金融资产</w:t>
      </w:r>
    </w:p>
    <w:p w:rsidR="006C0099" w:rsidRPr="003F5882" w:rsidRDefault="006C0099" w:rsidP="003374D7">
      <w:pPr>
        <w:pStyle w:val="Style3"/>
        <w:keepNext/>
        <w:spacing w:after="0" w:line="340" w:lineRule="atLeast"/>
        <w:rPr>
          <w:rFonts w:ascii="Arial" w:hAnsi="Arial" w:cs="Times New Roman"/>
          <w:bCs/>
          <w:sz w:val="21"/>
          <w:szCs w:val="22"/>
        </w:rPr>
      </w:pPr>
      <w:r w:rsidRPr="003F5882">
        <w:rPr>
          <w:rFonts w:ascii="Arial" w:hAnsi="Arial" w:cs="Times New Roman"/>
          <w:sz w:val="21"/>
        </w:rPr>
        <w:t>初始确认与计量：</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IPSAS 29</w:t>
      </w:r>
      <w:r w:rsidRPr="003F5882">
        <w:rPr>
          <w:rFonts w:ascii="Arial" w:hAnsi="Arial" w:cs="Times New Roman"/>
          <w:sz w:val="21"/>
        </w:rPr>
        <w:t>《金融工具：确认与计量》范围内的金融资产酌情分为按公允价值列入盈余或赤字之金融资产、贷款和应收账款、持有到期投资或可供出售金融资产。本组织在初始确认时决定其金融资产的分类。本组织的金融资产包括现金和短期存款、贷款和应收账款。</w:t>
      </w:r>
    </w:p>
    <w:p w:rsidR="006C0099" w:rsidRPr="003F5882" w:rsidRDefault="006C0099" w:rsidP="003374D7">
      <w:pPr>
        <w:pStyle w:val="Style3"/>
        <w:keepNext/>
        <w:spacing w:after="0" w:line="340" w:lineRule="atLeast"/>
        <w:rPr>
          <w:rFonts w:ascii="Arial" w:eastAsia="KaiTi" w:hAnsi="Arial" w:cs="Times New Roman"/>
          <w:iCs/>
          <w:sz w:val="21"/>
          <w:szCs w:val="22"/>
        </w:rPr>
      </w:pPr>
      <w:r w:rsidRPr="003F5882">
        <w:rPr>
          <w:rFonts w:ascii="Arial" w:hAnsi="Arial" w:cs="Times New Roman"/>
          <w:sz w:val="21"/>
        </w:rPr>
        <w:lastRenderedPageBreak/>
        <w:t>后续计量：</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金融资产的后续计量取决于其分类。</w:t>
      </w:r>
    </w:p>
    <w:p w:rsidR="006C0099" w:rsidRPr="00DA4636" w:rsidRDefault="006C0099" w:rsidP="003374D7">
      <w:pPr>
        <w:keepNext/>
        <w:autoSpaceDE w:val="0"/>
        <w:autoSpaceDN w:val="0"/>
        <w:adjustRightInd w:val="0"/>
        <w:jc w:val="both"/>
        <w:rPr>
          <w:rFonts w:ascii="Arial" w:eastAsia="KaiTi" w:hAnsi="Arial" w:cs="Times New Roman"/>
          <w:bCs/>
          <w:i/>
          <w:sz w:val="21"/>
          <w:szCs w:val="22"/>
        </w:rPr>
      </w:pPr>
      <w:r w:rsidRPr="00DA4636">
        <w:rPr>
          <w:rFonts w:ascii="Arial" w:eastAsia="KaiTi" w:hAnsi="Arial" w:cs="Times New Roman"/>
          <w:i/>
          <w:sz w:val="21"/>
        </w:rPr>
        <w:t>按公允价值列入盈余或赤字的金融资产</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按公允价值列入盈余或赤字的金融资产包括交易性金融资产和初始确认时指定按公允价值列入盈余或赤字的金融资产。出于短期内出售或回购目的收购的金融资产归类为交易性金融资产。按公允价值列入盈余或赤字的金融资产按公允价值载于财务状况表，公允价值的变化计入盈余或赤字。</w:t>
      </w:r>
    </w:p>
    <w:p w:rsidR="006C0099" w:rsidRPr="00DA4636" w:rsidRDefault="006C0099" w:rsidP="003374D7">
      <w:pPr>
        <w:keepNext/>
        <w:autoSpaceDE w:val="0"/>
        <w:autoSpaceDN w:val="0"/>
        <w:adjustRightInd w:val="0"/>
        <w:jc w:val="both"/>
        <w:rPr>
          <w:rFonts w:ascii="Arial" w:eastAsia="KaiTi" w:hAnsi="Arial" w:cs="Times New Roman"/>
          <w:i/>
          <w:sz w:val="21"/>
        </w:rPr>
      </w:pPr>
      <w:r w:rsidRPr="00DA4636">
        <w:rPr>
          <w:rFonts w:ascii="Arial" w:eastAsia="KaiTi" w:hAnsi="Arial" w:cs="Times New Roman"/>
          <w:i/>
          <w:sz w:val="21"/>
        </w:rPr>
        <w:t>贷款与应收账款：</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贷款与应收账款是要进行固定或可确定支付的非衍生金融资产，不在活跃市场上报价。在初始计量后，此类金融资产随后用实际利率法按摊销成本计量。摊销成本的计算考虑了收购时的任何折价或溢价以及构成实际利率的费用或成本。减值带来的损失计入盈余或赤字。</w:t>
      </w:r>
    </w:p>
    <w:p w:rsidR="006C0099" w:rsidRPr="003374D7" w:rsidRDefault="006C0099" w:rsidP="003374D7">
      <w:pPr>
        <w:pStyle w:val="Style3"/>
        <w:keepNext/>
        <w:spacing w:after="0" w:line="340" w:lineRule="atLeast"/>
        <w:rPr>
          <w:rFonts w:ascii="Arial" w:hAnsi="Arial" w:cs="Times New Roman"/>
          <w:sz w:val="21"/>
        </w:rPr>
      </w:pPr>
      <w:r w:rsidRPr="003F5882">
        <w:rPr>
          <w:rFonts w:ascii="Arial" w:hAnsi="Arial" w:cs="Times New Roman"/>
          <w:sz w:val="21"/>
        </w:rPr>
        <w:t>终止确认：</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如从某项金融资产，或在适用情况下某项金融资产的一部分或一组类似金融资产的一部分收到现金流的权利已到期或被放弃，本组织终止确认该项资产。</w:t>
      </w:r>
    </w:p>
    <w:p w:rsidR="006C0099" w:rsidRPr="003F5882" w:rsidRDefault="006C0099" w:rsidP="003374D7">
      <w:pPr>
        <w:pStyle w:val="Style3"/>
        <w:keepNext/>
        <w:spacing w:after="0" w:line="340" w:lineRule="atLeast"/>
        <w:rPr>
          <w:rFonts w:ascii="Arial" w:hAnsi="Arial" w:cs="Times New Roman"/>
          <w:sz w:val="21"/>
          <w:szCs w:val="22"/>
        </w:rPr>
      </w:pPr>
      <w:r w:rsidRPr="003F5882">
        <w:rPr>
          <w:rFonts w:ascii="Arial" w:hAnsi="Arial" w:cs="Times New Roman"/>
          <w:sz w:val="21"/>
        </w:rPr>
        <w:t>金融资产减值：</w:t>
      </w:r>
    </w:p>
    <w:p w:rsidR="007D62CB" w:rsidRDefault="006C0099" w:rsidP="007D62CB">
      <w:pPr>
        <w:pStyle w:val="Style3"/>
        <w:spacing w:afterLines="50" w:line="340" w:lineRule="atLeast"/>
        <w:rPr>
          <w:rFonts w:ascii="Arial" w:eastAsia="KaiTi" w:hAnsi="Arial" w:cs="Times New Roman"/>
          <w:iCs/>
          <w:sz w:val="21"/>
          <w:szCs w:val="22"/>
        </w:rPr>
      </w:pPr>
      <w:r w:rsidRPr="003F5882">
        <w:rPr>
          <w:rFonts w:ascii="Arial" w:hAnsi="Arial" w:cs="Times New Roman"/>
          <w:sz w:val="21"/>
        </w:rPr>
        <w:t>本组织在每个报告日评估是否有客观证据表明一项</w:t>
      </w:r>
      <w:r w:rsidRPr="003F5882">
        <w:rPr>
          <w:rFonts w:ascii="Arial" w:hAnsi="Arial" w:cs="Times New Roman"/>
          <w:sz w:val="21"/>
        </w:rPr>
        <w:t>/</w:t>
      </w:r>
      <w:r w:rsidRPr="003F5882">
        <w:rPr>
          <w:rFonts w:ascii="Arial" w:hAnsi="Arial" w:cs="Times New Roman"/>
          <w:sz w:val="21"/>
        </w:rPr>
        <w:t>一组金融资产出现减值。当且仅当有客观证据表明在一项金融资产或一组金融资产初始确认后发生的一起或多起事件导致减值</w:t>
      </w:r>
      <w:r w:rsidR="00F453AC" w:rsidRPr="003F5882">
        <w:rPr>
          <w:rFonts w:ascii="Arial" w:hAnsi="Arial" w:cs="Times New Roman" w:hint="eastAsia"/>
          <w:sz w:val="21"/>
        </w:rPr>
        <w:t>（</w:t>
      </w:r>
      <w:r w:rsidRPr="003F5882">
        <w:rPr>
          <w:rFonts w:ascii="Arial" w:hAnsi="Arial" w:cs="Times New Roman"/>
          <w:sz w:val="21"/>
        </w:rPr>
        <w:t>已发生损失事件</w:t>
      </w:r>
      <w:r w:rsidR="00F453AC" w:rsidRPr="003F5882">
        <w:rPr>
          <w:rFonts w:ascii="Arial" w:hAnsi="Arial" w:cs="Times New Roman" w:hint="eastAsia"/>
          <w:sz w:val="21"/>
        </w:rPr>
        <w:t>）</w:t>
      </w:r>
      <w:r w:rsidRPr="003F5882">
        <w:rPr>
          <w:rFonts w:ascii="Arial" w:hAnsi="Arial" w:cs="Times New Roman"/>
          <w:sz w:val="21"/>
        </w:rPr>
        <w:t>并且该损失事件对该项</w:t>
      </w:r>
      <w:r w:rsidRPr="003F5882">
        <w:rPr>
          <w:rFonts w:ascii="Arial" w:hAnsi="Arial" w:cs="Times New Roman"/>
          <w:sz w:val="21"/>
        </w:rPr>
        <w:t>/</w:t>
      </w:r>
      <w:r w:rsidRPr="003F5882">
        <w:rPr>
          <w:rFonts w:ascii="Arial" w:hAnsi="Arial" w:cs="Times New Roman"/>
          <w:sz w:val="21"/>
        </w:rPr>
        <w:t>该组金融资产未来的现金流量产生了可以可靠概算的影响时，该项</w:t>
      </w:r>
      <w:r w:rsidRPr="003F5882">
        <w:rPr>
          <w:rFonts w:ascii="Arial" w:hAnsi="Arial" w:cs="Times New Roman"/>
          <w:sz w:val="21"/>
        </w:rPr>
        <w:t>/</w:t>
      </w:r>
      <w:r w:rsidRPr="003F5882">
        <w:rPr>
          <w:rFonts w:ascii="Arial" w:hAnsi="Arial" w:cs="Times New Roman"/>
          <w:sz w:val="21"/>
        </w:rPr>
        <w:t>该组金融资产被认为出现减值。</w:t>
      </w:r>
    </w:p>
    <w:p w:rsidR="007D62CB" w:rsidRPr="003374D7" w:rsidRDefault="006C0099" w:rsidP="003374D7">
      <w:pPr>
        <w:pStyle w:val="Style3"/>
        <w:keepNext/>
        <w:spacing w:afterLines="50" w:line="340" w:lineRule="atLeast"/>
        <w:rPr>
          <w:rFonts w:ascii="Arial" w:eastAsia="KaiTi" w:hAnsi="Arial" w:cs="Times New Roman"/>
          <w:b/>
          <w:i/>
          <w:sz w:val="21"/>
        </w:rPr>
      </w:pPr>
      <w:r w:rsidRPr="003374D7">
        <w:rPr>
          <w:rFonts w:ascii="Arial" w:eastAsia="KaiTi" w:hAnsi="Arial" w:cs="Times New Roman"/>
          <w:b/>
          <w:i/>
          <w:sz w:val="21"/>
        </w:rPr>
        <w:t>金融负债</w:t>
      </w:r>
    </w:p>
    <w:p w:rsidR="006C0099" w:rsidRPr="003374D7" w:rsidRDefault="006C0099" w:rsidP="003374D7">
      <w:pPr>
        <w:pStyle w:val="Style3"/>
        <w:keepNext/>
        <w:spacing w:after="0" w:line="340" w:lineRule="atLeast"/>
        <w:rPr>
          <w:rFonts w:ascii="Arial" w:hAnsi="Arial" w:cs="Times New Roman"/>
          <w:sz w:val="21"/>
        </w:rPr>
      </w:pPr>
      <w:r w:rsidRPr="003F5882">
        <w:rPr>
          <w:rFonts w:ascii="Arial" w:hAnsi="Arial" w:cs="Times New Roman"/>
          <w:sz w:val="21"/>
        </w:rPr>
        <w:t>初始确认与计量：</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IPSAS 29</w:t>
      </w:r>
      <w:r w:rsidRPr="003F5882">
        <w:rPr>
          <w:rFonts w:ascii="Arial" w:hAnsi="Arial" w:cs="Times New Roman"/>
          <w:sz w:val="21"/>
        </w:rPr>
        <w:t>范围内的金融负债酌情分为按公允价值列入盈余或赤字的金融负债或贷款和借款。本组织在初始确认时决定其金融负债的分类。所有的金融负债初始均按公允价值确认，如涉及贷款和借款，还要加上直接应占交易成本。本组织的金融负债包括贸易及其他应付款项、贷款和借款。</w:t>
      </w:r>
    </w:p>
    <w:p w:rsidR="006C0099" w:rsidRPr="003374D7" w:rsidRDefault="006C0099" w:rsidP="003374D7">
      <w:pPr>
        <w:pStyle w:val="Style3"/>
        <w:keepNext/>
        <w:spacing w:after="0" w:line="340" w:lineRule="atLeast"/>
        <w:rPr>
          <w:rFonts w:ascii="Arial" w:hAnsi="Arial" w:cs="Times New Roman"/>
          <w:sz w:val="21"/>
        </w:rPr>
      </w:pPr>
      <w:r w:rsidRPr="003F5882">
        <w:rPr>
          <w:rFonts w:ascii="Arial" w:hAnsi="Arial" w:cs="Times New Roman"/>
          <w:sz w:val="21"/>
        </w:rPr>
        <w:t>后续计量：</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金融负债的后续计量取决于其分类。</w:t>
      </w:r>
    </w:p>
    <w:p w:rsidR="006C0099" w:rsidRPr="003374D7" w:rsidRDefault="006C0099" w:rsidP="003374D7">
      <w:pPr>
        <w:keepNext/>
        <w:autoSpaceDE w:val="0"/>
        <w:autoSpaceDN w:val="0"/>
        <w:adjustRightInd w:val="0"/>
        <w:jc w:val="both"/>
        <w:rPr>
          <w:rFonts w:ascii="Arial" w:eastAsia="KaiTi" w:hAnsi="Arial" w:cs="Times New Roman"/>
          <w:i/>
          <w:sz w:val="21"/>
        </w:rPr>
      </w:pPr>
      <w:r w:rsidRPr="003374D7">
        <w:rPr>
          <w:rFonts w:ascii="Arial" w:eastAsia="KaiTi" w:hAnsi="Arial" w:cs="Times New Roman"/>
          <w:i/>
          <w:sz w:val="21"/>
        </w:rPr>
        <w:t>按公允价值列入盈余或赤字的金融负债</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按公允价值列入盈余或赤字的金融负债包括持有交易性金融负债和初始确认时指定按公允价值列入盈余或赤字的金融负债。出于短期内出售目的收购的金融负债归类为交易性金融负债。交易性金融负债出现的收益或损失计入盈余或赤字。</w:t>
      </w:r>
    </w:p>
    <w:p w:rsidR="006C0099" w:rsidRPr="003374D7" w:rsidRDefault="006C0099" w:rsidP="003374D7">
      <w:pPr>
        <w:keepNext/>
        <w:autoSpaceDE w:val="0"/>
        <w:autoSpaceDN w:val="0"/>
        <w:adjustRightInd w:val="0"/>
        <w:jc w:val="both"/>
        <w:rPr>
          <w:rFonts w:ascii="Arial" w:eastAsia="KaiTi" w:hAnsi="Arial" w:cs="Times New Roman"/>
          <w:i/>
          <w:sz w:val="21"/>
        </w:rPr>
      </w:pPr>
      <w:r w:rsidRPr="003374D7">
        <w:rPr>
          <w:rFonts w:ascii="Arial" w:eastAsia="KaiTi" w:hAnsi="Arial" w:cs="Times New Roman"/>
          <w:i/>
          <w:sz w:val="21"/>
        </w:rPr>
        <w:t>贷款与借款：</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在初始计量后，贷款与借款随后用实际利率法按摊销成本计量。在终止确认负债时并通过实际利率法摊销过程，收益和损失计入盈余或赤字。摊销成本的计算考虑了收购时的任何折价或溢价以及构成实际利率的费用或成本。</w:t>
      </w:r>
    </w:p>
    <w:p w:rsidR="006C0099" w:rsidRPr="003374D7" w:rsidRDefault="006C0099" w:rsidP="003374D7">
      <w:pPr>
        <w:pStyle w:val="Style3"/>
        <w:keepNext/>
        <w:spacing w:after="0" w:line="340" w:lineRule="atLeast"/>
        <w:rPr>
          <w:rFonts w:ascii="Arial" w:hAnsi="Arial" w:cs="Times New Roman"/>
          <w:sz w:val="21"/>
        </w:rPr>
      </w:pPr>
      <w:r w:rsidRPr="003F5882">
        <w:rPr>
          <w:rFonts w:ascii="Arial" w:hAnsi="Arial" w:cs="Times New Roman"/>
          <w:sz w:val="21"/>
        </w:rPr>
        <w:t>终止确认：</w:t>
      </w:r>
    </w:p>
    <w:p w:rsidR="007D62CB" w:rsidRDefault="006C0099" w:rsidP="007D62CB">
      <w:pPr>
        <w:pStyle w:val="Style3"/>
        <w:spacing w:afterLines="50" w:line="340" w:lineRule="atLeast"/>
        <w:rPr>
          <w:rFonts w:ascii="Arial" w:eastAsia="KaiTi" w:hAnsi="Arial" w:cs="Times New Roman"/>
          <w:iCs/>
          <w:sz w:val="21"/>
          <w:szCs w:val="22"/>
        </w:rPr>
      </w:pPr>
      <w:r w:rsidRPr="003F5882">
        <w:rPr>
          <w:rFonts w:ascii="Arial" w:hAnsi="Arial" w:cs="Times New Roman"/>
          <w:sz w:val="21"/>
        </w:rPr>
        <w:t>当一项金融负债所涉义务已履行、撤销或到期时，该项金融负债终止确认。如某项现有金融负债由相同借贷方按实质上不同的条款提供的另一项金融负债所取代，或现有负债的条款受到实质性修订，则此种交换或修订被视为终止确认原有负债并确认新负债，彼此账面数额之间的差额计入盈余或赤字。</w:t>
      </w:r>
    </w:p>
    <w:p w:rsidR="007D62CB" w:rsidRPr="003374D7" w:rsidRDefault="006C0099" w:rsidP="003374D7">
      <w:pPr>
        <w:pStyle w:val="Style3Bold"/>
        <w:keepLines/>
        <w:spacing w:afterLines="50" w:line="340" w:lineRule="atLeast"/>
        <w:rPr>
          <w:rFonts w:eastAsia="SimSun" w:cs="Times New Roman"/>
          <w:sz w:val="21"/>
        </w:rPr>
      </w:pPr>
      <w:r w:rsidRPr="003374D7">
        <w:rPr>
          <w:rFonts w:eastAsia="SimSun" w:cs="Times New Roman"/>
          <w:sz w:val="21"/>
        </w:rPr>
        <w:lastRenderedPageBreak/>
        <w:t>外汇交易</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WIPO</w:t>
      </w:r>
      <w:r w:rsidRPr="003F5882">
        <w:rPr>
          <w:rFonts w:ascii="Arial" w:hAnsi="Arial" w:cs="Times New Roman"/>
          <w:sz w:val="21"/>
        </w:rPr>
        <w:t>的功能货币是瑞士法郎，财务报表采用该货币。以其他货币进行的所有交易根据交易当天的联合国业务汇率</w:t>
      </w:r>
      <w:r w:rsidR="00F453AC" w:rsidRPr="003F5882">
        <w:rPr>
          <w:rFonts w:ascii="Arial" w:hAnsi="Arial" w:cs="Times New Roman"/>
          <w:sz w:val="21"/>
        </w:rPr>
        <w:t>（</w:t>
      </w:r>
      <w:r w:rsidRPr="003F5882">
        <w:rPr>
          <w:rFonts w:ascii="Arial" w:hAnsi="Arial" w:cs="Times New Roman"/>
          <w:sz w:val="21"/>
        </w:rPr>
        <w:t>UNORE</w:t>
      </w:r>
      <w:r w:rsidR="00F453AC" w:rsidRPr="003F5882">
        <w:rPr>
          <w:rFonts w:ascii="Arial" w:hAnsi="Arial" w:cs="Times New Roman"/>
          <w:sz w:val="21"/>
        </w:rPr>
        <w:t>）</w:t>
      </w:r>
      <w:r w:rsidRPr="003F5882">
        <w:rPr>
          <w:rFonts w:ascii="Arial" w:hAnsi="Arial" w:cs="Times New Roman"/>
          <w:sz w:val="21"/>
        </w:rPr>
        <w:t>兑换成瑞士法郎。在报告</w:t>
      </w:r>
      <w:proofErr w:type="gramStart"/>
      <w:r w:rsidRPr="003F5882">
        <w:rPr>
          <w:rFonts w:ascii="Arial" w:hAnsi="Arial" w:cs="Times New Roman"/>
          <w:sz w:val="21"/>
        </w:rPr>
        <w:t>日因此种交易和因重新</w:t>
      </w:r>
      <w:proofErr w:type="gramEnd"/>
      <w:r w:rsidRPr="003F5882">
        <w:rPr>
          <w:rFonts w:ascii="Arial" w:hAnsi="Arial" w:cs="Times New Roman"/>
          <w:sz w:val="21"/>
        </w:rPr>
        <w:t>对以</w:t>
      </w:r>
      <w:r w:rsidRPr="003F5882">
        <w:rPr>
          <w:rFonts w:ascii="Arial" w:hAnsi="Arial" w:cs="Times New Roman"/>
          <w:sz w:val="21"/>
        </w:rPr>
        <w:t>WIPO</w:t>
      </w:r>
      <w:r w:rsidRPr="003F5882">
        <w:rPr>
          <w:rFonts w:ascii="Arial" w:hAnsi="Arial" w:cs="Times New Roman"/>
          <w:sz w:val="21"/>
        </w:rPr>
        <w:t>功能货币之外的货币计价的资产与负债进行换算而产生的已变现及未变现的收益和亏损在财务执行情况表中确认。</w:t>
      </w:r>
    </w:p>
    <w:p w:rsidR="007D62CB" w:rsidRPr="003374D7" w:rsidRDefault="006C0099" w:rsidP="003374D7">
      <w:pPr>
        <w:pStyle w:val="Style3Bold"/>
        <w:keepLines/>
        <w:spacing w:afterLines="50" w:line="340" w:lineRule="atLeast"/>
        <w:rPr>
          <w:rFonts w:eastAsia="SimSun" w:cs="Times New Roman"/>
          <w:sz w:val="21"/>
        </w:rPr>
      </w:pPr>
      <w:r w:rsidRPr="003374D7">
        <w:rPr>
          <w:rFonts w:eastAsia="SimSun" w:cs="Times New Roman"/>
          <w:sz w:val="21"/>
        </w:rPr>
        <w:t>固定资产</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设备按成本减累计折旧和损耗计账。如设备单位价值为</w:t>
      </w:r>
      <w:r w:rsidRPr="003F5882">
        <w:rPr>
          <w:rFonts w:ascii="Arial" w:hAnsi="Arial" w:cs="Times New Roman"/>
          <w:sz w:val="21"/>
        </w:rPr>
        <w:t>5,000</w:t>
      </w:r>
      <w:r w:rsidRPr="003F5882">
        <w:rPr>
          <w:rFonts w:ascii="Arial" w:hAnsi="Arial" w:cs="Times New Roman"/>
          <w:sz w:val="21"/>
        </w:rPr>
        <w:t>瑞郎或以上，则被确认为一项资产。土地和物业投资根据国际评估标准经独立评估确定的公允价值显示。根据独立专家进行的鉴定，已启用建筑物按落成时的成本加随后改善的成本计账，减累计折旧。落成时的价值参照外聘顾问计算的估算成本确定，并表明建筑物每一部分的价值加</w:t>
      </w:r>
      <w:r w:rsidRPr="003F5882">
        <w:rPr>
          <w:rFonts w:ascii="Arial" w:hAnsi="Arial" w:cs="Times New Roman"/>
          <w:sz w:val="21"/>
        </w:rPr>
        <w:t>2010</w:t>
      </w:r>
      <w:r w:rsidRPr="003F5882">
        <w:rPr>
          <w:rFonts w:ascii="Arial" w:hAnsi="Arial" w:cs="Times New Roman"/>
          <w:sz w:val="21"/>
        </w:rPr>
        <w:t>年</w:t>
      </w:r>
      <w:r w:rsidRPr="003F5882">
        <w:rPr>
          <w:rFonts w:ascii="Arial" w:hAnsi="Arial" w:cs="Times New Roman"/>
          <w:sz w:val="21"/>
        </w:rPr>
        <w:t>1</w:t>
      </w:r>
      <w:r w:rsidRPr="003F5882">
        <w:rPr>
          <w:rFonts w:ascii="Arial" w:hAnsi="Arial" w:cs="Times New Roman"/>
          <w:sz w:val="21"/>
        </w:rPr>
        <w:t>月</w:t>
      </w:r>
      <w:r w:rsidRPr="003F5882">
        <w:rPr>
          <w:rFonts w:ascii="Arial" w:hAnsi="Arial" w:cs="Times New Roman"/>
          <w:sz w:val="21"/>
        </w:rPr>
        <w:t>1</w:t>
      </w:r>
      <w:r w:rsidRPr="003F5882">
        <w:rPr>
          <w:rFonts w:ascii="Arial" w:hAnsi="Arial" w:cs="Times New Roman"/>
          <w:sz w:val="21"/>
        </w:rPr>
        <w:t>日</w:t>
      </w:r>
      <w:r w:rsidR="00F453AC" w:rsidRPr="003F5882">
        <w:rPr>
          <w:rFonts w:ascii="Arial" w:hAnsi="Arial" w:cs="Times New Roman" w:hint="eastAsia"/>
          <w:sz w:val="21"/>
        </w:rPr>
        <w:t>（</w:t>
      </w:r>
      <w:r w:rsidRPr="003F5882">
        <w:rPr>
          <w:rFonts w:ascii="Arial" w:hAnsi="Arial" w:cs="Times New Roman"/>
          <w:sz w:val="21"/>
        </w:rPr>
        <w:t>转换到</w:t>
      </w:r>
      <w:r w:rsidRPr="003F5882">
        <w:rPr>
          <w:rFonts w:ascii="Arial" w:hAnsi="Arial" w:cs="Times New Roman"/>
          <w:sz w:val="21"/>
        </w:rPr>
        <w:t>IPSAS</w:t>
      </w:r>
      <w:r w:rsidRPr="003F5882">
        <w:rPr>
          <w:rFonts w:ascii="Arial" w:hAnsi="Arial" w:cs="Times New Roman"/>
          <w:sz w:val="21"/>
        </w:rPr>
        <w:t>的日期</w:t>
      </w:r>
      <w:r w:rsidR="00F453AC" w:rsidRPr="003F5882">
        <w:rPr>
          <w:rFonts w:ascii="Arial" w:hAnsi="Arial" w:cs="Times New Roman" w:hint="eastAsia"/>
          <w:sz w:val="21"/>
        </w:rPr>
        <w:t>）</w:t>
      </w:r>
      <w:r w:rsidRPr="003F5882">
        <w:rPr>
          <w:rFonts w:ascii="Arial" w:hAnsi="Arial" w:cs="Times New Roman"/>
          <w:sz w:val="21"/>
        </w:rPr>
        <w:t>最初认可日期已有的改进，按照每一部分的残存使用年限减累计折旧。对增长或扩大今后经济收益或服务潜力的固定资产所进行的重大翻修和改善的后期费用按成本计账。通过实收款项与资产账面金额进行比较来确定出售资产带来的盈余和亏损，并纳入财务执行情况报表。包括捐赠的艺术作品在内的遗产资产不在财务报表中计账。</w:t>
      </w:r>
    </w:p>
    <w:p w:rsidR="006C0099" w:rsidRPr="003F5882"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为了冲销土地和施工中的地产以外的固定资产的完全成本，按照估计使用年限，使用直线法来计算折旧。如固定资产仅用于当年部分时间</w:t>
      </w:r>
      <w:r w:rsidR="00F453AC" w:rsidRPr="003F5882">
        <w:rPr>
          <w:rFonts w:ascii="Arial" w:hAnsi="Arial" w:cs="Times New Roman" w:hint="eastAsia"/>
          <w:sz w:val="21"/>
        </w:rPr>
        <w:t>（</w:t>
      </w:r>
      <w:r w:rsidRPr="003F5882">
        <w:rPr>
          <w:rFonts w:ascii="Arial" w:hAnsi="Arial" w:cs="Times New Roman"/>
          <w:sz w:val="21"/>
        </w:rPr>
        <w:t>由于当年的收购、处置或报废</w:t>
      </w:r>
      <w:r w:rsidR="00F453AC" w:rsidRPr="003F5882">
        <w:rPr>
          <w:rFonts w:ascii="Arial" w:hAnsi="Arial" w:cs="Times New Roman" w:hint="eastAsia"/>
          <w:sz w:val="21"/>
        </w:rPr>
        <w:t>）</w:t>
      </w:r>
      <w:r w:rsidRPr="003F5882">
        <w:rPr>
          <w:rFonts w:ascii="Arial" w:hAnsi="Arial" w:cs="Times New Roman"/>
          <w:sz w:val="21"/>
        </w:rPr>
        <w:t>，则只针对固定资产所使用的月份来计算折旧。以下使用寿命范围适用于不同类别的固定资产：</w:t>
      </w:r>
    </w:p>
    <w:p w:rsidR="006C0099" w:rsidRPr="003F5882" w:rsidRDefault="006C0099" w:rsidP="006C0099">
      <w:pPr>
        <w:pStyle w:val="Style3"/>
        <w:spacing w:after="0"/>
        <w:rPr>
          <w:rFonts w:ascii="Arial" w:hAnsi="Arial" w:cs="Times New Roman"/>
          <w:sz w:val="21"/>
          <w:szCs w:val="22"/>
        </w:rPr>
      </w:pPr>
    </w:p>
    <w:tbl>
      <w:tblPr>
        <w:tblW w:w="7710" w:type="dxa"/>
        <w:jc w:val="center"/>
        <w:tblLook w:val="0000" w:firstRow="0" w:lastRow="0" w:firstColumn="0" w:lastColumn="0" w:noHBand="0" w:noVBand="0"/>
      </w:tblPr>
      <w:tblGrid>
        <w:gridCol w:w="3109"/>
        <w:gridCol w:w="2520"/>
        <w:gridCol w:w="2081"/>
      </w:tblGrid>
      <w:tr w:rsidR="006C0099" w:rsidRPr="003F5882" w:rsidTr="000E71F4">
        <w:trPr>
          <w:trHeight w:val="345"/>
          <w:jc w:val="center"/>
        </w:trPr>
        <w:tc>
          <w:tcPr>
            <w:tcW w:w="3109" w:type="dxa"/>
            <w:tcBorders>
              <w:top w:val="single" w:sz="4" w:space="0" w:color="auto"/>
              <w:left w:val="nil"/>
              <w:bottom w:val="single" w:sz="4" w:space="0" w:color="auto"/>
              <w:right w:val="nil"/>
            </w:tcBorders>
            <w:shd w:val="clear" w:color="auto" w:fill="F2F2F2"/>
            <w:noWrap/>
            <w:vAlign w:val="center"/>
          </w:tcPr>
          <w:p w:rsidR="006C0099" w:rsidRPr="00F453AC" w:rsidRDefault="006C0099" w:rsidP="000E71F4">
            <w:pPr>
              <w:jc w:val="center"/>
              <w:rPr>
                <w:rFonts w:ascii="Arial" w:eastAsia="SimHei" w:hAnsi="Arial" w:cs="Times New Roman"/>
                <w:sz w:val="18"/>
                <w:szCs w:val="18"/>
              </w:rPr>
            </w:pPr>
            <w:r w:rsidRPr="00F453AC">
              <w:rPr>
                <w:rFonts w:ascii="Arial" w:eastAsia="SimHei" w:hAnsi="Arial" w:cs="Times New Roman"/>
                <w:sz w:val="18"/>
              </w:rPr>
              <w:t>分类</w:t>
            </w:r>
          </w:p>
        </w:tc>
        <w:tc>
          <w:tcPr>
            <w:tcW w:w="2520" w:type="dxa"/>
            <w:tcBorders>
              <w:top w:val="single" w:sz="4" w:space="0" w:color="auto"/>
              <w:left w:val="nil"/>
              <w:bottom w:val="single" w:sz="4" w:space="0" w:color="auto"/>
              <w:right w:val="nil"/>
            </w:tcBorders>
            <w:shd w:val="clear" w:color="auto" w:fill="F2F2F2"/>
            <w:vAlign w:val="center"/>
          </w:tcPr>
          <w:p w:rsidR="006C0099" w:rsidRPr="00F453AC" w:rsidRDefault="006C0099" w:rsidP="000E71F4">
            <w:pPr>
              <w:jc w:val="center"/>
              <w:rPr>
                <w:rFonts w:ascii="Arial" w:eastAsia="SimHei" w:hAnsi="Arial" w:cs="Times New Roman"/>
                <w:sz w:val="18"/>
                <w:szCs w:val="18"/>
              </w:rPr>
            </w:pPr>
            <w:r w:rsidRPr="00F453AC">
              <w:rPr>
                <w:rFonts w:ascii="Arial" w:eastAsia="SimHei" w:hAnsi="Arial" w:cs="Times New Roman"/>
                <w:sz w:val="18"/>
              </w:rPr>
              <w:t>组成部分</w:t>
            </w:r>
          </w:p>
        </w:tc>
        <w:tc>
          <w:tcPr>
            <w:tcW w:w="2081" w:type="dxa"/>
            <w:tcBorders>
              <w:top w:val="single" w:sz="4" w:space="0" w:color="auto"/>
              <w:left w:val="nil"/>
              <w:bottom w:val="single" w:sz="4" w:space="0" w:color="auto"/>
              <w:right w:val="nil"/>
            </w:tcBorders>
            <w:shd w:val="clear" w:color="auto" w:fill="F2F2F2"/>
            <w:vAlign w:val="center"/>
          </w:tcPr>
          <w:p w:rsidR="006C0099" w:rsidRPr="00F453AC" w:rsidRDefault="006C0099" w:rsidP="000E71F4">
            <w:pPr>
              <w:jc w:val="center"/>
              <w:rPr>
                <w:rFonts w:ascii="Arial" w:eastAsia="SimHei" w:hAnsi="Arial" w:cs="Times New Roman"/>
                <w:sz w:val="18"/>
                <w:szCs w:val="18"/>
              </w:rPr>
            </w:pPr>
            <w:r w:rsidRPr="00F453AC">
              <w:rPr>
                <w:rFonts w:ascii="Arial" w:eastAsia="SimHei" w:hAnsi="Arial" w:cs="Times New Roman"/>
                <w:sz w:val="18"/>
              </w:rPr>
              <w:t>预计使用寿命</w:t>
            </w:r>
          </w:p>
        </w:tc>
      </w:tr>
      <w:tr w:rsidR="006C0099" w:rsidRPr="003F5882" w:rsidTr="000E71F4">
        <w:trPr>
          <w:trHeight w:val="285"/>
          <w:jc w:val="center"/>
        </w:trPr>
        <w:tc>
          <w:tcPr>
            <w:tcW w:w="3109" w:type="dxa"/>
            <w:tcBorders>
              <w:top w:val="nil"/>
              <w:left w:val="nil"/>
              <w:bottom w:val="nil"/>
              <w:right w:val="nil"/>
            </w:tcBorders>
            <w:shd w:val="clear" w:color="auto" w:fill="auto"/>
            <w:noWrap/>
            <w:vAlign w:val="center"/>
          </w:tcPr>
          <w:p w:rsidR="006C0099" w:rsidRPr="003F5882" w:rsidRDefault="006C0099" w:rsidP="000E71F4">
            <w:pPr>
              <w:rPr>
                <w:rFonts w:ascii="Arial" w:hAnsi="Arial" w:cs="Times New Roman"/>
                <w:sz w:val="18"/>
                <w:szCs w:val="18"/>
              </w:rPr>
            </w:pPr>
            <w:r w:rsidRPr="003F5882">
              <w:rPr>
                <w:rFonts w:ascii="Arial" w:hAnsi="Arial" w:cs="Times New Roman"/>
                <w:sz w:val="18"/>
              </w:rPr>
              <w:t>通信和</w:t>
            </w:r>
            <w:r w:rsidRPr="003F5882">
              <w:rPr>
                <w:rFonts w:ascii="Arial" w:hAnsi="Arial" w:cs="Times New Roman"/>
                <w:sz w:val="18"/>
              </w:rPr>
              <w:t>IT</w:t>
            </w:r>
            <w:r w:rsidRPr="003F5882">
              <w:rPr>
                <w:rFonts w:ascii="Arial" w:hAnsi="Arial" w:cs="Times New Roman"/>
                <w:sz w:val="18"/>
              </w:rPr>
              <w:t>设备</w:t>
            </w:r>
          </w:p>
        </w:tc>
        <w:tc>
          <w:tcPr>
            <w:tcW w:w="2520" w:type="dxa"/>
            <w:tcBorders>
              <w:top w:val="nil"/>
              <w:left w:val="nil"/>
              <w:bottom w:val="nil"/>
              <w:right w:val="nil"/>
            </w:tcBorders>
            <w:shd w:val="clear" w:color="auto" w:fill="auto"/>
            <w:vAlign w:val="center"/>
          </w:tcPr>
          <w:p w:rsidR="006C0099" w:rsidRPr="003F5882" w:rsidRDefault="006C0099" w:rsidP="000E71F4">
            <w:pPr>
              <w:rPr>
                <w:rFonts w:ascii="Arial" w:hAnsi="Arial" w:cs="Times New Roman"/>
                <w:sz w:val="18"/>
                <w:szCs w:val="18"/>
              </w:rPr>
            </w:pPr>
          </w:p>
        </w:tc>
        <w:tc>
          <w:tcPr>
            <w:tcW w:w="2081" w:type="dxa"/>
            <w:tcBorders>
              <w:top w:val="nil"/>
              <w:left w:val="nil"/>
              <w:bottom w:val="nil"/>
              <w:right w:val="nil"/>
            </w:tcBorders>
            <w:shd w:val="clear" w:color="auto" w:fill="auto"/>
            <w:vAlign w:val="center"/>
          </w:tcPr>
          <w:p w:rsidR="006C0099" w:rsidRPr="003F5882" w:rsidRDefault="006C0099" w:rsidP="000E71F4">
            <w:pPr>
              <w:jc w:val="right"/>
              <w:rPr>
                <w:rFonts w:ascii="Arial" w:hAnsi="Arial" w:cs="Times New Roman"/>
                <w:sz w:val="18"/>
                <w:szCs w:val="18"/>
              </w:rPr>
            </w:pPr>
            <w:r w:rsidRPr="003F5882">
              <w:rPr>
                <w:rFonts w:ascii="Arial" w:hAnsi="Arial" w:cs="Times New Roman"/>
                <w:sz w:val="18"/>
              </w:rPr>
              <w:t>5</w:t>
            </w:r>
            <w:r w:rsidRPr="003F5882">
              <w:rPr>
                <w:rFonts w:ascii="Arial" w:hAnsi="Arial" w:cs="Times New Roman"/>
                <w:sz w:val="18"/>
              </w:rPr>
              <w:t>年</w:t>
            </w:r>
          </w:p>
        </w:tc>
      </w:tr>
      <w:tr w:rsidR="006C0099" w:rsidRPr="003F5882" w:rsidTr="000E71F4">
        <w:trPr>
          <w:trHeight w:val="285"/>
          <w:jc w:val="center"/>
        </w:trPr>
        <w:tc>
          <w:tcPr>
            <w:tcW w:w="3109" w:type="dxa"/>
            <w:tcBorders>
              <w:top w:val="nil"/>
              <w:left w:val="nil"/>
              <w:bottom w:val="nil"/>
              <w:right w:val="nil"/>
            </w:tcBorders>
            <w:shd w:val="clear" w:color="auto" w:fill="auto"/>
            <w:noWrap/>
            <w:vAlign w:val="center"/>
          </w:tcPr>
          <w:p w:rsidR="006C0099" w:rsidRPr="003F5882" w:rsidRDefault="006C0099" w:rsidP="000E71F4">
            <w:pPr>
              <w:rPr>
                <w:rFonts w:ascii="Arial" w:hAnsi="Arial" w:cs="Times New Roman"/>
                <w:sz w:val="18"/>
                <w:szCs w:val="18"/>
              </w:rPr>
            </w:pPr>
            <w:r w:rsidRPr="003F5882">
              <w:rPr>
                <w:rFonts w:ascii="Arial" w:hAnsi="Arial" w:cs="Times New Roman"/>
                <w:sz w:val="18"/>
              </w:rPr>
              <w:t>车辆</w:t>
            </w:r>
          </w:p>
        </w:tc>
        <w:tc>
          <w:tcPr>
            <w:tcW w:w="2520" w:type="dxa"/>
            <w:tcBorders>
              <w:top w:val="nil"/>
              <w:left w:val="nil"/>
              <w:bottom w:val="nil"/>
              <w:right w:val="nil"/>
            </w:tcBorders>
            <w:shd w:val="clear" w:color="auto" w:fill="auto"/>
            <w:vAlign w:val="center"/>
          </w:tcPr>
          <w:p w:rsidR="006C0099" w:rsidRPr="003F5882" w:rsidRDefault="006C0099" w:rsidP="000E71F4">
            <w:pPr>
              <w:rPr>
                <w:rFonts w:ascii="Arial" w:hAnsi="Arial" w:cs="Times New Roman"/>
                <w:sz w:val="18"/>
                <w:szCs w:val="18"/>
              </w:rPr>
            </w:pPr>
          </w:p>
        </w:tc>
        <w:tc>
          <w:tcPr>
            <w:tcW w:w="2081" w:type="dxa"/>
            <w:tcBorders>
              <w:top w:val="nil"/>
              <w:left w:val="nil"/>
              <w:bottom w:val="nil"/>
              <w:right w:val="nil"/>
            </w:tcBorders>
            <w:shd w:val="clear" w:color="auto" w:fill="auto"/>
            <w:vAlign w:val="center"/>
          </w:tcPr>
          <w:p w:rsidR="006C0099" w:rsidRPr="003F5882" w:rsidRDefault="006C0099" w:rsidP="000E71F4">
            <w:pPr>
              <w:jc w:val="right"/>
              <w:rPr>
                <w:rFonts w:ascii="Arial" w:hAnsi="Arial" w:cs="Times New Roman"/>
                <w:sz w:val="18"/>
                <w:szCs w:val="18"/>
              </w:rPr>
            </w:pPr>
            <w:r w:rsidRPr="003F5882">
              <w:rPr>
                <w:rFonts w:ascii="Arial" w:hAnsi="Arial" w:cs="Times New Roman"/>
                <w:sz w:val="18"/>
              </w:rPr>
              <w:t>5</w:t>
            </w:r>
            <w:r w:rsidRPr="003F5882">
              <w:rPr>
                <w:rFonts w:ascii="Arial" w:hAnsi="Arial" w:cs="Times New Roman"/>
                <w:sz w:val="18"/>
              </w:rPr>
              <w:t>年</w:t>
            </w:r>
          </w:p>
        </w:tc>
      </w:tr>
      <w:tr w:rsidR="006C0099" w:rsidRPr="003F5882" w:rsidTr="000E71F4">
        <w:trPr>
          <w:trHeight w:val="285"/>
          <w:jc w:val="center"/>
        </w:trPr>
        <w:tc>
          <w:tcPr>
            <w:tcW w:w="3109" w:type="dxa"/>
            <w:tcBorders>
              <w:top w:val="nil"/>
              <w:left w:val="nil"/>
              <w:bottom w:val="nil"/>
              <w:right w:val="nil"/>
            </w:tcBorders>
            <w:shd w:val="clear" w:color="auto" w:fill="auto"/>
            <w:noWrap/>
            <w:vAlign w:val="center"/>
          </w:tcPr>
          <w:p w:rsidR="006C0099" w:rsidRPr="003F5882" w:rsidRDefault="006C0099" w:rsidP="000E71F4">
            <w:pPr>
              <w:rPr>
                <w:rFonts w:ascii="Arial" w:hAnsi="Arial" w:cs="Times New Roman"/>
                <w:sz w:val="18"/>
                <w:szCs w:val="18"/>
              </w:rPr>
            </w:pPr>
            <w:r w:rsidRPr="003F5882">
              <w:rPr>
                <w:rFonts w:ascii="Arial" w:hAnsi="Arial" w:cs="Times New Roman"/>
                <w:sz w:val="18"/>
              </w:rPr>
              <w:t>家具和固定装置</w:t>
            </w:r>
          </w:p>
        </w:tc>
        <w:tc>
          <w:tcPr>
            <w:tcW w:w="2520" w:type="dxa"/>
            <w:tcBorders>
              <w:top w:val="nil"/>
              <w:left w:val="nil"/>
              <w:bottom w:val="nil"/>
              <w:right w:val="nil"/>
            </w:tcBorders>
            <w:shd w:val="clear" w:color="auto" w:fill="auto"/>
            <w:vAlign w:val="center"/>
          </w:tcPr>
          <w:p w:rsidR="006C0099" w:rsidRPr="003F5882" w:rsidRDefault="006C0099" w:rsidP="000E71F4">
            <w:pPr>
              <w:rPr>
                <w:rFonts w:ascii="Arial" w:hAnsi="Arial" w:cs="Times New Roman"/>
                <w:sz w:val="18"/>
                <w:szCs w:val="18"/>
              </w:rPr>
            </w:pPr>
          </w:p>
        </w:tc>
        <w:tc>
          <w:tcPr>
            <w:tcW w:w="2081" w:type="dxa"/>
            <w:tcBorders>
              <w:top w:val="nil"/>
              <w:left w:val="nil"/>
              <w:bottom w:val="nil"/>
              <w:right w:val="nil"/>
            </w:tcBorders>
            <w:shd w:val="clear" w:color="auto" w:fill="auto"/>
            <w:vAlign w:val="center"/>
          </w:tcPr>
          <w:p w:rsidR="006C0099" w:rsidRPr="003F5882" w:rsidRDefault="006C0099" w:rsidP="000E71F4">
            <w:pPr>
              <w:jc w:val="right"/>
              <w:rPr>
                <w:rFonts w:ascii="Arial" w:hAnsi="Arial" w:cs="Times New Roman"/>
                <w:sz w:val="18"/>
                <w:szCs w:val="18"/>
              </w:rPr>
            </w:pPr>
            <w:r w:rsidRPr="003F5882">
              <w:rPr>
                <w:rFonts w:ascii="Arial" w:hAnsi="Arial" w:cs="Times New Roman"/>
                <w:sz w:val="18"/>
              </w:rPr>
              <w:t>10</w:t>
            </w:r>
            <w:r w:rsidRPr="003F5882">
              <w:rPr>
                <w:rFonts w:ascii="Arial" w:hAnsi="Arial" w:cs="Times New Roman"/>
                <w:sz w:val="18"/>
              </w:rPr>
              <w:t>年</w:t>
            </w:r>
          </w:p>
        </w:tc>
      </w:tr>
      <w:tr w:rsidR="006C0099" w:rsidRPr="003F5882" w:rsidTr="000E71F4">
        <w:trPr>
          <w:trHeight w:val="285"/>
          <w:jc w:val="center"/>
        </w:trPr>
        <w:tc>
          <w:tcPr>
            <w:tcW w:w="3109" w:type="dxa"/>
            <w:tcBorders>
              <w:top w:val="nil"/>
              <w:left w:val="nil"/>
              <w:bottom w:val="nil"/>
              <w:right w:val="nil"/>
            </w:tcBorders>
            <w:shd w:val="clear" w:color="auto" w:fill="auto"/>
            <w:noWrap/>
            <w:vAlign w:val="center"/>
          </w:tcPr>
          <w:p w:rsidR="006C0099" w:rsidRPr="003F5882" w:rsidRDefault="006C0099" w:rsidP="000E71F4">
            <w:pPr>
              <w:rPr>
                <w:rFonts w:ascii="Arial" w:hAnsi="Arial" w:cs="Times New Roman"/>
                <w:sz w:val="18"/>
                <w:szCs w:val="18"/>
              </w:rPr>
            </w:pPr>
            <w:r w:rsidRPr="003F5882">
              <w:rPr>
                <w:rFonts w:ascii="Arial" w:hAnsi="Arial" w:cs="Times New Roman"/>
                <w:sz w:val="18"/>
              </w:rPr>
              <w:t>建筑物：</w:t>
            </w:r>
          </w:p>
        </w:tc>
        <w:tc>
          <w:tcPr>
            <w:tcW w:w="2520" w:type="dxa"/>
            <w:tcBorders>
              <w:top w:val="nil"/>
              <w:left w:val="nil"/>
              <w:bottom w:val="nil"/>
              <w:right w:val="nil"/>
            </w:tcBorders>
            <w:shd w:val="clear" w:color="auto" w:fill="auto"/>
            <w:vAlign w:val="center"/>
          </w:tcPr>
          <w:p w:rsidR="006C0099" w:rsidRPr="003F5882" w:rsidRDefault="006C0099" w:rsidP="000E71F4">
            <w:pPr>
              <w:rPr>
                <w:rFonts w:ascii="Arial" w:hAnsi="Arial" w:cs="Times New Roman"/>
                <w:sz w:val="18"/>
                <w:szCs w:val="18"/>
              </w:rPr>
            </w:pPr>
            <w:r w:rsidRPr="003F5882">
              <w:rPr>
                <w:rFonts w:ascii="Arial" w:hAnsi="Arial" w:cs="Times New Roman"/>
                <w:sz w:val="18"/>
              </w:rPr>
              <w:t>结构和地基</w:t>
            </w:r>
          </w:p>
        </w:tc>
        <w:tc>
          <w:tcPr>
            <w:tcW w:w="2081" w:type="dxa"/>
            <w:tcBorders>
              <w:top w:val="nil"/>
              <w:left w:val="nil"/>
              <w:bottom w:val="nil"/>
              <w:right w:val="nil"/>
            </w:tcBorders>
            <w:shd w:val="clear" w:color="auto" w:fill="auto"/>
            <w:vAlign w:val="center"/>
          </w:tcPr>
          <w:p w:rsidR="006C0099" w:rsidRPr="003F5882" w:rsidRDefault="006C0099" w:rsidP="000E71F4">
            <w:pPr>
              <w:jc w:val="right"/>
              <w:rPr>
                <w:rFonts w:ascii="Arial" w:hAnsi="Arial" w:cs="Times New Roman"/>
                <w:sz w:val="18"/>
                <w:szCs w:val="18"/>
              </w:rPr>
            </w:pPr>
            <w:r w:rsidRPr="003F5882">
              <w:rPr>
                <w:rFonts w:ascii="Arial" w:hAnsi="Arial" w:cs="Times New Roman"/>
                <w:sz w:val="18"/>
              </w:rPr>
              <w:t>80-100</w:t>
            </w:r>
            <w:r w:rsidRPr="003F5882">
              <w:rPr>
                <w:rFonts w:ascii="Arial" w:hAnsi="Arial" w:cs="Times New Roman"/>
                <w:sz w:val="18"/>
              </w:rPr>
              <w:t>年</w:t>
            </w:r>
          </w:p>
        </w:tc>
      </w:tr>
      <w:tr w:rsidR="006C0099" w:rsidRPr="003F5882" w:rsidTr="000E71F4">
        <w:trPr>
          <w:trHeight w:val="285"/>
          <w:jc w:val="center"/>
        </w:trPr>
        <w:tc>
          <w:tcPr>
            <w:tcW w:w="3109" w:type="dxa"/>
            <w:tcBorders>
              <w:top w:val="nil"/>
              <w:left w:val="nil"/>
              <w:bottom w:val="nil"/>
              <w:right w:val="nil"/>
            </w:tcBorders>
            <w:shd w:val="clear" w:color="auto" w:fill="auto"/>
            <w:noWrap/>
            <w:vAlign w:val="center"/>
          </w:tcPr>
          <w:p w:rsidR="006C0099" w:rsidRPr="003F5882" w:rsidRDefault="006C0099" w:rsidP="000E71F4">
            <w:pPr>
              <w:rPr>
                <w:rFonts w:ascii="Arial" w:hAnsi="Arial" w:cs="Times New Roman"/>
                <w:sz w:val="18"/>
                <w:szCs w:val="18"/>
              </w:rPr>
            </w:pPr>
          </w:p>
        </w:tc>
        <w:tc>
          <w:tcPr>
            <w:tcW w:w="2520" w:type="dxa"/>
            <w:tcBorders>
              <w:top w:val="nil"/>
              <w:left w:val="nil"/>
              <w:bottom w:val="nil"/>
              <w:right w:val="nil"/>
            </w:tcBorders>
            <w:shd w:val="clear" w:color="auto" w:fill="auto"/>
            <w:vAlign w:val="center"/>
          </w:tcPr>
          <w:p w:rsidR="006C0099" w:rsidRPr="003F5882" w:rsidRDefault="006C0099" w:rsidP="000E71F4">
            <w:pPr>
              <w:rPr>
                <w:rFonts w:ascii="Arial" w:hAnsi="Arial" w:cs="Times New Roman"/>
                <w:sz w:val="18"/>
                <w:szCs w:val="18"/>
              </w:rPr>
            </w:pPr>
            <w:r w:rsidRPr="003F5882">
              <w:rPr>
                <w:rFonts w:ascii="Arial" w:hAnsi="Arial" w:cs="Times New Roman"/>
                <w:sz w:val="18"/>
              </w:rPr>
              <w:t>外立面</w:t>
            </w:r>
          </w:p>
        </w:tc>
        <w:tc>
          <w:tcPr>
            <w:tcW w:w="2081" w:type="dxa"/>
            <w:tcBorders>
              <w:top w:val="nil"/>
              <w:left w:val="nil"/>
              <w:bottom w:val="nil"/>
              <w:right w:val="nil"/>
            </w:tcBorders>
            <w:shd w:val="clear" w:color="auto" w:fill="auto"/>
            <w:vAlign w:val="center"/>
          </w:tcPr>
          <w:p w:rsidR="006C0099" w:rsidRPr="003F5882" w:rsidRDefault="006C0099" w:rsidP="000E71F4">
            <w:pPr>
              <w:jc w:val="right"/>
              <w:rPr>
                <w:rFonts w:ascii="Arial" w:hAnsi="Arial" w:cs="Times New Roman"/>
                <w:sz w:val="18"/>
                <w:szCs w:val="18"/>
              </w:rPr>
            </w:pPr>
            <w:r w:rsidRPr="003F5882">
              <w:rPr>
                <w:rFonts w:ascii="Arial" w:hAnsi="Arial" w:cs="Times New Roman"/>
                <w:sz w:val="18"/>
              </w:rPr>
              <w:t>50</w:t>
            </w:r>
            <w:r w:rsidRPr="003F5882">
              <w:rPr>
                <w:rFonts w:ascii="Arial" w:hAnsi="Arial" w:cs="Times New Roman"/>
                <w:sz w:val="18"/>
              </w:rPr>
              <w:t>年</w:t>
            </w:r>
          </w:p>
        </w:tc>
      </w:tr>
      <w:tr w:rsidR="006C0099" w:rsidRPr="003F5882" w:rsidTr="000E71F4">
        <w:trPr>
          <w:trHeight w:val="285"/>
          <w:jc w:val="center"/>
        </w:trPr>
        <w:tc>
          <w:tcPr>
            <w:tcW w:w="3109" w:type="dxa"/>
            <w:tcBorders>
              <w:top w:val="nil"/>
              <w:left w:val="nil"/>
              <w:bottom w:val="nil"/>
              <w:right w:val="nil"/>
            </w:tcBorders>
            <w:shd w:val="clear" w:color="auto" w:fill="auto"/>
            <w:noWrap/>
            <w:vAlign w:val="center"/>
          </w:tcPr>
          <w:p w:rsidR="006C0099" w:rsidRPr="003F5882" w:rsidRDefault="006C0099" w:rsidP="000E71F4">
            <w:pPr>
              <w:rPr>
                <w:rFonts w:ascii="Arial" w:hAnsi="Arial" w:cs="Times New Roman"/>
                <w:sz w:val="18"/>
                <w:szCs w:val="18"/>
              </w:rPr>
            </w:pPr>
          </w:p>
        </w:tc>
        <w:tc>
          <w:tcPr>
            <w:tcW w:w="2520" w:type="dxa"/>
            <w:tcBorders>
              <w:top w:val="nil"/>
              <w:left w:val="nil"/>
              <w:bottom w:val="nil"/>
              <w:right w:val="nil"/>
            </w:tcBorders>
            <w:shd w:val="clear" w:color="auto" w:fill="auto"/>
            <w:vAlign w:val="center"/>
          </w:tcPr>
          <w:p w:rsidR="006C0099" w:rsidRPr="003F5882" w:rsidRDefault="006C0099" w:rsidP="000E71F4">
            <w:pPr>
              <w:rPr>
                <w:rFonts w:ascii="Arial" w:hAnsi="Arial" w:cs="Times New Roman"/>
                <w:sz w:val="18"/>
                <w:szCs w:val="18"/>
              </w:rPr>
            </w:pPr>
            <w:r w:rsidRPr="003F5882">
              <w:rPr>
                <w:rFonts w:ascii="Arial" w:hAnsi="Arial" w:cs="Times New Roman"/>
                <w:sz w:val="18"/>
              </w:rPr>
              <w:t>地面改造</w:t>
            </w:r>
          </w:p>
        </w:tc>
        <w:tc>
          <w:tcPr>
            <w:tcW w:w="2081" w:type="dxa"/>
            <w:tcBorders>
              <w:top w:val="nil"/>
              <w:left w:val="nil"/>
              <w:bottom w:val="nil"/>
              <w:right w:val="nil"/>
            </w:tcBorders>
            <w:shd w:val="clear" w:color="auto" w:fill="auto"/>
            <w:vAlign w:val="center"/>
          </w:tcPr>
          <w:p w:rsidR="006C0099" w:rsidRPr="003F5882" w:rsidRDefault="006C0099" w:rsidP="000E71F4">
            <w:pPr>
              <w:jc w:val="right"/>
              <w:rPr>
                <w:rFonts w:ascii="Arial" w:hAnsi="Arial" w:cs="Times New Roman"/>
                <w:sz w:val="18"/>
                <w:szCs w:val="18"/>
              </w:rPr>
            </w:pPr>
            <w:r w:rsidRPr="003F5882">
              <w:rPr>
                <w:rFonts w:ascii="Arial" w:hAnsi="Arial" w:cs="Times New Roman"/>
                <w:sz w:val="18"/>
              </w:rPr>
              <w:t>40-50</w:t>
            </w:r>
            <w:r w:rsidRPr="003F5882">
              <w:rPr>
                <w:rFonts w:ascii="Arial" w:hAnsi="Arial" w:cs="Times New Roman"/>
                <w:sz w:val="18"/>
              </w:rPr>
              <w:t>年</w:t>
            </w:r>
          </w:p>
        </w:tc>
      </w:tr>
      <w:tr w:rsidR="006C0099" w:rsidRPr="003F5882" w:rsidTr="000E71F4">
        <w:trPr>
          <w:trHeight w:val="285"/>
          <w:jc w:val="center"/>
        </w:trPr>
        <w:tc>
          <w:tcPr>
            <w:tcW w:w="3109" w:type="dxa"/>
            <w:tcBorders>
              <w:top w:val="nil"/>
              <w:left w:val="nil"/>
              <w:bottom w:val="nil"/>
              <w:right w:val="nil"/>
            </w:tcBorders>
            <w:shd w:val="clear" w:color="auto" w:fill="auto"/>
            <w:noWrap/>
            <w:vAlign w:val="center"/>
          </w:tcPr>
          <w:p w:rsidR="006C0099" w:rsidRPr="003F5882" w:rsidRDefault="006C0099" w:rsidP="000E71F4">
            <w:pPr>
              <w:rPr>
                <w:rFonts w:ascii="Arial" w:hAnsi="Arial" w:cs="Times New Roman"/>
                <w:sz w:val="18"/>
                <w:szCs w:val="18"/>
              </w:rPr>
            </w:pPr>
          </w:p>
        </w:tc>
        <w:tc>
          <w:tcPr>
            <w:tcW w:w="2520" w:type="dxa"/>
            <w:tcBorders>
              <w:top w:val="nil"/>
              <w:left w:val="nil"/>
              <w:bottom w:val="nil"/>
              <w:right w:val="nil"/>
            </w:tcBorders>
            <w:shd w:val="clear" w:color="auto" w:fill="auto"/>
            <w:vAlign w:val="center"/>
          </w:tcPr>
          <w:p w:rsidR="006C0099" w:rsidRPr="003F5882" w:rsidRDefault="006C0099" w:rsidP="000E71F4">
            <w:pPr>
              <w:rPr>
                <w:rFonts w:ascii="Arial" w:hAnsi="Arial" w:cs="Times New Roman"/>
                <w:sz w:val="18"/>
                <w:szCs w:val="18"/>
              </w:rPr>
            </w:pPr>
            <w:r w:rsidRPr="003F5882">
              <w:rPr>
                <w:rFonts w:ascii="Arial" w:hAnsi="Arial" w:cs="Times New Roman"/>
                <w:sz w:val="18"/>
              </w:rPr>
              <w:t>屋顶</w:t>
            </w:r>
          </w:p>
        </w:tc>
        <w:tc>
          <w:tcPr>
            <w:tcW w:w="2081" w:type="dxa"/>
            <w:tcBorders>
              <w:top w:val="nil"/>
              <w:left w:val="nil"/>
              <w:bottom w:val="nil"/>
              <w:right w:val="nil"/>
            </w:tcBorders>
            <w:shd w:val="clear" w:color="auto" w:fill="auto"/>
            <w:vAlign w:val="center"/>
          </w:tcPr>
          <w:p w:rsidR="006C0099" w:rsidRPr="003F5882" w:rsidRDefault="006C0099" w:rsidP="000E71F4">
            <w:pPr>
              <w:jc w:val="right"/>
              <w:rPr>
                <w:rFonts w:ascii="Arial" w:hAnsi="Arial" w:cs="Times New Roman"/>
                <w:sz w:val="18"/>
                <w:szCs w:val="18"/>
              </w:rPr>
            </w:pPr>
            <w:r w:rsidRPr="003F5882">
              <w:rPr>
                <w:rFonts w:ascii="Arial" w:hAnsi="Arial" w:cs="Times New Roman"/>
                <w:sz w:val="18"/>
              </w:rPr>
              <w:t>50-60</w:t>
            </w:r>
            <w:r w:rsidRPr="003F5882">
              <w:rPr>
                <w:rFonts w:ascii="Arial" w:hAnsi="Arial" w:cs="Times New Roman"/>
                <w:sz w:val="18"/>
              </w:rPr>
              <w:t>年</w:t>
            </w:r>
          </w:p>
        </w:tc>
      </w:tr>
      <w:tr w:rsidR="006C0099" w:rsidRPr="003F5882" w:rsidTr="000E71F4">
        <w:trPr>
          <w:trHeight w:val="285"/>
          <w:jc w:val="center"/>
        </w:trPr>
        <w:tc>
          <w:tcPr>
            <w:tcW w:w="3109" w:type="dxa"/>
            <w:tcBorders>
              <w:top w:val="nil"/>
              <w:left w:val="nil"/>
              <w:bottom w:val="nil"/>
              <w:right w:val="nil"/>
            </w:tcBorders>
            <w:shd w:val="clear" w:color="auto" w:fill="auto"/>
            <w:noWrap/>
            <w:vAlign w:val="center"/>
          </w:tcPr>
          <w:p w:rsidR="006C0099" w:rsidRPr="003F5882" w:rsidRDefault="006C0099" w:rsidP="000E71F4">
            <w:pPr>
              <w:rPr>
                <w:rFonts w:ascii="Arial" w:hAnsi="Arial" w:cs="Times New Roman"/>
                <w:sz w:val="18"/>
                <w:szCs w:val="18"/>
              </w:rPr>
            </w:pPr>
          </w:p>
        </w:tc>
        <w:tc>
          <w:tcPr>
            <w:tcW w:w="2520" w:type="dxa"/>
            <w:tcBorders>
              <w:top w:val="nil"/>
              <w:left w:val="nil"/>
              <w:bottom w:val="nil"/>
              <w:right w:val="nil"/>
            </w:tcBorders>
            <w:shd w:val="clear" w:color="auto" w:fill="auto"/>
            <w:vAlign w:val="center"/>
          </w:tcPr>
          <w:p w:rsidR="006C0099" w:rsidRPr="003F5882" w:rsidRDefault="006C0099" w:rsidP="000E71F4">
            <w:pPr>
              <w:rPr>
                <w:rFonts w:ascii="Arial" w:hAnsi="Arial" w:cs="Times New Roman"/>
                <w:sz w:val="18"/>
                <w:szCs w:val="18"/>
              </w:rPr>
            </w:pPr>
            <w:r w:rsidRPr="003F5882">
              <w:rPr>
                <w:rFonts w:ascii="Arial" w:hAnsi="Arial" w:cs="Times New Roman"/>
                <w:sz w:val="18"/>
              </w:rPr>
              <w:t>地板、墙壁、楼梯</w:t>
            </w:r>
          </w:p>
        </w:tc>
        <w:tc>
          <w:tcPr>
            <w:tcW w:w="2081" w:type="dxa"/>
            <w:tcBorders>
              <w:top w:val="nil"/>
              <w:left w:val="nil"/>
              <w:bottom w:val="nil"/>
              <w:right w:val="nil"/>
            </w:tcBorders>
            <w:shd w:val="clear" w:color="auto" w:fill="auto"/>
            <w:vAlign w:val="center"/>
          </w:tcPr>
          <w:p w:rsidR="006C0099" w:rsidRPr="003F5882" w:rsidRDefault="006C0099" w:rsidP="000E71F4">
            <w:pPr>
              <w:jc w:val="right"/>
              <w:rPr>
                <w:rFonts w:ascii="Arial" w:hAnsi="Arial" w:cs="Times New Roman"/>
                <w:sz w:val="18"/>
                <w:szCs w:val="18"/>
              </w:rPr>
            </w:pPr>
            <w:r w:rsidRPr="003F5882">
              <w:rPr>
                <w:rFonts w:ascii="Arial" w:hAnsi="Arial" w:cs="Times New Roman"/>
                <w:sz w:val="18"/>
              </w:rPr>
              <w:t>50</w:t>
            </w:r>
            <w:r w:rsidRPr="003F5882">
              <w:rPr>
                <w:rFonts w:ascii="Arial" w:hAnsi="Arial" w:cs="Times New Roman"/>
                <w:sz w:val="18"/>
              </w:rPr>
              <w:t>年</w:t>
            </w:r>
          </w:p>
        </w:tc>
      </w:tr>
      <w:tr w:rsidR="006C0099" w:rsidRPr="003F5882" w:rsidTr="000E71F4">
        <w:trPr>
          <w:trHeight w:val="285"/>
          <w:jc w:val="center"/>
        </w:trPr>
        <w:tc>
          <w:tcPr>
            <w:tcW w:w="3109" w:type="dxa"/>
            <w:tcBorders>
              <w:top w:val="nil"/>
              <w:left w:val="nil"/>
              <w:bottom w:val="nil"/>
              <w:right w:val="nil"/>
            </w:tcBorders>
            <w:shd w:val="clear" w:color="auto" w:fill="auto"/>
            <w:noWrap/>
            <w:vAlign w:val="center"/>
          </w:tcPr>
          <w:p w:rsidR="006C0099" w:rsidRPr="003F5882" w:rsidRDefault="006C0099" w:rsidP="000E71F4">
            <w:pPr>
              <w:rPr>
                <w:rFonts w:ascii="Arial" w:hAnsi="Arial" w:cs="Times New Roman"/>
                <w:sz w:val="18"/>
                <w:szCs w:val="18"/>
              </w:rPr>
            </w:pPr>
          </w:p>
        </w:tc>
        <w:tc>
          <w:tcPr>
            <w:tcW w:w="2520" w:type="dxa"/>
            <w:tcBorders>
              <w:top w:val="nil"/>
              <w:left w:val="nil"/>
              <w:bottom w:val="nil"/>
              <w:right w:val="nil"/>
            </w:tcBorders>
            <w:shd w:val="clear" w:color="auto" w:fill="auto"/>
            <w:vAlign w:val="center"/>
          </w:tcPr>
          <w:p w:rsidR="006C0099" w:rsidRPr="003F5882" w:rsidRDefault="006C0099" w:rsidP="000E71F4">
            <w:pPr>
              <w:rPr>
                <w:rFonts w:ascii="Arial" w:hAnsi="Arial" w:cs="Times New Roman"/>
                <w:sz w:val="18"/>
                <w:szCs w:val="18"/>
              </w:rPr>
            </w:pPr>
            <w:r w:rsidRPr="003F5882">
              <w:rPr>
                <w:rFonts w:ascii="Arial" w:hAnsi="Arial" w:cs="Times New Roman"/>
                <w:sz w:val="18"/>
              </w:rPr>
              <w:t>地板铺设、墙面材料</w:t>
            </w:r>
          </w:p>
        </w:tc>
        <w:tc>
          <w:tcPr>
            <w:tcW w:w="2081" w:type="dxa"/>
            <w:tcBorders>
              <w:top w:val="nil"/>
              <w:left w:val="nil"/>
              <w:bottom w:val="nil"/>
              <w:right w:val="nil"/>
            </w:tcBorders>
            <w:shd w:val="clear" w:color="auto" w:fill="auto"/>
            <w:vAlign w:val="center"/>
          </w:tcPr>
          <w:p w:rsidR="006C0099" w:rsidRPr="003F5882" w:rsidRDefault="006C0099" w:rsidP="000E71F4">
            <w:pPr>
              <w:jc w:val="right"/>
              <w:rPr>
                <w:rFonts w:ascii="Arial" w:hAnsi="Arial" w:cs="Times New Roman"/>
                <w:sz w:val="18"/>
                <w:szCs w:val="18"/>
              </w:rPr>
            </w:pPr>
            <w:r w:rsidRPr="003F5882">
              <w:rPr>
                <w:rFonts w:ascii="Arial" w:hAnsi="Arial" w:cs="Times New Roman"/>
                <w:sz w:val="18"/>
              </w:rPr>
              <w:t>30-40</w:t>
            </w:r>
            <w:r w:rsidRPr="003F5882">
              <w:rPr>
                <w:rFonts w:ascii="Arial" w:hAnsi="Arial" w:cs="Times New Roman"/>
                <w:sz w:val="18"/>
              </w:rPr>
              <w:t>年</w:t>
            </w:r>
          </w:p>
        </w:tc>
      </w:tr>
      <w:tr w:rsidR="006C0099" w:rsidRPr="003F5882" w:rsidTr="000E71F4">
        <w:trPr>
          <w:trHeight w:val="285"/>
          <w:jc w:val="center"/>
        </w:trPr>
        <w:tc>
          <w:tcPr>
            <w:tcW w:w="3109" w:type="dxa"/>
            <w:tcBorders>
              <w:top w:val="nil"/>
              <w:left w:val="nil"/>
              <w:bottom w:val="nil"/>
              <w:right w:val="nil"/>
            </w:tcBorders>
            <w:shd w:val="clear" w:color="auto" w:fill="auto"/>
            <w:noWrap/>
            <w:vAlign w:val="center"/>
          </w:tcPr>
          <w:p w:rsidR="006C0099" w:rsidRPr="003F5882" w:rsidRDefault="006C0099" w:rsidP="000E71F4">
            <w:pPr>
              <w:rPr>
                <w:rFonts w:ascii="Arial" w:hAnsi="Arial" w:cs="Times New Roman"/>
                <w:sz w:val="18"/>
                <w:szCs w:val="18"/>
              </w:rPr>
            </w:pPr>
          </w:p>
        </w:tc>
        <w:tc>
          <w:tcPr>
            <w:tcW w:w="2520" w:type="dxa"/>
            <w:tcBorders>
              <w:top w:val="nil"/>
              <w:left w:val="nil"/>
              <w:bottom w:val="nil"/>
              <w:right w:val="nil"/>
            </w:tcBorders>
            <w:shd w:val="clear" w:color="auto" w:fill="auto"/>
            <w:vAlign w:val="center"/>
          </w:tcPr>
          <w:p w:rsidR="006C0099" w:rsidRPr="003F5882" w:rsidRDefault="006C0099" w:rsidP="000E71F4">
            <w:pPr>
              <w:rPr>
                <w:rFonts w:ascii="Arial" w:hAnsi="Arial" w:cs="Times New Roman"/>
                <w:sz w:val="18"/>
                <w:szCs w:val="18"/>
              </w:rPr>
            </w:pPr>
            <w:r w:rsidRPr="003F5882">
              <w:rPr>
                <w:rFonts w:ascii="Arial" w:hAnsi="Arial" w:cs="Times New Roman"/>
                <w:sz w:val="18"/>
              </w:rPr>
              <w:t>厨房设备</w:t>
            </w:r>
          </w:p>
        </w:tc>
        <w:tc>
          <w:tcPr>
            <w:tcW w:w="2081" w:type="dxa"/>
            <w:tcBorders>
              <w:top w:val="nil"/>
              <w:left w:val="nil"/>
              <w:bottom w:val="nil"/>
              <w:right w:val="nil"/>
            </w:tcBorders>
            <w:shd w:val="clear" w:color="auto" w:fill="auto"/>
            <w:vAlign w:val="center"/>
          </w:tcPr>
          <w:p w:rsidR="006C0099" w:rsidRPr="003F5882" w:rsidRDefault="006C0099" w:rsidP="000E71F4">
            <w:pPr>
              <w:jc w:val="right"/>
              <w:rPr>
                <w:rFonts w:ascii="Arial" w:hAnsi="Arial" w:cs="Times New Roman"/>
                <w:sz w:val="18"/>
                <w:szCs w:val="18"/>
              </w:rPr>
            </w:pPr>
            <w:r w:rsidRPr="003F5882">
              <w:rPr>
                <w:rFonts w:ascii="Arial" w:hAnsi="Arial" w:cs="Times New Roman"/>
                <w:sz w:val="18"/>
              </w:rPr>
              <w:t>20-40</w:t>
            </w:r>
            <w:r w:rsidRPr="003F5882">
              <w:rPr>
                <w:rFonts w:ascii="Arial" w:hAnsi="Arial" w:cs="Times New Roman"/>
                <w:sz w:val="18"/>
              </w:rPr>
              <w:t>年</w:t>
            </w:r>
          </w:p>
        </w:tc>
      </w:tr>
      <w:tr w:rsidR="006C0099" w:rsidRPr="003F5882" w:rsidTr="000E71F4">
        <w:trPr>
          <w:trHeight w:val="285"/>
          <w:jc w:val="center"/>
        </w:trPr>
        <w:tc>
          <w:tcPr>
            <w:tcW w:w="3109" w:type="dxa"/>
            <w:tcBorders>
              <w:top w:val="nil"/>
              <w:left w:val="nil"/>
              <w:bottom w:val="nil"/>
              <w:right w:val="nil"/>
            </w:tcBorders>
            <w:shd w:val="clear" w:color="auto" w:fill="auto"/>
            <w:noWrap/>
            <w:vAlign w:val="center"/>
          </w:tcPr>
          <w:p w:rsidR="006C0099" w:rsidRPr="003F5882" w:rsidRDefault="006C0099" w:rsidP="000E71F4">
            <w:pPr>
              <w:rPr>
                <w:rFonts w:ascii="Arial" w:hAnsi="Arial" w:cs="Times New Roman"/>
                <w:sz w:val="18"/>
                <w:szCs w:val="18"/>
              </w:rPr>
            </w:pPr>
          </w:p>
        </w:tc>
        <w:tc>
          <w:tcPr>
            <w:tcW w:w="2520" w:type="dxa"/>
            <w:tcBorders>
              <w:top w:val="nil"/>
              <w:left w:val="nil"/>
              <w:bottom w:val="nil"/>
              <w:right w:val="nil"/>
            </w:tcBorders>
            <w:shd w:val="clear" w:color="auto" w:fill="auto"/>
            <w:vAlign w:val="center"/>
          </w:tcPr>
          <w:p w:rsidR="006C0099" w:rsidRPr="003F5882" w:rsidRDefault="006C0099" w:rsidP="000E71F4">
            <w:pPr>
              <w:rPr>
                <w:rFonts w:ascii="Arial" w:hAnsi="Arial" w:cs="Times New Roman"/>
                <w:sz w:val="18"/>
                <w:szCs w:val="18"/>
              </w:rPr>
            </w:pPr>
            <w:r w:rsidRPr="003F5882">
              <w:rPr>
                <w:rFonts w:ascii="Arial" w:hAnsi="Arial" w:cs="Times New Roman"/>
                <w:sz w:val="18"/>
              </w:rPr>
              <w:t>会议设备</w:t>
            </w:r>
          </w:p>
        </w:tc>
        <w:tc>
          <w:tcPr>
            <w:tcW w:w="2081" w:type="dxa"/>
            <w:tcBorders>
              <w:top w:val="nil"/>
              <w:left w:val="nil"/>
              <w:bottom w:val="nil"/>
              <w:right w:val="nil"/>
            </w:tcBorders>
            <w:shd w:val="clear" w:color="auto" w:fill="auto"/>
            <w:vAlign w:val="center"/>
          </w:tcPr>
          <w:p w:rsidR="006C0099" w:rsidRPr="003F5882" w:rsidRDefault="006C0099" w:rsidP="000E71F4">
            <w:pPr>
              <w:jc w:val="right"/>
              <w:rPr>
                <w:rFonts w:ascii="Arial" w:hAnsi="Arial" w:cs="Times New Roman"/>
                <w:sz w:val="18"/>
                <w:szCs w:val="18"/>
              </w:rPr>
            </w:pPr>
            <w:r w:rsidRPr="003F5882">
              <w:rPr>
                <w:rFonts w:ascii="Arial" w:hAnsi="Arial" w:cs="Times New Roman"/>
                <w:sz w:val="18"/>
              </w:rPr>
              <w:t>5-40</w:t>
            </w:r>
            <w:r w:rsidRPr="003F5882">
              <w:rPr>
                <w:rFonts w:ascii="Arial" w:hAnsi="Arial" w:cs="Times New Roman"/>
                <w:sz w:val="18"/>
              </w:rPr>
              <w:t>年</w:t>
            </w:r>
          </w:p>
        </w:tc>
      </w:tr>
      <w:tr w:rsidR="006C0099" w:rsidRPr="003F5882" w:rsidTr="000E71F4">
        <w:trPr>
          <w:trHeight w:val="285"/>
          <w:jc w:val="center"/>
        </w:trPr>
        <w:tc>
          <w:tcPr>
            <w:tcW w:w="3109" w:type="dxa"/>
            <w:tcBorders>
              <w:top w:val="nil"/>
              <w:left w:val="nil"/>
              <w:bottom w:val="nil"/>
              <w:right w:val="nil"/>
            </w:tcBorders>
            <w:shd w:val="clear" w:color="auto" w:fill="auto"/>
            <w:noWrap/>
            <w:vAlign w:val="center"/>
          </w:tcPr>
          <w:p w:rsidR="006C0099" w:rsidRPr="003F5882" w:rsidRDefault="006C0099" w:rsidP="000E71F4">
            <w:pPr>
              <w:rPr>
                <w:rFonts w:ascii="Arial" w:hAnsi="Arial" w:cs="Times New Roman"/>
                <w:sz w:val="18"/>
                <w:szCs w:val="18"/>
              </w:rPr>
            </w:pPr>
          </w:p>
        </w:tc>
        <w:tc>
          <w:tcPr>
            <w:tcW w:w="2520" w:type="dxa"/>
            <w:tcBorders>
              <w:top w:val="nil"/>
              <w:left w:val="nil"/>
              <w:bottom w:val="nil"/>
              <w:right w:val="nil"/>
            </w:tcBorders>
            <w:shd w:val="clear" w:color="auto" w:fill="auto"/>
            <w:vAlign w:val="center"/>
          </w:tcPr>
          <w:p w:rsidR="006C0099" w:rsidRPr="003F5882" w:rsidRDefault="006C0099" w:rsidP="000E71F4">
            <w:pPr>
              <w:rPr>
                <w:rFonts w:ascii="Arial" w:hAnsi="Arial" w:cs="Times New Roman"/>
                <w:sz w:val="18"/>
                <w:szCs w:val="18"/>
              </w:rPr>
            </w:pPr>
            <w:r w:rsidRPr="003F5882">
              <w:rPr>
                <w:rFonts w:ascii="Arial" w:hAnsi="Arial" w:cs="Times New Roman"/>
                <w:sz w:val="18"/>
              </w:rPr>
              <w:t>供暖、通风</w:t>
            </w:r>
          </w:p>
        </w:tc>
        <w:tc>
          <w:tcPr>
            <w:tcW w:w="2081" w:type="dxa"/>
            <w:tcBorders>
              <w:top w:val="nil"/>
              <w:left w:val="nil"/>
              <w:bottom w:val="nil"/>
              <w:right w:val="nil"/>
            </w:tcBorders>
            <w:shd w:val="clear" w:color="auto" w:fill="auto"/>
            <w:vAlign w:val="center"/>
          </w:tcPr>
          <w:p w:rsidR="006C0099" w:rsidRPr="003F5882" w:rsidRDefault="006C0099" w:rsidP="000E71F4">
            <w:pPr>
              <w:jc w:val="right"/>
              <w:rPr>
                <w:rFonts w:ascii="Arial" w:hAnsi="Arial" w:cs="Times New Roman"/>
                <w:sz w:val="18"/>
                <w:szCs w:val="18"/>
              </w:rPr>
            </w:pPr>
            <w:r w:rsidRPr="003F5882">
              <w:rPr>
                <w:rFonts w:ascii="Arial" w:hAnsi="Arial" w:cs="Times New Roman"/>
                <w:sz w:val="18"/>
              </w:rPr>
              <w:t>30</w:t>
            </w:r>
            <w:r w:rsidRPr="003F5882">
              <w:rPr>
                <w:rFonts w:ascii="Arial" w:hAnsi="Arial" w:cs="Times New Roman"/>
                <w:sz w:val="18"/>
              </w:rPr>
              <w:t>年</w:t>
            </w:r>
          </w:p>
        </w:tc>
      </w:tr>
      <w:tr w:rsidR="006C0099" w:rsidRPr="003F5882" w:rsidTr="000E71F4">
        <w:trPr>
          <w:trHeight w:val="285"/>
          <w:jc w:val="center"/>
        </w:trPr>
        <w:tc>
          <w:tcPr>
            <w:tcW w:w="3109" w:type="dxa"/>
            <w:tcBorders>
              <w:top w:val="nil"/>
              <w:left w:val="nil"/>
              <w:bottom w:val="nil"/>
              <w:right w:val="nil"/>
            </w:tcBorders>
            <w:shd w:val="clear" w:color="auto" w:fill="auto"/>
            <w:noWrap/>
            <w:vAlign w:val="center"/>
          </w:tcPr>
          <w:p w:rsidR="006C0099" w:rsidRPr="003F5882" w:rsidRDefault="006C0099" w:rsidP="000E71F4">
            <w:pPr>
              <w:rPr>
                <w:rFonts w:ascii="Arial" w:hAnsi="Arial" w:cs="Times New Roman"/>
                <w:sz w:val="18"/>
                <w:szCs w:val="18"/>
              </w:rPr>
            </w:pPr>
          </w:p>
        </w:tc>
        <w:tc>
          <w:tcPr>
            <w:tcW w:w="2520" w:type="dxa"/>
            <w:tcBorders>
              <w:top w:val="nil"/>
              <w:left w:val="nil"/>
              <w:bottom w:val="nil"/>
              <w:right w:val="nil"/>
            </w:tcBorders>
            <w:shd w:val="clear" w:color="auto" w:fill="auto"/>
            <w:vAlign w:val="center"/>
          </w:tcPr>
          <w:p w:rsidR="006C0099" w:rsidRPr="003F5882" w:rsidRDefault="006C0099" w:rsidP="000E71F4">
            <w:pPr>
              <w:rPr>
                <w:rFonts w:ascii="Arial" w:hAnsi="Arial" w:cs="Times New Roman"/>
                <w:sz w:val="18"/>
                <w:szCs w:val="18"/>
              </w:rPr>
            </w:pPr>
            <w:r w:rsidRPr="003F5882">
              <w:rPr>
                <w:rFonts w:ascii="Arial" w:hAnsi="Arial" w:cs="Times New Roman"/>
                <w:sz w:val="18"/>
              </w:rPr>
              <w:t>卫生设施</w:t>
            </w:r>
          </w:p>
        </w:tc>
        <w:tc>
          <w:tcPr>
            <w:tcW w:w="2081" w:type="dxa"/>
            <w:tcBorders>
              <w:top w:val="nil"/>
              <w:left w:val="nil"/>
              <w:bottom w:val="nil"/>
              <w:right w:val="nil"/>
            </w:tcBorders>
            <w:shd w:val="clear" w:color="auto" w:fill="auto"/>
            <w:vAlign w:val="center"/>
          </w:tcPr>
          <w:p w:rsidR="006C0099" w:rsidRPr="003F5882" w:rsidRDefault="006C0099" w:rsidP="000E71F4">
            <w:pPr>
              <w:jc w:val="right"/>
              <w:rPr>
                <w:rFonts w:ascii="Arial" w:hAnsi="Arial" w:cs="Times New Roman"/>
                <w:sz w:val="18"/>
                <w:szCs w:val="18"/>
              </w:rPr>
            </w:pPr>
            <w:r w:rsidRPr="003F5882">
              <w:rPr>
                <w:rFonts w:ascii="Arial" w:hAnsi="Arial" w:cs="Times New Roman"/>
                <w:sz w:val="18"/>
              </w:rPr>
              <w:t>40</w:t>
            </w:r>
            <w:r w:rsidRPr="003F5882">
              <w:rPr>
                <w:rFonts w:ascii="Arial" w:hAnsi="Arial" w:cs="Times New Roman"/>
                <w:sz w:val="18"/>
              </w:rPr>
              <w:t>年</w:t>
            </w:r>
          </w:p>
        </w:tc>
      </w:tr>
      <w:tr w:rsidR="006C0099" w:rsidRPr="003F5882" w:rsidTr="000E71F4">
        <w:trPr>
          <w:trHeight w:val="285"/>
          <w:jc w:val="center"/>
        </w:trPr>
        <w:tc>
          <w:tcPr>
            <w:tcW w:w="3109" w:type="dxa"/>
            <w:tcBorders>
              <w:top w:val="nil"/>
              <w:left w:val="nil"/>
              <w:bottom w:val="nil"/>
              <w:right w:val="nil"/>
            </w:tcBorders>
            <w:shd w:val="clear" w:color="auto" w:fill="auto"/>
            <w:noWrap/>
            <w:vAlign w:val="center"/>
          </w:tcPr>
          <w:p w:rsidR="006C0099" w:rsidRPr="003F5882" w:rsidRDefault="006C0099" w:rsidP="000E71F4">
            <w:pPr>
              <w:rPr>
                <w:rFonts w:ascii="Arial" w:hAnsi="Arial" w:cs="Times New Roman"/>
                <w:sz w:val="18"/>
                <w:szCs w:val="18"/>
              </w:rPr>
            </w:pPr>
          </w:p>
        </w:tc>
        <w:tc>
          <w:tcPr>
            <w:tcW w:w="2520" w:type="dxa"/>
            <w:tcBorders>
              <w:top w:val="nil"/>
              <w:left w:val="nil"/>
              <w:bottom w:val="nil"/>
              <w:right w:val="nil"/>
            </w:tcBorders>
            <w:shd w:val="clear" w:color="auto" w:fill="auto"/>
            <w:vAlign w:val="center"/>
          </w:tcPr>
          <w:p w:rsidR="006C0099" w:rsidRPr="003F5882" w:rsidRDefault="006C0099" w:rsidP="000E71F4">
            <w:pPr>
              <w:rPr>
                <w:rFonts w:ascii="Arial" w:hAnsi="Arial" w:cs="Times New Roman"/>
                <w:sz w:val="18"/>
                <w:szCs w:val="18"/>
              </w:rPr>
            </w:pPr>
            <w:r w:rsidRPr="003F5882">
              <w:rPr>
                <w:rFonts w:ascii="Arial" w:hAnsi="Arial" w:cs="Times New Roman"/>
                <w:sz w:val="18"/>
              </w:rPr>
              <w:t>电气装置</w:t>
            </w:r>
          </w:p>
        </w:tc>
        <w:tc>
          <w:tcPr>
            <w:tcW w:w="2081" w:type="dxa"/>
            <w:tcBorders>
              <w:top w:val="nil"/>
              <w:left w:val="nil"/>
              <w:bottom w:val="nil"/>
              <w:right w:val="nil"/>
            </w:tcBorders>
            <w:shd w:val="clear" w:color="auto" w:fill="auto"/>
            <w:vAlign w:val="center"/>
          </w:tcPr>
          <w:p w:rsidR="006C0099" w:rsidRPr="003F5882" w:rsidRDefault="006C0099" w:rsidP="000E71F4">
            <w:pPr>
              <w:jc w:val="right"/>
              <w:rPr>
                <w:rFonts w:ascii="Arial" w:hAnsi="Arial" w:cs="Times New Roman"/>
                <w:sz w:val="18"/>
                <w:szCs w:val="18"/>
              </w:rPr>
            </w:pPr>
            <w:r w:rsidRPr="003F5882">
              <w:rPr>
                <w:rFonts w:ascii="Arial" w:hAnsi="Arial" w:cs="Times New Roman"/>
                <w:sz w:val="18"/>
              </w:rPr>
              <w:t>30-50</w:t>
            </w:r>
            <w:r w:rsidRPr="003F5882">
              <w:rPr>
                <w:rFonts w:ascii="Arial" w:hAnsi="Arial" w:cs="Times New Roman"/>
                <w:sz w:val="18"/>
              </w:rPr>
              <w:t>年</w:t>
            </w:r>
          </w:p>
        </w:tc>
      </w:tr>
      <w:tr w:rsidR="006C0099" w:rsidRPr="003F5882" w:rsidTr="000E71F4">
        <w:trPr>
          <w:trHeight w:val="285"/>
          <w:jc w:val="center"/>
        </w:trPr>
        <w:tc>
          <w:tcPr>
            <w:tcW w:w="3109" w:type="dxa"/>
            <w:tcBorders>
              <w:top w:val="nil"/>
              <w:left w:val="nil"/>
              <w:bottom w:val="nil"/>
              <w:right w:val="nil"/>
            </w:tcBorders>
            <w:shd w:val="clear" w:color="auto" w:fill="auto"/>
            <w:noWrap/>
            <w:vAlign w:val="center"/>
          </w:tcPr>
          <w:p w:rsidR="006C0099" w:rsidRPr="003F5882" w:rsidRDefault="006C0099" w:rsidP="000E71F4">
            <w:pPr>
              <w:rPr>
                <w:rFonts w:ascii="Arial" w:hAnsi="Arial" w:cs="Times New Roman"/>
                <w:sz w:val="18"/>
                <w:szCs w:val="18"/>
              </w:rPr>
            </w:pPr>
          </w:p>
        </w:tc>
        <w:tc>
          <w:tcPr>
            <w:tcW w:w="2520" w:type="dxa"/>
            <w:tcBorders>
              <w:top w:val="nil"/>
              <w:left w:val="nil"/>
              <w:bottom w:val="nil"/>
              <w:right w:val="nil"/>
            </w:tcBorders>
            <w:shd w:val="clear" w:color="auto" w:fill="auto"/>
            <w:vAlign w:val="center"/>
          </w:tcPr>
          <w:p w:rsidR="006C0099" w:rsidRPr="003F5882" w:rsidRDefault="006C0099" w:rsidP="000E71F4">
            <w:pPr>
              <w:rPr>
                <w:rFonts w:ascii="Arial" w:hAnsi="Arial" w:cs="Times New Roman"/>
                <w:sz w:val="18"/>
                <w:szCs w:val="18"/>
              </w:rPr>
            </w:pPr>
            <w:r w:rsidRPr="003F5882">
              <w:rPr>
                <w:rFonts w:ascii="Arial" w:hAnsi="Arial" w:cs="Times New Roman"/>
                <w:sz w:val="18"/>
              </w:rPr>
              <w:t>电梯</w:t>
            </w:r>
          </w:p>
        </w:tc>
        <w:tc>
          <w:tcPr>
            <w:tcW w:w="2081" w:type="dxa"/>
            <w:tcBorders>
              <w:top w:val="nil"/>
              <w:left w:val="nil"/>
              <w:bottom w:val="nil"/>
              <w:right w:val="nil"/>
            </w:tcBorders>
            <w:shd w:val="clear" w:color="auto" w:fill="auto"/>
            <w:vAlign w:val="center"/>
          </w:tcPr>
          <w:p w:rsidR="006C0099" w:rsidRPr="003F5882" w:rsidRDefault="006C0099" w:rsidP="000E71F4">
            <w:pPr>
              <w:jc w:val="right"/>
              <w:rPr>
                <w:rFonts w:ascii="Arial" w:hAnsi="Arial" w:cs="Times New Roman"/>
                <w:sz w:val="18"/>
                <w:szCs w:val="18"/>
              </w:rPr>
            </w:pPr>
            <w:r w:rsidRPr="003F5882">
              <w:rPr>
                <w:rFonts w:ascii="Arial" w:hAnsi="Arial" w:cs="Times New Roman"/>
                <w:sz w:val="18"/>
              </w:rPr>
              <w:t>40</w:t>
            </w:r>
            <w:r w:rsidRPr="003F5882">
              <w:rPr>
                <w:rFonts w:ascii="Arial" w:hAnsi="Arial" w:cs="Times New Roman"/>
                <w:sz w:val="18"/>
              </w:rPr>
              <w:t>年</w:t>
            </w:r>
          </w:p>
        </w:tc>
      </w:tr>
      <w:tr w:rsidR="006C0099" w:rsidRPr="003F5882" w:rsidTr="000E71F4">
        <w:trPr>
          <w:trHeight w:val="285"/>
          <w:jc w:val="center"/>
        </w:trPr>
        <w:tc>
          <w:tcPr>
            <w:tcW w:w="3109" w:type="dxa"/>
            <w:tcBorders>
              <w:top w:val="nil"/>
              <w:left w:val="nil"/>
              <w:bottom w:val="nil"/>
              <w:right w:val="nil"/>
            </w:tcBorders>
            <w:shd w:val="clear" w:color="auto" w:fill="auto"/>
            <w:noWrap/>
            <w:vAlign w:val="center"/>
          </w:tcPr>
          <w:p w:rsidR="006C0099" w:rsidRPr="003F5882" w:rsidRDefault="006C0099" w:rsidP="000E71F4">
            <w:pPr>
              <w:rPr>
                <w:rFonts w:ascii="Arial" w:hAnsi="Arial" w:cs="Times New Roman"/>
                <w:sz w:val="18"/>
                <w:szCs w:val="18"/>
              </w:rPr>
            </w:pPr>
          </w:p>
        </w:tc>
        <w:tc>
          <w:tcPr>
            <w:tcW w:w="2520" w:type="dxa"/>
            <w:tcBorders>
              <w:top w:val="nil"/>
              <w:left w:val="nil"/>
              <w:bottom w:val="nil"/>
              <w:right w:val="nil"/>
            </w:tcBorders>
            <w:shd w:val="clear" w:color="auto" w:fill="auto"/>
            <w:vAlign w:val="center"/>
          </w:tcPr>
          <w:p w:rsidR="006C0099" w:rsidRPr="003F5882" w:rsidRDefault="006C0099" w:rsidP="000E71F4">
            <w:pPr>
              <w:rPr>
                <w:rFonts w:ascii="Arial" w:hAnsi="Arial" w:cs="Times New Roman"/>
                <w:sz w:val="18"/>
                <w:szCs w:val="18"/>
              </w:rPr>
            </w:pPr>
            <w:r w:rsidRPr="003F5882">
              <w:rPr>
                <w:rFonts w:ascii="Arial" w:hAnsi="Arial" w:cs="Times New Roman"/>
                <w:sz w:val="18"/>
              </w:rPr>
              <w:t>外部清洗设备</w:t>
            </w:r>
          </w:p>
        </w:tc>
        <w:tc>
          <w:tcPr>
            <w:tcW w:w="2081" w:type="dxa"/>
            <w:tcBorders>
              <w:top w:val="nil"/>
              <w:left w:val="nil"/>
              <w:bottom w:val="nil"/>
              <w:right w:val="nil"/>
            </w:tcBorders>
            <w:shd w:val="clear" w:color="auto" w:fill="auto"/>
            <w:vAlign w:val="center"/>
          </w:tcPr>
          <w:p w:rsidR="006C0099" w:rsidRPr="003F5882" w:rsidRDefault="006C0099" w:rsidP="000E71F4">
            <w:pPr>
              <w:jc w:val="right"/>
              <w:rPr>
                <w:rFonts w:ascii="Arial" w:hAnsi="Arial" w:cs="Times New Roman"/>
                <w:sz w:val="18"/>
                <w:szCs w:val="18"/>
              </w:rPr>
            </w:pPr>
            <w:r w:rsidRPr="003F5882">
              <w:rPr>
                <w:rFonts w:ascii="Arial" w:hAnsi="Arial" w:cs="Times New Roman"/>
                <w:sz w:val="18"/>
              </w:rPr>
              <w:t>45</w:t>
            </w:r>
            <w:r w:rsidRPr="003F5882">
              <w:rPr>
                <w:rFonts w:ascii="Arial" w:hAnsi="Arial" w:cs="Times New Roman"/>
                <w:sz w:val="18"/>
              </w:rPr>
              <w:t>年</w:t>
            </w:r>
          </w:p>
        </w:tc>
      </w:tr>
    </w:tbl>
    <w:p w:rsidR="006C0099" w:rsidRPr="003F5882" w:rsidRDefault="006C0099" w:rsidP="006C0099">
      <w:pPr>
        <w:pStyle w:val="Style3"/>
        <w:spacing w:after="0"/>
        <w:rPr>
          <w:rFonts w:ascii="Arial" w:hAnsi="Arial" w:cs="Times New Roman"/>
          <w:sz w:val="20"/>
        </w:rPr>
      </w:pPr>
    </w:p>
    <w:p w:rsidR="006C0099" w:rsidRPr="003F5882"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如果偶尔事件或情况变化表明资产账面价值可能无法恢复，应就损耗对固定资产的账面价值进行审查。如果存在这种情况，应对资产可恢复数额进行评估，以确定损耗的程度。任何损耗均计入财务执行情况表。</w:t>
      </w:r>
    </w:p>
    <w:p w:rsidR="007D62CB" w:rsidRPr="003374D7" w:rsidRDefault="006C0099" w:rsidP="003374D7">
      <w:pPr>
        <w:pStyle w:val="Style3Bold"/>
        <w:keepLines/>
        <w:spacing w:afterLines="50" w:line="340" w:lineRule="atLeast"/>
        <w:rPr>
          <w:rFonts w:eastAsia="SimSun" w:cs="Times New Roman"/>
          <w:sz w:val="21"/>
        </w:rPr>
      </w:pPr>
      <w:r w:rsidRPr="003374D7">
        <w:rPr>
          <w:rFonts w:eastAsia="SimSun" w:cs="Times New Roman"/>
          <w:sz w:val="21"/>
        </w:rPr>
        <w:t>库存</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库存包括用于销售的出版物和免费发行的出版物的价值、用于生产出版物的用品和材料的价值以及零售店商品的价值。出版物的总价值根据每页出版物的平均费用</w:t>
      </w:r>
      <w:r w:rsidR="00F453AC" w:rsidRPr="003F5882">
        <w:rPr>
          <w:rFonts w:ascii="Arial" w:hAnsi="Arial" w:cs="Times New Roman" w:hint="eastAsia"/>
          <w:sz w:val="21"/>
        </w:rPr>
        <w:t>（</w:t>
      </w:r>
      <w:r w:rsidRPr="003F5882">
        <w:rPr>
          <w:rFonts w:ascii="Arial" w:hAnsi="Arial" w:cs="Times New Roman"/>
          <w:sz w:val="21"/>
        </w:rPr>
        <w:t>除销售和发行费用以外</w:t>
      </w:r>
      <w:r w:rsidR="00F453AC" w:rsidRPr="003F5882">
        <w:rPr>
          <w:rFonts w:ascii="Arial" w:hAnsi="Arial" w:cs="Times New Roman" w:hint="eastAsia"/>
          <w:sz w:val="21"/>
        </w:rPr>
        <w:t>）</w:t>
      </w:r>
      <w:r w:rsidRPr="003F5882">
        <w:rPr>
          <w:rFonts w:ascii="Arial" w:hAnsi="Arial" w:cs="Times New Roman"/>
          <w:sz w:val="21"/>
        </w:rPr>
        <w:t>乘以出版物库存</w:t>
      </w:r>
      <w:r w:rsidRPr="003F5882">
        <w:rPr>
          <w:rFonts w:ascii="Arial" w:hAnsi="Arial" w:cs="Times New Roman"/>
          <w:sz w:val="21"/>
        </w:rPr>
        <w:lastRenderedPageBreak/>
        <w:t>的出版物页数来计算，经调整来反映成本的降低</w:t>
      </w:r>
      <w:proofErr w:type="gramStart"/>
      <w:r w:rsidRPr="003F5882">
        <w:rPr>
          <w:rFonts w:ascii="Arial" w:hAnsi="Arial" w:cs="Times New Roman"/>
          <w:sz w:val="21"/>
        </w:rPr>
        <w:t>或净变现价</w:t>
      </w:r>
      <w:proofErr w:type="gramEnd"/>
      <w:r w:rsidRPr="003F5882">
        <w:rPr>
          <w:rFonts w:ascii="Arial" w:hAnsi="Arial" w:cs="Times New Roman"/>
          <w:sz w:val="21"/>
        </w:rPr>
        <w:t>值。撤出销售或免费发行的出版物的价值在出版物过时当年注销。</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每年的实际库存由所有库存出版物供应存货和零售店待售物品来确定。永续库存由待售出版物来确定，而当年通过抽样实际盘点来核对库存余额。每年年底从待售出版物或免费发行的出版物目录中清除物品，与可以预料不再免费发行或可能销售的物品一道从库存中注销，这些物品的价值计账为零。</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用于生产过程中的纸张和其他用品的成本价值采用先入先出法</w:t>
      </w:r>
      <w:r w:rsidR="00F453AC" w:rsidRPr="003F5882">
        <w:rPr>
          <w:rFonts w:ascii="Arial" w:hAnsi="Arial" w:cs="Times New Roman" w:hint="eastAsia"/>
          <w:sz w:val="21"/>
        </w:rPr>
        <w:t>（</w:t>
      </w:r>
      <w:r w:rsidRPr="003F5882">
        <w:rPr>
          <w:rFonts w:ascii="Arial" w:hAnsi="Arial" w:cs="Times New Roman"/>
          <w:sz w:val="21"/>
        </w:rPr>
        <w:t>FIFO</w:t>
      </w:r>
      <w:r w:rsidR="00F453AC" w:rsidRPr="003F5882">
        <w:rPr>
          <w:rFonts w:ascii="Arial" w:hAnsi="Arial" w:cs="Times New Roman" w:hint="eastAsia"/>
          <w:sz w:val="21"/>
        </w:rPr>
        <w:t>）</w:t>
      </w:r>
      <w:r w:rsidRPr="003F5882">
        <w:rPr>
          <w:rFonts w:ascii="Arial" w:hAnsi="Arial" w:cs="Times New Roman"/>
          <w:sz w:val="21"/>
        </w:rPr>
        <w:t>计账。零售店持有的物品价值按本组织的成本计算。库存如果有损失或已陈旧则相应调低价值以反映其净变现价值。库存没有用作负债抵押。</w:t>
      </w:r>
    </w:p>
    <w:p w:rsidR="007D62CB" w:rsidRPr="003374D7" w:rsidRDefault="006C0099" w:rsidP="003374D7">
      <w:pPr>
        <w:pStyle w:val="Style3Bold"/>
        <w:keepLines/>
        <w:spacing w:afterLines="50" w:line="340" w:lineRule="atLeast"/>
        <w:rPr>
          <w:rFonts w:eastAsia="SimSun" w:cs="Times New Roman"/>
          <w:sz w:val="21"/>
        </w:rPr>
      </w:pPr>
      <w:r w:rsidRPr="003374D7">
        <w:rPr>
          <w:rFonts w:eastAsia="SimSun" w:cs="Times New Roman"/>
          <w:sz w:val="21"/>
        </w:rPr>
        <w:t>无形资产</w:t>
      </w:r>
    </w:p>
    <w:p w:rsidR="006C0099" w:rsidRPr="003F5882"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无形资产以成本减累计摊销和损耗记账。针对所有具有有限寿命的无形资产，使用直线法，以能冲销其使用寿命期间资产的成本或价值的比率计算摊销。主要类别的无形资产的预计使用寿命如下：</w:t>
      </w:r>
    </w:p>
    <w:p w:rsidR="006C0099" w:rsidRPr="003F5882" w:rsidRDefault="006C0099" w:rsidP="006C0099">
      <w:pPr>
        <w:pStyle w:val="Style3"/>
        <w:spacing w:after="0"/>
        <w:rPr>
          <w:rFonts w:ascii="Arial" w:hAnsi="Arial" w:cs="Times New Roman"/>
          <w:sz w:val="21"/>
          <w:szCs w:val="22"/>
        </w:rPr>
      </w:pPr>
    </w:p>
    <w:tbl>
      <w:tblPr>
        <w:tblW w:w="5610" w:type="dxa"/>
        <w:jc w:val="center"/>
        <w:tblInd w:w="328" w:type="dxa"/>
        <w:tblLook w:val="0000" w:firstRow="0" w:lastRow="0" w:firstColumn="0" w:lastColumn="0" w:noHBand="0" w:noVBand="0"/>
      </w:tblPr>
      <w:tblGrid>
        <w:gridCol w:w="3080"/>
        <w:gridCol w:w="2530"/>
      </w:tblGrid>
      <w:tr w:rsidR="006C0099" w:rsidRPr="003F5882" w:rsidTr="000E71F4">
        <w:trPr>
          <w:trHeight w:val="345"/>
          <w:jc w:val="center"/>
        </w:trPr>
        <w:tc>
          <w:tcPr>
            <w:tcW w:w="3080" w:type="dxa"/>
            <w:tcBorders>
              <w:top w:val="single" w:sz="4" w:space="0" w:color="auto"/>
              <w:left w:val="nil"/>
              <w:bottom w:val="single" w:sz="4" w:space="0" w:color="auto"/>
              <w:right w:val="nil"/>
            </w:tcBorders>
            <w:shd w:val="clear" w:color="auto" w:fill="F2F2F2"/>
            <w:noWrap/>
            <w:vAlign w:val="center"/>
          </w:tcPr>
          <w:p w:rsidR="006C0099" w:rsidRPr="00F453AC" w:rsidRDefault="006C0099" w:rsidP="000E71F4">
            <w:pPr>
              <w:jc w:val="center"/>
              <w:rPr>
                <w:rFonts w:ascii="Arial" w:eastAsia="SimHei" w:hAnsi="Arial" w:cs="Times New Roman"/>
                <w:sz w:val="18"/>
                <w:szCs w:val="18"/>
              </w:rPr>
            </w:pPr>
            <w:r w:rsidRPr="00F453AC">
              <w:rPr>
                <w:rFonts w:ascii="Arial" w:eastAsia="SimHei" w:hAnsi="Arial" w:cs="Times New Roman"/>
                <w:sz w:val="18"/>
              </w:rPr>
              <w:t>分类</w:t>
            </w:r>
          </w:p>
        </w:tc>
        <w:tc>
          <w:tcPr>
            <w:tcW w:w="2530" w:type="dxa"/>
            <w:tcBorders>
              <w:top w:val="single" w:sz="4" w:space="0" w:color="auto"/>
              <w:left w:val="nil"/>
              <w:bottom w:val="single" w:sz="4" w:space="0" w:color="auto"/>
              <w:right w:val="nil"/>
            </w:tcBorders>
            <w:shd w:val="clear" w:color="auto" w:fill="F2F2F2"/>
            <w:vAlign w:val="center"/>
          </w:tcPr>
          <w:p w:rsidR="006C0099" w:rsidRPr="00F453AC" w:rsidRDefault="006C0099" w:rsidP="000E71F4">
            <w:pPr>
              <w:jc w:val="center"/>
              <w:rPr>
                <w:rFonts w:ascii="Arial" w:eastAsia="SimHei" w:hAnsi="Arial" w:cs="Times New Roman"/>
                <w:sz w:val="18"/>
                <w:szCs w:val="18"/>
              </w:rPr>
            </w:pPr>
            <w:r w:rsidRPr="00F453AC">
              <w:rPr>
                <w:rFonts w:ascii="Arial" w:eastAsia="SimHei" w:hAnsi="Arial" w:cs="Times New Roman"/>
                <w:sz w:val="18"/>
              </w:rPr>
              <w:t>预计使用寿命</w:t>
            </w:r>
          </w:p>
        </w:tc>
      </w:tr>
      <w:tr w:rsidR="006C0099" w:rsidRPr="003F5882" w:rsidTr="000E71F4">
        <w:trPr>
          <w:trHeight w:val="285"/>
          <w:jc w:val="center"/>
        </w:trPr>
        <w:tc>
          <w:tcPr>
            <w:tcW w:w="3080" w:type="dxa"/>
            <w:tcBorders>
              <w:top w:val="nil"/>
              <w:left w:val="nil"/>
              <w:bottom w:val="nil"/>
              <w:right w:val="nil"/>
            </w:tcBorders>
            <w:shd w:val="clear" w:color="auto" w:fill="auto"/>
            <w:noWrap/>
            <w:vAlign w:val="center"/>
          </w:tcPr>
          <w:p w:rsidR="006C0099" w:rsidRPr="003F5882" w:rsidRDefault="006C0099" w:rsidP="000E71F4">
            <w:pPr>
              <w:rPr>
                <w:rFonts w:ascii="Arial" w:hAnsi="Arial" w:cs="Times New Roman"/>
                <w:sz w:val="18"/>
                <w:szCs w:val="18"/>
              </w:rPr>
            </w:pPr>
            <w:r w:rsidRPr="003F5882">
              <w:rPr>
                <w:rFonts w:ascii="Arial" w:hAnsi="Arial" w:cs="Times New Roman"/>
                <w:sz w:val="18"/>
              </w:rPr>
              <w:t>外部购买的软件</w:t>
            </w:r>
          </w:p>
        </w:tc>
        <w:tc>
          <w:tcPr>
            <w:tcW w:w="2530" w:type="dxa"/>
            <w:tcBorders>
              <w:top w:val="nil"/>
              <w:left w:val="nil"/>
              <w:bottom w:val="nil"/>
              <w:right w:val="nil"/>
            </w:tcBorders>
            <w:shd w:val="clear" w:color="auto" w:fill="auto"/>
            <w:vAlign w:val="center"/>
          </w:tcPr>
          <w:p w:rsidR="006C0099" w:rsidRPr="003F5882" w:rsidRDefault="006C0099" w:rsidP="000E71F4">
            <w:pPr>
              <w:jc w:val="center"/>
              <w:rPr>
                <w:rFonts w:ascii="Arial" w:hAnsi="Arial" w:cs="Times New Roman"/>
                <w:sz w:val="18"/>
                <w:szCs w:val="18"/>
              </w:rPr>
            </w:pPr>
            <w:r w:rsidRPr="003F5882">
              <w:rPr>
                <w:rFonts w:ascii="Arial" w:hAnsi="Arial" w:cs="Times New Roman"/>
                <w:sz w:val="18"/>
              </w:rPr>
              <w:t>5</w:t>
            </w:r>
            <w:r w:rsidRPr="003F5882">
              <w:rPr>
                <w:rFonts w:ascii="Arial" w:hAnsi="Arial" w:cs="Times New Roman"/>
                <w:sz w:val="18"/>
              </w:rPr>
              <w:t>年</w:t>
            </w:r>
          </w:p>
        </w:tc>
      </w:tr>
      <w:tr w:rsidR="006C0099" w:rsidRPr="003F5882" w:rsidTr="000E71F4">
        <w:trPr>
          <w:trHeight w:val="285"/>
          <w:jc w:val="center"/>
        </w:trPr>
        <w:tc>
          <w:tcPr>
            <w:tcW w:w="3080" w:type="dxa"/>
            <w:tcBorders>
              <w:top w:val="nil"/>
              <w:left w:val="nil"/>
              <w:bottom w:val="nil"/>
              <w:right w:val="nil"/>
            </w:tcBorders>
            <w:shd w:val="clear" w:color="auto" w:fill="auto"/>
            <w:noWrap/>
            <w:vAlign w:val="center"/>
          </w:tcPr>
          <w:p w:rsidR="006C0099" w:rsidRPr="003F5882" w:rsidRDefault="006C0099" w:rsidP="000E71F4">
            <w:pPr>
              <w:rPr>
                <w:rFonts w:ascii="Arial" w:hAnsi="Arial" w:cs="Times New Roman"/>
                <w:sz w:val="18"/>
                <w:szCs w:val="18"/>
              </w:rPr>
            </w:pPr>
            <w:r w:rsidRPr="003F5882">
              <w:rPr>
                <w:rFonts w:ascii="Arial" w:hAnsi="Arial" w:cs="Times New Roman"/>
                <w:sz w:val="18"/>
              </w:rPr>
              <w:t>内部开发的软件</w:t>
            </w:r>
          </w:p>
        </w:tc>
        <w:tc>
          <w:tcPr>
            <w:tcW w:w="2530" w:type="dxa"/>
            <w:tcBorders>
              <w:top w:val="nil"/>
              <w:left w:val="nil"/>
              <w:bottom w:val="nil"/>
              <w:right w:val="nil"/>
            </w:tcBorders>
            <w:shd w:val="clear" w:color="auto" w:fill="auto"/>
            <w:vAlign w:val="center"/>
          </w:tcPr>
          <w:p w:rsidR="006C0099" w:rsidRPr="003F5882" w:rsidRDefault="006C0099" w:rsidP="000E71F4">
            <w:pPr>
              <w:jc w:val="center"/>
              <w:rPr>
                <w:rFonts w:ascii="Arial" w:hAnsi="Arial" w:cs="Times New Roman"/>
                <w:sz w:val="18"/>
                <w:szCs w:val="18"/>
              </w:rPr>
            </w:pPr>
            <w:r w:rsidRPr="003F5882">
              <w:rPr>
                <w:rFonts w:ascii="Arial" w:hAnsi="Arial" w:cs="Times New Roman"/>
                <w:sz w:val="18"/>
              </w:rPr>
              <w:t>5</w:t>
            </w:r>
            <w:r w:rsidRPr="003F5882">
              <w:rPr>
                <w:rFonts w:ascii="Arial" w:hAnsi="Arial" w:cs="Times New Roman"/>
                <w:sz w:val="18"/>
              </w:rPr>
              <w:t>年</w:t>
            </w:r>
          </w:p>
        </w:tc>
      </w:tr>
      <w:tr w:rsidR="006C0099" w:rsidRPr="003F5882" w:rsidTr="000E71F4">
        <w:trPr>
          <w:trHeight w:val="285"/>
          <w:jc w:val="center"/>
        </w:trPr>
        <w:tc>
          <w:tcPr>
            <w:tcW w:w="3080" w:type="dxa"/>
            <w:tcBorders>
              <w:top w:val="nil"/>
              <w:left w:val="nil"/>
              <w:bottom w:val="nil"/>
              <w:right w:val="nil"/>
            </w:tcBorders>
            <w:shd w:val="clear" w:color="auto" w:fill="auto"/>
            <w:noWrap/>
            <w:vAlign w:val="center"/>
          </w:tcPr>
          <w:p w:rsidR="006C0099" w:rsidRPr="003F5882" w:rsidRDefault="006C0099" w:rsidP="000E71F4">
            <w:pPr>
              <w:rPr>
                <w:rFonts w:ascii="Arial" w:hAnsi="Arial" w:cs="Times New Roman"/>
                <w:sz w:val="18"/>
                <w:szCs w:val="18"/>
              </w:rPr>
            </w:pPr>
            <w:r w:rsidRPr="003F5882">
              <w:rPr>
                <w:rFonts w:ascii="Arial" w:hAnsi="Arial" w:cs="Times New Roman"/>
                <w:sz w:val="18"/>
              </w:rPr>
              <w:t>许可证和权利</w:t>
            </w:r>
          </w:p>
        </w:tc>
        <w:tc>
          <w:tcPr>
            <w:tcW w:w="2530" w:type="dxa"/>
            <w:tcBorders>
              <w:top w:val="nil"/>
              <w:left w:val="nil"/>
              <w:bottom w:val="nil"/>
              <w:right w:val="nil"/>
            </w:tcBorders>
            <w:shd w:val="clear" w:color="auto" w:fill="auto"/>
            <w:vAlign w:val="center"/>
          </w:tcPr>
          <w:p w:rsidR="006C0099" w:rsidRPr="003F5882" w:rsidRDefault="006C0099" w:rsidP="000E71F4">
            <w:pPr>
              <w:jc w:val="center"/>
              <w:rPr>
                <w:rFonts w:ascii="Arial" w:hAnsi="Arial" w:cs="Times New Roman"/>
                <w:sz w:val="18"/>
                <w:szCs w:val="18"/>
              </w:rPr>
            </w:pPr>
            <w:r w:rsidRPr="003F5882">
              <w:rPr>
                <w:rFonts w:ascii="Arial" w:hAnsi="Arial" w:cs="Times New Roman"/>
                <w:sz w:val="18"/>
              </w:rPr>
              <w:t>许可期</w:t>
            </w:r>
            <w:r w:rsidRPr="003F5882">
              <w:rPr>
                <w:rFonts w:ascii="Arial" w:hAnsi="Arial" w:cs="Times New Roman"/>
                <w:sz w:val="18"/>
              </w:rPr>
              <w:t>/</w:t>
            </w:r>
            <w:r w:rsidRPr="003F5882">
              <w:rPr>
                <w:rFonts w:ascii="Arial" w:hAnsi="Arial" w:cs="Times New Roman"/>
                <w:sz w:val="18"/>
              </w:rPr>
              <w:t>权利期</w:t>
            </w:r>
          </w:p>
        </w:tc>
      </w:tr>
    </w:tbl>
    <w:p w:rsidR="006C0099" w:rsidRPr="003F5882" w:rsidRDefault="006C0099" w:rsidP="006C0099">
      <w:pPr>
        <w:pStyle w:val="Style3"/>
        <w:spacing w:after="0"/>
        <w:rPr>
          <w:rFonts w:ascii="Arial" w:hAnsi="Arial" w:cs="Times New Roman"/>
          <w:sz w:val="21"/>
          <w:szCs w:val="22"/>
        </w:rPr>
      </w:pPr>
    </w:p>
    <w:p w:rsidR="007D62CB" w:rsidRDefault="006C0099" w:rsidP="007D62CB">
      <w:pPr>
        <w:pStyle w:val="Style3"/>
        <w:spacing w:afterLines="50" w:line="340" w:lineRule="atLeast"/>
        <w:rPr>
          <w:rFonts w:ascii="Arial" w:eastAsia="KaiTi" w:hAnsi="Arial" w:cs="Times New Roman"/>
          <w:sz w:val="21"/>
          <w:szCs w:val="22"/>
        </w:rPr>
      </w:pPr>
      <w:r w:rsidRPr="003F5882">
        <w:rPr>
          <w:rFonts w:ascii="Arial" w:hAnsi="Arial" w:cs="Times New Roman"/>
          <w:sz w:val="21"/>
        </w:rPr>
        <w:t>购买的计算机软件许可根据购买或使用特定软件所发生的费用转化为资本。从外部采购的软件或软件许可如每件费用至少</w:t>
      </w:r>
      <w:r w:rsidRPr="003F5882">
        <w:rPr>
          <w:rFonts w:ascii="Arial" w:hAnsi="Arial" w:cs="Times New Roman"/>
          <w:sz w:val="21"/>
        </w:rPr>
        <w:t>5,000</w:t>
      </w:r>
      <w:r w:rsidRPr="003F5882">
        <w:rPr>
          <w:rFonts w:ascii="Arial" w:hAnsi="Arial" w:cs="Times New Roman"/>
          <w:sz w:val="21"/>
        </w:rPr>
        <w:t>瑞郎则记为资产。与</w:t>
      </w:r>
      <w:r w:rsidRPr="003F5882">
        <w:rPr>
          <w:rFonts w:ascii="Arial" w:hAnsi="Arial" w:cs="Times New Roman"/>
          <w:sz w:val="21"/>
        </w:rPr>
        <w:t>WIPO</w:t>
      </w:r>
      <w:r w:rsidRPr="003F5882">
        <w:rPr>
          <w:rFonts w:ascii="Arial" w:hAnsi="Arial" w:cs="Times New Roman"/>
          <w:sz w:val="21"/>
        </w:rPr>
        <w:t>所使用软件的开发直接相关的费用作为无形资产转化为资本。直接费用包括软件程序开发人员费用。内部开发的软件</w:t>
      </w:r>
      <w:proofErr w:type="gramStart"/>
      <w:r w:rsidRPr="003F5882">
        <w:rPr>
          <w:rFonts w:ascii="Arial" w:hAnsi="Arial" w:cs="Times New Roman"/>
          <w:sz w:val="21"/>
        </w:rPr>
        <w:t>如费用</w:t>
      </w:r>
      <w:proofErr w:type="gramEnd"/>
      <w:r w:rsidRPr="003F5882">
        <w:rPr>
          <w:rFonts w:ascii="Arial" w:hAnsi="Arial" w:cs="Times New Roman"/>
          <w:sz w:val="21"/>
        </w:rPr>
        <w:t>至少为</w:t>
      </w:r>
      <w:r w:rsidRPr="003F5882">
        <w:rPr>
          <w:rFonts w:ascii="Arial" w:hAnsi="Arial" w:cs="Times New Roman"/>
          <w:sz w:val="21"/>
        </w:rPr>
        <w:t>100,000</w:t>
      </w:r>
      <w:r w:rsidRPr="003F5882">
        <w:rPr>
          <w:rFonts w:ascii="Arial" w:hAnsi="Arial" w:cs="Times New Roman"/>
          <w:sz w:val="21"/>
        </w:rPr>
        <w:t>瑞郎则记为资产。</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本组织通过购买在日内瓦州内所获得的物业使用权已以历史成本入账，并在授予残存期间分期摊销。无偿获得的日内瓦州授予的物业使用权将于授予年限到期时归还，这种物业使用权没有入账。</w:t>
      </w:r>
    </w:p>
    <w:p w:rsidR="007D62CB" w:rsidRPr="003374D7" w:rsidRDefault="006C0099" w:rsidP="003374D7">
      <w:pPr>
        <w:pStyle w:val="Style3Bold"/>
        <w:keepLines/>
        <w:spacing w:afterLines="50" w:line="340" w:lineRule="atLeast"/>
        <w:rPr>
          <w:rFonts w:eastAsia="SimSun" w:cs="Times New Roman"/>
          <w:sz w:val="21"/>
        </w:rPr>
      </w:pPr>
      <w:r w:rsidRPr="003374D7">
        <w:rPr>
          <w:rFonts w:eastAsia="SimSun" w:cs="Times New Roman"/>
          <w:sz w:val="21"/>
        </w:rPr>
        <w:t>准备金</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在本组织因某一过去事件而负有法律或推定责任时设立准备金，前提是</w:t>
      </w:r>
      <w:proofErr w:type="gramStart"/>
      <w:r w:rsidRPr="003F5882">
        <w:rPr>
          <w:rFonts w:ascii="Arial" w:hAnsi="Arial" w:cs="Times New Roman"/>
          <w:sz w:val="21"/>
        </w:rPr>
        <w:t>该过去</w:t>
      </w:r>
      <w:proofErr w:type="gramEnd"/>
      <w:r w:rsidRPr="003F5882">
        <w:rPr>
          <w:rFonts w:ascii="Arial" w:hAnsi="Arial" w:cs="Times New Roman"/>
          <w:sz w:val="21"/>
        </w:rPr>
        <w:t>事件可能需要通过资源外流来履行责任，且该责任所需金额可</w:t>
      </w:r>
      <w:proofErr w:type="gramStart"/>
      <w:r w:rsidRPr="003F5882">
        <w:rPr>
          <w:rFonts w:ascii="Arial" w:hAnsi="Arial" w:cs="Times New Roman"/>
          <w:sz w:val="21"/>
        </w:rPr>
        <w:t>作出</w:t>
      </w:r>
      <w:proofErr w:type="gramEnd"/>
      <w:r w:rsidRPr="003F5882">
        <w:rPr>
          <w:rFonts w:ascii="Arial" w:hAnsi="Arial" w:cs="Times New Roman"/>
          <w:sz w:val="21"/>
        </w:rPr>
        <w:t>可靠估计。</w:t>
      </w:r>
    </w:p>
    <w:p w:rsidR="007D62CB" w:rsidRPr="003374D7" w:rsidRDefault="006C0099" w:rsidP="003374D7">
      <w:pPr>
        <w:pStyle w:val="Style3Bold"/>
        <w:keepLines/>
        <w:spacing w:afterLines="50" w:line="340" w:lineRule="atLeast"/>
        <w:rPr>
          <w:rFonts w:eastAsia="SimSun" w:cs="Times New Roman"/>
          <w:sz w:val="21"/>
        </w:rPr>
      </w:pPr>
      <w:r w:rsidRPr="003374D7">
        <w:rPr>
          <w:rFonts w:eastAsia="SimSun" w:cs="Times New Roman"/>
          <w:sz w:val="21"/>
        </w:rPr>
        <w:t>应收</w:t>
      </w:r>
      <w:r w:rsidR="007B51AD" w:rsidRPr="003374D7">
        <w:rPr>
          <w:rFonts w:eastAsia="SimSun" w:cs="Times New Roman" w:hint="eastAsia"/>
          <w:sz w:val="21"/>
        </w:rPr>
        <w:t>账</w:t>
      </w:r>
      <w:r w:rsidRPr="003374D7">
        <w:rPr>
          <w:rFonts w:eastAsia="SimSun" w:cs="Times New Roman"/>
          <w:sz w:val="21"/>
        </w:rPr>
        <w:t>款</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来自外汇交易的应收账款，包括收取的国际专利、国际商标注册和工业品外观设计注册及其他服务和出版物的收费，以在国际申请注册后</w:t>
      </w:r>
      <w:r w:rsidR="00E01750" w:rsidRPr="003F5882">
        <w:rPr>
          <w:rFonts w:ascii="Arial" w:hAnsi="Arial" w:cs="Times New Roman"/>
          <w:sz w:val="21"/>
        </w:rPr>
        <w:t>以及其他收入现金收讫时</w:t>
      </w:r>
      <w:r w:rsidRPr="003F5882">
        <w:rPr>
          <w:rFonts w:ascii="Arial" w:hAnsi="Arial" w:cs="Times New Roman"/>
          <w:sz w:val="21"/>
        </w:rPr>
        <w:t>收到或应收</w:t>
      </w:r>
      <w:r w:rsidR="00E01750" w:rsidRPr="003F5882">
        <w:rPr>
          <w:rFonts w:ascii="Arial" w:hAnsi="Arial" w:cs="Times New Roman" w:hint="eastAsia"/>
          <w:sz w:val="21"/>
        </w:rPr>
        <w:t>的</w:t>
      </w:r>
      <w:r w:rsidRPr="003F5882">
        <w:rPr>
          <w:rFonts w:ascii="Arial" w:hAnsi="Arial" w:cs="Times New Roman"/>
          <w:sz w:val="21"/>
        </w:rPr>
        <w:t>商标、工业品外观设计和</w:t>
      </w:r>
      <w:r w:rsidRPr="003F5882">
        <w:rPr>
          <w:rFonts w:ascii="Arial" w:hAnsi="Arial" w:cs="Times New Roman"/>
          <w:sz w:val="21"/>
        </w:rPr>
        <w:t>PCT</w:t>
      </w:r>
      <w:proofErr w:type="gramStart"/>
      <w:r w:rsidRPr="003F5882">
        <w:rPr>
          <w:rFonts w:ascii="Arial" w:hAnsi="Arial" w:cs="Times New Roman"/>
          <w:sz w:val="21"/>
        </w:rPr>
        <w:t>规</w:t>
      </w:r>
      <w:proofErr w:type="gramEnd"/>
      <w:r w:rsidRPr="003F5882">
        <w:rPr>
          <w:rFonts w:ascii="Arial" w:hAnsi="Arial" w:cs="Times New Roman"/>
          <w:sz w:val="21"/>
        </w:rPr>
        <w:t>费</w:t>
      </w:r>
      <w:r w:rsidR="00E01750" w:rsidRPr="003F5882">
        <w:rPr>
          <w:rFonts w:ascii="Arial" w:hAnsi="Arial" w:cs="Times New Roman" w:hint="eastAsia"/>
          <w:sz w:val="21"/>
        </w:rPr>
        <w:t>的对价</w:t>
      </w:r>
      <w:r w:rsidRPr="003F5882">
        <w:rPr>
          <w:rFonts w:ascii="Arial" w:hAnsi="Arial" w:cs="Times New Roman"/>
          <w:sz w:val="21"/>
        </w:rPr>
        <w:t>的公允价值进行计量。</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分摊会费在财政年年</w:t>
      </w:r>
      <w:proofErr w:type="gramStart"/>
      <w:r w:rsidRPr="003F5882">
        <w:rPr>
          <w:rFonts w:ascii="Arial" w:hAnsi="Arial" w:cs="Times New Roman"/>
          <w:sz w:val="21"/>
        </w:rPr>
        <w:t>初作为</w:t>
      </w:r>
      <w:proofErr w:type="gramEnd"/>
      <w:r w:rsidRPr="003F5882">
        <w:rPr>
          <w:rFonts w:ascii="Arial" w:hAnsi="Arial" w:cs="Times New Roman"/>
          <w:sz w:val="21"/>
        </w:rPr>
        <w:t>收入入账。根据大会采取行动冻结的分摊会费加上按照《建立世界知识产权组织公约》第</w:t>
      </w:r>
      <w:r w:rsidRPr="003F5882">
        <w:rPr>
          <w:rFonts w:ascii="Arial" w:hAnsi="Arial" w:cs="Times New Roman"/>
          <w:sz w:val="21"/>
        </w:rPr>
        <w:t>11</w:t>
      </w:r>
      <w:r w:rsidRPr="003F5882">
        <w:rPr>
          <w:rFonts w:ascii="Arial" w:hAnsi="Arial" w:cs="Times New Roman"/>
          <w:sz w:val="21"/>
        </w:rPr>
        <w:t>条的规定已丧失表决权的成员国的应缴会费总额，设立不可收回应收</w:t>
      </w:r>
      <w:proofErr w:type="gramStart"/>
      <w:r w:rsidRPr="003F5882">
        <w:rPr>
          <w:rFonts w:ascii="Arial" w:hAnsi="Arial" w:cs="Times New Roman"/>
          <w:sz w:val="21"/>
        </w:rPr>
        <w:t>账款备抵金</w:t>
      </w:r>
      <w:proofErr w:type="gramEnd"/>
      <w:r w:rsidRPr="003F5882">
        <w:rPr>
          <w:rFonts w:ascii="Arial" w:hAnsi="Arial" w:cs="Times New Roman"/>
          <w:sz w:val="21"/>
        </w:rPr>
        <w:t>。</w:t>
      </w:r>
    </w:p>
    <w:p w:rsidR="007D62CB" w:rsidRDefault="006C0099" w:rsidP="006C0099">
      <w:pPr>
        <w:pStyle w:val="Style3"/>
        <w:spacing w:after="0"/>
        <w:rPr>
          <w:rFonts w:ascii="Arial" w:hAnsi="Arial" w:cs="Times New Roman"/>
          <w:sz w:val="21"/>
          <w:szCs w:val="22"/>
        </w:rPr>
      </w:pPr>
      <w:r w:rsidRPr="003F5882">
        <w:rPr>
          <w:rFonts w:ascii="Arial" w:hAnsi="Arial" w:cs="Times New Roman"/>
          <w:sz w:val="21"/>
        </w:rPr>
        <w:t>关于所有其他应收账款，根据对报告日未收到金额进行的审查确定不可收回应收</w:t>
      </w:r>
      <w:proofErr w:type="gramStart"/>
      <w:r w:rsidRPr="003F5882">
        <w:rPr>
          <w:rFonts w:ascii="Arial" w:hAnsi="Arial" w:cs="Times New Roman"/>
          <w:sz w:val="21"/>
        </w:rPr>
        <w:t>账款备抵金</w:t>
      </w:r>
      <w:proofErr w:type="gramEnd"/>
      <w:r w:rsidRPr="003F5882">
        <w:rPr>
          <w:rFonts w:ascii="Arial" w:hAnsi="Arial" w:cs="Times New Roman"/>
          <w:sz w:val="21"/>
        </w:rPr>
        <w:t>。</w:t>
      </w:r>
    </w:p>
    <w:p w:rsidR="007D62CB" w:rsidRPr="003374D7" w:rsidRDefault="006C0099" w:rsidP="003374D7">
      <w:pPr>
        <w:pStyle w:val="Style3Bold"/>
        <w:keepLines/>
        <w:spacing w:afterLines="50" w:line="340" w:lineRule="atLeast"/>
        <w:rPr>
          <w:rFonts w:eastAsia="SimSun" w:cs="Times New Roman"/>
          <w:sz w:val="21"/>
        </w:rPr>
      </w:pPr>
      <w:r w:rsidRPr="003374D7">
        <w:rPr>
          <w:rFonts w:eastAsia="SimSun" w:cs="Times New Roman"/>
          <w:sz w:val="21"/>
        </w:rPr>
        <w:t>收入确认</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由国际专利申请，包括用纸件或简易形式提交的申请增加页数，以及商标国际注册和工业品外观设计国际注册收取的</w:t>
      </w:r>
      <w:proofErr w:type="gramStart"/>
      <w:r w:rsidRPr="003F5882">
        <w:rPr>
          <w:rFonts w:ascii="Arial" w:hAnsi="Arial" w:cs="Times New Roman"/>
          <w:sz w:val="21"/>
        </w:rPr>
        <w:t>规</w:t>
      </w:r>
      <w:proofErr w:type="gramEnd"/>
      <w:r w:rsidRPr="003F5882">
        <w:rPr>
          <w:rFonts w:ascii="Arial" w:hAnsi="Arial" w:cs="Times New Roman"/>
          <w:sz w:val="21"/>
        </w:rPr>
        <w:t>费构成的外汇交易收入，在公布之日入账。在报告日已收到申请规费但申请未公布的，该收入要递延到公布完成之时才入账。公布之后收到的用于非英文专利性报告的翻译部分的专利申请规</w:t>
      </w:r>
      <w:r w:rsidRPr="003F5882">
        <w:rPr>
          <w:rFonts w:ascii="Arial" w:hAnsi="Arial" w:cs="Times New Roman"/>
          <w:sz w:val="21"/>
        </w:rPr>
        <w:lastRenderedPageBreak/>
        <w:t>费也推迟到翻译完成之时入账。与专利、商标和工业品外观设计相关的申请，包括续展，在提供收费服务时入账。出版物和仲裁与调解服务收入在货物或服务完全交付时入账。</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非外汇交易收入，例如可实施协议支持下的特别账户自愿捐款，在协议产生约束力时作为收入入账，除非协议中包含强制执行或未支余额归还的相关条件。这种协议需要推迟收入确认负债的初步认可，然后收入才能入账，因为负债是通过执行协议内的具体条件来解除的。</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分摊会费被作为分摊相关预算期期</w:t>
      </w:r>
      <w:proofErr w:type="gramStart"/>
      <w:r w:rsidRPr="003F5882">
        <w:rPr>
          <w:rFonts w:ascii="Arial" w:hAnsi="Arial" w:cs="Times New Roman"/>
          <w:sz w:val="21"/>
        </w:rPr>
        <w:t>初收入</w:t>
      </w:r>
      <w:proofErr w:type="gramEnd"/>
      <w:r w:rsidRPr="003F5882">
        <w:rPr>
          <w:rFonts w:ascii="Arial" w:hAnsi="Arial" w:cs="Times New Roman"/>
          <w:sz w:val="21"/>
        </w:rPr>
        <w:t>入账。</w:t>
      </w:r>
    </w:p>
    <w:p w:rsidR="007D62CB" w:rsidRPr="003374D7" w:rsidRDefault="006C0099" w:rsidP="003374D7">
      <w:pPr>
        <w:pStyle w:val="Style3Bold"/>
        <w:keepLines/>
        <w:spacing w:afterLines="50" w:line="340" w:lineRule="atLeast"/>
        <w:rPr>
          <w:rFonts w:eastAsia="SimSun" w:cs="Times New Roman"/>
          <w:sz w:val="21"/>
        </w:rPr>
      </w:pPr>
      <w:r w:rsidRPr="003374D7">
        <w:rPr>
          <w:rFonts w:eastAsia="SimSun" w:cs="Times New Roman"/>
          <w:sz w:val="21"/>
        </w:rPr>
        <w:t>分部报告</w:t>
      </w:r>
    </w:p>
    <w:p w:rsidR="007D62CB" w:rsidRPr="007D62CB" w:rsidRDefault="006C0099" w:rsidP="007D62CB">
      <w:pPr>
        <w:pStyle w:val="Style3"/>
        <w:spacing w:afterLines="50" w:line="340" w:lineRule="atLeast"/>
        <w:rPr>
          <w:rFonts w:ascii="Arial" w:hAnsi="Arial" w:cs="Times New Roman"/>
          <w:sz w:val="21"/>
        </w:rPr>
      </w:pPr>
      <w:r w:rsidRPr="007D62CB">
        <w:rPr>
          <w:rFonts w:ascii="Arial" w:hAnsi="Arial" w:cs="Times New Roman"/>
          <w:sz w:val="21"/>
        </w:rPr>
        <w:t>分部报告基于组成世界知识产权组织的各联盟。本组织发生的收入和开支根据经世界知识产权组织大会批准的分配方法</w:t>
      </w:r>
      <w:r w:rsidR="00F453AC" w:rsidRPr="007D62CB">
        <w:rPr>
          <w:rFonts w:ascii="Arial" w:hAnsi="Arial" w:cs="Times New Roman"/>
          <w:sz w:val="21"/>
        </w:rPr>
        <w:t>［</w:t>
      </w:r>
      <w:r w:rsidRPr="007D62CB">
        <w:rPr>
          <w:rFonts w:ascii="Arial" w:hAnsi="Arial" w:cs="Times New Roman"/>
          <w:sz w:val="21"/>
        </w:rPr>
        <w:t>2014/15</w:t>
      </w:r>
      <w:r w:rsidRPr="007D62CB">
        <w:rPr>
          <w:rFonts w:ascii="Arial" w:hAnsi="Arial" w:cs="Times New Roman"/>
          <w:sz w:val="21"/>
        </w:rPr>
        <w:t>年计划和预算</w:t>
      </w:r>
      <w:r w:rsidR="00817E19" w:rsidRPr="007D62CB">
        <w:rPr>
          <w:rFonts w:ascii="Arial" w:hAnsi="Arial" w:cs="Times New Roman" w:hint="eastAsia"/>
          <w:sz w:val="21"/>
        </w:rPr>
        <w:t>，</w:t>
      </w:r>
      <w:r w:rsidRPr="007D62CB">
        <w:rPr>
          <w:rFonts w:ascii="Arial" w:hAnsi="Arial" w:cs="Times New Roman"/>
          <w:sz w:val="21"/>
        </w:rPr>
        <w:t>附件三</w:t>
      </w:r>
      <w:r w:rsidR="00F453AC" w:rsidRPr="007D62CB">
        <w:rPr>
          <w:rFonts w:ascii="Arial" w:hAnsi="Arial" w:cs="Times New Roman"/>
          <w:sz w:val="21"/>
        </w:rPr>
        <w:t>］</w:t>
      </w:r>
      <w:r w:rsidRPr="007D62CB">
        <w:rPr>
          <w:rFonts w:ascii="Arial" w:hAnsi="Arial" w:cs="Times New Roman"/>
          <w:sz w:val="21"/>
        </w:rPr>
        <w:t>在联盟之间进行分配。该方法结合直接收入和开支、工作人员数量和各联盟根据当前收入和储备金自身确定的支付能力，对每一计划和每一联盟的收入和开支进行分配。</w:t>
      </w:r>
      <w:r w:rsidRPr="007D62CB">
        <w:rPr>
          <w:rFonts w:ascii="Arial" w:hAnsi="Arial" w:cs="Times New Roman"/>
          <w:sz w:val="21"/>
        </w:rPr>
        <w:t>WIPO</w:t>
      </w:r>
      <w:r w:rsidRPr="007D62CB">
        <w:rPr>
          <w:rFonts w:ascii="Arial" w:hAnsi="Arial" w:cs="Times New Roman"/>
          <w:sz w:val="21"/>
        </w:rPr>
        <w:t>的资产与负债没有分配给各个部门，因为从整体来说所有权属于整个组织，然而，包括累计资金</w:t>
      </w:r>
      <w:r w:rsidR="00817E19" w:rsidRPr="007D62CB">
        <w:rPr>
          <w:rFonts w:ascii="Arial" w:hAnsi="Arial" w:cs="Times New Roman" w:hint="eastAsia"/>
          <w:sz w:val="21"/>
        </w:rPr>
        <w:t>余</w:t>
      </w:r>
      <w:r w:rsidRPr="007D62CB">
        <w:rPr>
          <w:rFonts w:ascii="Arial" w:hAnsi="Arial" w:cs="Times New Roman"/>
          <w:sz w:val="21"/>
        </w:rPr>
        <w:t>额、重估盈余和周转资金在内的本组织各联盟的净资产份额是以部门为单位确认的</w:t>
      </w:r>
      <w:r w:rsidR="00F453AC" w:rsidRPr="007D62CB">
        <w:rPr>
          <w:rFonts w:ascii="Arial" w:hAnsi="Arial" w:cs="Times New Roman" w:hint="eastAsia"/>
          <w:sz w:val="21"/>
        </w:rPr>
        <w:t>（</w:t>
      </w:r>
      <w:r w:rsidRPr="007D62CB">
        <w:rPr>
          <w:rFonts w:ascii="Arial" w:hAnsi="Arial" w:cs="Times New Roman"/>
          <w:sz w:val="21"/>
        </w:rPr>
        <w:t>见附注</w:t>
      </w:r>
      <w:r w:rsidRPr="007D62CB">
        <w:rPr>
          <w:rFonts w:ascii="Arial" w:hAnsi="Arial" w:cs="Times New Roman"/>
          <w:sz w:val="21"/>
        </w:rPr>
        <w:t>28</w:t>
      </w:r>
      <w:r w:rsidR="00F453AC" w:rsidRPr="007D62CB">
        <w:rPr>
          <w:rFonts w:ascii="Arial" w:hAnsi="Arial" w:cs="Times New Roman" w:hint="eastAsia"/>
          <w:sz w:val="21"/>
        </w:rPr>
        <w:t>）</w:t>
      </w:r>
      <w:r w:rsidRPr="007D62CB">
        <w:rPr>
          <w:rFonts w:ascii="Arial" w:hAnsi="Arial" w:cs="Times New Roman"/>
          <w:sz w:val="21"/>
        </w:rPr>
        <w:t>。</w:t>
      </w:r>
    </w:p>
    <w:p w:rsidR="007D62CB" w:rsidRPr="003374D7" w:rsidRDefault="006C0099" w:rsidP="003374D7">
      <w:pPr>
        <w:pStyle w:val="Style3Bold"/>
        <w:keepLines/>
        <w:spacing w:afterLines="50" w:line="340" w:lineRule="atLeast"/>
        <w:rPr>
          <w:rFonts w:eastAsia="SimSun" w:cs="Times New Roman"/>
          <w:sz w:val="21"/>
        </w:rPr>
      </w:pPr>
      <w:r w:rsidRPr="003374D7">
        <w:rPr>
          <w:rFonts w:eastAsia="SimSun" w:cs="Times New Roman"/>
          <w:sz w:val="21"/>
        </w:rPr>
        <w:t>呈报的变化</w:t>
      </w:r>
    </w:p>
    <w:p w:rsidR="007D62CB" w:rsidRPr="007D62CB" w:rsidRDefault="006C0099" w:rsidP="007D62CB">
      <w:pPr>
        <w:pStyle w:val="Style3"/>
        <w:spacing w:afterLines="50" w:line="340" w:lineRule="atLeast"/>
        <w:rPr>
          <w:rFonts w:ascii="Arial" w:hAnsi="Arial" w:cs="Times New Roman"/>
          <w:sz w:val="21"/>
        </w:rPr>
      </w:pPr>
      <w:r w:rsidRPr="007D62CB">
        <w:rPr>
          <w:rFonts w:ascii="Arial" w:hAnsi="Arial" w:cs="Times New Roman"/>
          <w:sz w:val="21"/>
        </w:rPr>
        <w:t>对</w:t>
      </w:r>
      <w:r w:rsidRPr="007D62CB">
        <w:rPr>
          <w:rFonts w:ascii="Arial" w:hAnsi="Arial" w:cs="Times New Roman"/>
          <w:sz w:val="21"/>
        </w:rPr>
        <w:t>2013</w:t>
      </w:r>
      <w:r w:rsidRPr="007D62CB">
        <w:rPr>
          <w:rFonts w:ascii="Arial" w:hAnsi="Arial" w:cs="Times New Roman"/>
          <w:sz w:val="21"/>
        </w:rPr>
        <w:t>年可比数据的呈报做出以下变化，从而使其匹配</w:t>
      </w:r>
      <w:r w:rsidRPr="007D62CB">
        <w:rPr>
          <w:rFonts w:ascii="Arial" w:hAnsi="Arial" w:cs="Times New Roman"/>
          <w:sz w:val="21"/>
        </w:rPr>
        <w:t>2014</w:t>
      </w:r>
      <w:r w:rsidRPr="007D62CB">
        <w:rPr>
          <w:rFonts w:ascii="Arial" w:hAnsi="Arial" w:cs="Times New Roman"/>
          <w:sz w:val="21"/>
        </w:rPr>
        <w:t>年财务报表中的</w:t>
      </w:r>
      <w:r w:rsidR="00002E6A" w:rsidRPr="007D62CB">
        <w:rPr>
          <w:rFonts w:ascii="Arial" w:hAnsi="Arial" w:cs="Times New Roman" w:hint="eastAsia"/>
          <w:sz w:val="21"/>
        </w:rPr>
        <w:t>项目</w:t>
      </w:r>
      <w:r w:rsidRPr="007D62CB">
        <w:rPr>
          <w:rFonts w:ascii="Arial" w:hAnsi="Arial" w:cs="Times New Roman"/>
          <w:sz w:val="21"/>
        </w:rPr>
        <w:t>分类：</w:t>
      </w:r>
    </w:p>
    <w:p w:rsidR="006C0099" w:rsidRPr="003F5882" w:rsidRDefault="006C0099" w:rsidP="003374D7">
      <w:pPr>
        <w:pStyle w:val="Style3Bold"/>
        <w:numPr>
          <w:ilvl w:val="0"/>
          <w:numId w:val="9"/>
        </w:numPr>
        <w:spacing w:afterLines="50" w:line="340" w:lineRule="atLeast"/>
        <w:ind w:left="714" w:hanging="357"/>
        <w:contextualSpacing/>
        <w:rPr>
          <w:rFonts w:ascii="Arial" w:hAnsi="Arial" w:cs="Times New Roman"/>
          <w:b w:val="0"/>
          <w:sz w:val="21"/>
          <w:szCs w:val="22"/>
        </w:rPr>
      </w:pPr>
      <w:r w:rsidRPr="003F5882">
        <w:rPr>
          <w:rFonts w:ascii="Arial" w:hAnsi="Arial" w:cs="Times New Roman"/>
          <w:b w:val="0"/>
          <w:sz w:val="21"/>
        </w:rPr>
        <w:t>340</w:t>
      </w:r>
      <w:proofErr w:type="gramStart"/>
      <w:r w:rsidRPr="003F5882">
        <w:rPr>
          <w:rFonts w:ascii="Arial" w:hAnsi="Arial" w:cs="Times New Roman"/>
          <w:b w:val="0"/>
          <w:sz w:val="21"/>
        </w:rPr>
        <w:t>万瑞</w:t>
      </w:r>
      <w:proofErr w:type="gramEnd"/>
      <w:r w:rsidRPr="003F5882">
        <w:rPr>
          <w:rFonts w:ascii="Arial" w:hAnsi="Arial" w:cs="Times New Roman"/>
          <w:b w:val="0"/>
          <w:sz w:val="21"/>
        </w:rPr>
        <w:t>郎从业务费用被重新归类为融资成本，</w:t>
      </w:r>
      <w:r w:rsidR="001F344E" w:rsidRPr="003F5882">
        <w:rPr>
          <w:rFonts w:ascii="Arial" w:hAnsi="Arial" w:cs="Times New Roman" w:hint="eastAsia"/>
          <w:b w:val="0"/>
          <w:sz w:val="21"/>
        </w:rPr>
        <w:t>融资成本现在</w:t>
      </w:r>
      <w:proofErr w:type="gramStart"/>
      <w:r w:rsidRPr="003F5882">
        <w:rPr>
          <w:rFonts w:ascii="Arial" w:hAnsi="Arial" w:cs="Times New Roman"/>
          <w:b w:val="0"/>
          <w:sz w:val="21"/>
        </w:rPr>
        <w:t>在</w:t>
      </w:r>
      <w:proofErr w:type="gramEnd"/>
      <w:r w:rsidRPr="003F5882">
        <w:rPr>
          <w:rFonts w:ascii="Arial" w:hAnsi="Arial" w:cs="Times New Roman"/>
          <w:b w:val="0"/>
          <w:sz w:val="21"/>
        </w:rPr>
        <w:t>财务执行情况表中被单独列示</w:t>
      </w:r>
      <w:r w:rsidR="001F344E" w:rsidRPr="003F5882">
        <w:rPr>
          <w:rFonts w:ascii="Arial" w:hAnsi="Arial" w:cs="Times New Roman" w:hint="eastAsia"/>
          <w:b w:val="0"/>
          <w:sz w:val="21"/>
        </w:rPr>
        <w:t>；</w:t>
      </w:r>
    </w:p>
    <w:p w:rsidR="006C0099" w:rsidRPr="003F5882" w:rsidRDefault="006C0099" w:rsidP="003374D7">
      <w:pPr>
        <w:pStyle w:val="Style3Bold"/>
        <w:numPr>
          <w:ilvl w:val="0"/>
          <w:numId w:val="9"/>
        </w:numPr>
        <w:spacing w:afterLines="50" w:line="340" w:lineRule="atLeast"/>
        <w:ind w:left="714" w:hanging="357"/>
        <w:contextualSpacing/>
        <w:rPr>
          <w:rFonts w:ascii="Arial" w:hAnsi="Arial" w:cs="Times New Roman"/>
          <w:b w:val="0"/>
          <w:sz w:val="21"/>
          <w:szCs w:val="22"/>
        </w:rPr>
      </w:pPr>
      <w:r w:rsidRPr="003F5882">
        <w:rPr>
          <w:rFonts w:ascii="Arial" w:hAnsi="Arial" w:cs="Times New Roman"/>
          <w:b w:val="0"/>
          <w:sz w:val="21"/>
        </w:rPr>
        <w:t>50</w:t>
      </w:r>
      <w:r w:rsidRPr="003F5882">
        <w:rPr>
          <w:rFonts w:ascii="Arial" w:hAnsi="Arial" w:cs="Times New Roman"/>
          <w:b w:val="0"/>
          <w:sz w:val="21"/>
        </w:rPr>
        <w:t>万瑞郎从</w:t>
      </w:r>
      <w:r w:rsidR="001F344E" w:rsidRPr="003F5882">
        <w:rPr>
          <w:rFonts w:ascii="Arial" w:hAnsi="Arial" w:cs="Times New Roman" w:hint="eastAsia"/>
          <w:b w:val="0"/>
          <w:sz w:val="21"/>
        </w:rPr>
        <w:t>人事费用</w:t>
      </w:r>
      <w:r w:rsidRPr="003F5882">
        <w:rPr>
          <w:rFonts w:ascii="Arial" w:hAnsi="Arial" w:cs="Times New Roman"/>
          <w:b w:val="0"/>
          <w:sz w:val="21"/>
        </w:rPr>
        <w:t>被重新归类为实习生及</w:t>
      </w:r>
      <w:r w:rsidRPr="003F5882">
        <w:rPr>
          <w:rFonts w:ascii="Arial" w:hAnsi="Arial" w:cs="Times New Roman"/>
          <w:b w:val="0"/>
          <w:sz w:val="21"/>
        </w:rPr>
        <w:t>WIPO</w:t>
      </w:r>
      <w:r w:rsidRPr="003F5882">
        <w:rPr>
          <w:rFonts w:ascii="Arial" w:hAnsi="Arial" w:cs="Times New Roman"/>
          <w:b w:val="0"/>
          <w:sz w:val="21"/>
        </w:rPr>
        <w:t>研究金，</w:t>
      </w:r>
      <w:r w:rsidR="001F344E" w:rsidRPr="003F5882">
        <w:rPr>
          <w:rFonts w:ascii="Arial" w:hAnsi="Arial" w:cs="Times New Roman"/>
          <w:b w:val="0"/>
          <w:sz w:val="21"/>
        </w:rPr>
        <w:t>实习生及</w:t>
      </w:r>
      <w:r w:rsidR="001F344E" w:rsidRPr="003F5882">
        <w:rPr>
          <w:rFonts w:ascii="Arial" w:hAnsi="Arial" w:cs="Times New Roman"/>
          <w:b w:val="0"/>
          <w:sz w:val="21"/>
        </w:rPr>
        <w:t>WIPO</w:t>
      </w:r>
      <w:r w:rsidR="001F344E" w:rsidRPr="003F5882">
        <w:rPr>
          <w:rFonts w:ascii="Arial" w:hAnsi="Arial" w:cs="Times New Roman"/>
          <w:b w:val="0"/>
          <w:sz w:val="21"/>
        </w:rPr>
        <w:t>研究金</w:t>
      </w:r>
      <w:r w:rsidR="001F344E" w:rsidRPr="003F5882">
        <w:rPr>
          <w:rFonts w:ascii="Arial" w:hAnsi="Arial" w:cs="Times New Roman" w:hint="eastAsia"/>
          <w:b w:val="0"/>
          <w:sz w:val="21"/>
        </w:rPr>
        <w:t>现在</w:t>
      </w:r>
      <w:r w:rsidRPr="003F5882">
        <w:rPr>
          <w:rFonts w:ascii="Arial" w:hAnsi="Arial" w:cs="Times New Roman"/>
          <w:b w:val="0"/>
          <w:sz w:val="21"/>
        </w:rPr>
        <w:t>在财务执行情况表中被单独列示。这笔费用涉及实习生成本，因此不再计入</w:t>
      </w:r>
      <w:r w:rsidR="001F344E" w:rsidRPr="003F5882">
        <w:rPr>
          <w:rFonts w:ascii="Arial" w:hAnsi="Arial" w:cs="Times New Roman" w:hint="eastAsia"/>
          <w:b w:val="0"/>
          <w:sz w:val="21"/>
        </w:rPr>
        <w:t>人事费用</w:t>
      </w:r>
      <w:r w:rsidRPr="003F5882">
        <w:rPr>
          <w:rFonts w:ascii="Arial" w:hAnsi="Arial" w:cs="Times New Roman"/>
          <w:b w:val="0"/>
          <w:sz w:val="21"/>
        </w:rPr>
        <w:t>部分以便更恰当地反映这些人员与本组织关系的性质；</w:t>
      </w:r>
    </w:p>
    <w:p w:rsidR="006C0099" w:rsidRPr="003F5882" w:rsidRDefault="006C0099" w:rsidP="003374D7">
      <w:pPr>
        <w:pStyle w:val="Style3Bold"/>
        <w:numPr>
          <w:ilvl w:val="0"/>
          <w:numId w:val="9"/>
        </w:numPr>
        <w:spacing w:afterLines="50" w:line="340" w:lineRule="atLeast"/>
        <w:ind w:left="714" w:hanging="357"/>
        <w:contextualSpacing/>
        <w:rPr>
          <w:rFonts w:ascii="Arial" w:hAnsi="Arial" w:cs="Times New Roman"/>
          <w:b w:val="0"/>
          <w:sz w:val="21"/>
          <w:szCs w:val="22"/>
        </w:rPr>
      </w:pPr>
      <w:r w:rsidRPr="003F5882">
        <w:rPr>
          <w:rFonts w:ascii="Arial" w:hAnsi="Arial" w:cs="Times New Roman"/>
          <w:b w:val="0"/>
          <w:sz w:val="21"/>
        </w:rPr>
        <w:t>130</w:t>
      </w:r>
      <w:r w:rsidRPr="003F5882">
        <w:rPr>
          <w:rFonts w:ascii="Arial" w:hAnsi="Arial" w:cs="Times New Roman"/>
          <w:b w:val="0"/>
          <w:sz w:val="21"/>
        </w:rPr>
        <w:t>万瑞郎从差旅和研究金被重新归类为实习生及</w:t>
      </w:r>
      <w:r w:rsidRPr="003F5882">
        <w:rPr>
          <w:rFonts w:ascii="Arial" w:hAnsi="Arial" w:cs="Times New Roman"/>
          <w:b w:val="0"/>
          <w:sz w:val="21"/>
        </w:rPr>
        <w:t>WIPO</w:t>
      </w:r>
      <w:r w:rsidRPr="003F5882">
        <w:rPr>
          <w:rFonts w:ascii="Arial" w:hAnsi="Arial" w:cs="Times New Roman"/>
          <w:b w:val="0"/>
          <w:sz w:val="21"/>
        </w:rPr>
        <w:t>研究金，</w:t>
      </w:r>
      <w:r w:rsidR="001F344E" w:rsidRPr="003F5882">
        <w:rPr>
          <w:rFonts w:ascii="Arial" w:hAnsi="Arial" w:cs="Times New Roman"/>
          <w:b w:val="0"/>
          <w:sz w:val="21"/>
        </w:rPr>
        <w:t>实习生及</w:t>
      </w:r>
      <w:r w:rsidR="001F344E" w:rsidRPr="003F5882">
        <w:rPr>
          <w:rFonts w:ascii="Arial" w:hAnsi="Arial" w:cs="Times New Roman"/>
          <w:b w:val="0"/>
          <w:sz w:val="21"/>
        </w:rPr>
        <w:t>WIPO</w:t>
      </w:r>
      <w:r w:rsidR="001F344E" w:rsidRPr="003F5882">
        <w:rPr>
          <w:rFonts w:ascii="Arial" w:hAnsi="Arial" w:cs="Times New Roman"/>
          <w:b w:val="0"/>
          <w:sz w:val="21"/>
        </w:rPr>
        <w:t>研究金</w:t>
      </w:r>
      <w:r w:rsidR="001F344E" w:rsidRPr="003F5882">
        <w:rPr>
          <w:rFonts w:ascii="Arial" w:hAnsi="Arial" w:cs="Times New Roman" w:hint="eastAsia"/>
          <w:b w:val="0"/>
          <w:sz w:val="21"/>
        </w:rPr>
        <w:t>现在</w:t>
      </w:r>
      <w:r w:rsidRPr="003F5882">
        <w:rPr>
          <w:rFonts w:ascii="Arial" w:hAnsi="Arial" w:cs="Times New Roman"/>
          <w:b w:val="0"/>
          <w:sz w:val="21"/>
        </w:rPr>
        <w:t>在财务执行情况表中被单独列示。此前，差旅和研究金项下包括一个单独的研究金类别，但是在本组织实施合同改革后，有两个研究金类别需要单独</w:t>
      </w:r>
      <w:r w:rsidR="001F344E" w:rsidRPr="003F5882">
        <w:rPr>
          <w:rFonts w:ascii="Arial" w:hAnsi="Arial" w:cs="Times New Roman" w:hint="eastAsia"/>
          <w:b w:val="0"/>
          <w:sz w:val="21"/>
        </w:rPr>
        <w:t>入账</w:t>
      </w:r>
      <w:r w:rsidRPr="003F5882">
        <w:rPr>
          <w:rFonts w:ascii="Arial" w:hAnsi="Arial" w:cs="Times New Roman"/>
          <w:b w:val="0"/>
          <w:sz w:val="21"/>
        </w:rPr>
        <w:t>，即</w:t>
      </w:r>
      <w:r w:rsidRPr="003F5882">
        <w:rPr>
          <w:rFonts w:ascii="Arial" w:hAnsi="Arial" w:cs="Times New Roman"/>
          <w:b w:val="0"/>
          <w:sz w:val="21"/>
        </w:rPr>
        <w:t>WIPO</w:t>
      </w:r>
      <w:r w:rsidRPr="003F5882">
        <w:rPr>
          <w:rFonts w:ascii="Arial" w:hAnsi="Arial" w:cs="Times New Roman"/>
          <w:b w:val="0"/>
          <w:sz w:val="21"/>
        </w:rPr>
        <w:t>研究金和课程研究金。课程研究金仍作为差旅和研究金的一部分；</w:t>
      </w:r>
    </w:p>
    <w:p w:rsidR="006C0099" w:rsidRPr="003F5882" w:rsidRDefault="006C0099" w:rsidP="003374D7">
      <w:pPr>
        <w:pStyle w:val="Style3Bold"/>
        <w:numPr>
          <w:ilvl w:val="0"/>
          <w:numId w:val="9"/>
        </w:numPr>
        <w:spacing w:afterLines="50" w:line="340" w:lineRule="atLeast"/>
        <w:ind w:left="714" w:hanging="357"/>
        <w:contextualSpacing/>
        <w:rPr>
          <w:rFonts w:ascii="Arial" w:hAnsi="Arial" w:cs="Times New Roman"/>
          <w:b w:val="0"/>
          <w:sz w:val="21"/>
          <w:szCs w:val="22"/>
        </w:rPr>
      </w:pPr>
      <w:r w:rsidRPr="003F5882">
        <w:rPr>
          <w:rFonts w:ascii="Arial" w:hAnsi="Arial" w:cs="Times New Roman"/>
          <w:b w:val="0"/>
          <w:sz w:val="21"/>
        </w:rPr>
        <w:t>在财务状况表中，应退美国税款相关的</w:t>
      </w:r>
      <w:r w:rsidRPr="003F5882">
        <w:rPr>
          <w:rFonts w:ascii="Arial" w:hAnsi="Arial" w:cs="Times New Roman"/>
          <w:b w:val="0"/>
          <w:sz w:val="21"/>
        </w:rPr>
        <w:t>310</w:t>
      </w:r>
      <w:proofErr w:type="gramStart"/>
      <w:r w:rsidRPr="003F5882">
        <w:rPr>
          <w:rFonts w:ascii="Arial" w:hAnsi="Arial" w:cs="Times New Roman"/>
          <w:b w:val="0"/>
          <w:sz w:val="21"/>
        </w:rPr>
        <w:t>万瑞</w:t>
      </w:r>
      <w:proofErr w:type="gramEnd"/>
      <w:r w:rsidRPr="003F5882">
        <w:rPr>
          <w:rFonts w:ascii="Arial" w:hAnsi="Arial" w:cs="Times New Roman"/>
          <w:b w:val="0"/>
          <w:sz w:val="21"/>
        </w:rPr>
        <w:t>郎从流动应收账款被重新归类为非流动应收</w:t>
      </w:r>
      <w:r w:rsidR="001F344E" w:rsidRPr="003F5882">
        <w:rPr>
          <w:rFonts w:ascii="Arial" w:hAnsi="Arial" w:cs="Times New Roman" w:hint="eastAsia"/>
          <w:b w:val="0"/>
          <w:sz w:val="21"/>
        </w:rPr>
        <w:t>账款</w:t>
      </w:r>
      <w:r w:rsidR="00F453AC" w:rsidRPr="003F5882">
        <w:rPr>
          <w:rFonts w:ascii="Arial" w:hAnsi="Arial" w:cs="Times New Roman" w:hint="eastAsia"/>
          <w:b w:val="0"/>
          <w:sz w:val="21"/>
        </w:rPr>
        <w:t>（</w:t>
      </w:r>
      <w:r w:rsidRPr="003F5882">
        <w:rPr>
          <w:rFonts w:ascii="Arial" w:hAnsi="Arial" w:cs="Times New Roman"/>
          <w:b w:val="0"/>
          <w:sz w:val="21"/>
        </w:rPr>
        <w:t>外汇交易</w:t>
      </w:r>
      <w:r w:rsidR="00F453AC" w:rsidRPr="003F5882">
        <w:rPr>
          <w:rFonts w:ascii="Arial" w:hAnsi="Arial" w:cs="Times New Roman" w:hint="eastAsia"/>
          <w:b w:val="0"/>
          <w:sz w:val="21"/>
        </w:rPr>
        <w:t>）</w:t>
      </w:r>
      <w:r w:rsidRPr="003F5882">
        <w:rPr>
          <w:rFonts w:ascii="Arial" w:hAnsi="Arial" w:cs="Times New Roman"/>
          <w:b w:val="0"/>
          <w:sz w:val="21"/>
        </w:rPr>
        <w:t>；</w:t>
      </w:r>
    </w:p>
    <w:p w:rsidR="007D62CB" w:rsidRDefault="006C0099" w:rsidP="003374D7">
      <w:pPr>
        <w:pStyle w:val="Style3Bold"/>
        <w:numPr>
          <w:ilvl w:val="0"/>
          <w:numId w:val="9"/>
        </w:numPr>
        <w:spacing w:afterLines="50" w:line="340" w:lineRule="atLeast"/>
        <w:ind w:left="714" w:hanging="357"/>
        <w:rPr>
          <w:rFonts w:ascii="Arial" w:hAnsi="Arial" w:cs="Times New Roman"/>
          <w:b w:val="0"/>
          <w:sz w:val="21"/>
          <w:szCs w:val="22"/>
        </w:rPr>
      </w:pPr>
      <w:r w:rsidRPr="003F5882">
        <w:rPr>
          <w:rFonts w:ascii="Arial" w:hAnsi="Arial" w:cs="Times New Roman"/>
          <w:b w:val="0"/>
          <w:sz w:val="21"/>
        </w:rPr>
        <w:t>在财务状况表中，离职福利相关的</w:t>
      </w:r>
      <w:r w:rsidRPr="003F5882">
        <w:rPr>
          <w:rFonts w:ascii="Arial" w:hAnsi="Arial" w:cs="Times New Roman"/>
          <w:b w:val="0"/>
          <w:sz w:val="21"/>
        </w:rPr>
        <w:t>10</w:t>
      </w:r>
      <w:proofErr w:type="gramStart"/>
      <w:r w:rsidRPr="003F5882">
        <w:rPr>
          <w:rFonts w:ascii="Arial" w:hAnsi="Arial" w:cs="Times New Roman"/>
          <w:b w:val="0"/>
          <w:sz w:val="21"/>
        </w:rPr>
        <w:t>万瑞</w:t>
      </w:r>
      <w:proofErr w:type="gramEnd"/>
      <w:r w:rsidRPr="003F5882">
        <w:rPr>
          <w:rFonts w:ascii="Arial" w:hAnsi="Arial" w:cs="Times New Roman"/>
          <w:b w:val="0"/>
          <w:sz w:val="21"/>
        </w:rPr>
        <w:t>郎从应收账款</w:t>
      </w:r>
      <w:r w:rsidR="00F453AC" w:rsidRPr="003F5882">
        <w:rPr>
          <w:rFonts w:ascii="Arial" w:hAnsi="Arial" w:cs="Times New Roman" w:hint="eastAsia"/>
          <w:b w:val="0"/>
          <w:sz w:val="21"/>
        </w:rPr>
        <w:t>（</w:t>
      </w:r>
      <w:r w:rsidRPr="003F5882">
        <w:rPr>
          <w:rFonts w:ascii="Arial" w:hAnsi="Arial" w:cs="Times New Roman"/>
          <w:b w:val="0"/>
          <w:sz w:val="21"/>
        </w:rPr>
        <w:t>外汇交易</w:t>
      </w:r>
      <w:r w:rsidR="00F453AC" w:rsidRPr="003F5882">
        <w:rPr>
          <w:rFonts w:ascii="Arial" w:hAnsi="Arial" w:cs="Times New Roman" w:hint="eastAsia"/>
          <w:b w:val="0"/>
          <w:sz w:val="21"/>
        </w:rPr>
        <w:t>）</w:t>
      </w:r>
      <w:r w:rsidRPr="003F5882">
        <w:rPr>
          <w:rFonts w:ascii="Arial" w:hAnsi="Arial" w:cs="Times New Roman"/>
          <w:b w:val="0"/>
          <w:sz w:val="21"/>
        </w:rPr>
        <w:t>被重新归类为雇员福利</w:t>
      </w:r>
      <w:r w:rsidR="001F344E" w:rsidRPr="003F5882">
        <w:rPr>
          <w:rFonts w:ascii="Arial" w:hAnsi="Arial" w:cs="Times New Roman" w:hint="eastAsia"/>
          <w:b w:val="0"/>
          <w:sz w:val="21"/>
        </w:rPr>
        <w:t>。</w:t>
      </w:r>
    </w:p>
    <w:p w:rsidR="007D62CB" w:rsidRPr="003374D7" w:rsidRDefault="006C0099" w:rsidP="003374D7">
      <w:pPr>
        <w:pStyle w:val="Style3Bold"/>
        <w:keepLines/>
        <w:spacing w:afterLines="50" w:line="340" w:lineRule="atLeast"/>
        <w:rPr>
          <w:rFonts w:eastAsia="SimSun" w:cs="Times New Roman"/>
          <w:sz w:val="21"/>
        </w:rPr>
      </w:pPr>
      <w:r w:rsidRPr="003374D7">
        <w:rPr>
          <w:rFonts w:eastAsia="SimSun" w:cs="Times New Roman"/>
          <w:sz w:val="21"/>
        </w:rPr>
        <w:t>概算的使用</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财务报表不可避免地包括了根据管理人员的估计和假设确定的数额。概算包括但不限于：已确定的福利医疗保险和其他离职后福利义务</w:t>
      </w:r>
      <w:r w:rsidR="00F453AC" w:rsidRPr="003F5882">
        <w:rPr>
          <w:rFonts w:ascii="Arial" w:hAnsi="Arial" w:cs="Times New Roman" w:hint="eastAsia"/>
          <w:sz w:val="21"/>
        </w:rPr>
        <w:t>（</w:t>
      </w:r>
      <w:r w:rsidRPr="003F5882">
        <w:rPr>
          <w:rFonts w:ascii="Arial" w:hAnsi="Arial" w:cs="Times New Roman"/>
          <w:sz w:val="21"/>
        </w:rPr>
        <w:t>其价值由独立精算师计算</w:t>
      </w:r>
      <w:r w:rsidR="00F453AC" w:rsidRPr="003F5882">
        <w:rPr>
          <w:rFonts w:ascii="Arial" w:hAnsi="Arial" w:cs="Times New Roman" w:hint="eastAsia"/>
          <w:sz w:val="21"/>
        </w:rPr>
        <w:t>）</w:t>
      </w:r>
      <w:r w:rsidRPr="003F5882">
        <w:rPr>
          <w:rFonts w:ascii="Arial" w:hAnsi="Arial" w:cs="Times New Roman"/>
          <w:sz w:val="21"/>
        </w:rPr>
        <w:t>、诉讼金额、出版物库存概算，应收账款的财务风险、累计费用和固定资产损耗度。实际数额可能与这些概算有所不同。对概算的修改将反映在已知发生实际数额所涉的时期。</w:t>
      </w:r>
    </w:p>
    <w:p w:rsidR="007D62CB" w:rsidRPr="00DA4636" w:rsidRDefault="006C0099" w:rsidP="007D62CB">
      <w:pPr>
        <w:pStyle w:val="Style3"/>
        <w:spacing w:afterLines="50" w:line="340" w:lineRule="atLeast"/>
        <w:rPr>
          <w:rFonts w:ascii="Arial" w:hAnsi="Arial" w:cs="Times New Roman"/>
          <w:sz w:val="21"/>
          <w:szCs w:val="22"/>
        </w:rPr>
      </w:pPr>
      <w:r w:rsidRPr="00DA4636">
        <w:rPr>
          <w:rFonts w:ascii="Arial" w:hAnsi="Arial" w:cs="Times New Roman"/>
          <w:sz w:val="21"/>
        </w:rPr>
        <w:t>所有的数额都</w:t>
      </w:r>
      <w:proofErr w:type="gramStart"/>
      <w:r w:rsidRPr="00DA4636">
        <w:rPr>
          <w:rFonts w:ascii="Arial" w:hAnsi="Arial" w:cs="Times New Roman"/>
          <w:sz w:val="21"/>
        </w:rPr>
        <w:t>以千瑞郎</w:t>
      </w:r>
      <w:proofErr w:type="gramEnd"/>
      <w:r w:rsidRPr="00DA4636">
        <w:rPr>
          <w:rFonts w:ascii="Arial" w:hAnsi="Arial" w:cs="Times New Roman"/>
          <w:sz w:val="21"/>
        </w:rPr>
        <w:t>显示，因而可能会</w:t>
      </w:r>
      <w:proofErr w:type="gramStart"/>
      <w:r w:rsidRPr="00DA4636">
        <w:rPr>
          <w:rFonts w:ascii="Arial" w:hAnsi="Arial" w:cs="Times New Roman"/>
          <w:sz w:val="21"/>
        </w:rPr>
        <w:t>产生化整误差</w:t>
      </w:r>
      <w:proofErr w:type="gramEnd"/>
      <w:r w:rsidRPr="00DA4636">
        <w:rPr>
          <w:rFonts w:ascii="Arial" w:hAnsi="Arial" w:cs="Times New Roman"/>
          <w:sz w:val="21"/>
        </w:rPr>
        <w:t>。</w:t>
      </w:r>
    </w:p>
    <w:p w:rsidR="006C0099" w:rsidRPr="00F453AC" w:rsidRDefault="006C0099" w:rsidP="007D62CB">
      <w:pPr>
        <w:pStyle w:val="STYLETITRENOTES"/>
        <w:keepNext/>
        <w:overflowPunct w:val="0"/>
        <w:spacing w:beforeLines="100" w:before="240" w:afterLines="100" w:after="240" w:line="340" w:lineRule="atLeast"/>
        <w:rPr>
          <w:rFonts w:ascii="Arial" w:eastAsia="SimHei" w:hAnsi="Arial" w:cs="Times New Roman"/>
          <w:b w:val="0"/>
          <w:sz w:val="21"/>
          <w:szCs w:val="22"/>
        </w:rPr>
      </w:pPr>
      <w:r w:rsidRPr="00F453AC">
        <w:rPr>
          <w:rFonts w:ascii="Arial" w:eastAsia="SimHei" w:hAnsi="Arial" w:cs="Times New Roman"/>
          <w:b w:val="0"/>
          <w:sz w:val="21"/>
        </w:rPr>
        <w:lastRenderedPageBreak/>
        <w:t>附注</w:t>
      </w:r>
      <w:r w:rsidRPr="00F453AC">
        <w:rPr>
          <w:rFonts w:ascii="Arial" w:eastAsia="SimHei" w:hAnsi="Arial" w:cs="Times New Roman"/>
          <w:b w:val="0"/>
          <w:sz w:val="21"/>
        </w:rPr>
        <w:t>3</w:t>
      </w:r>
      <w:r w:rsidRPr="00F453AC">
        <w:rPr>
          <w:rFonts w:ascii="Arial" w:eastAsia="SimHei" w:hAnsi="Arial" w:cs="Times New Roman"/>
          <w:b w:val="0"/>
          <w:sz w:val="21"/>
        </w:rPr>
        <w:t>：</w:t>
      </w:r>
      <w:r w:rsidRPr="00F453AC">
        <w:rPr>
          <w:rFonts w:ascii="Arial" w:eastAsia="SimHei" w:hAnsi="Arial" w:cs="Times New Roman"/>
          <w:b w:val="0"/>
          <w:sz w:val="21"/>
        </w:rPr>
        <w:tab/>
      </w:r>
      <w:r w:rsidRPr="00F453AC">
        <w:rPr>
          <w:rFonts w:ascii="Arial" w:eastAsia="SimHei" w:hAnsi="Arial" w:cs="Times New Roman"/>
          <w:b w:val="0"/>
          <w:sz w:val="21"/>
        </w:rPr>
        <w:t>现金和现金等价物</w:t>
      </w:r>
    </w:p>
    <w:p w:rsidR="007D62CB" w:rsidRDefault="00DA4636" w:rsidP="00DA4636">
      <w:pPr>
        <w:spacing w:afterLines="50" w:after="120" w:line="340" w:lineRule="atLeast"/>
        <w:jc w:val="center"/>
        <w:rPr>
          <w:rFonts w:ascii="Arial" w:hAnsi="Arial" w:cs="Times New Roman"/>
          <w:szCs w:val="22"/>
        </w:rPr>
      </w:pPr>
      <w:r w:rsidRPr="00DA4636">
        <w:rPr>
          <w:noProof/>
          <w:lang w:val="en-US" w:bidi="ar-SA"/>
        </w:rPr>
        <w:drawing>
          <wp:inline distT="0" distB="0" distL="0" distR="0">
            <wp:extent cx="5732145" cy="3568700"/>
            <wp:effectExtent l="0" t="0" r="1905" b="0"/>
            <wp:docPr id="132" name="图片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732145" cy="3568700"/>
                    </a:xfrm>
                    <a:prstGeom prst="rect">
                      <a:avLst/>
                    </a:prstGeom>
                    <a:noFill/>
                    <a:ln>
                      <a:noFill/>
                    </a:ln>
                  </pic:spPr>
                </pic:pic>
              </a:graphicData>
            </a:graphic>
          </wp:inline>
        </w:drawing>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现金存款通常存储在可随时访问的银行账户和记息账户。</w:t>
      </w:r>
      <w:r w:rsidRPr="003F5882">
        <w:rPr>
          <w:rFonts w:ascii="Arial" w:hAnsi="Arial" w:cs="Times New Roman"/>
          <w:sz w:val="21"/>
        </w:rPr>
        <w:t>2014</w:t>
      </w:r>
      <w:r w:rsidRPr="003F5882">
        <w:rPr>
          <w:rFonts w:ascii="Arial" w:hAnsi="Arial" w:cs="Times New Roman"/>
          <w:sz w:val="21"/>
        </w:rPr>
        <w:t>年在瑞士联邦金融管理</w:t>
      </w:r>
      <w:r w:rsidR="009F5D8E" w:rsidRPr="003F5882">
        <w:rPr>
          <w:rFonts w:ascii="Arial" w:hAnsi="Arial" w:cs="Times New Roman" w:hint="eastAsia"/>
          <w:sz w:val="21"/>
        </w:rPr>
        <w:t>局</w:t>
      </w:r>
      <w:r w:rsidR="00F453AC" w:rsidRPr="003F5882">
        <w:rPr>
          <w:rFonts w:ascii="Arial" w:hAnsi="Arial" w:cs="Times New Roman"/>
          <w:sz w:val="21"/>
        </w:rPr>
        <w:t>（</w:t>
      </w:r>
      <w:r w:rsidRPr="003F5882">
        <w:rPr>
          <w:rFonts w:ascii="Arial" w:hAnsi="Arial" w:cs="Times New Roman"/>
          <w:sz w:val="21"/>
        </w:rPr>
        <w:t>AFF</w:t>
      </w:r>
      <w:r w:rsidR="00F453AC" w:rsidRPr="003F5882">
        <w:rPr>
          <w:rFonts w:ascii="Arial" w:hAnsi="Arial" w:cs="Times New Roman"/>
          <w:sz w:val="21"/>
        </w:rPr>
        <w:t>）</w:t>
      </w:r>
      <w:r w:rsidRPr="003F5882">
        <w:rPr>
          <w:rFonts w:ascii="Arial" w:hAnsi="Arial" w:cs="Times New Roman"/>
          <w:sz w:val="21"/>
        </w:rPr>
        <w:t>开立的计息账户和投资</w:t>
      </w:r>
      <w:r w:rsidR="009F5D8E" w:rsidRPr="003F5882">
        <w:rPr>
          <w:rFonts w:ascii="Arial" w:hAnsi="Arial" w:cs="Times New Roman" w:hint="eastAsia"/>
          <w:sz w:val="21"/>
        </w:rPr>
        <w:t>所获得</w:t>
      </w:r>
      <w:r w:rsidRPr="003F5882">
        <w:rPr>
          <w:rFonts w:ascii="Arial" w:hAnsi="Arial" w:cs="Times New Roman"/>
          <w:sz w:val="21"/>
        </w:rPr>
        <w:t>的平均利率是</w:t>
      </w:r>
      <w:r w:rsidRPr="003F5882">
        <w:rPr>
          <w:rFonts w:ascii="Arial" w:hAnsi="Arial" w:cs="Times New Roman"/>
          <w:sz w:val="21"/>
        </w:rPr>
        <w:t>0.421%</w:t>
      </w:r>
      <w:r w:rsidR="00F453AC" w:rsidRPr="003F5882">
        <w:rPr>
          <w:rFonts w:ascii="Arial" w:hAnsi="Arial" w:cs="Times New Roman"/>
          <w:sz w:val="21"/>
        </w:rPr>
        <w:t>［</w:t>
      </w:r>
      <w:r w:rsidRPr="003F5882">
        <w:rPr>
          <w:rFonts w:ascii="Arial" w:hAnsi="Arial" w:cs="Times New Roman"/>
          <w:sz w:val="21"/>
        </w:rPr>
        <w:t>2013</w:t>
      </w:r>
      <w:r w:rsidRPr="003F5882">
        <w:rPr>
          <w:rFonts w:ascii="Arial" w:hAnsi="Arial" w:cs="Times New Roman"/>
          <w:sz w:val="21"/>
        </w:rPr>
        <w:t>年为</w:t>
      </w:r>
      <w:r w:rsidRPr="003F5882">
        <w:rPr>
          <w:rFonts w:ascii="Arial" w:hAnsi="Arial" w:cs="Times New Roman"/>
          <w:sz w:val="21"/>
        </w:rPr>
        <w:t>0.558%</w:t>
      </w:r>
      <w:r w:rsidR="00F453AC" w:rsidRPr="003F5882">
        <w:rPr>
          <w:rFonts w:ascii="Arial" w:hAnsi="Arial" w:cs="Times New Roman"/>
          <w:sz w:val="21"/>
        </w:rPr>
        <w:t>］</w:t>
      </w:r>
      <w:r w:rsidRPr="003F5882">
        <w:rPr>
          <w:rFonts w:ascii="Arial" w:hAnsi="Arial" w:cs="Times New Roman"/>
          <w:sz w:val="21"/>
        </w:rPr>
        <w:t>。</w:t>
      </w:r>
      <w:r w:rsidRPr="003F5882">
        <w:rPr>
          <w:rFonts w:ascii="Arial" w:hAnsi="Arial" w:cs="Times New Roman"/>
          <w:sz w:val="21"/>
        </w:rPr>
        <w:t>AFF</w:t>
      </w:r>
      <w:r w:rsidRPr="003F5882">
        <w:rPr>
          <w:rFonts w:ascii="Arial" w:hAnsi="Arial" w:cs="Times New Roman"/>
          <w:sz w:val="21"/>
        </w:rPr>
        <w:t>执行关于开立存款账户和记账的新规定后，自</w:t>
      </w:r>
      <w:r w:rsidRPr="003F5882">
        <w:rPr>
          <w:rFonts w:ascii="Arial" w:hAnsi="Arial" w:cs="Times New Roman"/>
          <w:sz w:val="21"/>
        </w:rPr>
        <w:t>2015</w:t>
      </w:r>
      <w:r w:rsidRPr="003F5882">
        <w:rPr>
          <w:rFonts w:ascii="Arial" w:hAnsi="Arial" w:cs="Times New Roman"/>
          <w:sz w:val="21"/>
        </w:rPr>
        <w:t>年年底起，</w:t>
      </w:r>
      <w:r w:rsidRPr="003F5882">
        <w:rPr>
          <w:rFonts w:ascii="Arial" w:hAnsi="Arial" w:cs="Times New Roman"/>
          <w:sz w:val="21"/>
        </w:rPr>
        <w:t>WIPO</w:t>
      </w:r>
      <w:r w:rsidRPr="003F5882">
        <w:rPr>
          <w:rFonts w:ascii="Arial" w:hAnsi="Arial" w:cs="Times New Roman"/>
          <w:sz w:val="21"/>
        </w:rPr>
        <w:t>不能在</w:t>
      </w:r>
      <w:r w:rsidRPr="003F5882">
        <w:rPr>
          <w:rFonts w:ascii="Arial" w:hAnsi="Arial" w:cs="Times New Roman"/>
          <w:sz w:val="21"/>
        </w:rPr>
        <w:t>AFF</w:t>
      </w:r>
      <w:r w:rsidRPr="003F5882">
        <w:rPr>
          <w:rFonts w:ascii="Arial" w:hAnsi="Arial" w:cs="Times New Roman"/>
          <w:sz w:val="21"/>
        </w:rPr>
        <w:t>开立存款账户。</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受限资金包括代表第三方因注册商标或工业品外观设计、订阅</w:t>
      </w:r>
      <w:r w:rsidRPr="003F5882">
        <w:rPr>
          <w:rFonts w:ascii="Arial" w:hAnsi="Arial" w:cs="Times New Roman"/>
          <w:sz w:val="21"/>
        </w:rPr>
        <w:t>WIPO</w:t>
      </w:r>
      <w:r w:rsidRPr="003F5882">
        <w:rPr>
          <w:rFonts w:ascii="Arial" w:hAnsi="Arial" w:cs="Times New Roman"/>
          <w:sz w:val="21"/>
        </w:rPr>
        <w:t>期刊等以瑞士法郎货币持有的资金，还包括由</w:t>
      </w:r>
      <w:r w:rsidRPr="003F5882">
        <w:rPr>
          <w:rFonts w:ascii="Arial" w:hAnsi="Arial" w:cs="Times New Roman"/>
          <w:sz w:val="21"/>
        </w:rPr>
        <w:t>WIPO</w:t>
      </w:r>
      <w:r w:rsidRPr="003F5882">
        <w:rPr>
          <w:rFonts w:ascii="Arial" w:hAnsi="Arial" w:cs="Times New Roman"/>
          <w:sz w:val="21"/>
        </w:rPr>
        <w:t>国际局受理局代表马德里和海牙条约的缔约方以及代表</w:t>
      </w:r>
      <w:r w:rsidRPr="003F5882">
        <w:rPr>
          <w:rFonts w:ascii="Arial" w:hAnsi="Arial" w:cs="Times New Roman"/>
          <w:sz w:val="21"/>
        </w:rPr>
        <w:t>PCT</w:t>
      </w:r>
      <w:r w:rsidRPr="003F5882">
        <w:rPr>
          <w:rFonts w:ascii="Arial" w:hAnsi="Arial" w:cs="Times New Roman"/>
          <w:sz w:val="21"/>
        </w:rPr>
        <w:t>国际检索单位</w:t>
      </w:r>
      <w:r w:rsidR="00F453AC" w:rsidRPr="003F5882">
        <w:rPr>
          <w:rFonts w:ascii="Arial" w:hAnsi="Arial" w:cs="Times New Roman" w:hint="eastAsia"/>
          <w:sz w:val="21"/>
        </w:rPr>
        <w:t>（</w:t>
      </w:r>
      <w:r w:rsidRPr="003F5882">
        <w:rPr>
          <w:rFonts w:ascii="Arial" w:hAnsi="Arial" w:cs="Times New Roman"/>
          <w:sz w:val="21"/>
        </w:rPr>
        <w:t>ISAs</w:t>
      </w:r>
      <w:r w:rsidR="00F453AC" w:rsidRPr="003F5882">
        <w:rPr>
          <w:rFonts w:ascii="Arial" w:hAnsi="Arial" w:cs="Times New Roman" w:hint="eastAsia"/>
          <w:sz w:val="21"/>
        </w:rPr>
        <w:t>）</w:t>
      </w:r>
      <w:r w:rsidRPr="003F5882">
        <w:rPr>
          <w:rFonts w:ascii="Arial" w:hAnsi="Arial" w:cs="Times New Roman"/>
          <w:sz w:val="21"/>
        </w:rPr>
        <w:t>而收取的</w:t>
      </w:r>
      <w:proofErr w:type="gramStart"/>
      <w:r w:rsidRPr="003F5882">
        <w:rPr>
          <w:rFonts w:ascii="Arial" w:hAnsi="Arial" w:cs="Times New Roman"/>
          <w:sz w:val="21"/>
        </w:rPr>
        <w:t>规</w:t>
      </w:r>
      <w:proofErr w:type="gramEnd"/>
      <w:r w:rsidRPr="003F5882">
        <w:rPr>
          <w:rFonts w:ascii="Arial" w:hAnsi="Arial" w:cs="Times New Roman"/>
          <w:sz w:val="21"/>
        </w:rPr>
        <w:t>费。此外，收到的与商标未决程序相关押金</w:t>
      </w:r>
      <w:r w:rsidR="00F453AC" w:rsidRPr="003F5882">
        <w:rPr>
          <w:rFonts w:ascii="Arial" w:hAnsi="Arial" w:cs="Times New Roman" w:hint="eastAsia"/>
          <w:sz w:val="21"/>
        </w:rPr>
        <w:t>（</w:t>
      </w:r>
      <w:r w:rsidRPr="003F5882">
        <w:rPr>
          <w:rFonts w:ascii="Arial" w:hAnsi="Arial" w:cs="Times New Roman"/>
          <w:sz w:val="21"/>
        </w:rPr>
        <w:t>预计向本组织缴纳的预付款比例除外</w:t>
      </w:r>
      <w:r w:rsidR="00F453AC" w:rsidRPr="003F5882">
        <w:rPr>
          <w:rFonts w:ascii="Arial" w:hAnsi="Arial" w:cs="Times New Roman" w:hint="eastAsia"/>
          <w:sz w:val="21"/>
        </w:rPr>
        <w:t>）</w:t>
      </w:r>
      <w:r w:rsidRPr="003F5882">
        <w:rPr>
          <w:rFonts w:ascii="Arial" w:hAnsi="Arial" w:cs="Times New Roman"/>
          <w:sz w:val="21"/>
        </w:rPr>
        <w:t>为代表第三方收取的资金，被认为是受限制资金。</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2014</w:t>
      </w:r>
      <w:r w:rsidRPr="003F5882">
        <w:rPr>
          <w:rFonts w:ascii="Arial" w:hAnsi="Arial" w:cs="Times New Roman"/>
          <w:sz w:val="21"/>
        </w:rPr>
        <w:t>年期间，本组织向为持有</w:t>
      </w:r>
      <w:r w:rsidR="00954694" w:rsidRPr="003F5882">
        <w:rPr>
          <w:rFonts w:ascii="Arial" w:hAnsi="Arial" w:cs="Times New Roman" w:hint="eastAsia"/>
          <w:sz w:val="21"/>
        </w:rPr>
        <w:t>被分配用于</w:t>
      </w:r>
      <w:r w:rsidRPr="003F5882">
        <w:rPr>
          <w:rFonts w:ascii="Arial" w:hAnsi="Arial" w:cs="Times New Roman"/>
          <w:sz w:val="21"/>
        </w:rPr>
        <w:t>未来离职后雇员福利负债融资</w:t>
      </w:r>
      <w:r w:rsidR="00954694" w:rsidRPr="003F5882">
        <w:rPr>
          <w:rFonts w:ascii="Arial" w:hAnsi="Arial" w:cs="Times New Roman" w:hint="eastAsia"/>
          <w:sz w:val="21"/>
        </w:rPr>
        <w:t>的</w:t>
      </w:r>
      <w:r w:rsidRPr="003F5882">
        <w:rPr>
          <w:rFonts w:ascii="Arial" w:hAnsi="Arial" w:cs="Times New Roman"/>
          <w:sz w:val="21"/>
        </w:rPr>
        <w:t>资金而开立的单独银行账户转账</w:t>
      </w:r>
      <w:r w:rsidRPr="003F5882">
        <w:rPr>
          <w:rFonts w:ascii="Arial" w:hAnsi="Arial" w:cs="Times New Roman"/>
          <w:sz w:val="21"/>
        </w:rPr>
        <w:t>8,520</w:t>
      </w:r>
      <w:proofErr w:type="gramStart"/>
      <w:r w:rsidRPr="003F5882">
        <w:rPr>
          <w:rFonts w:ascii="Arial" w:hAnsi="Arial" w:cs="Times New Roman"/>
          <w:sz w:val="21"/>
        </w:rPr>
        <w:t>万瑞</w:t>
      </w:r>
      <w:proofErr w:type="gramEnd"/>
      <w:r w:rsidRPr="003F5882">
        <w:rPr>
          <w:rFonts w:ascii="Arial" w:hAnsi="Arial" w:cs="Times New Roman"/>
          <w:sz w:val="21"/>
        </w:rPr>
        <w:t>郎。这些资金也被归类为受限资金。</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根据与信托基金捐助方的约定，代表自愿捐助的捐助人持有的特别账户已经以支出报告的币种存储。</w:t>
      </w:r>
    </w:p>
    <w:p w:rsidR="007D62CB" w:rsidRDefault="006C0099" w:rsidP="007D62CB">
      <w:pPr>
        <w:pStyle w:val="STYLETITRENOTES"/>
        <w:keepNext/>
        <w:overflowPunct w:val="0"/>
        <w:spacing w:beforeLines="100" w:before="240" w:afterLines="100" w:after="240" w:line="340" w:lineRule="atLeast"/>
        <w:rPr>
          <w:rFonts w:ascii="Arial" w:eastAsia="SimHei" w:hAnsi="Arial" w:cs="Times New Roman"/>
          <w:b w:val="0"/>
          <w:sz w:val="21"/>
          <w:szCs w:val="22"/>
        </w:rPr>
      </w:pPr>
      <w:r w:rsidRPr="00F453AC">
        <w:rPr>
          <w:rFonts w:ascii="Arial" w:eastAsia="SimHei" w:hAnsi="Arial" w:cs="Times New Roman"/>
          <w:b w:val="0"/>
          <w:sz w:val="21"/>
        </w:rPr>
        <w:lastRenderedPageBreak/>
        <w:t>附注</w:t>
      </w:r>
      <w:r w:rsidRPr="00F453AC">
        <w:rPr>
          <w:rFonts w:ascii="Arial" w:eastAsia="SimHei" w:hAnsi="Arial" w:cs="Times New Roman"/>
          <w:b w:val="0"/>
          <w:sz w:val="21"/>
        </w:rPr>
        <w:t>4</w:t>
      </w:r>
      <w:r w:rsidRPr="00F453AC">
        <w:rPr>
          <w:rFonts w:ascii="Arial" w:eastAsia="SimHei" w:hAnsi="Arial" w:cs="Times New Roman"/>
          <w:b w:val="0"/>
          <w:sz w:val="21"/>
        </w:rPr>
        <w:t>：</w:t>
      </w:r>
      <w:r w:rsidRPr="00F453AC">
        <w:rPr>
          <w:rFonts w:ascii="Arial" w:eastAsia="SimHei" w:hAnsi="Arial" w:cs="Times New Roman"/>
          <w:b w:val="0"/>
          <w:sz w:val="21"/>
        </w:rPr>
        <w:tab/>
      </w:r>
      <w:r w:rsidRPr="00F453AC">
        <w:rPr>
          <w:rFonts w:ascii="Arial" w:eastAsia="SimHei" w:hAnsi="Arial" w:cs="Times New Roman"/>
          <w:b w:val="0"/>
          <w:sz w:val="21"/>
        </w:rPr>
        <w:t>应收账款、预付款和预付项目</w:t>
      </w:r>
    </w:p>
    <w:p w:rsidR="006C0099" w:rsidRPr="003F5882" w:rsidRDefault="00DA4636" w:rsidP="00DA4636">
      <w:pPr>
        <w:spacing w:afterLines="50" w:after="120" w:line="340" w:lineRule="atLeast"/>
        <w:jc w:val="center"/>
        <w:rPr>
          <w:rFonts w:ascii="Arial" w:hAnsi="Arial" w:cs="Times New Roman"/>
        </w:rPr>
      </w:pPr>
      <w:r w:rsidRPr="00DA4636">
        <w:rPr>
          <w:noProof/>
          <w:lang w:val="en-US" w:bidi="ar-SA"/>
        </w:rPr>
        <w:drawing>
          <wp:inline distT="0" distB="0" distL="0" distR="0">
            <wp:extent cx="5732145" cy="7355840"/>
            <wp:effectExtent l="0" t="0" r="1905" b="0"/>
            <wp:docPr id="133" name="图片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732145" cy="7355840"/>
                    </a:xfrm>
                    <a:prstGeom prst="rect">
                      <a:avLst/>
                    </a:prstGeom>
                    <a:noFill/>
                    <a:ln>
                      <a:noFill/>
                    </a:ln>
                  </pic:spPr>
                </pic:pic>
              </a:graphicData>
            </a:graphic>
          </wp:inline>
        </w:drawing>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分摊会费为</w:t>
      </w:r>
      <w:r w:rsidRPr="003F5882">
        <w:rPr>
          <w:rFonts w:ascii="Arial" w:hAnsi="Arial" w:cs="Times New Roman"/>
          <w:sz w:val="21"/>
        </w:rPr>
        <w:t>WIPO</w:t>
      </w:r>
      <w:r w:rsidRPr="003F5882">
        <w:rPr>
          <w:rFonts w:ascii="Arial" w:hAnsi="Arial" w:cs="Times New Roman"/>
          <w:sz w:val="21"/>
        </w:rPr>
        <w:t>单一会费制度的未收收入，</w:t>
      </w:r>
      <w:r w:rsidR="00C40A56" w:rsidRPr="003F5882">
        <w:rPr>
          <w:rFonts w:ascii="Arial" w:hAnsi="Arial" w:cs="Times New Roman" w:hint="eastAsia"/>
          <w:sz w:val="21"/>
        </w:rPr>
        <w:t>这一制度</w:t>
      </w:r>
      <w:r w:rsidRPr="003F5882">
        <w:rPr>
          <w:rFonts w:ascii="Arial" w:hAnsi="Arial" w:cs="Times New Roman"/>
          <w:sz w:val="21"/>
        </w:rPr>
        <w:t>由成员国大会和</w:t>
      </w:r>
      <w:r w:rsidRPr="003F5882">
        <w:rPr>
          <w:rFonts w:ascii="Arial" w:hAnsi="Arial" w:cs="Times New Roman"/>
          <w:sz w:val="21"/>
        </w:rPr>
        <w:t>WIPO</w:t>
      </w:r>
      <w:r w:rsidRPr="003F5882">
        <w:rPr>
          <w:rFonts w:ascii="Arial" w:hAnsi="Arial" w:cs="Times New Roman"/>
          <w:sz w:val="21"/>
        </w:rPr>
        <w:t>管理的各联盟批准。成员国大会设定以瑞士法郎计的一个会费单位的数值，并确定两年期财政年度预算。每一会费等级要求缴纳具体数量的会费单位。除某些发展中国家自动列入三个特殊等级之一之外，成员国自由选择确定其缴纳会费基准的等级。</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lastRenderedPageBreak/>
        <w:t>设立了</w:t>
      </w:r>
      <w:proofErr w:type="gramStart"/>
      <w:r w:rsidRPr="003F5882">
        <w:rPr>
          <w:rFonts w:ascii="Arial" w:hAnsi="Arial" w:cs="Times New Roman"/>
          <w:sz w:val="21"/>
        </w:rPr>
        <w:t>一项备抵金</w:t>
      </w:r>
      <w:proofErr w:type="gramEnd"/>
      <w:r w:rsidRPr="003F5882">
        <w:rPr>
          <w:rFonts w:ascii="Arial" w:hAnsi="Arial" w:cs="Times New Roman"/>
          <w:sz w:val="21"/>
        </w:rPr>
        <w:t>，用以抵</w:t>
      </w:r>
      <w:r w:rsidR="003D06E3" w:rsidRPr="003F5882">
        <w:rPr>
          <w:rFonts w:ascii="Arial" w:hAnsi="Arial" w:cs="Times New Roman" w:hint="eastAsia"/>
          <w:sz w:val="21"/>
        </w:rPr>
        <w:t>消</w:t>
      </w:r>
      <w:r w:rsidRPr="003F5882">
        <w:rPr>
          <w:rFonts w:ascii="Arial" w:hAnsi="Arial" w:cs="Times New Roman"/>
          <w:sz w:val="21"/>
        </w:rPr>
        <w:t>分摊会费应收账款和涉及</w:t>
      </w:r>
      <w:r w:rsidRPr="003F5882">
        <w:rPr>
          <w:rFonts w:ascii="Arial" w:hAnsi="Arial" w:cs="Times New Roman"/>
          <w:sz w:val="21"/>
        </w:rPr>
        <w:t>1994</w:t>
      </w:r>
      <w:r w:rsidRPr="003F5882">
        <w:rPr>
          <w:rFonts w:ascii="Arial" w:hAnsi="Arial" w:cs="Times New Roman"/>
          <w:sz w:val="21"/>
        </w:rPr>
        <w:t>年采用单一会费之前各联盟欠付的应收周转基金会费两种数值。这项备抵金支付根据</w:t>
      </w:r>
      <w:r w:rsidR="002E7744" w:rsidRPr="003F5882">
        <w:rPr>
          <w:rFonts w:ascii="Arial" w:hAnsi="Arial" w:cs="Times New Roman" w:hint="eastAsia"/>
          <w:sz w:val="21"/>
        </w:rPr>
        <w:t>《</w:t>
      </w:r>
      <w:r w:rsidRPr="003F5882">
        <w:rPr>
          <w:rFonts w:ascii="Arial" w:hAnsi="Arial" w:cs="Times New Roman"/>
          <w:sz w:val="21"/>
        </w:rPr>
        <w:t>WIPO</w:t>
      </w:r>
      <w:r w:rsidRPr="003F5882">
        <w:rPr>
          <w:rFonts w:ascii="Arial" w:hAnsi="Arial" w:cs="Times New Roman"/>
          <w:sz w:val="21"/>
        </w:rPr>
        <w:t>公约</w:t>
      </w:r>
      <w:r w:rsidR="002E7744" w:rsidRPr="003F5882">
        <w:rPr>
          <w:rFonts w:ascii="Arial" w:hAnsi="Arial" w:cs="Times New Roman" w:hint="eastAsia"/>
          <w:sz w:val="21"/>
        </w:rPr>
        <w:t>》</w:t>
      </w:r>
      <w:r w:rsidRPr="003F5882">
        <w:rPr>
          <w:rFonts w:ascii="Arial" w:hAnsi="Arial" w:cs="Times New Roman"/>
          <w:sz w:val="21"/>
        </w:rPr>
        <w:t>第</w:t>
      </w:r>
      <w:r w:rsidRPr="003F5882">
        <w:rPr>
          <w:rFonts w:ascii="Arial" w:hAnsi="Arial" w:cs="Times New Roman"/>
          <w:sz w:val="21"/>
        </w:rPr>
        <w:t>11</w:t>
      </w:r>
      <w:r w:rsidRPr="003F5882">
        <w:rPr>
          <w:rFonts w:ascii="Arial" w:hAnsi="Arial" w:cs="Times New Roman"/>
          <w:sz w:val="21"/>
        </w:rPr>
        <w:t>条第</w:t>
      </w:r>
      <w:r w:rsidRPr="003F5882">
        <w:rPr>
          <w:rFonts w:ascii="Arial" w:hAnsi="Arial" w:cs="Times New Roman"/>
          <w:sz w:val="21"/>
        </w:rPr>
        <w:t>5</w:t>
      </w:r>
      <w:r w:rsidR="002E7744" w:rsidRPr="003F5882">
        <w:rPr>
          <w:rFonts w:ascii="Arial" w:hAnsi="Arial" w:cs="Times New Roman" w:hint="eastAsia"/>
          <w:sz w:val="21"/>
        </w:rPr>
        <w:t>款</w:t>
      </w:r>
      <w:r w:rsidRPr="003F5882">
        <w:rPr>
          <w:rFonts w:ascii="Arial" w:hAnsi="Arial" w:cs="Times New Roman"/>
          <w:sz w:val="21"/>
        </w:rPr>
        <w:t>已丧失选举权的成员国欠交数额和大会决定冻结的最不发达国家的会费。截至</w:t>
      </w:r>
      <w:r w:rsidRPr="003F5882">
        <w:rPr>
          <w:rFonts w:ascii="Arial" w:hAnsi="Arial" w:cs="Times New Roman"/>
          <w:sz w:val="21"/>
        </w:rPr>
        <w:t>2014</w:t>
      </w:r>
      <w:r w:rsidRPr="003F5882">
        <w:rPr>
          <w:rFonts w:ascii="Arial" w:hAnsi="Arial" w:cs="Times New Roman"/>
          <w:sz w:val="21"/>
        </w:rPr>
        <w:t>年</w:t>
      </w:r>
      <w:r w:rsidRPr="003F5882">
        <w:rPr>
          <w:rFonts w:ascii="Arial" w:hAnsi="Arial" w:cs="Times New Roman"/>
          <w:sz w:val="21"/>
        </w:rPr>
        <w:t>12</w:t>
      </w:r>
      <w:r w:rsidRPr="003F5882">
        <w:rPr>
          <w:rFonts w:ascii="Arial" w:hAnsi="Arial" w:cs="Times New Roman"/>
          <w:sz w:val="21"/>
        </w:rPr>
        <w:t>月</w:t>
      </w:r>
      <w:r w:rsidRPr="003F5882">
        <w:rPr>
          <w:rFonts w:ascii="Arial" w:hAnsi="Arial" w:cs="Times New Roman"/>
          <w:sz w:val="21"/>
        </w:rPr>
        <w:t>31</w:t>
      </w:r>
      <w:r w:rsidRPr="003F5882">
        <w:rPr>
          <w:rFonts w:ascii="Arial" w:hAnsi="Arial" w:cs="Times New Roman"/>
          <w:sz w:val="21"/>
        </w:rPr>
        <w:t>日，</w:t>
      </w:r>
      <w:proofErr w:type="gramStart"/>
      <w:r w:rsidRPr="003F5882">
        <w:rPr>
          <w:rFonts w:ascii="Arial" w:hAnsi="Arial" w:cs="Times New Roman"/>
          <w:sz w:val="21"/>
        </w:rPr>
        <w:t>备抵金</w:t>
      </w:r>
      <w:proofErr w:type="gramEnd"/>
      <w:r w:rsidRPr="003F5882">
        <w:rPr>
          <w:rFonts w:ascii="Arial" w:hAnsi="Arial" w:cs="Times New Roman"/>
          <w:sz w:val="21"/>
        </w:rPr>
        <w:t>总计为</w:t>
      </w:r>
      <w:r w:rsidRPr="003F5882">
        <w:rPr>
          <w:rFonts w:ascii="Arial" w:hAnsi="Arial" w:cs="Times New Roman"/>
          <w:sz w:val="21"/>
        </w:rPr>
        <w:t>680</w:t>
      </w:r>
      <w:proofErr w:type="gramStart"/>
      <w:r w:rsidRPr="003F5882">
        <w:rPr>
          <w:rFonts w:ascii="Arial" w:hAnsi="Arial" w:cs="Times New Roman"/>
          <w:sz w:val="21"/>
        </w:rPr>
        <w:t>万瑞</w:t>
      </w:r>
      <w:proofErr w:type="gramEnd"/>
      <w:r w:rsidRPr="003F5882">
        <w:rPr>
          <w:rFonts w:ascii="Arial" w:hAnsi="Arial" w:cs="Times New Roman"/>
          <w:sz w:val="21"/>
        </w:rPr>
        <w:t>郎</w:t>
      </w:r>
      <w:r w:rsidR="00F453AC" w:rsidRPr="003F5882">
        <w:rPr>
          <w:rFonts w:ascii="Arial" w:hAnsi="Arial" w:cs="Times New Roman"/>
          <w:sz w:val="21"/>
        </w:rPr>
        <w:t>［</w:t>
      </w:r>
      <w:r w:rsidRPr="003F5882">
        <w:rPr>
          <w:rFonts w:ascii="Arial" w:hAnsi="Arial" w:cs="Times New Roman"/>
          <w:sz w:val="21"/>
        </w:rPr>
        <w:t>截至</w:t>
      </w:r>
      <w:r w:rsidRPr="003F5882">
        <w:rPr>
          <w:rFonts w:ascii="Arial" w:hAnsi="Arial" w:cs="Times New Roman"/>
          <w:sz w:val="21"/>
        </w:rPr>
        <w:t>2013</w:t>
      </w:r>
      <w:r w:rsidRPr="003F5882">
        <w:rPr>
          <w:rFonts w:ascii="Arial" w:hAnsi="Arial" w:cs="Times New Roman"/>
          <w:sz w:val="21"/>
        </w:rPr>
        <w:t>年</w:t>
      </w:r>
      <w:r w:rsidRPr="003F5882">
        <w:rPr>
          <w:rFonts w:ascii="Arial" w:hAnsi="Arial" w:cs="Times New Roman"/>
          <w:sz w:val="21"/>
        </w:rPr>
        <w:t>12</w:t>
      </w:r>
      <w:r w:rsidRPr="003F5882">
        <w:rPr>
          <w:rFonts w:ascii="Arial" w:hAnsi="Arial" w:cs="Times New Roman"/>
          <w:sz w:val="21"/>
        </w:rPr>
        <w:t>月</w:t>
      </w:r>
      <w:r w:rsidRPr="003F5882">
        <w:rPr>
          <w:rFonts w:ascii="Arial" w:hAnsi="Arial" w:cs="Times New Roman"/>
          <w:sz w:val="21"/>
        </w:rPr>
        <w:t>31</w:t>
      </w:r>
      <w:r w:rsidRPr="003F5882">
        <w:rPr>
          <w:rFonts w:ascii="Arial" w:hAnsi="Arial" w:cs="Times New Roman"/>
          <w:sz w:val="21"/>
        </w:rPr>
        <w:t>日为</w:t>
      </w:r>
      <w:r w:rsidRPr="003F5882">
        <w:rPr>
          <w:rFonts w:ascii="Arial" w:hAnsi="Arial" w:cs="Times New Roman"/>
          <w:sz w:val="21"/>
        </w:rPr>
        <w:t>71</w:t>
      </w:r>
      <w:r w:rsidR="002E7744" w:rsidRPr="003F5882">
        <w:rPr>
          <w:rFonts w:ascii="Arial" w:hAnsi="Arial" w:cs="Times New Roman" w:hint="eastAsia"/>
          <w:sz w:val="21"/>
        </w:rPr>
        <w:t>0</w:t>
      </w:r>
      <w:proofErr w:type="gramStart"/>
      <w:r w:rsidRPr="003F5882">
        <w:rPr>
          <w:rFonts w:ascii="Arial" w:hAnsi="Arial" w:cs="Times New Roman"/>
          <w:sz w:val="21"/>
        </w:rPr>
        <w:t>万瑞</w:t>
      </w:r>
      <w:proofErr w:type="gramEnd"/>
      <w:r w:rsidRPr="003F5882">
        <w:rPr>
          <w:rFonts w:ascii="Arial" w:hAnsi="Arial" w:cs="Times New Roman"/>
          <w:sz w:val="21"/>
        </w:rPr>
        <w:t>郎</w:t>
      </w:r>
      <w:r w:rsidR="00F453AC" w:rsidRPr="003F5882">
        <w:rPr>
          <w:rFonts w:ascii="Arial" w:hAnsi="Arial" w:cs="Times New Roman"/>
          <w:sz w:val="21"/>
        </w:rPr>
        <w:t>］</w:t>
      </w:r>
      <w:r w:rsidRPr="003F5882">
        <w:rPr>
          <w:rFonts w:ascii="Arial" w:hAnsi="Arial" w:cs="Times New Roman"/>
          <w:sz w:val="21"/>
        </w:rPr>
        <w:t>。</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PCT</w:t>
      </w:r>
      <w:r w:rsidRPr="003F5882">
        <w:rPr>
          <w:rFonts w:ascii="Arial" w:hAnsi="Arial" w:cs="Times New Roman"/>
          <w:sz w:val="21"/>
        </w:rPr>
        <w:t>应收账款是报告日</w:t>
      </w:r>
      <w:r w:rsidR="003867EE" w:rsidRPr="003F5882">
        <w:rPr>
          <w:rFonts w:ascii="Arial" w:hAnsi="Arial" w:cs="Times New Roman" w:hint="eastAsia"/>
          <w:sz w:val="21"/>
        </w:rPr>
        <w:t>之</w:t>
      </w:r>
      <w:r w:rsidRPr="003F5882">
        <w:rPr>
          <w:rFonts w:ascii="Arial" w:hAnsi="Arial" w:cs="Times New Roman"/>
          <w:sz w:val="21"/>
        </w:rPr>
        <w:t>前提交的</w:t>
      </w:r>
      <w:r w:rsidRPr="003F5882">
        <w:rPr>
          <w:rFonts w:ascii="Arial" w:hAnsi="Arial" w:cs="Times New Roman"/>
          <w:sz w:val="21"/>
        </w:rPr>
        <w:t>PCT</w:t>
      </w:r>
      <w:r w:rsidRPr="003F5882">
        <w:rPr>
          <w:rFonts w:ascii="Arial" w:hAnsi="Arial" w:cs="Times New Roman"/>
          <w:sz w:val="21"/>
        </w:rPr>
        <w:t>申请尚未支付的国际申请费用，包括对国家受理局在报告日之前收到但不是在报告日之前</w:t>
      </w:r>
      <w:r w:rsidR="003867EE" w:rsidRPr="003F5882">
        <w:rPr>
          <w:rFonts w:ascii="Arial" w:hAnsi="Arial" w:cs="Times New Roman" w:hint="eastAsia"/>
          <w:sz w:val="21"/>
        </w:rPr>
        <w:t>转递</w:t>
      </w:r>
      <w:r w:rsidRPr="003F5882">
        <w:rPr>
          <w:rFonts w:ascii="Arial" w:hAnsi="Arial" w:cs="Times New Roman"/>
          <w:sz w:val="21"/>
        </w:rPr>
        <w:t>给本组织</w:t>
      </w:r>
      <w:r w:rsidRPr="003F5882">
        <w:rPr>
          <w:rFonts w:ascii="Arial" w:hAnsi="Arial" w:cs="Times New Roman"/>
          <w:sz w:val="21"/>
        </w:rPr>
        <w:t>PCT</w:t>
      </w:r>
      <w:r w:rsidRPr="003F5882">
        <w:rPr>
          <w:rFonts w:ascii="Arial" w:hAnsi="Arial" w:cs="Times New Roman"/>
          <w:sz w:val="21"/>
        </w:rPr>
        <w:t>国际局的国际专利申请的估算。</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国际工作人员，居住在其本国的除外，均可领取一笔补助金，这笔补助金可以支付</w:t>
      </w:r>
      <w:r w:rsidRPr="003F5882">
        <w:rPr>
          <w:rFonts w:ascii="Arial" w:hAnsi="Arial" w:cs="Times New Roman"/>
          <w:sz w:val="21"/>
        </w:rPr>
        <w:t>75.0%</w:t>
      </w:r>
      <w:r w:rsidRPr="003F5882">
        <w:rPr>
          <w:rFonts w:ascii="Arial" w:hAnsi="Arial" w:cs="Times New Roman"/>
          <w:sz w:val="21"/>
        </w:rPr>
        <w:t>的受抚养子女教育费，直至</w:t>
      </w:r>
      <w:r w:rsidR="00B638D5" w:rsidRPr="003F5882">
        <w:rPr>
          <w:rFonts w:ascii="Arial" w:hAnsi="Arial" w:cs="Times New Roman" w:hint="eastAsia"/>
          <w:sz w:val="21"/>
        </w:rPr>
        <w:t>中学后</w:t>
      </w:r>
      <w:r w:rsidRPr="003F5882">
        <w:rPr>
          <w:rFonts w:ascii="Arial" w:hAnsi="Arial" w:cs="Times New Roman"/>
          <w:sz w:val="21"/>
        </w:rPr>
        <w:t>教育学习的第四年为止，但是不能超过子女年满</w:t>
      </w:r>
      <w:r w:rsidRPr="003F5882">
        <w:rPr>
          <w:rFonts w:ascii="Arial" w:hAnsi="Arial" w:cs="Times New Roman"/>
          <w:sz w:val="21"/>
        </w:rPr>
        <w:t>25</w:t>
      </w:r>
      <w:r w:rsidRPr="003F5882">
        <w:rPr>
          <w:rFonts w:ascii="Arial" w:hAnsi="Arial" w:cs="Times New Roman"/>
          <w:sz w:val="21"/>
        </w:rPr>
        <w:t>周岁</w:t>
      </w:r>
      <w:r w:rsidR="00B638D5" w:rsidRPr="003F5882">
        <w:rPr>
          <w:rFonts w:ascii="Arial" w:hAnsi="Arial" w:cs="Times New Roman" w:hint="eastAsia"/>
          <w:sz w:val="21"/>
        </w:rPr>
        <w:t>那</w:t>
      </w:r>
      <w:r w:rsidRPr="003F5882">
        <w:rPr>
          <w:rFonts w:ascii="Arial" w:hAnsi="Arial" w:cs="Times New Roman"/>
          <w:sz w:val="21"/>
        </w:rPr>
        <w:t>一学年年底。为每一国家设立了最高补助金限额。国际工作人员可以领取一笔预付金，这笔预付金相当</w:t>
      </w:r>
      <w:r w:rsidR="00B638D5" w:rsidRPr="003F5882">
        <w:rPr>
          <w:rFonts w:ascii="Arial" w:hAnsi="Arial" w:cs="Times New Roman" w:hint="eastAsia"/>
          <w:sz w:val="21"/>
        </w:rPr>
        <w:t>于</w:t>
      </w:r>
      <w:r w:rsidRPr="003F5882">
        <w:rPr>
          <w:rFonts w:ascii="Arial" w:hAnsi="Arial" w:cs="Times New Roman"/>
          <w:sz w:val="21"/>
        </w:rPr>
        <w:t>每一子女在入学之初教育补助金的估算金额。工作人员教育补助金预付款为</w:t>
      </w:r>
      <w:r w:rsidRPr="003F5882">
        <w:rPr>
          <w:rFonts w:ascii="Arial" w:hAnsi="Arial" w:cs="Times New Roman"/>
          <w:sz w:val="21"/>
        </w:rPr>
        <w:t>2014-2015</w:t>
      </w:r>
      <w:r w:rsidRPr="003F5882">
        <w:rPr>
          <w:rFonts w:ascii="Arial" w:hAnsi="Arial" w:cs="Times New Roman"/>
          <w:sz w:val="21"/>
        </w:rPr>
        <w:t>学年</w:t>
      </w:r>
      <w:r w:rsidR="00B638D5" w:rsidRPr="003F5882">
        <w:rPr>
          <w:rFonts w:ascii="Arial" w:hAnsi="Arial" w:cs="Times New Roman" w:hint="eastAsia"/>
          <w:sz w:val="21"/>
        </w:rPr>
        <w:t>预付</w:t>
      </w:r>
      <w:r w:rsidRPr="003F5882">
        <w:rPr>
          <w:rFonts w:ascii="Arial" w:hAnsi="Arial" w:cs="Times New Roman"/>
          <w:sz w:val="21"/>
        </w:rPr>
        <w:t>的补助金总额。</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向联合国开发计划署</w:t>
      </w:r>
      <w:r w:rsidR="00F453AC" w:rsidRPr="003F5882">
        <w:rPr>
          <w:rFonts w:ascii="Arial" w:hAnsi="Arial" w:cs="Times New Roman" w:hint="eastAsia"/>
          <w:sz w:val="21"/>
        </w:rPr>
        <w:t>（</w:t>
      </w:r>
      <w:r w:rsidRPr="003F5882">
        <w:rPr>
          <w:rFonts w:ascii="Arial" w:hAnsi="Arial" w:cs="Times New Roman"/>
          <w:sz w:val="21"/>
        </w:rPr>
        <w:t>UNDP</w:t>
      </w:r>
      <w:r w:rsidR="00F453AC" w:rsidRPr="003F5882">
        <w:rPr>
          <w:rFonts w:ascii="Arial" w:hAnsi="Arial" w:cs="Times New Roman" w:hint="eastAsia"/>
          <w:sz w:val="21"/>
        </w:rPr>
        <w:t>）</w:t>
      </w:r>
      <w:r w:rsidRPr="003F5882">
        <w:rPr>
          <w:rFonts w:ascii="Arial" w:hAnsi="Arial" w:cs="Times New Roman"/>
          <w:sz w:val="21"/>
        </w:rPr>
        <w:t>预付的资金被用来以本组织名义付款。所显示的</w:t>
      </w:r>
      <w:r w:rsidR="00BF6EC2" w:rsidRPr="003F5882">
        <w:rPr>
          <w:rFonts w:ascii="Arial" w:hAnsi="Arial" w:cs="Times New Roman" w:hint="eastAsia"/>
          <w:sz w:val="21"/>
        </w:rPr>
        <w:t>应收账款</w:t>
      </w:r>
      <w:r w:rsidRPr="003F5882">
        <w:rPr>
          <w:rFonts w:ascii="Arial" w:hAnsi="Arial" w:cs="Times New Roman"/>
          <w:sz w:val="21"/>
        </w:rPr>
        <w:t>总额包括因付款尚未收到确认或付款确认正在被验证过程中而向</w:t>
      </w:r>
      <w:r w:rsidRPr="003F5882">
        <w:rPr>
          <w:rFonts w:ascii="Arial" w:hAnsi="Arial" w:cs="Times New Roman"/>
          <w:sz w:val="21"/>
        </w:rPr>
        <w:t>UNDP</w:t>
      </w:r>
      <w:r w:rsidRPr="003F5882">
        <w:rPr>
          <w:rFonts w:ascii="Arial" w:hAnsi="Arial" w:cs="Times New Roman"/>
          <w:sz w:val="21"/>
        </w:rPr>
        <w:t>提出的要求数额。国际植物新品种保护联盟</w:t>
      </w:r>
      <w:r w:rsidR="00F453AC" w:rsidRPr="003F5882">
        <w:rPr>
          <w:rFonts w:ascii="Arial" w:hAnsi="Arial" w:cs="Times New Roman"/>
          <w:sz w:val="21"/>
        </w:rPr>
        <w:t>（</w:t>
      </w:r>
      <w:r w:rsidRPr="003F5882">
        <w:rPr>
          <w:rFonts w:ascii="Arial" w:hAnsi="Arial" w:cs="Times New Roman"/>
          <w:sz w:val="21"/>
        </w:rPr>
        <w:t>UPOV</w:t>
      </w:r>
      <w:r w:rsidR="00F453AC" w:rsidRPr="003F5882">
        <w:rPr>
          <w:rFonts w:ascii="Arial" w:hAnsi="Arial" w:cs="Times New Roman"/>
          <w:sz w:val="21"/>
        </w:rPr>
        <w:t>）</w:t>
      </w:r>
      <w:r w:rsidRPr="003F5882">
        <w:rPr>
          <w:rFonts w:ascii="Arial" w:hAnsi="Arial" w:cs="Times New Roman"/>
          <w:sz w:val="21"/>
        </w:rPr>
        <w:t>可补偿支出是本组织代表</w:t>
      </w:r>
      <w:r w:rsidRPr="003F5882">
        <w:rPr>
          <w:rFonts w:ascii="Arial" w:hAnsi="Arial" w:cs="Times New Roman"/>
          <w:sz w:val="21"/>
        </w:rPr>
        <w:t>UPOV</w:t>
      </w:r>
      <w:r w:rsidRPr="003F5882">
        <w:rPr>
          <w:rFonts w:ascii="Arial" w:hAnsi="Arial" w:cs="Times New Roman"/>
          <w:sz w:val="21"/>
        </w:rPr>
        <w:t>支付但尚未收到还款的款项。</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应收美国税款是向员工预付的款项，用以向其补偿交至美国的收入税。根据本组织与美利坚合众国之间的协议，这些税款将向本组织偿还。应退美国税款是以摊销成本计量，并按照历史支付模式计算。瑞士可偿还税款包括支付</w:t>
      </w:r>
      <w:r w:rsidRPr="003F5882">
        <w:rPr>
          <w:rFonts w:ascii="Arial" w:hAnsi="Arial" w:cs="Times New Roman"/>
          <w:sz w:val="21"/>
        </w:rPr>
        <w:t>VAT</w:t>
      </w:r>
      <w:r w:rsidRPr="003F5882">
        <w:rPr>
          <w:rFonts w:ascii="Arial" w:hAnsi="Arial" w:cs="Times New Roman"/>
          <w:sz w:val="21"/>
        </w:rPr>
        <w:t>、印花税和瑞士联邦预扣税款</w:t>
      </w:r>
      <w:r w:rsidR="00FD26C9" w:rsidRPr="003F5882">
        <w:rPr>
          <w:rFonts w:ascii="Arial" w:hAnsi="Arial" w:cs="Times New Roman" w:hint="eastAsia"/>
          <w:sz w:val="21"/>
        </w:rPr>
        <w:t>的金额</w:t>
      </w:r>
      <w:r w:rsidRPr="003F5882">
        <w:rPr>
          <w:rFonts w:ascii="Arial" w:hAnsi="Arial" w:cs="Times New Roman"/>
          <w:sz w:val="21"/>
        </w:rPr>
        <w:t>。根据本组织与瑞士政府的总部协定，本组织具有被偿还税款资格。</w:t>
      </w:r>
    </w:p>
    <w:p w:rsidR="007D62CB" w:rsidRDefault="006C0099" w:rsidP="007D62CB">
      <w:pPr>
        <w:pStyle w:val="STYLETITRENOTES"/>
        <w:keepNext/>
        <w:overflowPunct w:val="0"/>
        <w:spacing w:beforeLines="100" w:before="240" w:afterLines="100" w:after="240" w:line="340" w:lineRule="atLeast"/>
        <w:rPr>
          <w:rFonts w:ascii="Arial" w:eastAsia="SimHei" w:hAnsi="Arial" w:cs="Times New Roman"/>
          <w:b w:val="0"/>
          <w:sz w:val="21"/>
        </w:rPr>
      </w:pPr>
      <w:r w:rsidRPr="00F453AC">
        <w:rPr>
          <w:rFonts w:ascii="Arial" w:eastAsia="SimHei" w:hAnsi="Arial" w:cs="Times New Roman"/>
          <w:b w:val="0"/>
          <w:sz w:val="21"/>
        </w:rPr>
        <w:t>附注</w:t>
      </w:r>
      <w:r w:rsidRPr="00F453AC">
        <w:rPr>
          <w:rFonts w:ascii="Arial" w:eastAsia="SimHei" w:hAnsi="Arial" w:cs="Times New Roman"/>
          <w:b w:val="0"/>
          <w:sz w:val="21"/>
        </w:rPr>
        <w:t>5</w:t>
      </w:r>
      <w:r w:rsidRPr="00F453AC">
        <w:rPr>
          <w:rFonts w:ascii="Arial" w:eastAsia="SimHei" w:hAnsi="Arial" w:cs="Times New Roman"/>
          <w:b w:val="0"/>
          <w:sz w:val="21"/>
        </w:rPr>
        <w:t>：</w:t>
      </w:r>
      <w:r w:rsidRPr="00F453AC">
        <w:rPr>
          <w:rFonts w:ascii="Arial" w:eastAsia="SimHei" w:hAnsi="Arial" w:cs="Times New Roman"/>
          <w:b w:val="0"/>
          <w:sz w:val="21"/>
        </w:rPr>
        <w:tab/>
      </w:r>
      <w:r w:rsidRPr="00F453AC">
        <w:rPr>
          <w:rFonts w:ascii="Arial" w:eastAsia="SimHei" w:hAnsi="Arial" w:cs="Times New Roman"/>
          <w:b w:val="0"/>
          <w:sz w:val="21"/>
        </w:rPr>
        <w:t>库</w:t>
      </w:r>
      <w:r w:rsidR="00DA4636">
        <w:rPr>
          <w:rFonts w:ascii="Arial" w:eastAsia="SimHei" w:hAnsi="Arial" w:cs="Times New Roman" w:hint="eastAsia"/>
          <w:b w:val="0"/>
          <w:sz w:val="21"/>
        </w:rPr>
        <w:t xml:space="preserve">　</w:t>
      </w:r>
      <w:r w:rsidRPr="00F453AC">
        <w:rPr>
          <w:rFonts w:ascii="Arial" w:eastAsia="SimHei" w:hAnsi="Arial" w:cs="Times New Roman"/>
          <w:b w:val="0"/>
          <w:sz w:val="21"/>
        </w:rPr>
        <w:t>存</w:t>
      </w:r>
    </w:p>
    <w:p w:rsidR="007D62CB" w:rsidRDefault="00DA4636" w:rsidP="00DA4636">
      <w:pPr>
        <w:spacing w:afterLines="50" w:after="120" w:line="340" w:lineRule="atLeast"/>
        <w:jc w:val="center"/>
        <w:rPr>
          <w:rStyle w:val="Style3Char"/>
          <w:rFonts w:ascii="Arial" w:hAnsi="Arial" w:cs="Times New Roman"/>
          <w:sz w:val="21"/>
          <w:szCs w:val="22"/>
        </w:rPr>
      </w:pPr>
      <w:r w:rsidRPr="00DA4636">
        <w:rPr>
          <w:noProof/>
          <w:lang w:val="en-US" w:bidi="ar-SA"/>
        </w:rPr>
        <w:drawing>
          <wp:inline distT="0" distB="0" distL="0" distR="0">
            <wp:extent cx="5602605" cy="1364615"/>
            <wp:effectExtent l="0" t="0" r="0" b="0"/>
            <wp:docPr id="134" name="图片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602605" cy="1364615"/>
                    </a:xfrm>
                    <a:prstGeom prst="rect">
                      <a:avLst/>
                    </a:prstGeom>
                    <a:noFill/>
                    <a:ln>
                      <a:noFill/>
                    </a:ln>
                  </pic:spPr>
                </pic:pic>
              </a:graphicData>
            </a:graphic>
          </wp:inline>
        </w:drawing>
      </w:r>
    </w:p>
    <w:p w:rsidR="006C0099" w:rsidRPr="003F5882" w:rsidRDefault="006C0099" w:rsidP="007D62CB">
      <w:pPr>
        <w:pStyle w:val="Style3"/>
        <w:spacing w:afterLines="50" w:line="340" w:lineRule="atLeast"/>
        <w:rPr>
          <w:rFonts w:ascii="Arial" w:hAnsi="Arial" w:cs="Times New Roman"/>
          <w:sz w:val="21"/>
          <w:szCs w:val="22"/>
        </w:rPr>
      </w:pPr>
      <w:r w:rsidRPr="003F5882">
        <w:rPr>
          <w:rStyle w:val="Style3Char"/>
          <w:rFonts w:ascii="Arial" w:hAnsi="Arial" w:cs="Times New Roman"/>
          <w:sz w:val="21"/>
        </w:rPr>
        <w:t>成品出版物的库存到可实现净值的减值达到</w:t>
      </w:r>
      <w:r w:rsidRPr="003F5882">
        <w:rPr>
          <w:rStyle w:val="Style3Char"/>
          <w:rFonts w:ascii="Arial" w:hAnsi="Arial" w:cs="Times New Roman"/>
          <w:sz w:val="21"/>
        </w:rPr>
        <w:t>10</w:t>
      </w:r>
      <w:proofErr w:type="gramStart"/>
      <w:r w:rsidRPr="003F5882">
        <w:rPr>
          <w:rStyle w:val="Style3Char"/>
          <w:rFonts w:ascii="Arial" w:hAnsi="Arial" w:cs="Times New Roman"/>
          <w:sz w:val="21"/>
        </w:rPr>
        <w:t>万瑞</w:t>
      </w:r>
      <w:proofErr w:type="gramEnd"/>
      <w:r w:rsidRPr="003F5882">
        <w:rPr>
          <w:rStyle w:val="Style3Char"/>
          <w:rFonts w:ascii="Arial" w:hAnsi="Arial" w:cs="Times New Roman"/>
          <w:sz w:val="21"/>
        </w:rPr>
        <w:t>郎</w:t>
      </w:r>
      <w:r w:rsidR="00F453AC" w:rsidRPr="003F5882">
        <w:rPr>
          <w:rStyle w:val="Style3Char"/>
          <w:rFonts w:ascii="Arial" w:hAnsi="Arial" w:cs="Times New Roman" w:hint="eastAsia"/>
          <w:sz w:val="21"/>
        </w:rPr>
        <w:t>（</w:t>
      </w:r>
      <w:r w:rsidRPr="003F5882">
        <w:rPr>
          <w:rStyle w:val="Style3Char"/>
          <w:rFonts w:ascii="Arial" w:hAnsi="Arial" w:cs="Times New Roman"/>
          <w:sz w:val="21"/>
        </w:rPr>
        <w:t>2013</w:t>
      </w:r>
      <w:r w:rsidRPr="003F5882">
        <w:rPr>
          <w:rStyle w:val="Style3Char"/>
          <w:rFonts w:ascii="Arial" w:hAnsi="Arial" w:cs="Times New Roman"/>
          <w:sz w:val="21"/>
        </w:rPr>
        <w:t>年为</w:t>
      </w:r>
      <w:r w:rsidRPr="003F5882">
        <w:rPr>
          <w:rStyle w:val="Style3Char"/>
          <w:rFonts w:ascii="Arial" w:hAnsi="Arial" w:cs="Times New Roman"/>
          <w:sz w:val="21"/>
        </w:rPr>
        <w:t>20</w:t>
      </w:r>
      <w:proofErr w:type="gramStart"/>
      <w:r w:rsidRPr="003F5882">
        <w:rPr>
          <w:rStyle w:val="Style3Char"/>
          <w:rFonts w:ascii="Arial" w:hAnsi="Arial" w:cs="Times New Roman"/>
          <w:sz w:val="21"/>
        </w:rPr>
        <w:t>万瑞</w:t>
      </w:r>
      <w:proofErr w:type="gramEnd"/>
      <w:r w:rsidRPr="003F5882">
        <w:rPr>
          <w:rStyle w:val="Style3Char"/>
          <w:rFonts w:ascii="Arial" w:hAnsi="Arial" w:cs="Times New Roman"/>
          <w:sz w:val="21"/>
        </w:rPr>
        <w:t>郎</w:t>
      </w:r>
      <w:r w:rsidR="00F453AC" w:rsidRPr="003F5882">
        <w:rPr>
          <w:rStyle w:val="Style3Char"/>
          <w:rFonts w:ascii="Arial" w:hAnsi="Arial" w:cs="Times New Roman" w:hint="eastAsia"/>
          <w:sz w:val="21"/>
        </w:rPr>
        <w:t>）</w:t>
      </w:r>
      <w:r w:rsidRPr="003F5882">
        <w:rPr>
          <w:rStyle w:val="Style3Char"/>
          <w:rFonts w:ascii="Arial" w:hAnsi="Arial" w:cs="Times New Roman"/>
          <w:sz w:val="21"/>
        </w:rPr>
        <w:t>。没有出现任何减值的逆转。</w:t>
      </w:r>
    </w:p>
    <w:p w:rsidR="007D62CB" w:rsidRDefault="006C0099" w:rsidP="007D62CB">
      <w:pPr>
        <w:pStyle w:val="STYLETITRENOTES"/>
        <w:keepNext/>
        <w:overflowPunct w:val="0"/>
        <w:spacing w:beforeLines="100" w:before="240" w:afterLines="100" w:after="240" w:line="340" w:lineRule="atLeast"/>
        <w:rPr>
          <w:rFonts w:ascii="Arial" w:eastAsia="SimHei" w:hAnsi="Arial" w:cs="Times New Roman"/>
          <w:b w:val="0"/>
          <w:sz w:val="21"/>
        </w:rPr>
      </w:pPr>
      <w:r w:rsidRPr="00F453AC">
        <w:rPr>
          <w:rFonts w:ascii="Arial" w:eastAsia="SimHei" w:hAnsi="Arial" w:cs="Times New Roman"/>
          <w:b w:val="0"/>
          <w:sz w:val="21"/>
        </w:rPr>
        <w:lastRenderedPageBreak/>
        <w:t>附注</w:t>
      </w:r>
      <w:r w:rsidRPr="00F453AC">
        <w:rPr>
          <w:rFonts w:ascii="Arial" w:eastAsia="SimHei" w:hAnsi="Arial" w:cs="Times New Roman"/>
          <w:b w:val="0"/>
          <w:sz w:val="21"/>
        </w:rPr>
        <w:t>6</w:t>
      </w:r>
      <w:r w:rsidRPr="00F453AC">
        <w:rPr>
          <w:rFonts w:ascii="Arial" w:eastAsia="SimHei" w:hAnsi="Arial" w:cs="Times New Roman"/>
          <w:b w:val="0"/>
          <w:sz w:val="21"/>
        </w:rPr>
        <w:t>：</w:t>
      </w:r>
      <w:r w:rsidRPr="00F453AC">
        <w:rPr>
          <w:rFonts w:ascii="Arial" w:eastAsia="SimHei" w:hAnsi="Arial" w:cs="Times New Roman"/>
          <w:b w:val="0"/>
          <w:sz w:val="21"/>
        </w:rPr>
        <w:tab/>
      </w:r>
      <w:r w:rsidRPr="00F453AC">
        <w:rPr>
          <w:rFonts w:ascii="Arial" w:eastAsia="SimHei" w:hAnsi="Arial" w:cs="Times New Roman"/>
          <w:b w:val="0"/>
          <w:sz w:val="21"/>
        </w:rPr>
        <w:t>设备</w:t>
      </w:r>
    </w:p>
    <w:p w:rsidR="006C0099" w:rsidRPr="003F5882" w:rsidRDefault="00DA4636" w:rsidP="006C0099">
      <w:pPr>
        <w:pStyle w:val="Style3"/>
        <w:spacing w:after="0"/>
        <w:jc w:val="center"/>
        <w:rPr>
          <w:rFonts w:ascii="Arial" w:hAnsi="Arial" w:cs="Times New Roman"/>
          <w:sz w:val="21"/>
        </w:rPr>
      </w:pPr>
      <w:r w:rsidRPr="00DA4636">
        <w:rPr>
          <w:noProof/>
          <w:lang w:val="en-US" w:bidi="ar-SA"/>
        </w:rPr>
        <w:drawing>
          <wp:inline distT="0" distB="0" distL="0" distR="0">
            <wp:extent cx="5718175" cy="3555365"/>
            <wp:effectExtent l="0" t="0" r="0" b="0"/>
            <wp:docPr id="136" name="图片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718175" cy="3555365"/>
                    </a:xfrm>
                    <a:prstGeom prst="rect">
                      <a:avLst/>
                    </a:prstGeom>
                    <a:noFill/>
                    <a:ln>
                      <a:noFill/>
                    </a:ln>
                  </pic:spPr>
                </pic:pic>
              </a:graphicData>
            </a:graphic>
          </wp:inline>
        </w:drawing>
      </w:r>
    </w:p>
    <w:p w:rsidR="006C0099" w:rsidRPr="003F5882" w:rsidRDefault="00DA4636" w:rsidP="00DA4636">
      <w:pPr>
        <w:pStyle w:val="Style3"/>
        <w:spacing w:afterLines="50"/>
        <w:jc w:val="center"/>
        <w:rPr>
          <w:rFonts w:ascii="Arial" w:hAnsi="Arial" w:cs="Times New Roman"/>
          <w:sz w:val="21"/>
        </w:rPr>
      </w:pPr>
      <w:r w:rsidRPr="00DA4636">
        <w:rPr>
          <w:noProof/>
          <w:lang w:val="en-US" w:bidi="ar-SA"/>
        </w:rPr>
        <w:drawing>
          <wp:inline distT="0" distB="0" distL="0" distR="0">
            <wp:extent cx="5718175" cy="3398520"/>
            <wp:effectExtent l="0" t="0" r="0" b="0"/>
            <wp:docPr id="137" name="图片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718175" cy="3398520"/>
                    </a:xfrm>
                    <a:prstGeom prst="rect">
                      <a:avLst/>
                    </a:prstGeom>
                    <a:noFill/>
                    <a:ln>
                      <a:noFill/>
                    </a:ln>
                  </pic:spPr>
                </pic:pic>
              </a:graphicData>
            </a:graphic>
          </wp:inline>
        </w:drawing>
      </w:r>
    </w:p>
    <w:p w:rsidR="006C0099" w:rsidRPr="00F453AC" w:rsidRDefault="006C0099" w:rsidP="007D62CB">
      <w:pPr>
        <w:pStyle w:val="Style3"/>
        <w:spacing w:afterLines="50" w:line="340" w:lineRule="atLeast"/>
        <w:rPr>
          <w:rFonts w:ascii="Arial" w:eastAsia="SimHei" w:hAnsi="Arial" w:cs="Times New Roman"/>
          <w:sz w:val="21"/>
          <w:szCs w:val="22"/>
        </w:rPr>
      </w:pPr>
      <w:r w:rsidRPr="003F5882">
        <w:rPr>
          <w:rFonts w:ascii="Arial" w:hAnsi="Arial" w:cs="Times New Roman"/>
          <w:sz w:val="21"/>
        </w:rPr>
        <w:t>所有库存设备的价值根据直线法按成本计账，减去折旧。家具和室内陈设以十年使用寿命期计算折旧。所有其他设备以五年使用寿命计算折旧。</w:t>
      </w:r>
      <w:r w:rsidRPr="003F5882">
        <w:rPr>
          <w:rFonts w:ascii="Arial" w:hAnsi="Arial" w:cs="Times New Roman"/>
          <w:sz w:val="21"/>
        </w:rPr>
        <w:t>2014</w:t>
      </w:r>
      <w:r w:rsidRPr="003F5882">
        <w:rPr>
          <w:rFonts w:ascii="Arial" w:hAnsi="Arial" w:cs="Times New Roman"/>
          <w:sz w:val="21"/>
        </w:rPr>
        <w:t>年处置的设备主要包括废弃设备，其账面金额总值为</w:t>
      </w:r>
      <w:r w:rsidRPr="003F5882">
        <w:rPr>
          <w:rFonts w:ascii="Arial" w:hAnsi="Arial" w:cs="Times New Roman"/>
          <w:sz w:val="21"/>
        </w:rPr>
        <w:t>530</w:t>
      </w:r>
      <w:r w:rsidRPr="003F5882">
        <w:rPr>
          <w:rFonts w:ascii="Arial" w:hAnsi="Arial" w:cs="Times New Roman"/>
          <w:sz w:val="21"/>
        </w:rPr>
        <w:t>万瑞郎，在累计折旧后，其账面金额净值为</w:t>
      </w:r>
      <w:r w:rsidRPr="003F5882">
        <w:rPr>
          <w:rFonts w:ascii="Arial" w:hAnsi="Arial" w:cs="Times New Roman"/>
          <w:sz w:val="21"/>
        </w:rPr>
        <w:t>8,771</w:t>
      </w:r>
      <w:r w:rsidRPr="003F5882">
        <w:rPr>
          <w:rFonts w:ascii="Arial" w:hAnsi="Arial" w:cs="Times New Roman"/>
          <w:sz w:val="21"/>
        </w:rPr>
        <w:t>瑞郎。该处置数据包括核销无法定位的设备，其账面金额总值为</w:t>
      </w:r>
      <w:r w:rsidRPr="003F5882">
        <w:rPr>
          <w:rFonts w:ascii="Arial" w:hAnsi="Arial" w:cs="Times New Roman"/>
          <w:sz w:val="21"/>
        </w:rPr>
        <w:t>80</w:t>
      </w:r>
      <w:r w:rsidRPr="003F5882">
        <w:rPr>
          <w:rFonts w:ascii="Arial" w:hAnsi="Arial" w:cs="Times New Roman"/>
          <w:sz w:val="21"/>
        </w:rPr>
        <w:t>万瑞郎，账面金额净值为</w:t>
      </w:r>
      <w:r w:rsidRPr="003F5882">
        <w:rPr>
          <w:rFonts w:ascii="Arial" w:hAnsi="Arial" w:cs="Times New Roman"/>
          <w:sz w:val="21"/>
        </w:rPr>
        <w:t>5,657</w:t>
      </w:r>
      <w:r w:rsidRPr="003F5882">
        <w:rPr>
          <w:rFonts w:ascii="Arial" w:hAnsi="Arial" w:cs="Times New Roman"/>
          <w:sz w:val="21"/>
        </w:rPr>
        <w:t>瑞郎。包括捐赠的艺术作品在内的遗产资产在财务状况表中不列为资产。</w:t>
      </w:r>
    </w:p>
    <w:p w:rsidR="007D62CB" w:rsidRDefault="006C0099" w:rsidP="007D62CB">
      <w:pPr>
        <w:pStyle w:val="STYLETITRENOTES"/>
        <w:keepNext/>
        <w:overflowPunct w:val="0"/>
        <w:spacing w:beforeLines="100" w:before="240" w:afterLines="100" w:after="240" w:line="340" w:lineRule="atLeast"/>
        <w:rPr>
          <w:rFonts w:ascii="Arial" w:eastAsia="SimHei" w:hAnsi="Arial" w:cs="Times New Roman"/>
          <w:b w:val="0"/>
          <w:sz w:val="21"/>
        </w:rPr>
      </w:pPr>
      <w:r w:rsidRPr="00F453AC">
        <w:rPr>
          <w:rFonts w:ascii="Arial" w:eastAsia="SimHei" w:hAnsi="Arial" w:cs="Times New Roman"/>
          <w:b w:val="0"/>
          <w:sz w:val="21"/>
        </w:rPr>
        <w:lastRenderedPageBreak/>
        <w:t>附注</w:t>
      </w:r>
      <w:r w:rsidRPr="00F453AC">
        <w:rPr>
          <w:rFonts w:ascii="Arial" w:eastAsia="SimHei" w:hAnsi="Arial" w:cs="Times New Roman"/>
          <w:b w:val="0"/>
          <w:sz w:val="21"/>
        </w:rPr>
        <w:t>7</w:t>
      </w:r>
      <w:r w:rsidRPr="00F453AC">
        <w:rPr>
          <w:rFonts w:ascii="Arial" w:eastAsia="SimHei" w:hAnsi="Arial" w:cs="Times New Roman"/>
          <w:b w:val="0"/>
          <w:sz w:val="21"/>
        </w:rPr>
        <w:t>：</w:t>
      </w:r>
      <w:r w:rsidRPr="00F453AC">
        <w:rPr>
          <w:rFonts w:ascii="Arial" w:eastAsia="SimHei" w:hAnsi="Arial" w:cs="Times New Roman"/>
          <w:b w:val="0"/>
          <w:sz w:val="21"/>
        </w:rPr>
        <w:tab/>
      </w:r>
      <w:r w:rsidRPr="00F453AC">
        <w:rPr>
          <w:rFonts w:ascii="Arial" w:eastAsia="SimHei" w:hAnsi="Arial" w:cs="Times New Roman"/>
          <w:b w:val="0"/>
          <w:sz w:val="21"/>
        </w:rPr>
        <w:t>投资财产</w:t>
      </w:r>
    </w:p>
    <w:p w:rsidR="007D62CB" w:rsidRDefault="00DA4636" w:rsidP="00DA4636">
      <w:pPr>
        <w:pStyle w:val="Style3"/>
        <w:spacing w:afterLines="50" w:line="340" w:lineRule="atLeast"/>
        <w:jc w:val="center"/>
        <w:rPr>
          <w:rFonts w:ascii="Arial" w:hAnsi="Arial" w:cs="Times New Roman"/>
          <w:sz w:val="21"/>
        </w:rPr>
      </w:pPr>
      <w:r w:rsidRPr="00DA4636">
        <w:rPr>
          <w:noProof/>
          <w:lang w:val="en-US" w:bidi="ar-SA"/>
        </w:rPr>
        <w:drawing>
          <wp:inline distT="0" distB="0" distL="0" distR="0">
            <wp:extent cx="5732145" cy="1515110"/>
            <wp:effectExtent l="0" t="0" r="1905" b="8890"/>
            <wp:docPr id="138" name="图片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732145" cy="1515110"/>
                    </a:xfrm>
                    <a:prstGeom prst="rect">
                      <a:avLst/>
                    </a:prstGeom>
                    <a:noFill/>
                    <a:ln>
                      <a:noFill/>
                    </a:ln>
                  </pic:spPr>
                </pic:pic>
              </a:graphicData>
            </a:graphic>
          </wp:inline>
        </w:drawing>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本组织</w:t>
      </w:r>
      <w:r w:rsidR="003D06E3" w:rsidRPr="003F5882">
        <w:rPr>
          <w:rFonts w:ascii="Arial" w:hAnsi="Arial" w:cs="Times New Roman" w:hint="eastAsia"/>
          <w:sz w:val="21"/>
        </w:rPr>
        <w:t>于</w:t>
      </w:r>
      <w:r w:rsidRPr="003F5882">
        <w:rPr>
          <w:rFonts w:ascii="Arial" w:hAnsi="Arial" w:cs="Times New Roman"/>
          <w:sz w:val="21"/>
        </w:rPr>
        <w:t>1974</w:t>
      </w:r>
      <w:r w:rsidRPr="003F5882">
        <w:rPr>
          <w:rFonts w:ascii="Arial" w:hAnsi="Arial" w:cs="Times New Roman"/>
          <w:sz w:val="21"/>
        </w:rPr>
        <w:t>年在瑞士日内瓦州</w:t>
      </w:r>
      <w:r w:rsidRPr="003F5882">
        <w:rPr>
          <w:rFonts w:ascii="Arial" w:hAnsi="Arial" w:cs="Times New Roman"/>
          <w:sz w:val="21"/>
        </w:rPr>
        <w:t>Meyrin</w:t>
      </w:r>
      <w:r w:rsidRPr="003F5882">
        <w:rPr>
          <w:rFonts w:ascii="Arial" w:hAnsi="Arial" w:cs="Times New Roman"/>
          <w:sz w:val="21"/>
        </w:rPr>
        <w:t>获得一项投资财产。该建筑物于</w:t>
      </w:r>
      <w:r w:rsidRPr="003F5882">
        <w:rPr>
          <w:rFonts w:ascii="Arial" w:hAnsi="Arial" w:cs="Times New Roman"/>
          <w:sz w:val="21"/>
        </w:rPr>
        <w:t>1964</w:t>
      </w:r>
      <w:r w:rsidRPr="003F5882">
        <w:rPr>
          <w:rFonts w:ascii="Arial" w:hAnsi="Arial" w:cs="Times New Roman"/>
          <w:sz w:val="21"/>
        </w:rPr>
        <w:t>年首次投入使用。这项物业于</w:t>
      </w:r>
      <w:r w:rsidRPr="003F5882">
        <w:rPr>
          <w:rFonts w:ascii="Arial" w:hAnsi="Arial" w:cs="Times New Roman"/>
          <w:sz w:val="21"/>
        </w:rPr>
        <w:t>20</w:t>
      </w:r>
      <w:r w:rsidR="000668D1" w:rsidRPr="003F5882">
        <w:rPr>
          <w:rFonts w:ascii="Arial" w:hAnsi="Arial" w:cs="Times New Roman" w:hint="eastAsia"/>
          <w:sz w:val="21"/>
        </w:rPr>
        <w:t>12</w:t>
      </w:r>
      <w:r w:rsidRPr="003F5882">
        <w:rPr>
          <w:rFonts w:ascii="Arial" w:hAnsi="Arial" w:cs="Times New Roman"/>
          <w:sz w:val="21"/>
        </w:rPr>
        <w:t>年</w:t>
      </w:r>
      <w:r w:rsidRPr="003F5882">
        <w:rPr>
          <w:rFonts w:ascii="Arial" w:hAnsi="Arial" w:cs="Times New Roman"/>
          <w:sz w:val="21"/>
        </w:rPr>
        <w:t>12</w:t>
      </w:r>
      <w:r w:rsidRPr="003F5882">
        <w:rPr>
          <w:rFonts w:ascii="Arial" w:hAnsi="Arial" w:cs="Times New Roman"/>
          <w:sz w:val="21"/>
        </w:rPr>
        <w:t>月</w:t>
      </w:r>
      <w:r w:rsidRPr="003F5882">
        <w:rPr>
          <w:rFonts w:ascii="Arial" w:hAnsi="Arial" w:cs="Times New Roman"/>
          <w:sz w:val="21"/>
        </w:rPr>
        <w:t>31</w:t>
      </w:r>
      <w:r w:rsidRPr="003F5882">
        <w:rPr>
          <w:rFonts w:ascii="Arial" w:hAnsi="Arial" w:cs="Times New Roman"/>
          <w:sz w:val="21"/>
        </w:rPr>
        <w:t>日由具备认可的相关专业资格、具有日内瓦州财产评估最新经验的独立专家以公允价值进行估价。公允价值根据基于投资的评估确定，因此这项物业今后的收益源流按恰当投资收益率转化为资本。回收率的选择是通过参照感知质量、收入期限和进一步提高租金的可能性进行的，并通过可比较销售所提供的证据得到交叉核实。</w:t>
      </w:r>
      <w:r w:rsidRPr="003F5882">
        <w:rPr>
          <w:rFonts w:ascii="Arial" w:hAnsi="Arial" w:cs="Times New Roman"/>
          <w:sz w:val="21"/>
        </w:rPr>
        <w:t>2012</w:t>
      </w:r>
      <w:r w:rsidRPr="003F5882">
        <w:rPr>
          <w:rFonts w:ascii="Arial" w:hAnsi="Arial" w:cs="Times New Roman"/>
          <w:sz w:val="21"/>
        </w:rPr>
        <w:t>年</w:t>
      </w:r>
      <w:r w:rsidRPr="003F5882">
        <w:rPr>
          <w:rFonts w:ascii="Arial" w:hAnsi="Arial" w:cs="Times New Roman"/>
          <w:sz w:val="21"/>
        </w:rPr>
        <w:t>12</w:t>
      </w:r>
      <w:r w:rsidRPr="003F5882">
        <w:rPr>
          <w:rFonts w:ascii="Arial" w:hAnsi="Arial" w:cs="Times New Roman"/>
          <w:sz w:val="21"/>
        </w:rPr>
        <w:t>月</w:t>
      </w:r>
      <w:r w:rsidRPr="003F5882">
        <w:rPr>
          <w:rFonts w:ascii="Arial" w:hAnsi="Arial" w:cs="Times New Roman"/>
          <w:sz w:val="21"/>
        </w:rPr>
        <w:t>31</w:t>
      </w:r>
      <w:r w:rsidRPr="003F5882">
        <w:rPr>
          <w:rFonts w:ascii="Arial" w:hAnsi="Arial" w:cs="Times New Roman"/>
          <w:sz w:val="21"/>
        </w:rPr>
        <w:t>日的估价显示该建筑物公允价值提高了</w:t>
      </w:r>
      <w:r w:rsidRPr="003F5882">
        <w:rPr>
          <w:rFonts w:ascii="Arial" w:hAnsi="Arial" w:cs="Times New Roman"/>
          <w:sz w:val="21"/>
        </w:rPr>
        <w:t>50</w:t>
      </w:r>
      <w:r w:rsidRPr="003F5882">
        <w:rPr>
          <w:rFonts w:ascii="Arial" w:hAnsi="Arial" w:cs="Times New Roman"/>
          <w:sz w:val="21"/>
        </w:rPr>
        <w:t>万瑞郎。</w:t>
      </w:r>
      <w:r w:rsidRPr="003F5882">
        <w:rPr>
          <w:rFonts w:ascii="Arial" w:hAnsi="Arial" w:cs="Times New Roman"/>
          <w:sz w:val="21"/>
        </w:rPr>
        <w:t>2012</w:t>
      </w:r>
      <w:r w:rsidRPr="003F5882">
        <w:rPr>
          <w:rFonts w:ascii="Arial" w:hAnsi="Arial" w:cs="Times New Roman"/>
          <w:sz w:val="21"/>
        </w:rPr>
        <w:t>年，该项增加在财务执行情况表中被确认为投资收入。</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马德里联盟办公楼的公寓、停车场和其他设施的租赁事宜，由负责收取所有租金收入和支付经营楼宇时产生的所有费用的租赁中介管理。租赁通常为期两年，根据日内瓦州批准的租赁形式进行。在出租期间，所有租约不可取消。中介收取总租金收入的</w:t>
      </w:r>
      <w:r w:rsidRPr="003F5882">
        <w:rPr>
          <w:rFonts w:ascii="Arial" w:hAnsi="Arial" w:cs="Times New Roman"/>
          <w:sz w:val="21"/>
        </w:rPr>
        <w:t>3.9%</w:t>
      </w:r>
      <w:r w:rsidRPr="003F5882">
        <w:rPr>
          <w:rFonts w:ascii="Arial" w:hAnsi="Arial" w:cs="Times New Roman"/>
          <w:sz w:val="21"/>
        </w:rPr>
        <w:t>作为服务补偿。</w:t>
      </w:r>
      <w:r w:rsidR="00040C60" w:rsidRPr="003F5882">
        <w:rPr>
          <w:rFonts w:ascii="Arial" w:hAnsi="Arial" w:cs="Times New Roman" w:hint="eastAsia"/>
          <w:sz w:val="21"/>
        </w:rPr>
        <w:t>截至</w:t>
      </w:r>
      <w:r w:rsidRPr="003F5882">
        <w:rPr>
          <w:rFonts w:ascii="Arial" w:hAnsi="Arial" w:cs="Times New Roman"/>
          <w:sz w:val="21"/>
        </w:rPr>
        <w:t>2014</w:t>
      </w:r>
      <w:r w:rsidRPr="003F5882">
        <w:rPr>
          <w:rFonts w:ascii="Arial" w:hAnsi="Arial" w:cs="Times New Roman"/>
          <w:sz w:val="21"/>
        </w:rPr>
        <w:t>年</w:t>
      </w:r>
      <w:r w:rsidRPr="003F5882">
        <w:rPr>
          <w:rFonts w:ascii="Arial" w:hAnsi="Arial" w:cs="Times New Roman"/>
          <w:sz w:val="21"/>
        </w:rPr>
        <w:t>12</w:t>
      </w:r>
      <w:r w:rsidRPr="003F5882">
        <w:rPr>
          <w:rFonts w:ascii="Arial" w:hAnsi="Arial" w:cs="Times New Roman"/>
          <w:sz w:val="21"/>
        </w:rPr>
        <w:t>月</w:t>
      </w:r>
      <w:r w:rsidRPr="003F5882">
        <w:rPr>
          <w:rFonts w:ascii="Arial" w:hAnsi="Arial" w:cs="Times New Roman"/>
          <w:sz w:val="21"/>
        </w:rPr>
        <w:t>31</w:t>
      </w:r>
      <w:r w:rsidRPr="003F5882">
        <w:rPr>
          <w:rFonts w:ascii="Arial" w:hAnsi="Arial" w:cs="Times New Roman"/>
          <w:sz w:val="21"/>
        </w:rPr>
        <w:t>日</w:t>
      </w:r>
      <w:r w:rsidR="00040C60" w:rsidRPr="003F5882">
        <w:rPr>
          <w:rFonts w:ascii="Arial" w:hAnsi="Arial" w:cs="Times New Roman" w:hint="eastAsia"/>
          <w:sz w:val="21"/>
        </w:rPr>
        <w:t>，</w:t>
      </w:r>
      <w:r w:rsidRPr="003F5882">
        <w:rPr>
          <w:rFonts w:ascii="Arial" w:hAnsi="Arial" w:cs="Times New Roman"/>
          <w:sz w:val="21"/>
        </w:rPr>
        <w:t>不可取消租约的价值如下：</w:t>
      </w:r>
    </w:p>
    <w:p w:rsidR="007D62CB" w:rsidRDefault="00DA4636" w:rsidP="00DA4636">
      <w:pPr>
        <w:spacing w:afterLines="50" w:after="120" w:line="340" w:lineRule="atLeast"/>
        <w:jc w:val="center"/>
        <w:rPr>
          <w:rFonts w:ascii="Arial" w:hAnsi="Arial" w:cs="Times New Roman"/>
        </w:rPr>
      </w:pPr>
      <w:r w:rsidRPr="00DA4636">
        <w:rPr>
          <w:noProof/>
          <w:lang w:val="en-US" w:bidi="ar-SA"/>
        </w:rPr>
        <w:drawing>
          <wp:inline distT="0" distB="0" distL="0" distR="0">
            <wp:extent cx="5602605" cy="1344295"/>
            <wp:effectExtent l="0" t="0" r="0" b="8255"/>
            <wp:docPr id="139" name="图片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602605" cy="1344295"/>
                    </a:xfrm>
                    <a:prstGeom prst="rect">
                      <a:avLst/>
                    </a:prstGeom>
                    <a:noFill/>
                    <a:ln>
                      <a:noFill/>
                    </a:ln>
                  </pic:spPr>
                </pic:pic>
              </a:graphicData>
            </a:graphic>
          </wp:inline>
        </w:drawing>
      </w:r>
    </w:p>
    <w:p w:rsidR="007D62CB" w:rsidRDefault="006C0099" w:rsidP="007D62CB">
      <w:pPr>
        <w:pStyle w:val="Style3"/>
        <w:spacing w:afterLines="50" w:line="340" w:lineRule="atLeast"/>
        <w:rPr>
          <w:rFonts w:ascii="Arial" w:hAnsi="Arial" w:cs="Times New Roman"/>
          <w:sz w:val="21"/>
        </w:rPr>
      </w:pPr>
      <w:r w:rsidRPr="003F5882">
        <w:rPr>
          <w:rFonts w:ascii="Arial" w:hAnsi="Arial" w:cs="Times New Roman"/>
          <w:sz w:val="21"/>
        </w:rPr>
        <w:t>2014</w:t>
      </w:r>
      <w:r w:rsidRPr="003F5882">
        <w:rPr>
          <w:rFonts w:ascii="Arial" w:hAnsi="Arial" w:cs="Times New Roman"/>
          <w:sz w:val="21"/>
        </w:rPr>
        <w:t>年，大楼出租的收入共计</w:t>
      </w:r>
      <w:r w:rsidRPr="003F5882">
        <w:rPr>
          <w:rFonts w:ascii="Arial" w:hAnsi="Arial" w:cs="Times New Roman"/>
          <w:sz w:val="21"/>
        </w:rPr>
        <w:t>377,000</w:t>
      </w:r>
      <w:r w:rsidRPr="003F5882">
        <w:rPr>
          <w:rFonts w:ascii="Arial" w:hAnsi="Arial" w:cs="Times New Roman"/>
          <w:sz w:val="21"/>
        </w:rPr>
        <w:t>瑞郎，大楼的</w:t>
      </w:r>
      <w:r w:rsidR="00C80CF8" w:rsidRPr="003F5882">
        <w:rPr>
          <w:rFonts w:ascii="Arial" w:hAnsi="Arial" w:cs="Times New Roman" w:hint="eastAsia"/>
          <w:sz w:val="21"/>
        </w:rPr>
        <w:t>运营开支</w:t>
      </w:r>
      <w:r w:rsidRPr="003F5882">
        <w:rPr>
          <w:rFonts w:ascii="Arial" w:hAnsi="Arial" w:cs="Times New Roman"/>
          <w:sz w:val="21"/>
        </w:rPr>
        <w:t>共计</w:t>
      </w:r>
      <w:r w:rsidRPr="003F5882">
        <w:rPr>
          <w:rFonts w:ascii="Arial" w:hAnsi="Arial" w:cs="Times New Roman"/>
          <w:sz w:val="21"/>
        </w:rPr>
        <w:t>211,000</w:t>
      </w:r>
      <w:r w:rsidRPr="003F5882">
        <w:rPr>
          <w:rFonts w:ascii="Arial" w:hAnsi="Arial" w:cs="Times New Roman"/>
          <w:sz w:val="21"/>
        </w:rPr>
        <w:t>瑞郎。本组织不了解在投资财产收入的可变现性或收入转出方面存在任何限制。</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运营开支不包括大楼的折旧。在本报告日没有购买、建造或开发投资财产的合同义务，也没有修理、维护或提升现有物业的合同义务。</w:t>
      </w:r>
    </w:p>
    <w:p w:rsidR="007D62CB" w:rsidRDefault="006C0099" w:rsidP="007D62CB">
      <w:pPr>
        <w:pStyle w:val="STYLETITRENOTES"/>
        <w:keepNext/>
        <w:overflowPunct w:val="0"/>
        <w:spacing w:beforeLines="100" w:before="240" w:afterLines="100" w:after="240" w:line="340" w:lineRule="atLeast"/>
        <w:rPr>
          <w:rFonts w:ascii="Arial" w:eastAsia="SimHei" w:hAnsi="Arial" w:cs="Times New Roman"/>
          <w:b w:val="0"/>
          <w:sz w:val="21"/>
        </w:rPr>
      </w:pPr>
      <w:r w:rsidRPr="00F453AC">
        <w:rPr>
          <w:rFonts w:ascii="Arial" w:eastAsia="SimHei" w:hAnsi="Arial" w:cs="Times New Roman"/>
          <w:b w:val="0"/>
          <w:sz w:val="21"/>
        </w:rPr>
        <w:lastRenderedPageBreak/>
        <w:t>附注</w:t>
      </w:r>
      <w:r w:rsidRPr="00F453AC">
        <w:rPr>
          <w:rFonts w:ascii="Arial" w:eastAsia="SimHei" w:hAnsi="Arial" w:cs="Times New Roman"/>
          <w:b w:val="0"/>
          <w:sz w:val="21"/>
        </w:rPr>
        <w:t>8</w:t>
      </w:r>
      <w:r w:rsidRPr="00F453AC">
        <w:rPr>
          <w:rFonts w:ascii="Arial" w:eastAsia="SimHei" w:hAnsi="Arial" w:cs="Times New Roman"/>
          <w:b w:val="0"/>
          <w:sz w:val="21"/>
        </w:rPr>
        <w:t>：</w:t>
      </w:r>
      <w:r w:rsidRPr="00F453AC">
        <w:rPr>
          <w:rFonts w:ascii="Arial" w:eastAsia="SimHei" w:hAnsi="Arial" w:cs="Times New Roman"/>
          <w:b w:val="0"/>
          <w:sz w:val="21"/>
        </w:rPr>
        <w:tab/>
      </w:r>
      <w:r w:rsidRPr="00F453AC">
        <w:rPr>
          <w:rFonts w:ascii="Arial" w:eastAsia="SimHei" w:hAnsi="Arial" w:cs="Times New Roman"/>
          <w:b w:val="0"/>
          <w:sz w:val="21"/>
        </w:rPr>
        <w:t>无形资产</w:t>
      </w:r>
    </w:p>
    <w:p w:rsidR="006C0099" w:rsidRPr="00F453AC" w:rsidRDefault="00DA4636" w:rsidP="006C0099">
      <w:pPr>
        <w:pStyle w:val="STYLETITRENOTES"/>
        <w:jc w:val="center"/>
        <w:rPr>
          <w:rFonts w:ascii="Arial" w:eastAsia="SimHei" w:hAnsi="Arial" w:cs="Times New Roman"/>
          <w:b w:val="0"/>
          <w:sz w:val="21"/>
        </w:rPr>
      </w:pPr>
      <w:r w:rsidRPr="00DA4636">
        <w:rPr>
          <w:noProof/>
          <w:lang w:val="en-US" w:bidi="ar-SA"/>
        </w:rPr>
        <w:drawing>
          <wp:inline distT="0" distB="0" distL="0" distR="0">
            <wp:extent cx="5875655" cy="3725545"/>
            <wp:effectExtent l="0" t="0" r="0" b="0"/>
            <wp:docPr id="140" name="图片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875655" cy="3725545"/>
                    </a:xfrm>
                    <a:prstGeom prst="rect">
                      <a:avLst/>
                    </a:prstGeom>
                    <a:noFill/>
                    <a:ln>
                      <a:noFill/>
                    </a:ln>
                  </pic:spPr>
                </pic:pic>
              </a:graphicData>
            </a:graphic>
          </wp:inline>
        </w:drawing>
      </w:r>
    </w:p>
    <w:p w:rsidR="006C0099" w:rsidRPr="00F453AC" w:rsidRDefault="00DA4636" w:rsidP="006C0099">
      <w:pPr>
        <w:pStyle w:val="STYLETITRENOTES"/>
        <w:jc w:val="center"/>
        <w:rPr>
          <w:rFonts w:ascii="Arial" w:eastAsia="SimHei" w:hAnsi="Arial" w:cs="Times New Roman"/>
          <w:b w:val="0"/>
          <w:noProof/>
          <w:sz w:val="21"/>
        </w:rPr>
      </w:pPr>
      <w:r w:rsidRPr="00DA4636">
        <w:rPr>
          <w:noProof/>
          <w:lang w:val="en-US" w:bidi="ar-SA"/>
        </w:rPr>
        <w:drawing>
          <wp:inline distT="0" distB="0" distL="0" distR="0">
            <wp:extent cx="5875655" cy="3535045"/>
            <wp:effectExtent l="0" t="0" r="0" b="0"/>
            <wp:docPr id="141" name="图片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875655" cy="3535045"/>
                    </a:xfrm>
                    <a:prstGeom prst="rect">
                      <a:avLst/>
                    </a:prstGeom>
                    <a:noFill/>
                    <a:ln>
                      <a:noFill/>
                    </a:ln>
                  </pic:spPr>
                </pic:pic>
              </a:graphicData>
            </a:graphic>
          </wp:inline>
        </w:drawing>
      </w:r>
    </w:p>
    <w:p w:rsidR="007D62CB" w:rsidRDefault="006C0099" w:rsidP="007D62CB">
      <w:pPr>
        <w:pStyle w:val="Style3"/>
        <w:spacing w:afterLines="50" w:line="340" w:lineRule="atLeast"/>
        <w:rPr>
          <w:rFonts w:ascii="Arial" w:hAnsi="Arial" w:cs="Times New Roman"/>
          <w:sz w:val="21"/>
        </w:rPr>
      </w:pPr>
      <w:r w:rsidRPr="003F5882">
        <w:rPr>
          <w:rFonts w:ascii="Arial" w:hAnsi="Arial" w:cs="Times New Roman"/>
          <w:sz w:val="21"/>
        </w:rPr>
        <w:t>1996</w:t>
      </w:r>
      <w:r w:rsidRPr="003F5882">
        <w:rPr>
          <w:rFonts w:ascii="Arial" w:hAnsi="Arial" w:cs="Times New Roman"/>
          <w:sz w:val="21"/>
        </w:rPr>
        <w:t>年，本组织从世界气象组织</w:t>
      </w:r>
      <w:r w:rsidR="00F453AC" w:rsidRPr="003F5882">
        <w:rPr>
          <w:rFonts w:ascii="Arial" w:hAnsi="Arial" w:cs="Times New Roman" w:hint="eastAsia"/>
          <w:sz w:val="21"/>
        </w:rPr>
        <w:t>（</w:t>
      </w:r>
      <w:r w:rsidRPr="003F5882">
        <w:rPr>
          <w:rFonts w:ascii="Arial" w:hAnsi="Arial" w:cs="Times New Roman"/>
          <w:sz w:val="21"/>
        </w:rPr>
        <w:t>WMO</w:t>
      </w:r>
      <w:r w:rsidR="00F453AC" w:rsidRPr="003F5882">
        <w:rPr>
          <w:rFonts w:ascii="Arial" w:hAnsi="Arial" w:cs="Times New Roman" w:hint="eastAsia"/>
          <w:sz w:val="21"/>
        </w:rPr>
        <w:t>）</w:t>
      </w:r>
      <w:r w:rsidRPr="003F5882">
        <w:rPr>
          <w:rFonts w:ascii="Arial" w:hAnsi="Arial" w:cs="Times New Roman"/>
          <w:sz w:val="21"/>
        </w:rPr>
        <w:t>获得了日内瓦市</w:t>
      </w:r>
      <w:r w:rsidRPr="003F5882">
        <w:rPr>
          <w:rFonts w:ascii="Arial" w:hAnsi="Arial" w:cs="Times New Roman"/>
          <w:sz w:val="21"/>
        </w:rPr>
        <w:t>Petit-Saconnex</w:t>
      </w:r>
      <w:r w:rsidRPr="003F5882">
        <w:rPr>
          <w:rFonts w:ascii="Arial" w:hAnsi="Arial" w:cs="Times New Roman"/>
          <w:sz w:val="21"/>
        </w:rPr>
        <w:t>编号为</w:t>
      </w:r>
      <w:r w:rsidRPr="003F5882">
        <w:rPr>
          <w:rFonts w:ascii="Arial" w:hAnsi="Arial" w:cs="Times New Roman"/>
          <w:sz w:val="21"/>
        </w:rPr>
        <w:t>4008</w:t>
      </w:r>
      <w:r w:rsidRPr="003F5882">
        <w:rPr>
          <w:rFonts w:ascii="Arial" w:hAnsi="Arial" w:cs="Times New Roman"/>
          <w:sz w:val="21"/>
        </w:rPr>
        <w:t>的地块的土地地面使用权，这块土地是由日内瓦共和体和州以</w:t>
      </w:r>
      <w:r w:rsidRPr="003F5882">
        <w:rPr>
          <w:rFonts w:ascii="Arial" w:hAnsi="Arial" w:cs="Times New Roman"/>
          <w:sz w:val="21"/>
        </w:rPr>
        <w:t>3</w:t>
      </w:r>
      <w:r w:rsidR="00811D36" w:rsidRPr="003F5882">
        <w:rPr>
          <w:rFonts w:ascii="Arial" w:hAnsi="Arial" w:cs="Times New Roman" w:hint="eastAsia"/>
          <w:sz w:val="21"/>
        </w:rPr>
        <w:t>,</w:t>
      </w:r>
      <w:r w:rsidRPr="003F5882">
        <w:rPr>
          <w:rFonts w:ascii="Arial" w:hAnsi="Arial" w:cs="Times New Roman"/>
          <w:sz w:val="21"/>
        </w:rPr>
        <w:t>430</w:t>
      </w:r>
      <w:proofErr w:type="gramStart"/>
      <w:r w:rsidRPr="003F5882">
        <w:rPr>
          <w:rFonts w:ascii="Arial" w:hAnsi="Arial" w:cs="Times New Roman"/>
          <w:sz w:val="21"/>
        </w:rPr>
        <w:t>万瑞</w:t>
      </w:r>
      <w:proofErr w:type="gramEnd"/>
      <w:r w:rsidRPr="003F5882">
        <w:rPr>
          <w:rFonts w:ascii="Arial" w:hAnsi="Arial" w:cs="Times New Roman"/>
          <w:sz w:val="21"/>
        </w:rPr>
        <w:t>郎的价格</w:t>
      </w:r>
      <w:r w:rsidR="00F453AC" w:rsidRPr="003F5882">
        <w:rPr>
          <w:rFonts w:ascii="Arial" w:hAnsi="Arial" w:cs="Times New Roman" w:hint="eastAsia"/>
          <w:sz w:val="21"/>
        </w:rPr>
        <w:t>（</w:t>
      </w:r>
      <w:r w:rsidRPr="003F5882">
        <w:rPr>
          <w:rFonts w:ascii="Arial" w:hAnsi="Arial" w:cs="Times New Roman"/>
          <w:sz w:val="21"/>
        </w:rPr>
        <w:t>包括利息和手续费在内</w:t>
      </w:r>
      <w:r w:rsidR="00F453AC" w:rsidRPr="003F5882">
        <w:rPr>
          <w:rFonts w:ascii="Arial" w:hAnsi="Arial" w:cs="Times New Roman" w:hint="eastAsia"/>
          <w:sz w:val="21"/>
        </w:rPr>
        <w:t>）</w:t>
      </w:r>
      <w:r w:rsidRPr="003F5882">
        <w:rPr>
          <w:rFonts w:ascii="Arial" w:hAnsi="Arial" w:cs="Times New Roman"/>
          <w:sz w:val="21"/>
        </w:rPr>
        <w:t>出让给</w:t>
      </w:r>
      <w:r w:rsidRPr="003F5882">
        <w:rPr>
          <w:rFonts w:ascii="Arial" w:hAnsi="Arial" w:cs="Times New Roman"/>
          <w:sz w:val="21"/>
        </w:rPr>
        <w:t>WMO</w:t>
      </w:r>
      <w:r w:rsidRPr="003F5882">
        <w:rPr>
          <w:rFonts w:ascii="Arial" w:hAnsi="Arial" w:cs="Times New Roman"/>
          <w:sz w:val="21"/>
        </w:rPr>
        <w:t>的。在购买当日，根据瑞士法律原权</w:t>
      </w:r>
      <w:r w:rsidR="00811D36" w:rsidRPr="003F5882">
        <w:rPr>
          <w:rFonts w:ascii="Arial" w:hAnsi="Arial" w:cs="Times New Roman" w:hint="eastAsia"/>
          <w:sz w:val="21"/>
        </w:rPr>
        <w:t>利</w:t>
      </w:r>
      <w:r w:rsidRPr="003F5882">
        <w:rPr>
          <w:rFonts w:ascii="Arial" w:hAnsi="Arial" w:cs="Times New Roman"/>
          <w:sz w:val="21"/>
        </w:rPr>
        <w:t>还有</w:t>
      </w:r>
      <w:r w:rsidRPr="003F5882">
        <w:rPr>
          <w:rFonts w:ascii="Arial" w:hAnsi="Arial" w:cs="Times New Roman"/>
          <w:sz w:val="21"/>
        </w:rPr>
        <w:t>78</w:t>
      </w:r>
      <w:r w:rsidRPr="003F5882">
        <w:rPr>
          <w:rFonts w:ascii="Arial" w:hAnsi="Arial" w:cs="Times New Roman"/>
          <w:sz w:val="21"/>
        </w:rPr>
        <w:t>年剩余，于</w:t>
      </w:r>
      <w:r w:rsidRPr="003F5882">
        <w:rPr>
          <w:rFonts w:ascii="Arial" w:hAnsi="Arial" w:cs="Times New Roman"/>
          <w:sz w:val="21"/>
        </w:rPr>
        <w:t>2073</w:t>
      </w:r>
      <w:r w:rsidRPr="003F5882">
        <w:rPr>
          <w:rFonts w:ascii="Arial" w:hAnsi="Arial" w:cs="Times New Roman"/>
          <w:sz w:val="21"/>
        </w:rPr>
        <w:t>年到期，除非行政区续期。历史成本在剩余使用寿命中摊销。</w:t>
      </w:r>
      <w:r w:rsidRPr="003F5882">
        <w:rPr>
          <w:rFonts w:ascii="Arial" w:hAnsi="Arial" w:cs="Times New Roman"/>
          <w:sz w:val="21"/>
        </w:rPr>
        <w:t>A</w:t>
      </w:r>
      <w:r w:rsidR="00811D36" w:rsidRPr="003F5882">
        <w:rPr>
          <w:rFonts w:ascii="Arial" w:hAnsi="Arial" w:cs="Times New Roman" w:hint="eastAsia"/>
          <w:sz w:val="21"/>
        </w:rPr>
        <w:t>.</w:t>
      </w:r>
      <w:r w:rsidR="00811D36" w:rsidRPr="003F5882">
        <w:rPr>
          <w:rFonts w:ascii="Arial" w:hAnsi="Arial" w:cs="Times New Roman" w:hint="eastAsia"/>
          <w:sz w:val="21"/>
        </w:rPr>
        <w:t>鲍格</w:t>
      </w:r>
      <w:proofErr w:type="gramStart"/>
      <w:r w:rsidR="00811D36" w:rsidRPr="003F5882">
        <w:rPr>
          <w:rFonts w:ascii="Arial" w:hAnsi="Arial" w:cs="Times New Roman" w:hint="eastAsia"/>
          <w:sz w:val="21"/>
        </w:rPr>
        <w:t>胥</w:t>
      </w:r>
      <w:proofErr w:type="gramEnd"/>
      <w:r w:rsidRPr="003F5882">
        <w:rPr>
          <w:rFonts w:ascii="Arial" w:hAnsi="Arial" w:cs="Times New Roman"/>
          <w:sz w:val="21"/>
        </w:rPr>
        <w:t>和</w:t>
      </w:r>
      <w:r w:rsidRPr="003F5882">
        <w:rPr>
          <w:rFonts w:ascii="Arial" w:hAnsi="Arial" w:cs="Times New Roman"/>
          <w:sz w:val="21"/>
        </w:rPr>
        <w:t>G</w:t>
      </w:r>
      <w:r w:rsidR="00811D36" w:rsidRPr="003F5882">
        <w:rPr>
          <w:rFonts w:ascii="Arial" w:hAnsi="Arial" w:cs="Times New Roman" w:hint="eastAsia"/>
          <w:sz w:val="21"/>
        </w:rPr>
        <w:t>.</w:t>
      </w:r>
      <w:r w:rsidR="00811D36" w:rsidRPr="003F5882">
        <w:rPr>
          <w:rFonts w:ascii="Arial" w:hAnsi="Arial" w:cs="Times New Roman" w:hint="eastAsia"/>
          <w:sz w:val="21"/>
        </w:rPr>
        <w:t>博登</w:t>
      </w:r>
      <w:proofErr w:type="gramStart"/>
      <w:r w:rsidR="00811D36" w:rsidRPr="003F5882">
        <w:rPr>
          <w:rFonts w:ascii="Arial" w:hAnsi="Arial" w:cs="Times New Roman" w:hint="eastAsia"/>
          <w:sz w:val="21"/>
        </w:rPr>
        <w:t>浩森</w:t>
      </w:r>
      <w:proofErr w:type="gramEnd"/>
      <w:r w:rsidRPr="003F5882">
        <w:rPr>
          <w:rFonts w:ascii="Arial" w:hAnsi="Arial" w:cs="Times New Roman"/>
          <w:sz w:val="21"/>
        </w:rPr>
        <w:t>两幢大楼所占土地是日内瓦共和体和州的财产，日内瓦共和体和州授予本组织地面使用权，包括</w:t>
      </w:r>
      <w:r w:rsidRPr="003F5882">
        <w:rPr>
          <w:rFonts w:ascii="Arial" w:hAnsi="Arial" w:cs="Times New Roman"/>
          <w:sz w:val="21"/>
        </w:rPr>
        <w:t>60</w:t>
      </w:r>
      <w:r w:rsidRPr="003F5882">
        <w:rPr>
          <w:rFonts w:ascii="Arial" w:hAnsi="Arial" w:cs="Times New Roman"/>
          <w:sz w:val="21"/>
        </w:rPr>
        <w:t>年内建筑楼宇的权利，以及仅由本组织行使的延长另</w:t>
      </w:r>
      <w:r w:rsidRPr="003F5882">
        <w:rPr>
          <w:rFonts w:ascii="Arial" w:hAnsi="Arial" w:cs="Times New Roman"/>
          <w:sz w:val="21"/>
        </w:rPr>
        <w:lastRenderedPageBreak/>
        <w:t>一</w:t>
      </w:r>
      <w:r w:rsidRPr="003F5882">
        <w:rPr>
          <w:rFonts w:ascii="Arial" w:hAnsi="Arial" w:cs="Times New Roman"/>
          <w:sz w:val="21"/>
        </w:rPr>
        <w:t>30</w:t>
      </w:r>
      <w:r w:rsidRPr="003F5882">
        <w:rPr>
          <w:rFonts w:ascii="Arial" w:hAnsi="Arial" w:cs="Times New Roman"/>
          <w:sz w:val="21"/>
        </w:rPr>
        <w:t>年期的权利。本组织无偿获得这些地面使用权，并没有确认价值，因为本组织无权转让归还日内瓦共和体和州的权利，除续期之外。</w:t>
      </w:r>
    </w:p>
    <w:p w:rsidR="007D62CB" w:rsidRDefault="006C0099" w:rsidP="007D62CB">
      <w:pPr>
        <w:pStyle w:val="Style3"/>
        <w:spacing w:afterLines="50" w:line="340" w:lineRule="atLeast"/>
        <w:rPr>
          <w:rFonts w:ascii="Arial" w:hAnsi="Arial" w:cs="Times New Roman"/>
          <w:sz w:val="21"/>
        </w:rPr>
      </w:pPr>
      <w:r w:rsidRPr="003F5882">
        <w:rPr>
          <w:rFonts w:ascii="Arial" w:hAnsi="Arial" w:cs="Times New Roman"/>
          <w:sz w:val="21"/>
        </w:rPr>
        <w:t>自</w:t>
      </w:r>
      <w:r w:rsidRPr="003F5882">
        <w:rPr>
          <w:rFonts w:ascii="Arial" w:hAnsi="Arial" w:cs="Times New Roman"/>
          <w:sz w:val="21"/>
        </w:rPr>
        <w:t>2012</w:t>
      </w:r>
      <w:r w:rsidRPr="003F5882">
        <w:rPr>
          <w:rFonts w:ascii="Arial" w:hAnsi="Arial" w:cs="Times New Roman"/>
          <w:sz w:val="21"/>
        </w:rPr>
        <w:t>年</w:t>
      </w:r>
      <w:r w:rsidRPr="003F5882">
        <w:rPr>
          <w:rFonts w:ascii="Arial" w:hAnsi="Arial" w:cs="Times New Roman"/>
          <w:sz w:val="21"/>
        </w:rPr>
        <w:t>1</w:t>
      </w:r>
      <w:r w:rsidRPr="003F5882">
        <w:rPr>
          <w:rFonts w:ascii="Arial" w:hAnsi="Arial" w:cs="Times New Roman"/>
          <w:sz w:val="21"/>
        </w:rPr>
        <w:t>月</w:t>
      </w:r>
      <w:r w:rsidRPr="003F5882">
        <w:rPr>
          <w:rFonts w:ascii="Arial" w:hAnsi="Arial" w:cs="Times New Roman"/>
          <w:sz w:val="21"/>
        </w:rPr>
        <w:t>1</w:t>
      </w:r>
      <w:r w:rsidRPr="003F5882">
        <w:rPr>
          <w:rFonts w:ascii="Arial" w:hAnsi="Arial" w:cs="Times New Roman"/>
          <w:sz w:val="21"/>
        </w:rPr>
        <w:t>日起，</w:t>
      </w:r>
      <w:r w:rsidRPr="003F5882">
        <w:rPr>
          <w:rFonts w:ascii="Arial" w:hAnsi="Arial" w:cs="Times New Roman"/>
          <w:sz w:val="21"/>
        </w:rPr>
        <w:t>WIPO</w:t>
      </w:r>
      <w:r w:rsidRPr="003F5882">
        <w:rPr>
          <w:rFonts w:ascii="Arial" w:hAnsi="Arial" w:cs="Times New Roman"/>
          <w:sz w:val="21"/>
        </w:rPr>
        <w:t>已将外部购买和内部开发的软件转化为资本。正开发的无形资产涉及尚未投入使用的内部所开发的软件。</w:t>
      </w:r>
    </w:p>
    <w:p w:rsidR="007D62CB" w:rsidRDefault="006C0099" w:rsidP="007D62CB">
      <w:pPr>
        <w:pStyle w:val="STYLETITRENOTES"/>
        <w:keepNext/>
        <w:overflowPunct w:val="0"/>
        <w:spacing w:beforeLines="100" w:before="240" w:afterLines="100" w:after="240" w:line="340" w:lineRule="atLeast"/>
        <w:rPr>
          <w:rFonts w:ascii="Arial" w:eastAsia="SimHei" w:hAnsi="Arial" w:cs="Times New Roman"/>
          <w:b w:val="0"/>
          <w:sz w:val="21"/>
        </w:rPr>
      </w:pPr>
      <w:r w:rsidRPr="00F453AC">
        <w:rPr>
          <w:rFonts w:ascii="Arial" w:eastAsia="SimHei" w:hAnsi="Arial" w:cs="Times New Roman"/>
          <w:b w:val="0"/>
          <w:sz w:val="21"/>
        </w:rPr>
        <w:t>附注</w:t>
      </w:r>
      <w:r w:rsidRPr="00F453AC">
        <w:rPr>
          <w:rFonts w:ascii="Arial" w:eastAsia="SimHei" w:hAnsi="Arial" w:cs="Times New Roman"/>
          <w:b w:val="0"/>
          <w:sz w:val="21"/>
        </w:rPr>
        <w:t>9</w:t>
      </w:r>
      <w:r w:rsidRPr="00F453AC">
        <w:rPr>
          <w:rFonts w:ascii="Arial" w:eastAsia="SimHei" w:hAnsi="Arial" w:cs="Times New Roman"/>
          <w:b w:val="0"/>
          <w:sz w:val="21"/>
        </w:rPr>
        <w:t>：</w:t>
      </w:r>
      <w:r w:rsidRPr="00F453AC">
        <w:rPr>
          <w:rFonts w:ascii="Arial" w:eastAsia="SimHei" w:hAnsi="Arial" w:cs="Times New Roman"/>
          <w:b w:val="0"/>
          <w:sz w:val="21"/>
        </w:rPr>
        <w:tab/>
      </w:r>
      <w:r w:rsidRPr="00F453AC">
        <w:rPr>
          <w:rFonts w:ascii="Arial" w:eastAsia="SimHei" w:hAnsi="Arial" w:cs="Times New Roman"/>
          <w:b w:val="0"/>
          <w:sz w:val="21"/>
        </w:rPr>
        <w:t>土地和建筑物</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本组织的土地和建筑物包括本组织设在瑞士日内瓦万国广场的总部，并包括土地、正在施工的建筑物以及已占用的建筑物。在</w:t>
      </w:r>
      <w:r w:rsidRPr="003F5882">
        <w:rPr>
          <w:rFonts w:ascii="Arial" w:hAnsi="Arial" w:cs="Times New Roman"/>
          <w:sz w:val="21"/>
        </w:rPr>
        <w:t>2010</w:t>
      </w:r>
      <w:r w:rsidRPr="003F5882">
        <w:rPr>
          <w:rFonts w:ascii="Arial" w:hAnsi="Arial" w:cs="Times New Roman"/>
          <w:sz w:val="21"/>
        </w:rPr>
        <w:t>年</w:t>
      </w:r>
      <w:r w:rsidRPr="003F5882">
        <w:rPr>
          <w:rFonts w:ascii="Arial" w:hAnsi="Arial" w:cs="Times New Roman"/>
          <w:sz w:val="21"/>
        </w:rPr>
        <w:t>1</w:t>
      </w:r>
      <w:r w:rsidRPr="003F5882">
        <w:rPr>
          <w:rFonts w:ascii="Arial" w:hAnsi="Arial" w:cs="Times New Roman"/>
          <w:sz w:val="21"/>
        </w:rPr>
        <w:t>月</w:t>
      </w:r>
      <w:r w:rsidRPr="003F5882">
        <w:rPr>
          <w:rFonts w:ascii="Arial" w:hAnsi="Arial" w:cs="Times New Roman"/>
          <w:sz w:val="21"/>
        </w:rPr>
        <w:t>1</w:t>
      </w:r>
      <w:r w:rsidRPr="003F5882">
        <w:rPr>
          <w:rFonts w:ascii="Arial" w:hAnsi="Arial" w:cs="Times New Roman"/>
          <w:sz w:val="21"/>
        </w:rPr>
        <w:t>日</w:t>
      </w:r>
      <w:r w:rsidR="00E2416B" w:rsidRPr="003F5882">
        <w:rPr>
          <w:rFonts w:ascii="Arial" w:hAnsi="Arial" w:cs="Times New Roman" w:hint="eastAsia"/>
          <w:sz w:val="21"/>
        </w:rPr>
        <w:t>过渡</w:t>
      </w:r>
      <w:r w:rsidRPr="003F5882">
        <w:rPr>
          <w:rFonts w:ascii="Arial" w:hAnsi="Arial" w:cs="Times New Roman"/>
          <w:sz w:val="21"/>
        </w:rPr>
        <w:t>到</w:t>
      </w:r>
      <w:r w:rsidR="00E2416B" w:rsidRPr="003F5882">
        <w:rPr>
          <w:rFonts w:ascii="Arial" w:hAnsi="Arial" w:cs="Times New Roman" w:hint="eastAsia"/>
          <w:sz w:val="21"/>
        </w:rPr>
        <w:t>《</w:t>
      </w:r>
      <w:r w:rsidRPr="003F5882">
        <w:rPr>
          <w:rFonts w:ascii="Arial" w:hAnsi="Arial" w:cs="Times New Roman"/>
          <w:sz w:val="21"/>
        </w:rPr>
        <w:t>国际公共部门会计</w:t>
      </w:r>
      <w:r w:rsidR="00E2416B" w:rsidRPr="003F5882">
        <w:rPr>
          <w:rFonts w:ascii="Arial" w:hAnsi="Arial" w:cs="Times New Roman" w:hint="eastAsia"/>
          <w:sz w:val="21"/>
        </w:rPr>
        <w:t>准则》</w:t>
      </w:r>
      <w:r w:rsidRPr="003F5882">
        <w:rPr>
          <w:rFonts w:ascii="Arial" w:hAnsi="Arial" w:cs="Times New Roman"/>
          <w:sz w:val="21"/>
        </w:rPr>
        <w:t>后，所占用的建筑物的价值在该日由外部顾问进行独立评估确定数额计价，这一价格为建筑物落成时的估计价值</w:t>
      </w:r>
      <w:r w:rsidR="00F453AC" w:rsidRPr="003F5882">
        <w:rPr>
          <w:rFonts w:ascii="Arial" w:hAnsi="Arial" w:cs="Times New Roman" w:hint="eastAsia"/>
          <w:sz w:val="21"/>
        </w:rPr>
        <w:t>（</w:t>
      </w:r>
      <w:r w:rsidRPr="003F5882">
        <w:rPr>
          <w:rFonts w:ascii="Arial" w:hAnsi="Arial" w:cs="Times New Roman"/>
          <w:sz w:val="21"/>
        </w:rPr>
        <w:t>视为建造成本</w:t>
      </w:r>
      <w:r w:rsidR="00F453AC" w:rsidRPr="003F5882">
        <w:rPr>
          <w:rFonts w:ascii="Arial" w:hAnsi="Arial" w:cs="Times New Roman" w:hint="eastAsia"/>
          <w:sz w:val="21"/>
        </w:rPr>
        <w:t>）</w:t>
      </w:r>
      <w:r w:rsidRPr="003F5882">
        <w:rPr>
          <w:rFonts w:ascii="Arial" w:hAnsi="Arial" w:cs="Times New Roman"/>
          <w:sz w:val="21"/>
        </w:rPr>
        <w:t>，包括自最初占用以来所进行的修缮和大修的估计价值减去累计折旧和损耗。</w:t>
      </w:r>
      <w:r w:rsidRPr="003F5882">
        <w:rPr>
          <w:rFonts w:ascii="Arial" w:hAnsi="Arial" w:cs="Times New Roman"/>
          <w:sz w:val="21"/>
        </w:rPr>
        <w:t>2010</w:t>
      </w:r>
      <w:r w:rsidRPr="003F5882">
        <w:rPr>
          <w:rFonts w:ascii="Arial" w:hAnsi="Arial" w:cs="Times New Roman"/>
          <w:sz w:val="21"/>
        </w:rPr>
        <w:t>年</w:t>
      </w:r>
      <w:r w:rsidRPr="003F5882">
        <w:rPr>
          <w:rFonts w:ascii="Arial" w:hAnsi="Arial" w:cs="Times New Roman"/>
          <w:sz w:val="21"/>
        </w:rPr>
        <w:t>1</w:t>
      </w:r>
      <w:r w:rsidRPr="003F5882">
        <w:rPr>
          <w:rFonts w:ascii="Arial" w:hAnsi="Arial" w:cs="Times New Roman"/>
          <w:sz w:val="21"/>
        </w:rPr>
        <w:t>月</w:t>
      </w:r>
      <w:r w:rsidRPr="003F5882">
        <w:rPr>
          <w:rFonts w:ascii="Arial" w:hAnsi="Arial" w:cs="Times New Roman"/>
          <w:sz w:val="21"/>
        </w:rPr>
        <w:t>1</w:t>
      </w:r>
      <w:r w:rsidRPr="003F5882">
        <w:rPr>
          <w:rFonts w:ascii="Arial" w:hAnsi="Arial" w:cs="Times New Roman"/>
          <w:sz w:val="21"/>
        </w:rPr>
        <w:t>日之后投入使用的建筑物最初以成本估价。所有建筑物根据直线法基于建筑物的每一主要部分的使用寿命进行折旧。</w:t>
      </w:r>
    </w:p>
    <w:p w:rsidR="007D62CB" w:rsidRDefault="006C0099" w:rsidP="007D62CB">
      <w:pPr>
        <w:pStyle w:val="Style3"/>
        <w:spacing w:afterLines="50" w:line="340" w:lineRule="atLeast"/>
        <w:rPr>
          <w:rFonts w:ascii="Arial" w:hAnsi="Arial" w:cs="Times New Roman"/>
          <w:sz w:val="21"/>
        </w:rPr>
      </w:pPr>
      <w:r w:rsidRPr="003F5882">
        <w:rPr>
          <w:rFonts w:ascii="Arial" w:hAnsi="Arial" w:cs="Times New Roman"/>
          <w:sz w:val="21"/>
        </w:rPr>
        <w:t>1998</w:t>
      </w:r>
      <w:r w:rsidRPr="003F5882">
        <w:rPr>
          <w:rFonts w:ascii="Arial" w:hAnsi="Arial" w:cs="Times New Roman"/>
          <w:sz w:val="21"/>
        </w:rPr>
        <w:t>年本组织出价</w:t>
      </w:r>
      <w:r w:rsidRPr="003F5882">
        <w:rPr>
          <w:rFonts w:ascii="Arial" w:hAnsi="Arial" w:cs="Times New Roman"/>
          <w:sz w:val="21"/>
        </w:rPr>
        <w:t>1,360</w:t>
      </w:r>
      <w:proofErr w:type="gramStart"/>
      <w:r w:rsidRPr="003F5882">
        <w:rPr>
          <w:rFonts w:ascii="Arial" w:hAnsi="Arial" w:cs="Times New Roman"/>
          <w:sz w:val="21"/>
        </w:rPr>
        <w:t>万瑞郎购买</w:t>
      </w:r>
      <w:proofErr w:type="gramEnd"/>
      <w:r w:rsidRPr="003F5882">
        <w:rPr>
          <w:rFonts w:ascii="Arial" w:hAnsi="Arial" w:cs="Times New Roman"/>
          <w:sz w:val="21"/>
        </w:rPr>
        <w:t>了用以建设新大楼的土地，并于</w:t>
      </w:r>
      <w:r w:rsidRPr="003F5882">
        <w:rPr>
          <w:rFonts w:ascii="Arial" w:hAnsi="Arial" w:cs="Times New Roman"/>
          <w:sz w:val="21"/>
        </w:rPr>
        <w:t>2009</w:t>
      </w:r>
      <w:r w:rsidRPr="003F5882">
        <w:rPr>
          <w:rFonts w:ascii="Arial" w:hAnsi="Arial" w:cs="Times New Roman"/>
          <w:sz w:val="21"/>
        </w:rPr>
        <w:t>年</w:t>
      </w:r>
      <w:r w:rsidRPr="003F5882">
        <w:rPr>
          <w:rFonts w:ascii="Arial" w:hAnsi="Arial" w:cs="Times New Roman"/>
          <w:sz w:val="21"/>
        </w:rPr>
        <w:t>12</w:t>
      </w:r>
      <w:r w:rsidRPr="003F5882">
        <w:rPr>
          <w:rFonts w:ascii="Arial" w:hAnsi="Arial" w:cs="Times New Roman"/>
          <w:sz w:val="21"/>
        </w:rPr>
        <w:t>月</w:t>
      </w:r>
      <w:r w:rsidRPr="003F5882">
        <w:rPr>
          <w:rFonts w:ascii="Arial" w:hAnsi="Arial" w:cs="Times New Roman"/>
          <w:sz w:val="21"/>
        </w:rPr>
        <w:t>31</w:t>
      </w:r>
      <w:r w:rsidRPr="003F5882">
        <w:rPr>
          <w:rFonts w:ascii="Arial" w:hAnsi="Arial" w:cs="Times New Roman"/>
          <w:sz w:val="21"/>
        </w:rPr>
        <w:t>日由独立鉴定人根据国际评估标准按公允价格重估价值为</w:t>
      </w:r>
      <w:r w:rsidRPr="003F5882">
        <w:rPr>
          <w:rFonts w:ascii="Arial" w:hAnsi="Arial" w:cs="Times New Roman"/>
          <w:sz w:val="21"/>
        </w:rPr>
        <w:t>2,860</w:t>
      </w:r>
      <w:proofErr w:type="gramStart"/>
      <w:r w:rsidRPr="003F5882">
        <w:rPr>
          <w:rFonts w:ascii="Arial" w:hAnsi="Arial" w:cs="Times New Roman"/>
          <w:sz w:val="21"/>
        </w:rPr>
        <w:t>万瑞</w:t>
      </w:r>
      <w:proofErr w:type="gramEnd"/>
      <w:r w:rsidRPr="003F5882">
        <w:rPr>
          <w:rFonts w:ascii="Arial" w:hAnsi="Arial" w:cs="Times New Roman"/>
          <w:sz w:val="21"/>
        </w:rPr>
        <w:t>郎。</w:t>
      </w:r>
      <w:r w:rsidRPr="003F5882">
        <w:rPr>
          <w:rFonts w:ascii="Arial" w:hAnsi="Arial" w:cs="Times New Roman"/>
          <w:sz w:val="21"/>
        </w:rPr>
        <w:t>1,500</w:t>
      </w:r>
      <w:r w:rsidRPr="003F5882">
        <w:rPr>
          <w:rFonts w:ascii="Arial" w:hAnsi="Arial" w:cs="Times New Roman"/>
          <w:sz w:val="21"/>
        </w:rPr>
        <w:t>万瑞郎的重新估价净增值归入重估价盈余，形成了</w:t>
      </w:r>
      <w:r w:rsidRPr="003F5882">
        <w:rPr>
          <w:rFonts w:ascii="Arial" w:hAnsi="Arial" w:cs="Times New Roman"/>
          <w:sz w:val="21"/>
        </w:rPr>
        <w:t>WIPO</w:t>
      </w:r>
      <w:r w:rsidRPr="003F5882">
        <w:rPr>
          <w:rFonts w:ascii="Arial" w:hAnsi="Arial" w:cs="Times New Roman"/>
          <w:sz w:val="21"/>
        </w:rPr>
        <w:t>净资产的一部分。</w:t>
      </w:r>
      <w:r w:rsidRPr="003F5882">
        <w:rPr>
          <w:rFonts w:ascii="Arial" w:hAnsi="Arial" w:cs="Times New Roman"/>
          <w:sz w:val="21"/>
        </w:rPr>
        <w:t>2013</w:t>
      </w:r>
      <w:r w:rsidRPr="003F5882">
        <w:rPr>
          <w:rFonts w:ascii="Arial" w:hAnsi="Arial" w:cs="Times New Roman"/>
          <w:sz w:val="21"/>
        </w:rPr>
        <w:t>年</w:t>
      </w:r>
      <w:r w:rsidRPr="003F5882">
        <w:rPr>
          <w:rFonts w:ascii="Arial" w:hAnsi="Arial" w:cs="Times New Roman"/>
          <w:sz w:val="21"/>
        </w:rPr>
        <w:t>12</w:t>
      </w:r>
      <w:r w:rsidRPr="003F5882">
        <w:rPr>
          <w:rFonts w:ascii="Arial" w:hAnsi="Arial" w:cs="Times New Roman"/>
          <w:sz w:val="21"/>
        </w:rPr>
        <w:t>月</w:t>
      </w:r>
      <w:r w:rsidRPr="003F5882">
        <w:rPr>
          <w:rFonts w:ascii="Arial" w:hAnsi="Arial" w:cs="Times New Roman"/>
          <w:sz w:val="21"/>
        </w:rPr>
        <w:t>31</w:t>
      </w:r>
      <w:r w:rsidRPr="003F5882">
        <w:rPr>
          <w:rFonts w:ascii="Arial" w:hAnsi="Arial" w:cs="Times New Roman"/>
          <w:sz w:val="21"/>
        </w:rPr>
        <w:t>日，由独立鉴定人对土地进行更新估价，结果与先前所估</w:t>
      </w:r>
      <w:r w:rsidRPr="003F5882">
        <w:rPr>
          <w:rFonts w:ascii="Arial" w:hAnsi="Arial" w:cs="Times New Roman"/>
          <w:sz w:val="21"/>
        </w:rPr>
        <w:t>2,860</w:t>
      </w:r>
      <w:r w:rsidRPr="003F5882">
        <w:rPr>
          <w:rFonts w:ascii="Arial" w:hAnsi="Arial" w:cs="Times New Roman"/>
          <w:sz w:val="21"/>
        </w:rPr>
        <w:t>万瑞郎的公允价值相比没有变化。通过以恰当投资收益率将该项物业今后潜在收入流转化为资本的方式对其市场价值进行了评估。潜在收入以市场可比较租金为基准，并考虑了空间质量和位置。参照感知质量、收入期限和进一步提高租金的潜在性选择了投资收益，并通过可比较销售提供的证据进行了交叉核实。</w:t>
      </w:r>
    </w:p>
    <w:p w:rsidR="006C0099" w:rsidRPr="003F5882" w:rsidRDefault="006C0099" w:rsidP="007D62CB">
      <w:pPr>
        <w:pStyle w:val="Style3"/>
        <w:spacing w:afterLines="50" w:line="340" w:lineRule="atLeast"/>
        <w:rPr>
          <w:rFonts w:ascii="Arial" w:hAnsi="Arial" w:cs="Times New Roman"/>
          <w:sz w:val="21"/>
        </w:rPr>
      </w:pPr>
      <w:r w:rsidRPr="003F5882">
        <w:rPr>
          <w:rFonts w:ascii="Arial" w:hAnsi="Arial" w:cs="Times New Roman"/>
          <w:sz w:val="21"/>
        </w:rPr>
        <w:t>2009</w:t>
      </w:r>
      <w:r w:rsidRPr="003F5882">
        <w:rPr>
          <w:rFonts w:ascii="Arial" w:hAnsi="Arial" w:cs="Times New Roman"/>
          <w:sz w:val="21"/>
        </w:rPr>
        <w:t>年</w:t>
      </w:r>
      <w:r w:rsidRPr="003F5882">
        <w:rPr>
          <w:rFonts w:ascii="Arial" w:hAnsi="Arial" w:cs="Times New Roman"/>
          <w:sz w:val="21"/>
        </w:rPr>
        <w:t>10</w:t>
      </w:r>
      <w:r w:rsidRPr="003F5882">
        <w:rPr>
          <w:rFonts w:ascii="Arial" w:hAnsi="Arial" w:cs="Times New Roman"/>
          <w:sz w:val="21"/>
        </w:rPr>
        <w:t>月，成员国大会批准了与</w:t>
      </w:r>
      <w:r w:rsidR="00A0386B" w:rsidRPr="003F5882">
        <w:rPr>
          <w:rFonts w:ascii="Arial" w:hAnsi="Arial" w:cs="Times New Roman" w:hint="eastAsia"/>
          <w:sz w:val="21"/>
        </w:rPr>
        <w:t>A.</w:t>
      </w:r>
      <w:r w:rsidRPr="003F5882">
        <w:rPr>
          <w:rFonts w:ascii="Arial" w:hAnsi="Arial" w:cs="Times New Roman"/>
          <w:sz w:val="21"/>
        </w:rPr>
        <w:t>鲍格</w:t>
      </w:r>
      <w:proofErr w:type="gramStart"/>
      <w:r w:rsidRPr="003F5882">
        <w:rPr>
          <w:rFonts w:ascii="Arial" w:hAnsi="Arial" w:cs="Times New Roman"/>
          <w:sz w:val="21"/>
        </w:rPr>
        <w:t>胥</w:t>
      </w:r>
      <w:proofErr w:type="gramEnd"/>
      <w:r w:rsidR="00F453AC" w:rsidRPr="003F5882">
        <w:rPr>
          <w:rFonts w:ascii="Arial" w:hAnsi="Arial" w:cs="Times New Roman"/>
          <w:sz w:val="21"/>
        </w:rPr>
        <w:t>（</w:t>
      </w:r>
      <w:r w:rsidRPr="003F5882">
        <w:rPr>
          <w:rFonts w:ascii="Arial" w:hAnsi="Arial" w:cs="Times New Roman"/>
          <w:sz w:val="21"/>
        </w:rPr>
        <w:t>AB</w:t>
      </w:r>
      <w:r w:rsidR="00F453AC" w:rsidRPr="003F5882">
        <w:rPr>
          <w:rFonts w:ascii="Arial" w:hAnsi="Arial" w:cs="Times New Roman"/>
          <w:sz w:val="21"/>
        </w:rPr>
        <w:t>）</w:t>
      </w:r>
      <w:r w:rsidRPr="003F5882">
        <w:rPr>
          <w:rFonts w:ascii="Arial" w:hAnsi="Arial" w:cs="Times New Roman"/>
          <w:sz w:val="21"/>
        </w:rPr>
        <w:t>大楼邻接的新会议厅</w:t>
      </w:r>
      <w:r w:rsidR="00F453AC" w:rsidRPr="003F5882">
        <w:rPr>
          <w:rFonts w:ascii="Arial" w:hAnsi="Arial" w:cs="Times New Roman"/>
          <w:sz w:val="21"/>
        </w:rPr>
        <w:t>（</w:t>
      </w:r>
      <w:r w:rsidRPr="003F5882">
        <w:rPr>
          <w:rFonts w:ascii="Arial" w:hAnsi="Arial" w:cs="Times New Roman"/>
          <w:sz w:val="21"/>
        </w:rPr>
        <w:t>NCH</w:t>
      </w:r>
      <w:r w:rsidR="00F453AC" w:rsidRPr="003F5882">
        <w:rPr>
          <w:rFonts w:ascii="Arial" w:hAnsi="Arial" w:cs="Times New Roman"/>
          <w:sz w:val="21"/>
        </w:rPr>
        <w:t>）</w:t>
      </w:r>
      <w:r w:rsidRPr="003F5882">
        <w:rPr>
          <w:rFonts w:ascii="Arial" w:hAnsi="Arial" w:cs="Times New Roman"/>
          <w:sz w:val="21"/>
        </w:rPr>
        <w:t>建设项目。该项目在</w:t>
      </w:r>
      <w:r w:rsidRPr="003F5882">
        <w:rPr>
          <w:rFonts w:ascii="Arial" w:hAnsi="Arial" w:cs="Times New Roman"/>
          <w:sz w:val="21"/>
        </w:rPr>
        <w:t>2014</w:t>
      </w:r>
      <w:r w:rsidRPr="003F5882">
        <w:rPr>
          <w:rFonts w:ascii="Arial" w:hAnsi="Arial" w:cs="Times New Roman"/>
          <w:sz w:val="21"/>
        </w:rPr>
        <w:t>年完工，</w:t>
      </w:r>
      <w:r w:rsidRPr="003F5882">
        <w:rPr>
          <w:rFonts w:ascii="Arial" w:hAnsi="Arial" w:cs="Times New Roman"/>
          <w:sz w:val="21"/>
        </w:rPr>
        <w:t>NCH</w:t>
      </w:r>
      <w:r w:rsidRPr="003F5882">
        <w:rPr>
          <w:rFonts w:ascii="Arial" w:hAnsi="Arial" w:cs="Times New Roman"/>
          <w:sz w:val="21"/>
        </w:rPr>
        <w:t>于</w:t>
      </w:r>
      <w:r w:rsidRPr="003F5882">
        <w:rPr>
          <w:rFonts w:ascii="Arial" w:hAnsi="Arial" w:cs="Times New Roman"/>
          <w:sz w:val="21"/>
        </w:rPr>
        <w:t>2014</w:t>
      </w:r>
      <w:r w:rsidRPr="003F5882">
        <w:rPr>
          <w:rFonts w:ascii="Arial" w:hAnsi="Arial" w:cs="Times New Roman"/>
          <w:sz w:val="21"/>
        </w:rPr>
        <w:t>年</w:t>
      </w:r>
      <w:r w:rsidRPr="003F5882">
        <w:rPr>
          <w:rFonts w:ascii="Arial" w:hAnsi="Arial" w:cs="Times New Roman"/>
          <w:sz w:val="21"/>
        </w:rPr>
        <w:t>9</w:t>
      </w:r>
      <w:r w:rsidRPr="003F5882">
        <w:rPr>
          <w:rFonts w:ascii="Arial" w:hAnsi="Arial" w:cs="Times New Roman"/>
          <w:sz w:val="21"/>
        </w:rPr>
        <w:t>月投入使用。该项目还涉及</w:t>
      </w:r>
      <w:r w:rsidRPr="003F5882">
        <w:rPr>
          <w:rFonts w:ascii="Arial" w:hAnsi="Arial" w:cs="Times New Roman"/>
          <w:sz w:val="21"/>
        </w:rPr>
        <w:t>AB</w:t>
      </w:r>
      <w:r w:rsidRPr="003F5882">
        <w:rPr>
          <w:rFonts w:ascii="Arial" w:hAnsi="Arial" w:cs="Times New Roman"/>
          <w:sz w:val="21"/>
        </w:rPr>
        <w:t>大楼区域部分拆除、后续重建以及改善。拆除区域计为施工阶段减值。如今，减值区域已经在财务报表中终止确认，取而代之的是完工的重建和改进工程。</w:t>
      </w:r>
      <w:r w:rsidRPr="003F5882">
        <w:rPr>
          <w:rFonts w:ascii="Arial" w:hAnsi="Arial" w:cs="Times New Roman"/>
          <w:sz w:val="21"/>
        </w:rPr>
        <w:t>WIPO</w:t>
      </w:r>
      <w:r w:rsidRPr="003F5882">
        <w:rPr>
          <w:rFonts w:ascii="Arial" w:hAnsi="Arial" w:cs="Times New Roman"/>
          <w:sz w:val="21"/>
        </w:rPr>
        <w:t>还在开展一个项目，根据联合国安全管理体系建议</w:t>
      </w:r>
      <w:r w:rsidR="00074192" w:rsidRPr="003F5882">
        <w:rPr>
          <w:rFonts w:ascii="Arial" w:hAnsi="Arial" w:cs="Times New Roman" w:hint="eastAsia"/>
          <w:sz w:val="21"/>
        </w:rPr>
        <w:t>的落实情况</w:t>
      </w:r>
      <w:r w:rsidRPr="003F5882">
        <w:rPr>
          <w:rFonts w:ascii="Arial" w:hAnsi="Arial" w:cs="Times New Roman"/>
          <w:sz w:val="21"/>
        </w:rPr>
        <w:t>来对其现有各个大楼的安全与安保标准进行升级。这涉及把安全与安保标准提升到联合国总部最低</w:t>
      </w:r>
      <w:r w:rsidR="00074192" w:rsidRPr="003F5882">
        <w:rPr>
          <w:rFonts w:ascii="Arial" w:hAnsi="Arial" w:cs="Times New Roman" w:hint="eastAsia"/>
          <w:sz w:val="21"/>
        </w:rPr>
        <w:t>运作</w:t>
      </w:r>
      <w:r w:rsidRPr="003F5882">
        <w:rPr>
          <w:rFonts w:ascii="Arial" w:hAnsi="Arial" w:cs="Times New Roman"/>
          <w:sz w:val="21"/>
        </w:rPr>
        <w:t>安</w:t>
      </w:r>
      <w:r w:rsidR="00074192" w:rsidRPr="003F5882">
        <w:rPr>
          <w:rFonts w:ascii="Arial" w:hAnsi="Arial" w:cs="Times New Roman" w:hint="eastAsia"/>
          <w:sz w:val="21"/>
        </w:rPr>
        <w:t>保</w:t>
      </w:r>
      <w:r w:rsidRPr="003F5882">
        <w:rPr>
          <w:rFonts w:ascii="Arial" w:hAnsi="Arial" w:cs="Times New Roman"/>
          <w:sz w:val="21"/>
        </w:rPr>
        <w:t>标准</w:t>
      </w:r>
      <w:r w:rsidR="00F453AC" w:rsidRPr="003F5882">
        <w:rPr>
          <w:rFonts w:ascii="Arial" w:hAnsi="Arial" w:cs="Times New Roman" w:hint="eastAsia"/>
          <w:sz w:val="21"/>
        </w:rPr>
        <w:t>（</w:t>
      </w:r>
      <w:r w:rsidRPr="003F5882">
        <w:rPr>
          <w:rFonts w:ascii="Arial" w:hAnsi="Arial" w:cs="Times New Roman"/>
          <w:sz w:val="21"/>
        </w:rPr>
        <w:t>H-MOSS</w:t>
      </w:r>
      <w:r w:rsidR="00F453AC" w:rsidRPr="003F5882">
        <w:rPr>
          <w:rFonts w:ascii="Arial" w:hAnsi="Arial" w:cs="Times New Roman" w:hint="eastAsia"/>
          <w:sz w:val="21"/>
        </w:rPr>
        <w:t>）</w:t>
      </w:r>
      <w:r w:rsidRPr="003F5882">
        <w:rPr>
          <w:rFonts w:ascii="Arial" w:hAnsi="Arial" w:cs="Times New Roman"/>
          <w:sz w:val="21"/>
        </w:rPr>
        <w:t>。该项目包括构建一种安全参数</w:t>
      </w:r>
      <w:r w:rsidR="009B1044" w:rsidRPr="003F5882">
        <w:rPr>
          <w:rFonts w:ascii="Arial" w:hAnsi="Arial" w:cs="Times New Roman" w:hint="eastAsia"/>
          <w:sz w:val="21"/>
        </w:rPr>
        <w:t>、新的通道中心</w:t>
      </w:r>
      <w:r w:rsidRPr="003F5882">
        <w:rPr>
          <w:rFonts w:ascii="Arial" w:hAnsi="Arial" w:cs="Times New Roman"/>
          <w:sz w:val="21"/>
        </w:rPr>
        <w:t>和内部安全措施。本组织开展的此项施工工程的相关成本已经在</w:t>
      </w:r>
      <w:r w:rsidRPr="003F5882">
        <w:rPr>
          <w:rFonts w:ascii="Arial" w:hAnsi="Arial" w:cs="Times New Roman"/>
          <w:sz w:val="21"/>
        </w:rPr>
        <w:t>2014</w:t>
      </w:r>
      <w:r w:rsidRPr="003F5882">
        <w:rPr>
          <w:rFonts w:ascii="Arial" w:hAnsi="Arial" w:cs="Times New Roman"/>
          <w:sz w:val="21"/>
        </w:rPr>
        <w:t>年随着工程的进展而转化为资本，该工程有望在</w:t>
      </w:r>
      <w:r w:rsidRPr="003F5882">
        <w:rPr>
          <w:rFonts w:ascii="Arial" w:hAnsi="Arial" w:cs="Times New Roman"/>
          <w:sz w:val="21"/>
        </w:rPr>
        <w:t>2015</w:t>
      </w:r>
      <w:r w:rsidRPr="003F5882">
        <w:rPr>
          <w:rFonts w:ascii="Arial" w:hAnsi="Arial" w:cs="Times New Roman"/>
          <w:sz w:val="21"/>
        </w:rPr>
        <w:t>年上半年完工。该建筑项目已部分地得到国际组织办公楼基金会</w:t>
      </w:r>
      <w:r w:rsidR="00F453AC" w:rsidRPr="003F5882">
        <w:rPr>
          <w:rFonts w:ascii="Arial" w:hAnsi="Arial" w:cs="Times New Roman" w:hint="eastAsia"/>
          <w:sz w:val="21"/>
        </w:rPr>
        <w:t>（</w:t>
      </w:r>
      <w:r w:rsidRPr="003F5882">
        <w:rPr>
          <w:rFonts w:ascii="Arial" w:hAnsi="Arial" w:cs="Times New Roman"/>
          <w:sz w:val="21"/>
        </w:rPr>
        <w:t>FIPOI</w:t>
      </w:r>
      <w:r w:rsidR="00F453AC" w:rsidRPr="003F5882">
        <w:rPr>
          <w:rFonts w:ascii="Arial" w:hAnsi="Arial" w:cs="Times New Roman" w:hint="eastAsia"/>
          <w:sz w:val="21"/>
        </w:rPr>
        <w:t>）</w:t>
      </w:r>
      <w:r w:rsidRPr="003F5882">
        <w:rPr>
          <w:rFonts w:ascii="Arial" w:hAnsi="Arial" w:cs="Times New Roman"/>
          <w:sz w:val="21"/>
        </w:rPr>
        <w:t>所提供的资金支持。得到</w:t>
      </w:r>
      <w:r w:rsidRPr="003F5882">
        <w:rPr>
          <w:rFonts w:ascii="Arial" w:hAnsi="Arial" w:cs="Times New Roman"/>
          <w:sz w:val="21"/>
        </w:rPr>
        <w:t>FIPOI</w:t>
      </w:r>
      <w:r w:rsidRPr="003F5882">
        <w:rPr>
          <w:rFonts w:ascii="Arial" w:hAnsi="Arial" w:cs="Times New Roman"/>
          <w:sz w:val="21"/>
        </w:rPr>
        <w:t>供资的建筑工作已被作为在建工程转化为资本，相应的一部分金额也被作为递</w:t>
      </w:r>
      <w:proofErr w:type="gramStart"/>
      <w:r w:rsidRPr="003F5882">
        <w:rPr>
          <w:rFonts w:ascii="Arial" w:hAnsi="Arial" w:cs="Times New Roman"/>
          <w:sz w:val="21"/>
        </w:rPr>
        <w:t>延收入</w:t>
      </w:r>
      <w:proofErr w:type="gramEnd"/>
      <w:r w:rsidRPr="003F5882">
        <w:rPr>
          <w:rFonts w:ascii="Arial" w:hAnsi="Arial" w:cs="Times New Roman"/>
          <w:sz w:val="21"/>
        </w:rPr>
        <w:t>得到确认</w:t>
      </w:r>
      <w:r w:rsidR="00F453AC" w:rsidRPr="003F5882">
        <w:rPr>
          <w:rFonts w:ascii="Arial" w:hAnsi="Arial" w:cs="Times New Roman" w:hint="eastAsia"/>
          <w:sz w:val="21"/>
        </w:rPr>
        <w:t>（</w:t>
      </w:r>
      <w:r w:rsidRPr="003F5882">
        <w:rPr>
          <w:rFonts w:ascii="Arial" w:hAnsi="Arial" w:cs="Times New Roman"/>
          <w:sz w:val="21"/>
        </w:rPr>
        <w:t>见附注</w:t>
      </w:r>
      <w:r w:rsidRPr="003F5882">
        <w:rPr>
          <w:rFonts w:ascii="Arial" w:hAnsi="Arial" w:cs="Times New Roman"/>
          <w:sz w:val="21"/>
        </w:rPr>
        <w:t>14</w:t>
      </w:r>
      <w:r w:rsidR="00F453AC" w:rsidRPr="003F5882">
        <w:rPr>
          <w:rFonts w:ascii="Arial" w:hAnsi="Arial" w:cs="Times New Roman" w:hint="eastAsia"/>
          <w:sz w:val="21"/>
        </w:rPr>
        <w:t>）</w:t>
      </w:r>
      <w:r w:rsidRPr="003F5882">
        <w:rPr>
          <w:rFonts w:ascii="Arial" w:hAnsi="Arial" w:cs="Times New Roman"/>
          <w:sz w:val="21"/>
        </w:rPr>
        <w:t>。</w:t>
      </w:r>
    </w:p>
    <w:p w:rsidR="006C0099" w:rsidRPr="003F5882" w:rsidRDefault="006C0099" w:rsidP="006C0099">
      <w:pPr>
        <w:pStyle w:val="Style3"/>
        <w:spacing w:after="0"/>
        <w:rPr>
          <w:rFonts w:ascii="Arial" w:hAnsi="Arial" w:cs="Times New Roman"/>
          <w:sz w:val="21"/>
        </w:rPr>
        <w:sectPr w:rsidR="006C0099" w:rsidRPr="003F5882" w:rsidSect="000E71F4">
          <w:headerReference w:type="default" r:id="rId68"/>
          <w:footerReference w:type="default" r:id="rId69"/>
          <w:pgSz w:w="11907" w:h="16840" w:code="9"/>
          <w:pgMar w:top="851" w:right="1247" w:bottom="1531" w:left="1247" w:header="709" w:footer="709" w:gutter="0"/>
          <w:cols w:space="708"/>
          <w:docGrid w:linePitch="360"/>
        </w:sectPr>
      </w:pP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lastRenderedPageBreak/>
        <w:t>2014</w:t>
      </w:r>
      <w:r w:rsidRPr="003F5882">
        <w:rPr>
          <w:rFonts w:ascii="Arial" w:hAnsi="Arial" w:cs="Times New Roman"/>
          <w:sz w:val="21"/>
        </w:rPr>
        <w:t>年土地和建筑物变动情况：</w:t>
      </w:r>
    </w:p>
    <w:p w:rsidR="007D62CB" w:rsidRDefault="007D62CB" w:rsidP="006C0099">
      <w:pPr>
        <w:pStyle w:val="StyleHeading211ptNotBoldNotItalicAllcaps"/>
        <w:spacing w:before="0" w:after="0"/>
        <w:rPr>
          <w:rFonts w:ascii="Arial" w:eastAsia="SimHei" w:hAnsi="Arial" w:cs="Times New Roman"/>
          <w:b w:val="0"/>
          <w:sz w:val="21"/>
          <w:szCs w:val="22"/>
        </w:rPr>
      </w:pPr>
    </w:p>
    <w:p w:rsidR="007D62CB" w:rsidRDefault="00DA4636" w:rsidP="00DA4636">
      <w:pPr>
        <w:pStyle w:val="StyleHeading211ptNotBoldNotItalicAllcaps"/>
        <w:keepNext w:val="0"/>
        <w:spacing w:before="0" w:after="0"/>
        <w:ind w:right="49"/>
        <w:jc w:val="center"/>
        <w:rPr>
          <w:rFonts w:ascii="Arial" w:eastAsia="SimHei" w:hAnsi="Arial" w:cs="Times New Roman"/>
          <w:b w:val="0"/>
          <w:sz w:val="21"/>
        </w:rPr>
      </w:pPr>
      <w:r w:rsidRPr="00DA4636">
        <w:rPr>
          <w:rFonts w:eastAsia="SimHei"/>
          <w:noProof/>
          <w:lang w:val="en-US" w:bidi="ar-SA"/>
        </w:rPr>
        <w:drawing>
          <wp:inline distT="0" distB="0" distL="0" distR="0" wp14:anchorId="3F474B38" wp14:editId="2D1D83A1">
            <wp:extent cx="9575165" cy="4508896"/>
            <wp:effectExtent l="0" t="0" r="6985" b="6350"/>
            <wp:docPr id="142" name="图片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9575165" cy="4508896"/>
                    </a:xfrm>
                    <a:prstGeom prst="rect">
                      <a:avLst/>
                    </a:prstGeom>
                    <a:noFill/>
                    <a:ln>
                      <a:noFill/>
                    </a:ln>
                  </pic:spPr>
                </pic:pic>
              </a:graphicData>
            </a:graphic>
          </wp:inline>
        </w:drawing>
      </w:r>
    </w:p>
    <w:p w:rsidR="006C0099" w:rsidRPr="00F453AC" w:rsidRDefault="006C0099" w:rsidP="006C0099">
      <w:pPr>
        <w:pStyle w:val="StyleHeading211ptNotBoldNotItalicAllcaps"/>
        <w:spacing w:before="0" w:after="0"/>
        <w:rPr>
          <w:rFonts w:ascii="Arial" w:eastAsia="SimHei" w:hAnsi="Arial" w:cs="Times New Roman"/>
          <w:b w:val="0"/>
          <w:sz w:val="21"/>
        </w:rPr>
        <w:sectPr w:rsidR="006C0099" w:rsidRPr="00F453AC" w:rsidSect="000E71F4">
          <w:pgSz w:w="16840" w:h="11907" w:orient="landscape" w:code="9"/>
          <w:pgMar w:top="1247" w:right="910" w:bottom="1247" w:left="851" w:header="709" w:footer="709" w:gutter="0"/>
          <w:cols w:space="708"/>
          <w:docGrid w:linePitch="360"/>
        </w:sectPr>
      </w:pP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lastRenderedPageBreak/>
        <w:t>之前的</w:t>
      </w:r>
      <w:r w:rsidRPr="003F5882">
        <w:rPr>
          <w:rFonts w:ascii="Arial" w:hAnsi="Arial" w:cs="Times New Roman"/>
          <w:sz w:val="21"/>
        </w:rPr>
        <w:t>2013</w:t>
      </w:r>
      <w:r w:rsidRPr="003F5882">
        <w:rPr>
          <w:rFonts w:ascii="Arial" w:hAnsi="Arial" w:cs="Times New Roman"/>
          <w:sz w:val="21"/>
        </w:rPr>
        <w:t>年土地和建筑物变动情况：</w:t>
      </w:r>
    </w:p>
    <w:p w:rsidR="007D62CB" w:rsidRDefault="006F16A3" w:rsidP="006F16A3">
      <w:pPr>
        <w:pStyle w:val="StyleHeading211ptNotBoldNotItalicAllcaps"/>
        <w:keepNext w:val="0"/>
        <w:spacing w:before="0" w:after="0"/>
        <w:jc w:val="center"/>
        <w:rPr>
          <w:rFonts w:ascii="Arial" w:eastAsia="SimHei" w:hAnsi="Arial" w:cs="Times New Roman"/>
          <w:b w:val="0"/>
          <w:sz w:val="21"/>
          <w:szCs w:val="22"/>
        </w:rPr>
      </w:pPr>
      <w:r w:rsidRPr="006F16A3">
        <w:rPr>
          <w:rFonts w:eastAsia="SimHei"/>
          <w:noProof/>
          <w:lang w:val="en-US" w:bidi="ar-SA"/>
        </w:rPr>
        <w:drawing>
          <wp:inline distT="0" distB="0" distL="0" distR="0" wp14:anchorId="351A64EA" wp14:editId="509E25F8">
            <wp:extent cx="9575165" cy="4259355"/>
            <wp:effectExtent l="0" t="0" r="6985" b="0"/>
            <wp:docPr id="143" name="图片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9575165" cy="4259355"/>
                    </a:xfrm>
                    <a:prstGeom prst="rect">
                      <a:avLst/>
                    </a:prstGeom>
                    <a:noFill/>
                    <a:ln>
                      <a:noFill/>
                    </a:ln>
                  </pic:spPr>
                </pic:pic>
              </a:graphicData>
            </a:graphic>
          </wp:inline>
        </w:drawing>
      </w:r>
    </w:p>
    <w:p w:rsidR="007D62CB" w:rsidRDefault="007D62CB" w:rsidP="006F16A3">
      <w:pPr>
        <w:pStyle w:val="StyleHeading211ptNotBoldNotItalicAllcaps"/>
        <w:keepNext w:val="0"/>
        <w:spacing w:before="0" w:after="0"/>
        <w:rPr>
          <w:rFonts w:ascii="Arial" w:eastAsia="SimHei" w:hAnsi="Arial" w:cs="Times New Roman"/>
          <w:b w:val="0"/>
          <w:sz w:val="21"/>
          <w:szCs w:val="22"/>
        </w:rPr>
      </w:pPr>
    </w:p>
    <w:p w:rsidR="006C0099" w:rsidRPr="00F453AC" w:rsidRDefault="006C0099" w:rsidP="006F16A3">
      <w:pPr>
        <w:pStyle w:val="StyleHeading211ptNotBoldNotItalicAllcaps"/>
        <w:keepNext w:val="0"/>
        <w:spacing w:before="0" w:after="0"/>
        <w:rPr>
          <w:rFonts w:ascii="Arial" w:eastAsia="SimHei" w:hAnsi="Arial" w:cs="Times New Roman"/>
          <w:b w:val="0"/>
          <w:sz w:val="21"/>
          <w:szCs w:val="22"/>
        </w:rPr>
      </w:pPr>
    </w:p>
    <w:p w:rsidR="006C0099" w:rsidRPr="00F453AC" w:rsidRDefault="006C0099" w:rsidP="006F16A3">
      <w:pPr>
        <w:pStyle w:val="StyleHeading211ptNotBoldNotItalicAllcaps"/>
        <w:keepNext w:val="0"/>
        <w:rPr>
          <w:rFonts w:ascii="Arial" w:eastAsia="SimHei" w:hAnsi="Arial" w:cs="Times New Roman"/>
          <w:b w:val="0"/>
          <w:sz w:val="20"/>
          <w:szCs w:val="20"/>
        </w:rPr>
        <w:sectPr w:rsidR="006C0099" w:rsidRPr="00F453AC" w:rsidSect="000E71F4">
          <w:pgSz w:w="16840" w:h="11907" w:orient="landscape" w:code="9"/>
          <w:pgMar w:top="1247" w:right="910" w:bottom="1247" w:left="851" w:header="709" w:footer="709" w:gutter="0"/>
          <w:cols w:space="708"/>
          <w:docGrid w:linePitch="360"/>
        </w:sectPr>
      </w:pPr>
    </w:p>
    <w:p w:rsidR="007D62CB" w:rsidRDefault="006C0099" w:rsidP="007D62CB">
      <w:pPr>
        <w:pStyle w:val="STYLETITRENOTES"/>
        <w:keepNext/>
        <w:overflowPunct w:val="0"/>
        <w:spacing w:beforeLines="100" w:before="240" w:afterLines="100" w:after="240" w:line="340" w:lineRule="atLeast"/>
        <w:rPr>
          <w:rFonts w:ascii="Arial" w:eastAsia="SimHei" w:hAnsi="Arial" w:cs="Times New Roman"/>
          <w:b w:val="0"/>
          <w:sz w:val="21"/>
        </w:rPr>
      </w:pPr>
      <w:r w:rsidRPr="00F453AC">
        <w:rPr>
          <w:rFonts w:ascii="Arial" w:eastAsia="SimHei" w:hAnsi="Arial" w:cs="Times New Roman"/>
          <w:b w:val="0"/>
          <w:sz w:val="21"/>
        </w:rPr>
        <w:lastRenderedPageBreak/>
        <w:t>附注</w:t>
      </w:r>
      <w:r w:rsidRPr="00F453AC">
        <w:rPr>
          <w:rFonts w:ascii="Arial" w:eastAsia="SimHei" w:hAnsi="Arial" w:cs="Times New Roman"/>
          <w:b w:val="0"/>
          <w:sz w:val="21"/>
        </w:rPr>
        <w:t>10</w:t>
      </w:r>
      <w:r w:rsidRPr="00F453AC">
        <w:rPr>
          <w:rFonts w:ascii="Arial" w:eastAsia="SimHei" w:hAnsi="Arial" w:cs="Times New Roman"/>
          <w:b w:val="0"/>
          <w:sz w:val="21"/>
        </w:rPr>
        <w:t>：</w:t>
      </w:r>
      <w:r w:rsidRPr="00F453AC">
        <w:rPr>
          <w:rFonts w:ascii="Arial" w:eastAsia="SimHei" w:hAnsi="Arial" w:cs="Times New Roman"/>
          <w:b w:val="0"/>
          <w:sz w:val="21"/>
        </w:rPr>
        <w:tab/>
      </w:r>
      <w:r w:rsidRPr="00F453AC">
        <w:rPr>
          <w:rFonts w:ascii="Arial" w:eastAsia="SimHei" w:hAnsi="Arial" w:cs="Times New Roman"/>
          <w:b w:val="0"/>
          <w:sz w:val="21"/>
        </w:rPr>
        <w:t>其他非流动资产</w:t>
      </w:r>
    </w:p>
    <w:p w:rsidR="006C0099" w:rsidRPr="003F5882" w:rsidRDefault="006F16A3" w:rsidP="006F16A3">
      <w:pPr>
        <w:pStyle w:val="Style3"/>
        <w:spacing w:afterLines="50"/>
        <w:jc w:val="center"/>
        <w:rPr>
          <w:rFonts w:ascii="Arial" w:hAnsi="Arial" w:cs="Times New Roman"/>
          <w:sz w:val="20"/>
        </w:rPr>
      </w:pPr>
      <w:r w:rsidRPr="006F16A3">
        <w:rPr>
          <w:noProof/>
          <w:lang w:val="en-US" w:bidi="ar-SA"/>
        </w:rPr>
        <w:drawing>
          <wp:inline distT="0" distB="0" distL="0" distR="0">
            <wp:extent cx="5736590" cy="1362710"/>
            <wp:effectExtent l="0" t="0" r="0" b="0"/>
            <wp:docPr id="144" name="图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736590" cy="1362710"/>
                    </a:xfrm>
                    <a:prstGeom prst="rect">
                      <a:avLst/>
                    </a:prstGeom>
                    <a:noFill/>
                    <a:ln>
                      <a:noFill/>
                    </a:ln>
                  </pic:spPr>
                </pic:pic>
              </a:graphicData>
            </a:graphic>
          </wp:inline>
        </w:drawing>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1991</w:t>
      </w:r>
      <w:r w:rsidRPr="003F5882">
        <w:rPr>
          <w:rFonts w:ascii="Arial" w:hAnsi="Arial" w:cs="Times New Roman"/>
          <w:sz w:val="21"/>
        </w:rPr>
        <w:t>年，本组织与日内瓦基金国际中心</w:t>
      </w:r>
      <w:r w:rsidR="00F453AC" w:rsidRPr="003F5882">
        <w:rPr>
          <w:rFonts w:ascii="Arial" w:hAnsi="Arial" w:cs="Times New Roman" w:hint="eastAsia"/>
          <w:sz w:val="21"/>
        </w:rPr>
        <w:t>（</w:t>
      </w:r>
      <w:r w:rsidRPr="003F5882">
        <w:rPr>
          <w:rFonts w:ascii="Arial" w:hAnsi="Arial" w:cs="Times New Roman"/>
          <w:sz w:val="21"/>
        </w:rPr>
        <w:t>FCIG</w:t>
      </w:r>
      <w:r w:rsidR="00F453AC" w:rsidRPr="003F5882">
        <w:rPr>
          <w:rFonts w:ascii="Arial" w:hAnsi="Arial" w:cs="Times New Roman" w:hint="eastAsia"/>
          <w:sz w:val="21"/>
        </w:rPr>
        <w:t>）</w:t>
      </w:r>
      <w:r w:rsidRPr="003F5882">
        <w:rPr>
          <w:rFonts w:ascii="Arial" w:hAnsi="Arial" w:cs="Times New Roman"/>
          <w:sz w:val="21"/>
        </w:rPr>
        <w:t>就瑞士日内瓦</w:t>
      </w:r>
      <w:r w:rsidRPr="003F5882">
        <w:rPr>
          <w:rFonts w:ascii="Arial" w:hAnsi="Arial" w:cs="Times New Roman"/>
          <w:sz w:val="21"/>
        </w:rPr>
        <w:t>Morillons</w:t>
      </w:r>
      <w:r w:rsidRPr="003F5882">
        <w:rPr>
          <w:rFonts w:ascii="Arial" w:hAnsi="Arial" w:cs="Times New Roman"/>
          <w:sz w:val="21"/>
        </w:rPr>
        <w:t>街的一幢办公楼的建筑事宜以总成本</w:t>
      </w:r>
      <w:r w:rsidRPr="003F5882">
        <w:rPr>
          <w:rFonts w:ascii="Arial" w:hAnsi="Arial" w:cs="Times New Roman"/>
          <w:sz w:val="21"/>
        </w:rPr>
        <w:t>2,040</w:t>
      </w:r>
      <w:proofErr w:type="gramStart"/>
      <w:r w:rsidRPr="003F5882">
        <w:rPr>
          <w:rFonts w:ascii="Arial" w:hAnsi="Arial" w:cs="Times New Roman"/>
          <w:sz w:val="21"/>
        </w:rPr>
        <w:t>万瑞郎达成</w:t>
      </w:r>
      <w:proofErr w:type="gramEnd"/>
      <w:r w:rsidRPr="003F5882">
        <w:rPr>
          <w:rFonts w:ascii="Arial" w:hAnsi="Arial" w:cs="Times New Roman"/>
          <w:sz w:val="21"/>
        </w:rPr>
        <w:t>一项协定。该协定规定</w:t>
      </w:r>
      <w:r w:rsidR="001A0441" w:rsidRPr="003F5882">
        <w:rPr>
          <w:rFonts w:ascii="Arial" w:hAnsi="Arial" w:cs="Times New Roman" w:hint="eastAsia"/>
          <w:sz w:val="21"/>
        </w:rPr>
        <w:t>，</w:t>
      </w:r>
      <w:r w:rsidRPr="003F5882">
        <w:rPr>
          <w:rFonts w:ascii="Arial" w:hAnsi="Arial" w:cs="Times New Roman"/>
          <w:sz w:val="21"/>
        </w:rPr>
        <w:t>本组织提前支付初始款项</w:t>
      </w:r>
      <w:r w:rsidRPr="003F5882">
        <w:rPr>
          <w:rFonts w:ascii="Arial" w:hAnsi="Arial" w:cs="Times New Roman"/>
          <w:sz w:val="21"/>
        </w:rPr>
        <w:t>1,000</w:t>
      </w:r>
      <w:r w:rsidRPr="003F5882">
        <w:rPr>
          <w:rFonts w:ascii="Arial" w:hAnsi="Arial" w:cs="Times New Roman"/>
          <w:sz w:val="21"/>
        </w:rPr>
        <w:t>万瑞郎，加上初始预付款利息</w:t>
      </w:r>
      <w:r w:rsidRPr="003F5882">
        <w:rPr>
          <w:rFonts w:ascii="Arial" w:hAnsi="Arial" w:cs="Times New Roman"/>
          <w:sz w:val="21"/>
        </w:rPr>
        <w:t>100</w:t>
      </w:r>
      <w:r w:rsidRPr="003F5882">
        <w:rPr>
          <w:rFonts w:ascii="Arial" w:hAnsi="Arial" w:cs="Times New Roman"/>
          <w:sz w:val="21"/>
        </w:rPr>
        <w:t>万瑞郎，总计</w:t>
      </w:r>
      <w:r w:rsidRPr="003F5882">
        <w:rPr>
          <w:rFonts w:ascii="Arial" w:hAnsi="Arial" w:cs="Times New Roman"/>
          <w:sz w:val="21"/>
        </w:rPr>
        <w:t>1,100</w:t>
      </w:r>
      <w:r w:rsidRPr="003F5882">
        <w:rPr>
          <w:rFonts w:ascii="Arial" w:hAnsi="Arial" w:cs="Times New Roman"/>
          <w:sz w:val="21"/>
        </w:rPr>
        <w:t>万瑞郎。建筑成本余额由</w:t>
      </w:r>
      <w:r w:rsidRPr="003F5882">
        <w:rPr>
          <w:rFonts w:ascii="Arial" w:hAnsi="Arial" w:cs="Times New Roman"/>
          <w:sz w:val="21"/>
        </w:rPr>
        <w:t>FCIG</w:t>
      </w:r>
      <w:r w:rsidRPr="003F5882">
        <w:rPr>
          <w:rFonts w:ascii="Arial" w:hAnsi="Arial" w:cs="Times New Roman"/>
          <w:sz w:val="21"/>
        </w:rPr>
        <w:t>和日内瓦州立银行之间的按揭贷款承担。本组织还与</w:t>
      </w:r>
      <w:r w:rsidRPr="003F5882">
        <w:rPr>
          <w:rFonts w:ascii="Arial" w:hAnsi="Arial" w:cs="Times New Roman"/>
          <w:sz w:val="21"/>
        </w:rPr>
        <w:t>FCIG</w:t>
      </w:r>
      <w:r w:rsidRPr="003F5882">
        <w:rPr>
          <w:rFonts w:ascii="Arial" w:hAnsi="Arial" w:cs="Times New Roman"/>
          <w:sz w:val="21"/>
        </w:rPr>
        <w:t>达成了租赁其大楼的一项协议。租赁协议从</w:t>
      </w:r>
      <w:r w:rsidRPr="003F5882">
        <w:rPr>
          <w:rFonts w:ascii="Arial" w:hAnsi="Arial" w:cs="Times New Roman"/>
          <w:sz w:val="21"/>
        </w:rPr>
        <w:t>2012</w:t>
      </w:r>
      <w:r w:rsidRPr="003F5882">
        <w:rPr>
          <w:rFonts w:ascii="Arial" w:hAnsi="Arial" w:cs="Times New Roman"/>
          <w:sz w:val="21"/>
        </w:rPr>
        <w:t>年</w:t>
      </w:r>
      <w:r w:rsidRPr="003F5882">
        <w:rPr>
          <w:rFonts w:ascii="Arial" w:hAnsi="Arial" w:cs="Times New Roman"/>
          <w:sz w:val="21"/>
        </w:rPr>
        <w:t>1</w:t>
      </w:r>
      <w:r w:rsidRPr="003F5882">
        <w:rPr>
          <w:rFonts w:ascii="Arial" w:hAnsi="Arial" w:cs="Times New Roman"/>
          <w:sz w:val="21"/>
        </w:rPr>
        <w:t>月</w:t>
      </w:r>
      <w:r w:rsidRPr="003F5882">
        <w:rPr>
          <w:rFonts w:ascii="Arial" w:hAnsi="Arial" w:cs="Times New Roman"/>
          <w:sz w:val="21"/>
        </w:rPr>
        <w:t>1</w:t>
      </w:r>
      <w:r w:rsidRPr="003F5882">
        <w:rPr>
          <w:rFonts w:ascii="Arial" w:hAnsi="Arial" w:cs="Times New Roman"/>
          <w:sz w:val="21"/>
        </w:rPr>
        <w:t>日起续期</w:t>
      </w:r>
      <w:r w:rsidRPr="003F5882">
        <w:rPr>
          <w:rFonts w:ascii="Arial" w:hAnsi="Arial" w:cs="Times New Roman"/>
          <w:sz w:val="21"/>
        </w:rPr>
        <w:t>7</w:t>
      </w:r>
      <w:r w:rsidRPr="003F5882">
        <w:rPr>
          <w:rFonts w:ascii="Arial" w:hAnsi="Arial" w:cs="Times New Roman"/>
          <w:sz w:val="21"/>
        </w:rPr>
        <w:t>年。</w:t>
      </w:r>
    </w:p>
    <w:p w:rsidR="007D62CB" w:rsidRDefault="006C0099" w:rsidP="007D62CB">
      <w:pPr>
        <w:pStyle w:val="Style3"/>
        <w:spacing w:afterLines="50" w:line="340" w:lineRule="atLeast"/>
        <w:rPr>
          <w:rFonts w:ascii="Arial" w:hAnsi="Arial" w:cs="Times New Roman"/>
          <w:sz w:val="21"/>
        </w:rPr>
      </w:pPr>
      <w:r w:rsidRPr="003F5882">
        <w:rPr>
          <w:rFonts w:ascii="Arial" w:hAnsi="Arial" w:cs="Times New Roman"/>
          <w:sz w:val="21"/>
        </w:rPr>
        <w:t>根据本组织和</w:t>
      </w:r>
      <w:r w:rsidRPr="003F5882">
        <w:rPr>
          <w:rFonts w:ascii="Arial" w:hAnsi="Arial" w:cs="Times New Roman"/>
          <w:sz w:val="21"/>
        </w:rPr>
        <w:t>FCIG</w:t>
      </w:r>
      <w:r w:rsidRPr="003F5882">
        <w:rPr>
          <w:rFonts w:ascii="Arial" w:hAnsi="Arial" w:cs="Times New Roman"/>
          <w:sz w:val="21"/>
        </w:rPr>
        <w:t>之间签订的租赁协议，双方都有权在任何时候通过双方书面同意来终止协议。</w:t>
      </w:r>
      <w:r w:rsidRPr="003F5882">
        <w:rPr>
          <w:rFonts w:ascii="Arial" w:hAnsi="Arial" w:cs="Times New Roman"/>
          <w:sz w:val="21"/>
        </w:rPr>
        <w:t>WIPO</w:t>
      </w:r>
      <w:r w:rsidRPr="003F5882">
        <w:rPr>
          <w:rFonts w:ascii="Arial" w:hAnsi="Arial" w:cs="Times New Roman"/>
          <w:sz w:val="21"/>
        </w:rPr>
        <w:t>每年支付的租金数额相当于</w:t>
      </w:r>
      <w:r w:rsidRPr="003F5882">
        <w:rPr>
          <w:rFonts w:ascii="Arial" w:hAnsi="Arial" w:cs="Times New Roman"/>
          <w:sz w:val="21"/>
        </w:rPr>
        <w:t>FCIG</w:t>
      </w:r>
      <w:r w:rsidRPr="003F5882">
        <w:rPr>
          <w:rFonts w:ascii="Arial" w:hAnsi="Arial" w:cs="Times New Roman"/>
          <w:sz w:val="21"/>
        </w:rPr>
        <w:t>向日内瓦州立银行按揭借贷每年应偿还的数额</w:t>
      </w:r>
      <w:r w:rsidR="00F453AC" w:rsidRPr="003F5882">
        <w:rPr>
          <w:rFonts w:ascii="Arial" w:hAnsi="Arial" w:cs="Times New Roman" w:hint="eastAsia"/>
          <w:sz w:val="21"/>
        </w:rPr>
        <w:t>（</w:t>
      </w:r>
      <w:r w:rsidRPr="003F5882">
        <w:rPr>
          <w:rFonts w:ascii="Arial" w:hAnsi="Arial" w:cs="Times New Roman"/>
          <w:sz w:val="21"/>
        </w:rPr>
        <w:t>利息加上本金</w:t>
      </w:r>
      <w:r w:rsidR="00F453AC" w:rsidRPr="003F5882">
        <w:rPr>
          <w:rFonts w:ascii="Arial" w:hAnsi="Arial" w:cs="Times New Roman" w:hint="eastAsia"/>
          <w:sz w:val="21"/>
        </w:rPr>
        <w:t>）</w:t>
      </w:r>
      <w:r w:rsidRPr="003F5882">
        <w:rPr>
          <w:rFonts w:ascii="Arial" w:hAnsi="Arial" w:cs="Times New Roman"/>
          <w:sz w:val="21"/>
        </w:rPr>
        <w:t>。</w:t>
      </w:r>
      <w:r w:rsidRPr="003F5882">
        <w:rPr>
          <w:rFonts w:ascii="Arial" w:hAnsi="Arial" w:cs="Times New Roman"/>
          <w:sz w:val="21"/>
        </w:rPr>
        <w:t>2014</w:t>
      </w:r>
      <w:r w:rsidRPr="003F5882">
        <w:rPr>
          <w:rFonts w:ascii="Arial" w:hAnsi="Arial" w:cs="Times New Roman"/>
          <w:sz w:val="21"/>
        </w:rPr>
        <w:t>年期间，</w:t>
      </w:r>
      <w:r w:rsidRPr="003F5882">
        <w:rPr>
          <w:rFonts w:ascii="Arial" w:hAnsi="Arial" w:cs="Times New Roman"/>
          <w:sz w:val="21"/>
        </w:rPr>
        <w:t>WIPO</w:t>
      </w:r>
      <w:r w:rsidRPr="003F5882">
        <w:rPr>
          <w:rFonts w:ascii="Arial" w:hAnsi="Arial" w:cs="Times New Roman"/>
          <w:sz w:val="21"/>
        </w:rPr>
        <w:t>据此所支付的租金共计</w:t>
      </w:r>
      <w:r w:rsidRPr="003F5882">
        <w:rPr>
          <w:rFonts w:ascii="Arial" w:hAnsi="Arial" w:cs="Times New Roman"/>
          <w:sz w:val="21"/>
        </w:rPr>
        <w:t>234,124</w:t>
      </w:r>
      <w:r w:rsidRPr="003F5882">
        <w:rPr>
          <w:rFonts w:ascii="Arial" w:hAnsi="Arial" w:cs="Times New Roman"/>
          <w:sz w:val="21"/>
        </w:rPr>
        <w:t>瑞郎</w:t>
      </w:r>
      <w:r w:rsidR="00F453AC" w:rsidRPr="003F5882">
        <w:rPr>
          <w:rFonts w:ascii="Arial" w:hAnsi="Arial" w:cs="Times New Roman" w:hint="eastAsia"/>
          <w:sz w:val="21"/>
        </w:rPr>
        <w:t>（</w:t>
      </w:r>
      <w:r w:rsidRPr="003F5882">
        <w:rPr>
          <w:rFonts w:ascii="Arial" w:hAnsi="Arial" w:cs="Times New Roman"/>
          <w:sz w:val="21"/>
        </w:rPr>
        <w:t>2013</w:t>
      </w:r>
      <w:r w:rsidRPr="003F5882">
        <w:rPr>
          <w:rFonts w:ascii="Arial" w:hAnsi="Arial" w:cs="Times New Roman"/>
          <w:sz w:val="21"/>
        </w:rPr>
        <w:t>年期间为</w:t>
      </w:r>
      <w:r w:rsidRPr="003F5882">
        <w:rPr>
          <w:rFonts w:ascii="Arial" w:hAnsi="Arial" w:cs="Times New Roman"/>
          <w:sz w:val="21"/>
        </w:rPr>
        <w:t>235,709</w:t>
      </w:r>
      <w:r w:rsidRPr="003F5882">
        <w:rPr>
          <w:rFonts w:ascii="Arial" w:hAnsi="Arial" w:cs="Times New Roman"/>
          <w:sz w:val="21"/>
        </w:rPr>
        <w:t>瑞郎</w:t>
      </w:r>
      <w:r w:rsidR="00F453AC" w:rsidRPr="003F5882">
        <w:rPr>
          <w:rFonts w:ascii="Arial" w:hAnsi="Arial" w:cs="Times New Roman" w:hint="eastAsia"/>
          <w:sz w:val="21"/>
        </w:rPr>
        <w:t>）</w:t>
      </w:r>
      <w:r w:rsidRPr="003F5882">
        <w:rPr>
          <w:rFonts w:ascii="Arial" w:hAnsi="Arial" w:cs="Times New Roman"/>
          <w:sz w:val="21"/>
        </w:rPr>
        <w:t>。当前利率为</w:t>
      </w:r>
      <w:r w:rsidRPr="003F5882">
        <w:rPr>
          <w:rFonts w:ascii="Arial" w:hAnsi="Arial" w:cs="Times New Roman"/>
          <w:sz w:val="21"/>
        </w:rPr>
        <w:t>1.48%</w:t>
      </w:r>
      <w:r w:rsidRPr="003F5882">
        <w:rPr>
          <w:rFonts w:ascii="Arial" w:hAnsi="Arial" w:cs="Times New Roman"/>
          <w:sz w:val="21"/>
        </w:rPr>
        <w:t>，将执行到</w:t>
      </w:r>
      <w:r w:rsidRPr="003F5882">
        <w:rPr>
          <w:rFonts w:ascii="Arial" w:hAnsi="Arial" w:cs="Times New Roman"/>
          <w:sz w:val="21"/>
        </w:rPr>
        <w:t>2018</w:t>
      </w:r>
      <w:r w:rsidRPr="003F5882">
        <w:rPr>
          <w:rFonts w:ascii="Arial" w:hAnsi="Arial" w:cs="Times New Roman"/>
          <w:sz w:val="21"/>
        </w:rPr>
        <w:t>年</w:t>
      </w:r>
      <w:r w:rsidRPr="003F5882">
        <w:rPr>
          <w:rFonts w:ascii="Arial" w:hAnsi="Arial" w:cs="Times New Roman"/>
          <w:sz w:val="21"/>
        </w:rPr>
        <w:t>12</w:t>
      </w:r>
      <w:r w:rsidRPr="003F5882">
        <w:rPr>
          <w:rFonts w:ascii="Arial" w:hAnsi="Arial" w:cs="Times New Roman"/>
          <w:sz w:val="21"/>
        </w:rPr>
        <w:t>月</w:t>
      </w:r>
      <w:r w:rsidRPr="003F5882">
        <w:rPr>
          <w:rFonts w:ascii="Arial" w:hAnsi="Arial" w:cs="Times New Roman"/>
          <w:sz w:val="21"/>
        </w:rPr>
        <w:t>31</w:t>
      </w:r>
      <w:r w:rsidRPr="003F5882">
        <w:rPr>
          <w:rFonts w:ascii="Arial" w:hAnsi="Arial" w:cs="Times New Roman"/>
          <w:sz w:val="21"/>
        </w:rPr>
        <w:t>日。自</w:t>
      </w:r>
      <w:r w:rsidRPr="003F5882">
        <w:rPr>
          <w:rFonts w:ascii="Arial" w:hAnsi="Arial" w:cs="Times New Roman"/>
          <w:sz w:val="21"/>
        </w:rPr>
        <w:t>2012</w:t>
      </w:r>
      <w:r w:rsidRPr="003F5882">
        <w:rPr>
          <w:rFonts w:ascii="Arial" w:hAnsi="Arial" w:cs="Times New Roman"/>
          <w:sz w:val="21"/>
        </w:rPr>
        <w:t>年</w:t>
      </w:r>
      <w:r w:rsidRPr="003F5882">
        <w:rPr>
          <w:rFonts w:ascii="Arial" w:hAnsi="Arial" w:cs="Times New Roman"/>
          <w:sz w:val="21"/>
        </w:rPr>
        <w:t>1</w:t>
      </w:r>
      <w:r w:rsidRPr="003F5882">
        <w:rPr>
          <w:rFonts w:ascii="Arial" w:hAnsi="Arial" w:cs="Times New Roman"/>
          <w:sz w:val="21"/>
        </w:rPr>
        <w:t>月</w:t>
      </w:r>
      <w:r w:rsidRPr="003F5882">
        <w:rPr>
          <w:rFonts w:ascii="Arial" w:hAnsi="Arial" w:cs="Times New Roman"/>
          <w:sz w:val="21"/>
        </w:rPr>
        <w:t>1</w:t>
      </w:r>
      <w:r w:rsidRPr="003F5882">
        <w:rPr>
          <w:rFonts w:ascii="Arial" w:hAnsi="Arial" w:cs="Times New Roman"/>
          <w:sz w:val="21"/>
        </w:rPr>
        <w:t>日起，</w:t>
      </w:r>
      <w:r w:rsidRPr="003F5882">
        <w:rPr>
          <w:rFonts w:ascii="Arial" w:hAnsi="Arial" w:cs="Times New Roman"/>
          <w:sz w:val="21"/>
        </w:rPr>
        <w:t>WIPO</w:t>
      </w:r>
      <w:r w:rsidRPr="003F5882">
        <w:rPr>
          <w:rFonts w:ascii="Arial" w:hAnsi="Arial" w:cs="Times New Roman"/>
          <w:sz w:val="21"/>
        </w:rPr>
        <w:t>还确认了针对其向</w:t>
      </w:r>
      <w:r w:rsidRPr="003F5882">
        <w:rPr>
          <w:rFonts w:ascii="Arial" w:hAnsi="Arial" w:cs="Times New Roman"/>
          <w:sz w:val="21"/>
        </w:rPr>
        <w:t>FCIG</w:t>
      </w:r>
      <w:r w:rsidRPr="003F5882">
        <w:rPr>
          <w:rFonts w:ascii="Arial" w:hAnsi="Arial" w:cs="Times New Roman"/>
          <w:sz w:val="21"/>
        </w:rPr>
        <w:t>支付的预付款的年度摊销额</w:t>
      </w:r>
      <w:r w:rsidRPr="003F5882">
        <w:rPr>
          <w:rFonts w:ascii="Arial" w:hAnsi="Arial" w:cs="Times New Roman"/>
          <w:sz w:val="21"/>
        </w:rPr>
        <w:t>188,679</w:t>
      </w:r>
      <w:r w:rsidRPr="003F5882">
        <w:rPr>
          <w:rFonts w:ascii="Arial" w:hAnsi="Arial" w:cs="Times New Roman"/>
          <w:sz w:val="21"/>
        </w:rPr>
        <w:t>瑞郎。此外，本组织还以每年</w:t>
      </w:r>
      <w:r w:rsidRPr="003F5882">
        <w:rPr>
          <w:rFonts w:ascii="Arial" w:hAnsi="Arial" w:cs="Times New Roman"/>
          <w:sz w:val="21"/>
        </w:rPr>
        <w:t>148,452</w:t>
      </w:r>
      <w:r w:rsidRPr="003F5882">
        <w:rPr>
          <w:rFonts w:ascii="Arial" w:hAnsi="Arial" w:cs="Times New Roman"/>
          <w:sz w:val="21"/>
        </w:rPr>
        <w:t>瑞郎租赁停车位。在没有相互终止租赁协定时，</w:t>
      </w:r>
      <w:r w:rsidRPr="003F5882">
        <w:rPr>
          <w:rFonts w:ascii="Arial" w:hAnsi="Arial" w:cs="Times New Roman"/>
          <w:sz w:val="21"/>
        </w:rPr>
        <w:t>WIPO</w:t>
      </w:r>
      <w:r w:rsidRPr="003F5882">
        <w:rPr>
          <w:rFonts w:ascii="Arial" w:hAnsi="Arial" w:cs="Times New Roman"/>
          <w:sz w:val="21"/>
        </w:rPr>
        <w:t>未来在</w:t>
      </w:r>
      <w:r w:rsidRPr="003F5882">
        <w:rPr>
          <w:rFonts w:ascii="Arial" w:hAnsi="Arial" w:cs="Times New Roman"/>
          <w:sz w:val="21"/>
        </w:rPr>
        <w:t>2018</w:t>
      </w:r>
      <w:r w:rsidRPr="003F5882">
        <w:rPr>
          <w:rFonts w:ascii="Arial" w:hAnsi="Arial" w:cs="Times New Roman"/>
          <w:sz w:val="21"/>
        </w:rPr>
        <w:t>年租赁结束前的支付项目</w:t>
      </w:r>
      <w:r w:rsidR="00F453AC" w:rsidRPr="003F5882">
        <w:rPr>
          <w:rFonts w:ascii="Arial" w:hAnsi="Arial" w:cs="Times New Roman"/>
          <w:sz w:val="21"/>
        </w:rPr>
        <w:t>（</w:t>
      </w:r>
      <w:r w:rsidRPr="003F5882">
        <w:rPr>
          <w:rFonts w:ascii="Arial" w:hAnsi="Arial" w:cs="Times New Roman"/>
          <w:sz w:val="21"/>
        </w:rPr>
        <w:t>包括</w:t>
      </w:r>
      <w:r w:rsidR="00885AC6" w:rsidRPr="003F5882">
        <w:rPr>
          <w:rFonts w:ascii="Arial" w:hAnsi="Arial" w:cs="Times New Roman" w:hint="eastAsia"/>
          <w:sz w:val="21"/>
        </w:rPr>
        <w:t>按揭还款</w:t>
      </w:r>
      <w:r w:rsidRPr="003F5882">
        <w:rPr>
          <w:rFonts w:ascii="Arial" w:hAnsi="Arial" w:cs="Times New Roman"/>
          <w:sz w:val="21"/>
        </w:rPr>
        <w:t>、预付款摊销和停车位租金</w:t>
      </w:r>
      <w:r w:rsidR="00F453AC" w:rsidRPr="003F5882">
        <w:rPr>
          <w:rFonts w:ascii="Arial" w:hAnsi="Arial" w:cs="Times New Roman"/>
          <w:sz w:val="21"/>
        </w:rPr>
        <w:t>）</w:t>
      </w:r>
      <w:r w:rsidRPr="003F5882">
        <w:rPr>
          <w:rFonts w:ascii="Arial" w:hAnsi="Arial" w:cs="Times New Roman"/>
          <w:sz w:val="21"/>
        </w:rPr>
        <w:t>如下：</w:t>
      </w:r>
    </w:p>
    <w:p w:rsidR="006C0099" w:rsidRPr="003F5882" w:rsidRDefault="006F16A3" w:rsidP="006F16A3">
      <w:pPr>
        <w:pStyle w:val="Style3"/>
        <w:spacing w:after="0"/>
        <w:jc w:val="center"/>
        <w:rPr>
          <w:rFonts w:ascii="Arial" w:hAnsi="Arial" w:cs="Times New Roman"/>
          <w:sz w:val="21"/>
        </w:rPr>
      </w:pPr>
      <w:r w:rsidRPr="006F16A3">
        <w:rPr>
          <w:noProof/>
          <w:lang w:val="en-US" w:bidi="ar-SA"/>
        </w:rPr>
        <w:drawing>
          <wp:inline distT="0" distB="0" distL="0" distR="0">
            <wp:extent cx="5581015" cy="1242060"/>
            <wp:effectExtent l="0" t="0" r="635" b="0"/>
            <wp:docPr id="145" name="图片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5581015" cy="1242060"/>
                    </a:xfrm>
                    <a:prstGeom prst="rect">
                      <a:avLst/>
                    </a:prstGeom>
                    <a:noFill/>
                    <a:ln>
                      <a:noFill/>
                    </a:ln>
                  </pic:spPr>
                </pic:pic>
              </a:graphicData>
            </a:graphic>
          </wp:inline>
        </w:drawing>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在腾空楼宇时，将偿还</w:t>
      </w:r>
      <w:r w:rsidRPr="003F5882">
        <w:rPr>
          <w:rFonts w:ascii="Arial" w:hAnsi="Arial" w:cs="Times New Roman"/>
          <w:sz w:val="21"/>
        </w:rPr>
        <w:t>WIPO</w:t>
      </w:r>
      <w:r w:rsidRPr="003F5882">
        <w:rPr>
          <w:rFonts w:ascii="Arial" w:hAnsi="Arial" w:cs="Times New Roman"/>
          <w:sz w:val="21"/>
        </w:rPr>
        <w:t>摊销后的预付款余额</w:t>
      </w:r>
      <w:r w:rsidRPr="003F5882">
        <w:rPr>
          <w:rFonts w:ascii="Arial" w:hAnsi="Arial" w:cs="Times New Roman"/>
          <w:sz w:val="21"/>
        </w:rPr>
        <w:t>1,100</w:t>
      </w:r>
      <w:proofErr w:type="gramStart"/>
      <w:r w:rsidRPr="003F5882">
        <w:rPr>
          <w:rFonts w:ascii="Arial" w:hAnsi="Arial" w:cs="Times New Roman"/>
          <w:sz w:val="21"/>
        </w:rPr>
        <w:t>万瑞</w:t>
      </w:r>
      <w:proofErr w:type="gramEnd"/>
      <w:r w:rsidRPr="003F5882">
        <w:rPr>
          <w:rFonts w:ascii="Arial" w:hAnsi="Arial" w:cs="Times New Roman"/>
          <w:sz w:val="21"/>
        </w:rPr>
        <w:t>郎。预付款中剩余的</w:t>
      </w:r>
      <w:r w:rsidRPr="003F5882">
        <w:rPr>
          <w:rFonts w:ascii="Arial" w:hAnsi="Arial" w:cs="Times New Roman"/>
          <w:sz w:val="21"/>
        </w:rPr>
        <w:t>100</w:t>
      </w:r>
      <w:proofErr w:type="gramStart"/>
      <w:r w:rsidRPr="003F5882">
        <w:rPr>
          <w:rFonts w:ascii="Arial" w:hAnsi="Arial" w:cs="Times New Roman"/>
          <w:sz w:val="21"/>
        </w:rPr>
        <w:t>万瑞</w:t>
      </w:r>
      <w:proofErr w:type="gramEnd"/>
      <w:r w:rsidRPr="003F5882">
        <w:rPr>
          <w:rFonts w:ascii="Arial" w:hAnsi="Arial" w:cs="Times New Roman"/>
          <w:sz w:val="21"/>
        </w:rPr>
        <w:t>郎将由</w:t>
      </w:r>
      <w:r w:rsidRPr="003F5882">
        <w:rPr>
          <w:rFonts w:ascii="Arial" w:hAnsi="Arial" w:cs="Times New Roman"/>
          <w:sz w:val="21"/>
        </w:rPr>
        <w:t>FCIG</w:t>
      </w:r>
      <w:r w:rsidRPr="003F5882">
        <w:rPr>
          <w:rFonts w:ascii="Arial" w:hAnsi="Arial" w:cs="Times New Roman"/>
          <w:sz w:val="21"/>
        </w:rPr>
        <w:t>持有，用以将楼宇复还为其原始状态。</w:t>
      </w:r>
    </w:p>
    <w:p w:rsidR="007D62CB" w:rsidRDefault="006C0099" w:rsidP="007D62CB">
      <w:pPr>
        <w:pStyle w:val="Style3"/>
        <w:spacing w:afterLines="50" w:line="340" w:lineRule="atLeast"/>
        <w:rPr>
          <w:rFonts w:ascii="Arial" w:eastAsia="SimHei" w:hAnsi="Arial" w:cs="Times New Roman"/>
          <w:sz w:val="21"/>
          <w:szCs w:val="22"/>
        </w:rPr>
      </w:pPr>
      <w:r w:rsidRPr="003F5882">
        <w:rPr>
          <w:rFonts w:ascii="Arial" w:hAnsi="Arial" w:cs="Times New Roman"/>
          <w:sz w:val="21"/>
        </w:rPr>
        <w:t>为方便在财务报表中呈现，摊销总值被视为预付租金，并分为流动性部分</w:t>
      </w:r>
      <w:r w:rsidR="00F453AC" w:rsidRPr="003F5882">
        <w:rPr>
          <w:rFonts w:ascii="Arial" w:hAnsi="Arial" w:cs="Times New Roman" w:hint="eastAsia"/>
          <w:sz w:val="21"/>
        </w:rPr>
        <w:t>（</w:t>
      </w:r>
      <w:r w:rsidRPr="003F5882">
        <w:rPr>
          <w:rFonts w:ascii="Arial" w:hAnsi="Arial" w:cs="Times New Roman"/>
          <w:sz w:val="21"/>
        </w:rPr>
        <w:t>见附注</w:t>
      </w:r>
      <w:r w:rsidRPr="003F5882">
        <w:rPr>
          <w:rFonts w:ascii="Arial" w:hAnsi="Arial" w:cs="Times New Roman"/>
          <w:sz w:val="21"/>
        </w:rPr>
        <w:t>4</w:t>
      </w:r>
      <w:r w:rsidR="00F453AC" w:rsidRPr="003F5882">
        <w:rPr>
          <w:rFonts w:ascii="Arial" w:hAnsi="Arial" w:cs="Times New Roman" w:hint="eastAsia"/>
          <w:sz w:val="21"/>
        </w:rPr>
        <w:t>）</w:t>
      </w:r>
      <w:r w:rsidRPr="003F5882">
        <w:rPr>
          <w:rFonts w:ascii="Arial" w:hAnsi="Arial" w:cs="Times New Roman"/>
          <w:sz w:val="21"/>
        </w:rPr>
        <w:t>和非流动性部分。截至</w:t>
      </w:r>
      <w:r w:rsidRPr="003F5882">
        <w:rPr>
          <w:rFonts w:ascii="Arial" w:hAnsi="Arial" w:cs="Times New Roman"/>
          <w:sz w:val="21"/>
        </w:rPr>
        <w:t>2014</w:t>
      </w:r>
      <w:r w:rsidRPr="003F5882">
        <w:rPr>
          <w:rFonts w:ascii="Arial" w:hAnsi="Arial" w:cs="Times New Roman"/>
          <w:sz w:val="21"/>
        </w:rPr>
        <w:t>年</w:t>
      </w:r>
      <w:r w:rsidRPr="003F5882">
        <w:rPr>
          <w:rFonts w:ascii="Arial" w:hAnsi="Arial" w:cs="Times New Roman"/>
          <w:sz w:val="21"/>
        </w:rPr>
        <w:t>12</w:t>
      </w:r>
      <w:r w:rsidRPr="003F5882">
        <w:rPr>
          <w:rFonts w:ascii="Arial" w:hAnsi="Arial" w:cs="Times New Roman"/>
          <w:sz w:val="21"/>
        </w:rPr>
        <w:t>月</w:t>
      </w:r>
      <w:r w:rsidRPr="003F5882">
        <w:rPr>
          <w:rFonts w:ascii="Arial" w:hAnsi="Arial" w:cs="Times New Roman"/>
          <w:sz w:val="21"/>
        </w:rPr>
        <w:t>31</w:t>
      </w:r>
      <w:r w:rsidRPr="003F5882">
        <w:rPr>
          <w:rFonts w:ascii="Arial" w:hAnsi="Arial" w:cs="Times New Roman"/>
          <w:sz w:val="21"/>
        </w:rPr>
        <w:t>日，该笔预付款总值为</w:t>
      </w:r>
      <w:r w:rsidRPr="003F5882">
        <w:rPr>
          <w:rFonts w:ascii="Arial" w:hAnsi="Arial" w:cs="Times New Roman"/>
          <w:sz w:val="21"/>
        </w:rPr>
        <w:t>80</w:t>
      </w:r>
      <w:r w:rsidRPr="003F5882">
        <w:rPr>
          <w:rFonts w:ascii="Arial" w:hAnsi="Arial" w:cs="Times New Roman"/>
          <w:sz w:val="21"/>
        </w:rPr>
        <w:t>万瑞郎。根据</w:t>
      </w:r>
      <w:r w:rsidRPr="003F5882">
        <w:rPr>
          <w:rFonts w:ascii="Arial" w:hAnsi="Arial" w:cs="Times New Roman"/>
          <w:sz w:val="21"/>
        </w:rPr>
        <w:t>IPSAS</w:t>
      </w:r>
      <w:r w:rsidRPr="003F5882">
        <w:rPr>
          <w:rFonts w:ascii="Arial" w:hAnsi="Arial" w:cs="Times New Roman"/>
          <w:sz w:val="21"/>
        </w:rPr>
        <w:t>，</w:t>
      </w:r>
      <w:r w:rsidRPr="003F5882">
        <w:rPr>
          <w:rFonts w:ascii="Arial" w:hAnsi="Arial" w:cs="Times New Roman"/>
          <w:sz w:val="21"/>
        </w:rPr>
        <w:t>WIPO</w:t>
      </w:r>
      <w:r w:rsidRPr="003F5882">
        <w:rPr>
          <w:rFonts w:ascii="Arial" w:hAnsi="Arial" w:cs="Times New Roman"/>
          <w:sz w:val="21"/>
        </w:rPr>
        <w:t>向</w:t>
      </w:r>
      <w:r w:rsidRPr="003F5882">
        <w:rPr>
          <w:rFonts w:ascii="Arial" w:hAnsi="Arial" w:cs="Times New Roman"/>
          <w:sz w:val="21"/>
        </w:rPr>
        <w:t>FCIG</w:t>
      </w:r>
      <w:r w:rsidRPr="003F5882">
        <w:rPr>
          <w:rFonts w:ascii="Arial" w:hAnsi="Arial" w:cs="Times New Roman"/>
          <w:sz w:val="21"/>
        </w:rPr>
        <w:t>支付的预付款余额的剩余部分被视为优惠贷款，按折余成本计量。优惠贷款中的免息部分也记为预付款，并分为流动性部分</w:t>
      </w:r>
      <w:r w:rsidR="00F453AC" w:rsidRPr="003F5882">
        <w:rPr>
          <w:rFonts w:ascii="Arial" w:hAnsi="Arial" w:cs="Times New Roman" w:hint="eastAsia"/>
          <w:sz w:val="21"/>
        </w:rPr>
        <w:t>（</w:t>
      </w:r>
      <w:r w:rsidRPr="003F5882">
        <w:rPr>
          <w:rFonts w:ascii="Arial" w:hAnsi="Arial" w:cs="Times New Roman"/>
          <w:sz w:val="21"/>
        </w:rPr>
        <w:t>见附注</w:t>
      </w:r>
      <w:r w:rsidRPr="003F5882">
        <w:rPr>
          <w:rFonts w:ascii="Arial" w:hAnsi="Arial" w:cs="Times New Roman"/>
          <w:sz w:val="21"/>
        </w:rPr>
        <w:t>4</w:t>
      </w:r>
      <w:r w:rsidR="00F453AC" w:rsidRPr="003F5882">
        <w:rPr>
          <w:rFonts w:ascii="Arial" w:hAnsi="Arial" w:cs="Times New Roman" w:hint="eastAsia"/>
          <w:sz w:val="21"/>
        </w:rPr>
        <w:t>）</w:t>
      </w:r>
      <w:r w:rsidRPr="003F5882">
        <w:rPr>
          <w:rFonts w:ascii="Arial" w:hAnsi="Arial" w:cs="Times New Roman"/>
          <w:sz w:val="21"/>
        </w:rPr>
        <w:t>和非流动性部分。该笔预付款在租赁协议期内不断减少，截至</w:t>
      </w:r>
      <w:r w:rsidRPr="003F5882">
        <w:rPr>
          <w:rFonts w:ascii="Arial" w:hAnsi="Arial" w:cs="Times New Roman"/>
          <w:sz w:val="21"/>
        </w:rPr>
        <w:t>2014</w:t>
      </w:r>
      <w:r w:rsidRPr="003F5882">
        <w:rPr>
          <w:rFonts w:ascii="Arial" w:hAnsi="Arial" w:cs="Times New Roman"/>
          <w:sz w:val="21"/>
        </w:rPr>
        <w:t>年</w:t>
      </w:r>
      <w:r w:rsidRPr="003F5882">
        <w:rPr>
          <w:rFonts w:ascii="Arial" w:hAnsi="Arial" w:cs="Times New Roman"/>
          <w:sz w:val="21"/>
        </w:rPr>
        <w:t>12</w:t>
      </w:r>
      <w:r w:rsidRPr="003F5882">
        <w:rPr>
          <w:rFonts w:ascii="Arial" w:hAnsi="Arial" w:cs="Times New Roman"/>
          <w:sz w:val="21"/>
        </w:rPr>
        <w:t>月</w:t>
      </w:r>
      <w:r w:rsidRPr="003F5882">
        <w:rPr>
          <w:rFonts w:ascii="Arial" w:hAnsi="Arial" w:cs="Times New Roman"/>
          <w:sz w:val="21"/>
        </w:rPr>
        <w:t>31</w:t>
      </w:r>
      <w:r w:rsidRPr="003F5882">
        <w:rPr>
          <w:rFonts w:ascii="Arial" w:hAnsi="Arial" w:cs="Times New Roman"/>
          <w:sz w:val="21"/>
        </w:rPr>
        <w:t>日，预付款总值为</w:t>
      </w:r>
      <w:r w:rsidRPr="003F5882">
        <w:rPr>
          <w:rFonts w:ascii="Arial" w:hAnsi="Arial" w:cs="Times New Roman"/>
          <w:sz w:val="21"/>
        </w:rPr>
        <w:t>50</w:t>
      </w:r>
      <w:proofErr w:type="gramStart"/>
      <w:r w:rsidRPr="003F5882">
        <w:rPr>
          <w:rFonts w:ascii="Arial" w:hAnsi="Arial" w:cs="Times New Roman"/>
          <w:sz w:val="21"/>
        </w:rPr>
        <w:t>万瑞</w:t>
      </w:r>
      <w:proofErr w:type="gramEnd"/>
      <w:r w:rsidRPr="003F5882">
        <w:rPr>
          <w:rFonts w:ascii="Arial" w:hAnsi="Arial" w:cs="Times New Roman"/>
          <w:sz w:val="21"/>
        </w:rPr>
        <w:t>郎。</w:t>
      </w:r>
    </w:p>
    <w:p w:rsidR="007D62CB" w:rsidRDefault="006C0099" w:rsidP="007D62CB">
      <w:pPr>
        <w:pStyle w:val="STYLETITRENOTES"/>
        <w:keepNext/>
        <w:overflowPunct w:val="0"/>
        <w:spacing w:beforeLines="100" w:before="240" w:afterLines="100" w:after="240" w:line="340" w:lineRule="atLeast"/>
        <w:rPr>
          <w:rFonts w:ascii="Arial" w:eastAsia="SimHei" w:hAnsi="Arial" w:cs="Times New Roman"/>
          <w:b w:val="0"/>
          <w:sz w:val="21"/>
        </w:rPr>
      </w:pPr>
      <w:r w:rsidRPr="00F453AC">
        <w:rPr>
          <w:rFonts w:ascii="Arial" w:eastAsia="SimHei" w:hAnsi="Arial" w:cs="Times New Roman"/>
          <w:b w:val="0"/>
          <w:sz w:val="21"/>
        </w:rPr>
        <w:lastRenderedPageBreak/>
        <w:t>附注</w:t>
      </w:r>
      <w:r w:rsidRPr="00F453AC">
        <w:rPr>
          <w:rFonts w:ascii="Arial" w:eastAsia="SimHei" w:hAnsi="Arial" w:cs="Times New Roman"/>
          <w:b w:val="0"/>
          <w:sz w:val="21"/>
        </w:rPr>
        <w:t>11</w:t>
      </w:r>
      <w:r w:rsidRPr="00F453AC">
        <w:rPr>
          <w:rFonts w:ascii="Arial" w:eastAsia="SimHei" w:hAnsi="Arial" w:cs="Times New Roman"/>
          <w:b w:val="0"/>
          <w:sz w:val="21"/>
        </w:rPr>
        <w:t>：</w:t>
      </w:r>
      <w:r w:rsidRPr="00F453AC">
        <w:rPr>
          <w:rFonts w:ascii="Arial" w:eastAsia="SimHei" w:hAnsi="Arial" w:cs="Times New Roman"/>
          <w:b w:val="0"/>
          <w:sz w:val="21"/>
        </w:rPr>
        <w:tab/>
      </w:r>
      <w:r w:rsidRPr="00F453AC">
        <w:rPr>
          <w:rFonts w:ascii="Arial" w:eastAsia="SimHei" w:hAnsi="Arial" w:cs="Times New Roman"/>
          <w:b w:val="0"/>
          <w:sz w:val="21"/>
        </w:rPr>
        <w:t>应付</w:t>
      </w:r>
      <w:r w:rsidR="007B51AD" w:rsidRPr="00F453AC">
        <w:rPr>
          <w:rFonts w:ascii="Arial" w:eastAsia="SimHei" w:hAnsi="Arial" w:cs="Times New Roman"/>
          <w:b w:val="0"/>
          <w:sz w:val="21"/>
        </w:rPr>
        <w:t>账</w:t>
      </w:r>
      <w:r w:rsidRPr="00F453AC">
        <w:rPr>
          <w:rFonts w:ascii="Arial" w:eastAsia="SimHei" w:hAnsi="Arial" w:cs="Times New Roman"/>
          <w:b w:val="0"/>
          <w:sz w:val="21"/>
        </w:rPr>
        <w:t>款</w:t>
      </w:r>
    </w:p>
    <w:p w:rsidR="006C0099" w:rsidRPr="003F5882" w:rsidRDefault="006F16A3" w:rsidP="006C0099">
      <w:pPr>
        <w:jc w:val="center"/>
        <w:rPr>
          <w:rFonts w:ascii="Arial" w:hAnsi="Arial" w:cs="Times New Roman"/>
          <w:sz w:val="20"/>
          <w:szCs w:val="20"/>
        </w:rPr>
      </w:pPr>
      <w:r w:rsidRPr="006F16A3">
        <w:rPr>
          <w:noProof/>
          <w:lang w:val="en-US" w:bidi="ar-SA"/>
        </w:rPr>
        <w:drawing>
          <wp:inline distT="0" distB="0" distL="0" distR="0">
            <wp:extent cx="5736590" cy="1345565"/>
            <wp:effectExtent l="0" t="0" r="0" b="0"/>
            <wp:docPr id="146" name="图片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736590" cy="1345565"/>
                    </a:xfrm>
                    <a:prstGeom prst="rect">
                      <a:avLst/>
                    </a:prstGeom>
                    <a:noFill/>
                    <a:ln>
                      <a:noFill/>
                    </a:ln>
                  </pic:spPr>
                </pic:pic>
              </a:graphicData>
            </a:graphic>
          </wp:inline>
        </w:drawing>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应付账款包括从供应商那里收取但尚未结账的发票，其中包括以瑞郎之外的货币计价的应付发票重估数值。</w:t>
      </w:r>
    </w:p>
    <w:p w:rsidR="007D62CB" w:rsidRDefault="006C0099" w:rsidP="007D62CB">
      <w:pPr>
        <w:pStyle w:val="STYLETITRENOTES"/>
        <w:keepNext/>
        <w:overflowPunct w:val="0"/>
        <w:spacing w:beforeLines="100" w:before="240" w:afterLines="100" w:after="240" w:line="340" w:lineRule="atLeast"/>
        <w:rPr>
          <w:rFonts w:ascii="Arial" w:eastAsia="SimHei" w:hAnsi="Arial" w:cs="Times New Roman"/>
          <w:b w:val="0"/>
          <w:sz w:val="21"/>
          <w:szCs w:val="22"/>
        </w:rPr>
      </w:pPr>
      <w:r w:rsidRPr="00F453AC">
        <w:rPr>
          <w:rFonts w:ascii="Arial" w:eastAsia="SimHei" w:hAnsi="Arial" w:cs="Times New Roman"/>
          <w:b w:val="0"/>
          <w:sz w:val="21"/>
        </w:rPr>
        <w:t>附注</w:t>
      </w:r>
      <w:r w:rsidRPr="00F453AC">
        <w:rPr>
          <w:rFonts w:ascii="Arial" w:eastAsia="SimHei" w:hAnsi="Arial" w:cs="Times New Roman"/>
          <w:b w:val="0"/>
          <w:sz w:val="21"/>
        </w:rPr>
        <w:t>12</w:t>
      </w:r>
      <w:r w:rsidRPr="00F453AC">
        <w:rPr>
          <w:rFonts w:ascii="Arial" w:eastAsia="SimHei" w:hAnsi="Arial" w:cs="Times New Roman"/>
          <w:b w:val="0"/>
          <w:sz w:val="21"/>
        </w:rPr>
        <w:t>：</w:t>
      </w:r>
      <w:r w:rsidRPr="00F453AC">
        <w:rPr>
          <w:rFonts w:ascii="Arial" w:eastAsia="SimHei" w:hAnsi="Arial" w:cs="Times New Roman"/>
          <w:b w:val="0"/>
          <w:sz w:val="21"/>
        </w:rPr>
        <w:tab/>
      </w:r>
      <w:r w:rsidRPr="00F453AC">
        <w:rPr>
          <w:rFonts w:ascii="Arial" w:eastAsia="SimHei" w:hAnsi="Arial" w:cs="Times New Roman"/>
          <w:b w:val="0"/>
          <w:sz w:val="21"/>
        </w:rPr>
        <w:t>雇员福利</w:t>
      </w:r>
    </w:p>
    <w:p w:rsidR="006C0099" w:rsidRPr="00F453AC" w:rsidRDefault="006F16A3" w:rsidP="006F16A3">
      <w:pPr>
        <w:pStyle w:val="STYLETITRENOTES"/>
        <w:spacing w:afterLines="50" w:after="120"/>
        <w:jc w:val="center"/>
        <w:rPr>
          <w:rFonts w:ascii="Arial" w:eastAsia="SimHei" w:hAnsi="Arial" w:cs="Times New Roman"/>
          <w:b w:val="0"/>
          <w:sz w:val="21"/>
          <w:szCs w:val="22"/>
        </w:rPr>
      </w:pPr>
      <w:r w:rsidRPr="006F16A3">
        <w:rPr>
          <w:noProof/>
          <w:lang w:val="en-US" w:bidi="ar-SA"/>
        </w:rPr>
        <w:drawing>
          <wp:inline distT="0" distB="0" distL="0" distR="0">
            <wp:extent cx="5736590" cy="3674745"/>
            <wp:effectExtent l="0" t="0" r="0" b="0"/>
            <wp:docPr id="147" name="图片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5736590" cy="3674745"/>
                    </a:xfrm>
                    <a:prstGeom prst="rect">
                      <a:avLst/>
                    </a:prstGeom>
                    <a:noFill/>
                    <a:ln>
                      <a:noFill/>
                    </a:ln>
                  </pic:spPr>
                </pic:pic>
              </a:graphicData>
            </a:graphic>
          </wp:inline>
        </w:drawing>
      </w:r>
    </w:p>
    <w:p w:rsidR="007D62CB" w:rsidRDefault="006C0099" w:rsidP="006C0099">
      <w:pPr>
        <w:pStyle w:val="Style3"/>
        <w:spacing w:after="0"/>
        <w:rPr>
          <w:rFonts w:ascii="Arial" w:hAnsi="Arial" w:cs="Times New Roman"/>
          <w:sz w:val="21"/>
        </w:rPr>
      </w:pPr>
      <w:r w:rsidRPr="003F5882">
        <w:rPr>
          <w:rFonts w:ascii="Arial" w:hAnsi="Arial" w:cs="Times New Roman"/>
          <w:sz w:val="21"/>
        </w:rPr>
        <w:t>雇员福利包括：</w:t>
      </w:r>
    </w:p>
    <w:p w:rsidR="007D62CB" w:rsidRDefault="006C0099" w:rsidP="007D62CB">
      <w:pPr>
        <w:pStyle w:val="Style3"/>
        <w:spacing w:afterLines="50" w:line="340" w:lineRule="atLeast"/>
        <w:rPr>
          <w:rFonts w:ascii="Arial" w:hAnsi="Arial" w:cs="Times New Roman"/>
          <w:sz w:val="21"/>
        </w:rPr>
      </w:pPr>
      <w:r w:rsidRPr="00DA4636">
        <w:rPr>
          <w:rFonts w:ascii="Arial" w:eastAsia="KaiTi" w:hAnsi="Arial" w:cs="Times New Roman"/>
          <w:i/>
          <w:sz w:val="21"/>
        </w:rPr>
        <w:t>短期</w:t>
      </w:r>
      <w:r w:rsidR="00362309" w:rsidRPr="00DA4636">
        <w:rPr>
          <w:rFonts w:ascii="Arial" w:eastAsia="KaiTi" w:hAnsi="Arial" w:cs="Times New Roman" w:hint="eastAsia"/>
          <w:i/>
          <w:sz w:val="21"/>
        </w:rPr>
        <w:t>雇员</w:t>
      </w:r>
      <w:r w:rsidRPr="00DA4636">
        <w:rPr>
          <w:rFonts w:ascii="Arial" w:eastAsia="KaiTi" w:hAnsi="Arial" w:cs="Times New Roman"/>
          <w:i/>
          <w:sz w:val="21"/>
        </w:rPr>
        <w:t>福利</w:t>
      </w:r>
      <w:r w:rsidRPr="003F5882">
        <w:rPr>
          <w:rFonts w:ascii="Arial" w:hAnsi="Arial" w:cs="Times New Roman"/>
          <w:sz w:val="21"/>
        </w:rPr>
        <w:t>，包括薪水、津贴、初次分配工作津贴、受抚养子女教育津贴、带薪年假、带薪病假、事故和人寿保险</w:t>
      </w:r>
      <w:r w:rsidR="00362309" w:rsidRPr="003F5882">
        <w:rPr>
          <w:rFonts w:ascii="Arial" w:hAnsi="Arial" w:cs="Times New Roman" w:hint="eastAsia"/>
          <w:sz w:val="21"/>
        </w:rPr>
        <w:t>；</w:t>
      </w:r>
    </w:p>
    <w:p w:rsidR="007D62CB" w:rsidRDefault="006C0099" w:rsidP="007D62CB">
      <w:pPr>
        <w:pStyle w:val="Style3"/>
        <w:spacing w:afterLines="50" w:line="340" w:lineRule="atLeast"/>
        <w:rPr>
          <w:rFonts w:ascii="Arial" w:hAnsi="Arial" w:cs="Times New Roman"/>
          <w:sz w:val="21"/>
        </w:rPr>
      </w:pPr>
      <w:r w:rsidRPr="00DA4636">
        <w:rPr>
          <w:rFonts w:ascii="Arial" w:eastAsia="KaiTi" w:hAnsi="Arial" w:cs="Times New Roman"/>
          <w:i/>
          <w:sz w:val="21"/>
        </w:rPr>
        <w:t>离职后福利</w:t>
      </w:r>
      <w:r w:rsidRPr="003F5882">
        <w:rPr>
          <w:rFonts w:ascii="Arial" w:hAnsi="Arial" w:cs="Times New Roman"/>
          <w:sz w:val="21"/>
        </w:rPr>
        <w:t>，包括由回国补助金、回国差旅和私人物品装运和离职后健康保险</w:t>
      </w:r>
      <w:r w:rsidR="00F453AC" w:rsidRPr="003F5882">
        <w:rPr>
          <w:rFonts w:ascii="Arial" w:hAnsi="Arial" w:cs="Times New Roman"/>
          <w:sz w:val="21"/>
        </w:rPr>
        <w:t>（</w:t>
      </w:r>
      <w:r w:rsidRPr="003F5882">
        <w:rPr>
          <w:rFonts w:ascii="Arial" w:hAnsi="Arial" w:cs="Times New Roman"/>
          <w:sz w:val="21"/>
        </w:rPr>
        <w:t>ASHI</w:t>
      </w:r>
      <w:r w:rsidR="00F453AC" w:rsidRPr="003F5882">
        <w:rPr>
          <w:rFonts w:ascii="Arial" w:hAnsi="Arial" w:cs="Times New Roman"/>
          <w:sz w:val="21"/>
        </w:rPr>
        <w:t>）</w:t>
      </w:r>
      <w:r w:rsidRPr="003F5882">
        <w:rPr>
          <w:rFonts w:ascii="Arial" w:hAnsi="Arial" w:cs="Times New Roman"/>
          <w:sz w:val="21"/>
        </w:rPr>
        <w:t>组成的离职福利</w:t>
      </w:r>
      <w:r w:rsidR="00362309" w:rsidRPr="003F5882">
        <w:rPr>
          <w:rFonts w:ascii="Arial" w:hAnsi="Arial" w:cs="Times New Roman" w:hint="eastAsia"/>
          <w:sz w:val="21"/>
        </w:rPr>
        <w:t>；</w:t>
      </w:r>
    </w:p>
    <w:p w:rsidR="007D62CB" w:rsidRDefault="006C0099" w:rsidP="007D62CB">
      <w:pPr>
        <w:pStyle w:val="Style3"/>
        <w:spacing w:afterLines="50" w:line="340" w:lineRule="atLeast"/>
        <w:rPr>
          <w:rFonts w:ascii="Arial" w:hAnsi="Arial" w:cs="Times New Roman"/>
          <w:sz w:val="21"/>
          <w:szCs w:val="22"/>
        </w:rPr>
      </w:pPr>
      <w:r w:rsidRPr="00DA4636">
        <w:rPr>
          <w:rFonts w:ascii="Arial" w:eastAsia="KaiTi" w:hAnsi="Arial" w:cs="Times New Roman"/>
          <w:i/>
          <w:sz w:val="21"/>
        </w:rPr>
        <w:t>终止津贴</w:t>
      </w:r>
      <w:r w:rsidRPr="003F5882">
        <w:rPr>
          <w:rFonts w:ascii="Arial" w:hAnsi="Arial" w:cs="Times New Roman"/>
          <w:sz w:val="21"/>
        </w:rPr>
        <w:t>，包括向持有长期或固定任期合同而其任期已在合同终止前由本组织终止的工作人员支付的赔偿金。</w:t>
      </w:r>
    </w:p>
    <w:p w:rsidR="007D62CB" w:rsidRPr="003374D7" w:rsidRDefault="006C0099" w:rsidP="003374D7">
      <w:pPr>
        <w:pStyle w:val="Style3Bold"/>
        <w:keepNext/>
        <w:spacing w:afterLines="50" w:line="340" w:lineRule="atLeast"/>
        <w:rPr>
          <w:rFonts w:eastAsia="SimSun" w:cs="Times New Roman"/>
          <w:sz w:val="21"/>
        </w:rPr>
      </w:pPr>
      <w:r w:rsidRPr="003374D7">
        <w:rPr>
          <w:rFonts w:eastAsia="SimSun" w:cs="Times New Roman"/>
          <w:sz w:val="21"/>
        </w:rPr>
        <w:t>短期雇员福利</w:t>
      </w:r>
    </w:p>
    <w:p w:rsidR="007D62CB" w:rsidRDefault="006C0099" w:rsidP="007D62CB">
      <w:pPr>
        <w:pStyle w:val="Style3"/>
        <w:spacing w:afterLines="50" w:line="340" w:lineRule="atLeast"/>
        <w:rPr>
          <w:rFonts w:ascii="Arial" w:hAnsi="Arial" w:cs="Times New Roman"/>
          <w:sz w:val="21"/>
        </w:rPr>
      </w:pPr>
      <w:r w:rsidRPr="003F5882">
        <w:rPr>
          <w:rFonts w:ascii="Arial" w:hAnsi="Arial" w:cs="Times New Roman"/>
          <w:sz w:val="21"/>
        </w:rPr>
        <w:t>本组织还确认了以下短期</w:t>
      </w:r>
      <w:r w:rsidR="000C1F8F" w:rsidRPr="003F5882">
        <w:rPr>
          <w:rFonts w:ascii="Arial" w:hAnsi="Arial" w:cs="Times New Roman" w:hint="eastAsia"/>
          <w:sz w:val="21"/>
        </w:rPr>
        <w:t>福利</w:t>
      </w:r>
      <w:r w:rsidRPr="003F5882">
        <w:rPr>
          <w:rFonts w:ascii="Arial" w:hAnsi="Arial" w:cs="Times New Roman"/>
          <w:sz w:val="21"/>
        </w:rPr>
        <w:t>义务，其价值以报告日应向每一工作人员支付的金额为准。</w:t>
      </w:r>
    </w:p>
    <w:p w:rsidR="007D62CB" w:rsidRDefault="006C0099" w:rsidP="007D62CB">
      <w:pPr>
        <w:pStyle w:val="Style3"/>
        <w:spacing w:afterLines="50" w:line="340" w:lineRule="atLeast"/>
        <w:rPr>
          <w:rFonts w:ascii="Arial" w:hAnsi="Arial" w:cs="Times New Roman"/>
          <w:sz w:val="21"/>
        </w:rPr>
      </w:pPr>
      <w:r w:rsidRPr="00DA4636">
        <w:rPr>
          <w:rFonts w:ascii="Arial" w:eastAsia="KaiTi" w:hAnsi="Arial" w:cs="Times New Roman"/>
          <w:b/>
          <w:i/>
          <w:sz w:val="21"/>
        </w:rPr>
        <w:lastRenderedPageBreak/>
        <w:t>累计假期</w:t>
      </w:r>
      <w:r w:rsidRPr="003F5882">
        <w:rPr>
          <w:rFonts w:ascii="Arial" w:hAnsi="Arial" w:cs="Times New Roman"/>
          <w:sz w:val="21"/>
        </w:rPr>
        <w:t>：工作人员享有</w:t>
      </w:r>
      <w:r w:rsidRPr="003F5882">
        <w:rPr>
          <w:rFonts w:ascii="Arial" w:hAnsi="Arial" w:cs="Times New Roman"/>
          <w:sz w:val="21"/>
        </w:rPr>
        <w:t>30</w:t>
      </w:r>
      <w:r w:rsidRPr="003F5882">
        <w:rPr>
          <w:rFonts w:ascii="Arial" w:hAnsi="Arial" w:cs="Times New Roman"/>
          <w:sz w:val="21"/>
        </w:rPr>
        <w:t>天年假。根据《工作人员条例和规则》</w:t>
      </w:r>
      <w:r w:rsidR="00F453AC" w:rsidRPr="003F5882">
        <w:rPr>
          <w:rFonts w:ascii="Arial" w:hAnsi="Arial" w:cs="Times New Roman" w:hint="eastAsia"/>
          <w:sz w:val="21"/>
        </w:rPr>
        <w:t>（</w:t>
      </w:r>
      <w:r w:rsidR="001D4FAE" w:rsidRPr="003F5882">
        <w:rPr>
          <w:rFonts w:ascii="Arial" w:hAnsi="Arial" w:cs="Times New Roman"/>
          <w:sz w:val="21"/>
        </w:rPr>
        <w:t>SRR</w:t>
      </w:r>
      <w:r w:rsidR="00F453AC" w:rsidRPr="003F5882">
        <w:rPr>
          <w:rFonts w:ascii="Arial" w:hAnsi="Arial" w:cs="Times New Roman" w:hint="eastAsia"/>
          <w:sz w:val="21"/>
        </w:rPr>
        <w:t>）</w:t>
      </w:r>
      <w:r w:rsidRPr="003F5882">
        <w:rPr>
          <w:rFonts w:ascii="Arial" w:hAnsi="Arial" w:cs="Times New Roman"/>
          <w:sz w:val="21"/>
        </w:rPr>
        <w:t>，工作人员可以将至多</w:t>
      </w:r>
      <w:r w:rsidRPr="003F5882">
        <w:rPr>
          <w:rFonts w:ascii="Arial" w:hAnsi="Arial" w:cs="Times New Roman"/>
          <w:sz w:val="21"/>
        </w:rPr>
        <w:t>15</w:t>
      </w:r>
      <w:r w:rsidRPr="003F5882">
        <w:rPr>
          <w:rFonts w:ascii="Arial" w:hAnsi="Arial" w:cs="Times New Roman"/>
          <w:sz w:val="21"/>
        </w:rPr>
        <w:t>天的年假累积到给定的某一年，共可累计</w:t>
      </w:r>
      <w:r w:rsidRPr="003F5882">
        <w:rPr>
          <w:rFonts w:ascii="Arial" w:hAnsi="Arial" w:cs="Times New Roman"/>
          <w:sz w:val="21"/>
        </w:rPr>
        <w:t>60</w:t>
      </w:r>
      <w:r w:rsidRPr="003F5882">
        <w:rPr>
          <w:rFonts w:ascii="Arial" w:hAnsi="Arial" w:cs="Times New Roman"/>
          <w:sz w:val="21"/>
        </w:rPr>
        <w:t>天。但是，在</w:t>
      </w:r>
      <w:r w:rsidRPr="003F5882">
        <w:rPr>
          <w:rFonts w:ascii="Arial" w:hAnsi="Arial" w:cs="Times New Roman"/>
          <w:sz w:val="21"/>
        </w:rPr>
        <w:t>2013</w:t>
      </w:r>
      <w:r w:rsidRPr="003F5882">
        <w:rPr>
          <w:rFonts w:ascii="Arial" w:hAnsi="Arial" w:cs="Times New Roman"/>
          <w:sz w:val="21"/>
        </w:rPr>
        <w:t>年</w:t>
      </w:r>
      <w:r w:rsidRPr="003F5882">
        <w:rPr>
          <w:rFonts w:ascii="Arial" w:hAnsi="Arial" w:cs="Times New Roman"/>
          <w:sz w:val="21"/>
        </w:rPr>
        <w:t>1</w:t>
      </w:r>
      <w:r w:rsidRPr="003F5882">
        <w:rPr>
          <w:rFonts w:ascii="Arial" w:hAnsi="Arial" w:cs="Times New Roman"/>
          <w:sz w:val="21"/>
        </w:rPr>
        <w:t>月</w:t>
      </w:r>
      <w:r w:rsidRPr="003F5882">
        <w:rPr>
          <w:rFonts w:ascii="Arial" w:hAnsi="Arial" w:cs="Times New Roman"/>
          <w:sz w:val="21"/>
        </w:rPr>
        <w:t>1</w:t>
      </w:r>
      <w:r w:rsidRPr="003F5882">
        <w:rPr>
          <w:rFonts w:ascii="Arial" w:hAnsi="Arial" w:cs="Times New Roman"/>
          <w:sz w:val="21"/>
        </w:rPr>
        <w:t>日前累计年假超过</w:t>
      </w:r>
      <w:r w:rsidRPr="003F5882">
        <w:rPr>
          <w:rFonts w:ascii="Arial" w:hAnsi="Arial" w:cs="Times New Roman"/>
          <w:sz w:val="21"/>
        </w:rPr>
        <w:t>60</w:t>
      </w:r>
      <w:r w:rsidRPr="003F5882">
        <w:rPr>
          <w:rFonts w:ascii="Arial" w:hAnsi="Arial" w:cs="Times New Roman"/>
          <w:sz w:val="21"/>
        </w:rPr>
        <w:t>天的工作人员有权保留这些年假到</w:t>
      </w:r>
      <w:r w:rsidRPr="003F5882">
        <w:rPr>
          <w:rFonts w:ascii="Arial" w:hAnsi="Arial" w:cs="Times New Roman"/>
          <w:sz w:val="21"/>
        </w:rPr>
        <w:t>2018</w:t>
      </w:r>
      <w:r w:rsidRPr="003F5882">
        <w:rPr>
          <w:rFonts w:ascii="Arial" w:hAnsi="Arial" w:cs="Times New Roman"/>
          <w:sz w:val="21"/>
        </w:rPr>
        <w:t>年</w:t>
      </w:r>
      <w:r w:rsidRPr="003F5882">
        <w:rPr>
          <w:rFonts w:ascii="Arial" w:hAnsi="Arial" w:cs="Times New Roman"/>
          <w:sz w:val="21"/>
        </w:rPr>
        <w:t>1</w:t>
      </w:r>
      <w:r w:rsidRPr="003F5882">
        <w:rPr>
          <w:rFonts w:ascii="Arial" w:hAnsi="Arial" w:cs="Times New Roman"/>
          <w:sz w:val="21"/>
        </w:rPr>
        <w:t>月</w:t>
      </w:r>
      <w:r w:rsidRPr="003F5882">
        <w:rPr>
          <w:rFonts w:ascii="Arial" w:hAnsi="Arial" w:cs="Times New Roman"/>
          <w:sz w:val="21"/>
        </w:rPr>
        <w:t>1</w:t>
      </w:r>
      <w:r w:rsidRPr="003F5882">
        <w:rPr>
          <w:rFonts w:ascii="Arial" w:hAnsi="Arial" w:cs="Times New Roman"/>
          <w:sz w:val="21"/>
        </w:rPr>
        <w:t>日。尽管年假是一种短期雇员福利，但是工作人员有权累计未使用的年假并在离职时收取款项代替未使用的年假</w:t>
      </w:r>
      <w:r w:rsidR="007656B8" w:rsidRPr="003F5882">
        <w:rPr>
          <w:rFonts w:ascii="Arial" w:hAnsi="Arial" w:cs="Times New Roman" w:hint="eastAsia"/>
          <w:sz w:val="21"/>
        </w:rPr>
        <w:t>，</w:t>
      </w:r>
      <w:r w:rsidRPr="003F5882">
        <w:rPr>
          <w:rFonts w:ascii="Arial" w:hAnsi="Arial" w:cs="Times New Roman"/>
          <w:sz w:val="21"/>
        </w:rPr>
        <w:t>因此累计的假期被归类为非流动负债。报告日的</w:t>
      </w:r>
      <w:proofErr w:type="gramStart"/>
      <w:r w:rsidRPr="003F5882">
        <w:rPr>
          <w:rFonts w:ascii="Arial" w:hAnsi="Arial" w:cs="Times New Roman"/>
          <w:sz w:val="21"/>
        </w:rPr>
        <w:t>未偿</w:t>
      </w:r>
      <w:proofErr w:type="gramEnd"/>
      <w:r w:rsidRPr="003F5882">
        <w:rPr>
          <w:rFonts w:ascii="Arial" w:hAnsi="Arial" w:cs="Times New Roman"/>
          <w:sz w:val="21"/>
        </w:rPr>
        <w:t>债务总额为</w:t>
      </w:r>
      <w:r w:rsidRPr="003F5882">
        <w:rPr>
          <w:rFonts w:ascii="Arial" w:hAnsi="Arial" w:cs="Times New Roman"/>
          <w:sz w:val="21"/>
        </w:rPr>
        <w:t>1,290</w:t>
      </w:r>
      <w:proofErr w:type="gramStart"/>
      <w:r w:rsidRPr="003F5882">
        <w:rPr>
          <w:rFonts w:ascii="Arial" w:hAnsi="Arial" w:cs="Times New Roman"/>
          <w:sz w:val="21"/>
        </w:rPr>
        <w:t>万瑞</w:t>
      </w:r>
      <w:proofErr w:type="gramEnd"/>
      <w:r w:rsidRPr="003F5882">
        <w:rPr>
          <w:rFonts w:ascii="Arial" w:hAnsi="Arial" w:cs="Times New Roman"/>
          <w:sz w:val="21"/>
        </w:rPr>
        <w:t>郎</w:t>
      </w:r>
      <w:r w:rsidR="00F453AC" w:rsidRPr="003F5882">
        <w:rPr>
          <w:rFonts w:ascii="Arial" w:hAnsi="Arial" w:cs="Times New Roman"/>
          <w:sz w:val="21"/>
        </w:rPr>
        <w:t>［</w:t>
      </w:r>
      <w:r w:rsidRPr="003F5882">
        <w:rPr>
          <w:rFonts w:ascii="Arial" w:hAnsi="Arial" w:cs="Times New Roman"/>
          <w:sz w:val="21"/>
        </w:rPr>
        <w:t>2013</w:t>
      </w:r>
      <w:r w:rsidRPr="003F5882">
        <w:rPr>
          <w:rFonts w:ascii="Arial" w:hAnsi="Arial" w:cs="Times New Roman"/>
          <w:sz w:val="21"/>
        </w:rPr>
        <w:t>年</w:t>
      </w:r>
      <w:r w:rsidRPr="003F5882">
        <w:rPr>
          <w:rFonts w:ascii="Arial" w:hAnsi="Arial" w:cs="Times New Roman"/>
          <w:sz w:val="21"/>
        </w:rPr>
        <w:t>12</w:t>
      </w:r>
      <w:r w:rsidRPr="003F5882">
        <w:rPr>
          <w:rFonts w:ascii="Arial" w:hAnsi="Arial" w:cs="Times New Roman"/>
          <w:sz w:val="21"/>
        </w:rPr>
        <w:t>月</w:t>
      </w:r>
      <w:r w:rsidRPr="003F5882">
        <w:rPr>
          <w:rFonts w:ascii="Arial" w:hAnsi="Arial" w:cs="Times New Roman"/>
          <w:sz w:val="21"/>
        </w:rPr>
        <w:t>31</w:t>
      </w:r>
      <w:r w:rsidRPr="003F5882">
        <w:rPr>
          <w:rFonts w:ascii="Arial" w:hAnsi="Arial" w:cs="Times New Roman"/>
          <w:sz w:val="21"/>
        </w:rPr>
        <w:t>日为</w:t>
      </w:r>
      <w:r w:rsidRPr="003F5882">
        <w:rPr>
          <w:rFonts w:ascii="Arial" w:hAnsi="Arial" w:cs="Times New Roman"/>
          <w:sz w:val="21"/>
        </w:rPr>
        <w:t>1,220</w:t>
      </w:r>
      <w:proofErr w:type="gramStart"/>
      <w:r w:rsidRPr="003F5882">
        <w:rPr>
          <w:rFonts w:ascii="Arial" w:hAnsi="Arial" w:cs="Times New Roman"/>
          <w:sz w:val="21"/>
        </w:rPr>
        <w:t>万瑞</w:t>
      </w:r>
      <w:proofErr w:type="gramEnd"/>
      <w:r w:rsidRPr="003F5882">
        <w:rPr>
          <w:rFonts w:ascii="Arial" w:hAnsi="Arial" w:cs="Times New Roman"/>
          <w:sz w:val="21"/>
        </w:rPr>
        <w:t>郎</w:t>
      </w:r>
      <w:r w:rsidR="00F453AC" w:rsidRPr="003F5882">
        <w:rPr>
          <w:rFonts w:ascii="Arial" w:hAnsi="Arial" w:cs="Times New Roman"/>
          <w:sz w:val="21"/>
        </w:rPr>
        <w:t>］</w:t>
      </w:r>
      <w:r w:rsidRPr="003F5882">
        <w:rPr>
          <w:rFonts w:ascii="Arial" w:hAnsi="Arial" w:cs="Times New Roman"/>
          <w:sz w:val="21"/>
        </w:rPr>
        <w:t>。</w:t>
      </w:r>
    </w:p>
    <w:p w:rsidR="007D62CB" w:rsidRDefault="006C0099" w:rsidP="007D62CB">
      <w:pPr>
        <w:pStyle w:val="Style3"/>
        <w:spacing w:afterLines="50" w:line="340" w:lineRule="atLeast"/>
        <w:rPr>
          <w:rFonts w:ascii="Arial" w:hAnsi="Arial" w:cs="Times New Roman"/>
          <w:sz w:val="21"/>
        </w:rPr>
      </w:pPr>
      <w:r w:rsidRPr="00DA4636">
        <w:rPr>
          <w:rFonts w:ascii="Arial" w:eastAsia="KaiTi" w:hAnsi="Arial" w:cs="Times New Roman"/>
          <w:b/>
          <w:i/>
          <w:sz w:val="21"/>
        </w:rPr>
        <w:t>回籍假</w:t>
      </w:r>
      <w:r w:rsidRPr="003F5882">
        <w:rPr>
          <w:rFonts w:ascii="Arial" w:hAnsi="Arial" w:cs="Times New Roman"/>
          <w:sz w:val="21"/>
        </w:rPr>
        <w:t>：国际征募工作人员本人和家属每隔一年享有返回其应征国家的回籍假。在报告日应得却未休的回籍假</w:t>
      </w:r>
      <w:proofErr w:type="gramStart"/>
      <w:r w:rsidRPr="003F5882">
        <w:rPr>
          <w:rFonts w:ascii="Arial" w:hAnsi="Arial" w:cs="Times New Roman"/>
          <w:sz w:val="21"/>
        </w:rPr>
        <w:t>未偿</w:t>
      </w:r>
      <w:proofErr w:type="gramEnd"/>
      <w:r w:rsidRPr="003F5882">
        <w:rPr>
          <w:rFonts w:ascii="Arial" w:hAnsi="Arial" w:cs="Times New Roman"/>
          <w:sz w:val="21"/>
        </w:rPr>
        <w:t>债务总额为</w:t>
      </w:r>
      <w:r w:rsidRPr="003F5882">
        <w:rPr>
          <w:rFonts w:ascii="Arial" w:hAnsi="Arial" w:cs="Times New Roman"/>
          <w:sz w:val="21"/>
        </w:rPr>
        <w:t>50</w:t>
      </w:r>
      <w:proofErr w:type="gramStart"/>
      <w:r w:rsidRPr="003F5882">
        <w:rPr>
          <w:rFonts w:ascii="Arial" w:hAnsi="Arial" w:cs="Times New Roman"/>
          <w:sz w:val="21"/>
        </w:rPr>
        <w:t>万瑞</w:t>
      </w:r>
      <w:proofErr w:type="gramEnd"/>
      <w:r w:rsidRPr="003F5882">
        <w:rPr>
          <w:rFonts w:ascii="Arial" w:hAnsi="Arial" w:cs="Times New Roman"/>
          <w:sz w:val="21"/>
        </w:rPr>
        <w:t>郎</w:t>
      </w:r>
      <w:r w:rsidR="00F453AC" w:rsidRPr="003F5882">
        <w:rPr>
          <w:rFonts w:ascii="Arial" w:hAnsi="Arial" w:cs="Times New Roman"/>
          <w:sz w:val="21"/>
        </w:rPr>
        <w:t>［</w:t>
      </w:r>
      <w:r w:rsidRPr="003F5882">
        <w:rPr>
          <w:rFonts w:ascii="Arial" w:hAnsi="Arial" w:cs="Times New Roman"/>
          <w:sz w:val="21"/>
        </w:rPr>
        <w:t>2013</w:t>
      </w:r>
      <w:r w:rsidRPr="003F5882">
        <w:rPr>
          <w:rFonts w:ascii="Arial" w:hAnsi="Arial" w:cs="Times New Roman"/>
          <w:sz w:val="21"/>
        </w:rPr>
        <w:t>年</w:t>
      </w:r>
      <w:r w:rsidRPr="003F5882">
        <w:rPr>
          <w:rFonts w:ascii="Arial" w:hAnsi="Arial" w:cs="Times New Roman"/>
          <w:sz w:val="21"/>
        </w:rPr>
        <w:t>12</w:t>
      </w:r>
      <w:r w:rsidRPr="003F5882">
        <w:rPr>
          <w:rFonts w:ascii="Arial" w:hAnsi="Arial" w:cs="Times New Roman"/>
          <w:sz w:val="21"/>
        </w:rPr>
        <w:t>月</w:t>
      </w:r>
      <w:r w:rsidRPr="003F5882">
        <w:rPr>
          <w:rFonts w:ascii="Arial" w:hAnsi="Arial" w:cs="Times New Roman"/>
          <w:sz w:val="21"/>
        </w:rPr>
        <w:t>31</w:t>
      </w:r>
      <w:r w:rsidRPr="003F5882">
        <w:rPr>
          <w:rFonts w:ascii="Arial" w:hAnsi="Arial" w:cs="Times New Roman"/>
          <w:sz w:val="21"/>
        </w:rPr>
        <w:t>日为</w:t>
      </w:r>
      <w:r w:rsidRPr="003F5882">
        <w:rPr>
          <w:rFonts w:ascii="Arial" w:hAnsi="Arial" w:cs="Times New Roman"/>
          <w:sz w:val="21"/>
        </w:rPr>
        <w:t>50</w:t>
      </w:r>
      <w:proofErr w:type="gramStart"/>
      <w:r w:rsidRPr="003F5882">
        <w:rPr>
          <w:rFonts w:ascii="Arial" w:hAnsi="Arial" w:cs="Times New Roman"/>
          <w:sz w:val="21"/>
        </w:rPr>
        <w:t>万瑞</w:t>
      </w:r>
      <w:proofErr w:type="gramEnd"/>
      <w:r w:rsidRPr="003F5882">
        <w:rPr>
          <w:rFonts w:ascii="Arial" w:hAnsi="Arial" w:cs="Times New Roman"/>
          <w:sz w:val="21"/>
        </w:rPr>
        <w:t>郎</w:t>
      </w:r>
      <w:r w:rsidR="00F453AC" w:rsidRPr="003F5882">
        <w:rPr>
          <w:rFonts w:ascii="Arial" w:hAnsi="Arial" w:cs="Times New Roman"/>
          <w:sz w:val="21"/>
        </w:rPr>
        <w:t>］</w:t>
      </w:r>
      <w:r w:rsidRPr="003F5882">
        <w:rPr>
          <w:rFonts w:ascii="Arial" w:hAnsi="Arial" w:cs="Times New Roman"/>
          <w:sz w:val="21"/>
        </w:rPr>
        <w:t>。</w:t>
      </w:r>
    </w:p>
    <w:p w:rsidR="007D62CB" w:rsidRDefault="006C0099" w:rsidP="007D62CB">
      <w:pPr>
        <w:pStyle w:val="Style3"/>
        <w:spacing w:afterLines="50" w:line="340" w:lineRule="atLeast"/>
        <w:rPr>
          <w:rFonts w:ascii="Arial" w:hAnsi="Arial" w:cs="Times New Roman"/>
          <w:sz w:val="21"/>
          <w:szCs w:val="22"/>
        </w:rPr>
      </w:pPr>
      <w:r w:rsidRPr="00DA4636">
        <w:rPr>
          <w:rFonts w:ascii="Arial" w:eastAsia="KaiTi" w:hAnsi="Arial" w:cs="Times New Roman"/>
          <w:b/>
          <w:i/>
          <w:sz w:val="21"/>
        </w:rPr>
        <w:t>加班</w:t>
      </w:r>
      <w:r w:rsidRPr="003F5882">
        <w:rPr>
          <w:rFonts w:ascii="Arial" w:hAnsi="Arial" w:cs="Times New Roman"/>
          <w:sz w:val="21"/>
        </w:rPr>
        <w:t>：某些工作人员在《工作人员条例与细则》确定的期限到期之后加班可以获得现金支付。报告日应付金额共计</w:t>
      </w:r>
      <w:r w:rsidRPr="003F5882">
        <w:rPr>
          <w:rFonts w:ascii="Arial" w:hAnsi="Arial" w:cs="Times New Roman"/>
          <w:sz w:val="21"/>
        </w:rPr>
        <w:t>50</w:t>
      </w:r>
      <w:proofErr w:type="gramStart"/>
      <w:r w:rsidRPr="003F5882">
        <w:rPr>
          <w:rFonts w:ascii="Arial" w:hAnsi="Arial" w:cs="Times New Roman"/>
          <w:sz w:val="21"/>
        </w:rPr>
        <w:t>万瑞</w:t>
      </w:r>
      <w:proofErr w:type="gramEnd"/>
      <w:r w:rsidRPr="003F5882">
        <w:rPr>
          <w:rFonts w:ascii="Arial" w:hAnsi="Arial" w:cs="Times New Roman"/>
          <w:sz w:val="21"/>
        </w:rPr>
        <w:t>郎</w:t>
      </w:r>
      <w:r w:rsidR="00F453AC" w:rsidRPr="003F5882">
        <w:rPr>
          <w:rFonts w:ascii="Arial" w:hAnsi="Arial" w:cs="Times New Roman"/>
          <w:sz w:val="21"/>
        </w:rPr>
        <w:t>［</w:t>
      </w:r>
      <w:r w:rsidRPr="003F5882">
        <w:rPr>
          <w:rFonts w:ascii="Arial" w:hAnsi="Arial" w:cs="Times New Roman"/>
          <w:sz w:val="21"/>
        </w:rPr>
        <w:t>2013</w:t>
      </w:r>
      <w:r w:rsidRPr="003F5882">
        <w:rPr>
          <w:rFonts w:ascii="Arial" w:hAnsi="Arial" w:cs="Times New Roman"/>
          <w:sz w:val="21"/>
        </w:rPr>
        <w:t>年</w:t>
      </w:r>
      <w:r w:rsidRPr="003F5882">
        <w:rPr>
          <w:rFonts w:ascii="Arial" w:hAnsi="Arial" w:cs="Times New Roman"/>
          <w:sz w:val="21"/>
        </w:rPr>
        <w:t>12</w:t>
      </w:r>
      <w:r w:rsidRPr="003F5882">
        <w:rPr>
          <w:rFonts w:ascii="Arial" w:hAnsi="Arial" w:cs="Times New Roman"/>
          <w:sz w:val="21"/>
        </w:rPr>
        <w:t>月</w:t>
      </w:r>
      <w:r w:rsidRPr="003F5882">
        <w:rPr>
          <w:rFonts w:ascii="Arial" w:hAnsi="Arial" w:cs="Times New Roman"/>
          <w:sz w:val="21"/>
        </w:rPr>
        <w:t>31</w:t>
      </w:r>
      <w:r w:rsidRPr="003F5882">
        <w:rPr>
          <w:rFonts w:ascii="Arial" w:hAnsi="Arial" w:cs="Times New Roman"/>
          <w:sz w:val="21"/>
        </w:rPr>
        <w:t>日为</w:t>
      </w:r>
      <w:r w:rsidRPr="003F5882">
        <w:rPr>
          <w:rFonts w:ascii="Arial" w:hAnsi="Arial" w:cs="Times New Roman"/>
          <w:sz w:val="21"/>
        </w:rPr>
        <w:t>80</w:t>
      </w:r>
      <w:proofErr w:type="gramStart"/>
      <w:r w:rsidRPr="003F5882">
        <w:rPr>
          <w:rFonts w:ascii="Arial" w:hAnsi="Arial" w:cs="Times New Roman"/>
          <w:sz w:val="21"/>
        </w:rPr>
        <w:t>万瑞</w:t>
      </w:r>
      <w:proofErr w:type="gramEnd"/>
      <w:r w:rsidRPr="003F5882">
        <w:rPr>
          <w:rFonts w:ascii="Arial" w:hAnsi="Arial" w:cs="Times New Roman"/>
          <w:sz w:val="21"/>
        </w:rPr>
        <w:t>郎</w:t>
      </w:r>
      <w:r w:rsidR="00F453AC" w:rsidRPr="003F5882">
        <w:rPr>
          <w:rFonts w:ascii="Arial" w:hAnsi="Arial" w:cs="Times New Roman"/>
          <w:sz w:val="21"/>
        </w:rPr>
        <w:t>］</w:t>
      </w:r>
      <w:r w:rsidRPr="003F5882">
        <w:rPr>
          <w:rFonts w:ascii="Arial" w:hAnsi="Arial" w:cs="Times New Roman"/>
          <w:sz w:val="21"/>
        </w:rPr>
        <w:t>。</w:t>
      </w:r>
    </w:p>
    <w:p w:rsidR="007D62CB" w:rsidRDefault="006C0099" w:rsidP="007D62CB">
      <w:pPr>
        <w:pStyle w:val="Style3"/>
        <w:spacing w:afterLines="50" w:line="340" w:lineRule="atLeast"/>
        <w:rPr>
          <w:rFonts w:ascii="Arial" w:hAnsi="Arial" w:cs="Times New Roman"/>
          <w:sz w:val="21"/>
          <w:szCs w:val="22"/>
        </w:rPr>
      </w:pPr>
      <w:r w:rsidRPr="00DA4636">
        <w:rPr>
          <w:rFonts w:ascii="Arial" w:eastAsia="KaiTi" w:hAnsi="Arial" w:cs="Times New Roman"/>
          <w:b/>
          <w:i/>
          <w:sz w:val="21"/>
        </w:rPr>
        <w:t>教育补助金</w:t>
      </w:r>
      <w:r w:rsidRPr="003F5882">
        <w:rPr>
          <w:rFonts w:ascii="Arial" w:hAnsi="Arial" w:cs="Times New Roman"/>
          <w:sz w:val="21"/>
        </w:rPr>
        <w:t>：国际工作人员，居住在其本国的除外，均可领取一笔补助金，</w:t>
      </w:r>
      <w:r w:rsidR="00D36BCD" w:rsidRPr="003F5882">
        <w:rPr>
          <w:rFonts w:ascii="Arial" w:hAnsi="Arial" w:cs="Times New Roman" w:hint="eastAsia"/>
          <w:sz w:val="21"/>
        </w:rPr>
        <w:t>用</w:t>
      </w:r>
      <w:r w:rsidRPr="003F5882">
        <w:rPr>
          <w:rFonts w:ascii="Arial" w:hAnsi="Arial" w:cs="Times New Roman"/>
          <w:sz w:val="21"/>
        </w:rPr>
        <w:t>以支付受抚养子女</w:t>
      </w:r>
      <w:r w:rsidR="00D36BCD" w:rsidRPr="003F5882">
        <w:rPr>
          <w:rFonts w:ascii="Arial" w:hAnsi="Arial" w:cs="Times New Roman"/>
          <w:sz w:val="21"/>
        </w:rPr>
        <w:t>75.0%</w:t>
      </w:r>
      <w:r w:rsidR="00D36BCD" w:rsidRPr="003F5882">
        <w:rPr>
          <w:rFonts w:ascii="Arial" w:hAnsi="Arial" w:cs="Times New Roman"/>
          <w:sz w:val="21"/>
        </w:rPr>
        <w:t>的</w:t>
      </w:r>
      <w:r w:rsidRPr="003F5882">
        <w:rPr>
          <w:rFonts w:ascii="Arial" w:hAnsi="Arial" w:cs="Times New Roman"/>
          <w:sz w:val="21"/>
        </w:rPr>
        <w:t>教育费，</w:t>
      </w:r>
      <w:r w:rsidR="000C712F" w:rsidRPr="003F5882">
        <w:rPr>
          <w:rFonts w:ascii="Arial" w:hAnsi="Arial" w:cs="Times New Roman" w:hint="eastAsia"/>
          <w:sz w:val="21"/>
        </w:rPr>
        <w:t>教育期限</w:t>
      </w:r>
      <w:r w:rsidRPr="003F5882">
        <w:rPr>
          <w:rFonts w:ascii="Arial" w:hAnsi="Arial" w:cs="Times New Roman"/>
          <w:sz w:val="21"/>
        </w:rPr>
        <w:t>直至</w:t>
      </w:r>
      <w:r w:rsidR="00D36BCD" w:rsidRPr="003F5882">
        <w:rPr>
          <w:rFonts w:ascii="Arial" w:hAnsi="Arial" w:cs="Times New Roman" w:hint="eastAsia"/>
          <w:sz w:val="21"/>
        </w:rPr>
        <w:t>中学后</w:t>
      </w:r>
      <w:r w:rsidRPr="003F5882">
        <w:rPr>
          <w:rFonts w:ascii="Arial" w:hAnsi="Arial" w:cs="Times New Roman"/>
          <w:sz w:val="21"/>
        </w:rPr>
        <w:t>学习的第四年为止，但是不能超过子女年满</w:t>
      </w:r>
      <w:r w:rsidRPr="003F5882">
        <w:rPr>
          <w:rFonts w:ascii="Arial" w:hAnsi="Arial" w:cs="Times New Roman"/>
          <w:sz w:val="21"/>
        </w:rPr>
        <w:t>25</w:t>
      </w:r>
      <w:r w:rsidRPr="003F5882">
        <w:rPr>
          <w:rFonts w:ascii="Arial" w:hAnsi="Arial" w:cs="Times New Roman"/>
          <w:sz w:val="21"/>
        </w:rPr>
        <w:t>周岁</w:t>
      </w:r>
      <w:r w:rsidR="00D36BCD" w:rsidRPr="003F5882">
        <w:rPr>
          <w:rFonts w:ascii="Arial" w:hAnsi="Arial" w:cs="Times New Roman" w:hint="eastAsia"/>
          <w:sz w:val="21"/>
        </w:rPr>
        <w:t>那</w:t>
      </w:r>
      <w:r w:rsidRPr="003F5882">
        <w:rPr>
          <w:rFonts w:ascii="Arial" w:hAnsi="Arial" w:cs="Times New Roman"/>
          <w:sz w:val="21"/>
        </w:rPr>
        <w:t>一学年年底。应付教育补助金的负债与从学校</w:t>
      </w:r>
      <w:r w:rsidRPr="003F5882">
        <w:rPr>
          <w:rFonts w:ascii="Arial" w:hAnsi="Arial" w:cs="Times New Roman"/>
          <w:sz w:val="21"/>
        </w:rPr>
        <w:t>/</w:t>
      </w:r>
      <w:r w:rsidRPr="003F5882">
        <w:rPr>
          <w:rFonts w:ascii="Arial" w:hAnsi="Arial" w:cs="Times New Roman"/>
          <w:sz w:val="21"/>
        </w:rPr>
        <w:t>大学学年开始至</w:t>
      </w:r>
      <w:r w:rsidRPr="003F5882">
        <w:rPr>
          <w:rFonts w:ascii="Arial" w:hAnsi="Arial" w:cs="Times New Roman"/>
          <w:sz w:val="21"/>
        </w:rPr>
        <w:t>2014</w:t>
      </w:r>
      <w:r w:rsidRPr="003F5882">
        <w:rPr>
          <w:rFonts w:ascii="Arial" w:hAnsi="Arial" w:cs="Times New Roman"/>
          <w:sz w:val="21"/>
        </w:rPr>
        <w:t>年</w:t>
      </w:r>
      <w:r w:rsidRPr="003F5882">
        <w:rPr>
          <w:rFonts w:ascii="Arial" w:hAnsi="Arial" w:cs="Times New Roman"/>
          <w:sz w:val="21"/>
        </w:rPr>
        <w:t>12</w:t>
      </w:r>
      <w:r w:rsidRPr="003F5882">
        <w:rPr>
          <w:rFonts w:ascii="Arial" w:hAnsi="Arial" w:cs="Times New Roman"/>
          <w:sz w:val="21"/>
        </w:rPr>
        <w:t>月</w:t>
      </w:r>
      <w:r w:rsidRPr="003F5882">
        <w:rPr>
          <w:rFonts w:ascii="Arial" w:hAnsi="Arial" w:cs="Times New Roman"/>
          <w:sz w:val="21"/>
        </w:rPr>
        <w:t>31</w:t>
      </w:r>
      <w:r w:rsidRPr="003F5882">
        <w:rPr>
          <w:rFonts w:ascii="Arial" w:hAnsi="Arial" w:cs="Times New Roman"/>
          <w:sz w:val="21"/>
        </w:rPr>
        <w:t>日期间应缴费的月数有关。报告日的债务总额为</w:t>
      </w:r>
      <w:r w:rsidRPr="003F5882">
        <w:rPr>
          <w:rFonts w:ascii="Arial" w:hAnsi="Arial" w:cs="Times New Roman"/>
          <w:sz w:val="21"/>
        </w:rPr>
        <w:t>190</w:t>
      </w:r>
      <w:proofErr w:type="gramStart"/>
      <w:r w:rsidRPr="003F5882">
        <w:rPr>
          <w:rFonts w:ascii="Arial" w:hAnsi="Arial" w:cs="Times New Roman"/>
          <w:sz w:val="21"/>
        </w:rPr>
        <w:t>万瑞</w:t>
      </w:r>
      <w:proofErr w:type="gramEnd"/>
      <w:r w:rsidRPr="003F5882">
        <w:rPr>
          <w:rFonts w:ascii="Arial" w:hAnsi="Arial" w:cs="Times New Roman"/>
          <w:sz w:val="21"/>
        </w:rPr>
        <w:t>郎</w:t>
      </w:r>
      <w:r w:rsidR="00F453AC" w:rsidRPr="003F5882">
        <w:rPr>
          <w:rFonts w:ascii="Arial" w:hAnsi="Arial" w:cs="Times New Roman"/>
          <w:sz w:val="21"/>
        </w:rPr>
        <w:t>［</w:t>
      </w:r>
      <w:r w:rsidRPr="003F5882">
        <w:rPr>
          <w:rFonts w:ascii="Arial" w:hAnsi="Arial" w:cs="Times New Roman"/>
          <w:sz w:val="21"/>
        </w:rPr>
        <w:t>2013</w:t>
      </w:r>
      <w:r w:rsidRPr="003F5882">
        <w:rPr>
          <w:rFonts w:ascii="Arial" w:hAnsi="Arial" w:cs="Times New Roman"/>
          <w:sz w:val="21"/>
        </w:rPr>
        <w:t>年</w:t>
      </w:r>
      <w:r w:rsidRPr="003F5882">
        <w:rPr>
          <w:rFonts w:ascii="Arial" w:hAnsi="Arial" w:cs="Times New Roman"/>
          <w:sz w:val="21"/>
        </w:rPr>
        <w:t>12</w:t>
      </w:r>
      <w:r w:rsidRPr="003F5882">
        <w:rPr>
          <w:rFonts w:ascii="Arial" w:hAnsi="Arial" w:cs="Times New Roman"/>
          <w:sz w:val="21"/>
        </w:rPr>
        <w:t>月</w:t>
      </w:r>
      <w:r w:rsidRPr="003F5882">
        <w:rPr>
          <w:rFonts w:ascii="Arial" w:hAnsi="Arial" w:cs="Times New Roman"/>
          <w:sz w:val="21"/>
        </w:rPr>
        <w:t>31</w:t>
      </w:r>
      <w:r w:rsidRPr="003F5882">
        <w:rPr>
          <w:rFonts w:ascii="Arial" w:hAnsi="Arial" w:cs="Times New Roman"/>
          <w:sz w:val="21"/>
        </w:rPr>
        <w:t>日为</w:t>
      </w:r>
      <w:r w:rsidRPr="003F5882">
        <w:rPr>
          <w:rFonts w:ascii="Arial" w:hAnsi="Arial" w:cs="Times New Roman"/>
          <w:sz w:val="21"/>
        </w:rPr>
        <w:t>180</w:t>
      </w:r>
      <w:proofErr w:type="gramStart"/>
      <w:r w:rsidRPr="003F5882">
        <w:rPr>
          <w:rFonts w:ascii="Arial" w:hAnsi="Arial" w:cs="Times New Roman"/>
          <w:sz w:val="21"/>
        </w:rPr>
        <w:t>万瑞</w:t>
      </w:r>
      <w:proofErr w:type="gramEnd"/>
      <w:r w:rsidRPr="003F5882">
        <w:rPr>
          <w:rFonts w:ascii="Arial" w:hAnsi="Arial" w:cs="Times New Roman"/>
          <w:sz w:val="21"/>
        </w:rPr>
        <w:t>郎</w:t>
      </w:r>
      <w:r w:rsidR="00F453AC" w:rsidRPr="003F5882">
        <w:rPr>
          <w:rFonts w:ascii="Arial" w:hAnsi="Arial" w:cs="Times New Roman"/>
          <w:sz w:val="21"/>
        </w:rPr>
        <w:t>］</w:t>
      </w:r>
      <w:r w:rsidRPr="003F5882">
        <w:rPr>
          <w:rFonts w:ascii="Arial" w:hAnsi="Arial" w:cs="Times New Roman"/>
          <w:sz w:val="21"/>
        </w:rPr>
        <w:t>。</w:t>
      </w:r>
    </w:p>
    <w:p w:rsidR="007D62CB" w:rsidRDefault="006C0099" w:rsidP="007D62CB">
      <w:pPr>
        <w:pStyle w:val="Style3"/>
        <w:spacing w:afterLines="50" w:line="340" w:lineRule="atLeast"/>
        <w:rPr>
          <w:rFonts w:ascii="Arial" w:hAnsi="Arial" w:cs="Times New Roman"/>
          <w:sz w:val="21"/>
          <w:szCs w:val="22"/>
        </w:rPr>
      </w:pPr>
      <w:r w:rsidRPr="00DA4636">
        <w:rPr>
          <w:rFonts w:ascii="Arial" w:eastAsia="KaiTi" w:hAnsi="Arial" w:cs="Times New Roman"/>
          <w:b/>
          <w:i/>
          <w:sz w:val="21"/>
        </w:rPr>
        <w:t>绩效奖励</w:t>
      </w:r>
      <w:r w:rsidRPr="003F5882">
        <w:rPr>
          <w:rFonts w:ascii="Arial" w:hAnsi="Arial" w:cs="Times New Roman"/>
          <w:sz w:val="21"/>
        </w:rPr>
        <w:t>：</w:t>
      </w:r>
      <w:r w:rsidRPr="003F5882">
        <w:rPr>
          <w:rFonts w:ascii="Arial" w:hAnsi="Arial" w:cs="Times New Roman"/>
          <w:sz w:val="21"/>
        </w:rPr>
        <w:t>2013</w:t>
      </w:r>
      <w:r w:rsidRPr="003F5882">
        <w:rPr>
          <w:rFonts w:ascii="Arial" w:hAnsi="Arial" w:cs="Times New Roman"/>
          <w:sz w:val="21"/>
        </w:rPr>
        <w:t>年，</w:t>
      </w:r>
      <w:r w:rsidRPr="003F5882">
        <w:rPr>
          <w:rFonts w:ascii="Arial" w:hAnsi="Arial" w:cs="Times New Roman"/>
          <w:sz w:val="21"/>
        </w:rPr>
        <w:t>WIPO</w:t>
      </w:r>
      <w:r w:rsidRPr="003F5882">
        <w:rPr>
          <w:rFonts w:ascii="Arial" w:hAnsi="Arial" w:cs="Times New Roman"/>
          <w:sz w:val="21"/>
        </w:rPr>
        <w:t>启动了奖励与表彰计划。据此计划，对于获得出色效绩评级的工作人员，可考虑给予</w:t>
      </w:r>
      <w:r w:rsidRPr="003F5882">
        <w:rPr>
          <w:rFonts w:ascii="Arial" w:hAnsi="Arial" w:cs="Times New Roman"/>
          <w:sz w:val="21"/>
        </w:rPr>
        <w:t>2,500</w:t>
      </w:r>
      <w:r w:rsidRPr="003F5882">
        <w:rPr>
          <w:rFonts w:ascii="Arial" w:hAnsi="Arial" w:cs="Times New Roman"/>
          <w:sz w:val="21"/>
        </w:rPr>
        <w:t>瑞郎或</w:t>
      </w:r>
      <w:r w:rsidRPr="003F5882">
        <w:rPr>
          <w:rFonts w:ascii="Arial" w:hAnsi="Arial" w:cs="Times New Roman"/>
          <w:sz w:val="21"/>
        </w:rPr>
        <w:t>5,000</w:t>
      </w:r>
      <w:r w:rsidRPr="003F5882">
        <w:rPr>
          <w:rFonts w:ascii="Arial" w:hAnsi="Arial" w:cs="Times New Roman"/>
          <w:sz w:val="21"/>
        </w:rPr>
        <w:t>瑞郎的一次性总付现金奖励。根据当年所作决定，截至</w:t>
      </w:r>
      <w:r w:rsidRPr="003F5882">
        <w:rPr>
          <w:rFonts w:ascii="Arial" w:hAnsi="Arial" w:cs="Times New Roman"/>
          <w:sz w:val="21"/>
        </w:rPr>
        <w:t>2014</w:t>
      </w:r>
      <w:r w:rsidRPr="003F5882">
        <w:rPr>
          <w:rFonts w:ascii="Arial" w:hAnsi="Arial" w:cs="Times New Roman"/>
          <w:sz w:val="21"/>
        </w:rPr>
        <w:t>年</w:t>
      </w:r>
      <w:r w:rsidRPr="003F5882">
        <w:rPr>
          <w:rFonts w:ascii="Arial" w:hAnsi="Arial" w:cs="Times New Roman"/>
          <w:sz w:val="21"/>
        </w:rPr>
        <w:t>12</w:t>
      </w:r>
      <w:r w:rsidRPr="003F5882">
        <w:rPr>
          <w:rFonts w:ascii="Arial" w:hAnsi="Arial" w:cs="Times New Roman"/>
          <w:sz w:val="21"/>
        </w:rPr>
        <w:t>月</w:t>
      </w:r>
      <w:r w:rsidRPr="003F5882">
        <w:rPr>
          <w:rFonts w:ascii="Arial" w:hAnsi="Arial" w:cs="Times New Roman"/>
          <w:sz w:val="21"/>
        </w:rPr>
        <w:t>31</w:t>
      </w:r>
      <w:r w:rsidRPr="003F5882">
        <w:rPr>
          <w:rFonts w:ascii="Arial" w:hAnsi="Arial" w:cs="Times New Roman"/>
          <w:sz w:val="21"/>
        </w:rPr>
        <w:t>日应付员工的效绩奖励总额为</w:t>
      </w:r>
      <w:r w:rsidRPr="003F5882">
        <w:rPr>
          <w:rFonts w:ascii="Arial" w:hAnsi="Arial" w:cs="Times New Roman"/>
          <w:sz w:val="21"/>
        </w:rPr>
        <w:t>20</w:t>
      </w:r>
      <w:proofErr w:type="gramStart"/>
      <w:r w:rsidRPr="003F5882">
        <w:rPr>
          <w:rFonts w:ascii="Arial" w:hAnsi="Arial" w:cs="Times New Roman"/>
          <w:sz w:val="21"/>
        </w:rPr>
        <w:t>万瑞</w:t>
      </w:r>
      <w:proofErr w:type="gramEnd"/>
      <w:r w:rsidRPr="003F5882">
        <w:rPr>
          <w:rFonts w:ascii="Arial" w:hAnsi="Arial" w:cs="Times New Roman"/>
          <w:sz w:val="21"/>
        </w:rPr>
        <w:t>郎</w:t>
      </w:r>
      <w:r w:rsidR="00F453AC" w:rsidRPr="003F5882">
        <w:rPr>
          <w:rFonts w:ascii="Arial" w:hAnsi="Arial" w:cs="Times New Roman"/>
          <w:sz w:val="21"/>
        </w:rPr>
        <w:t>［</w:t>
      </w:r>
      <w:r w:rsidRPr="003F5882">
        <w:rPr>
          <w:rFonts w:ascii="Arial" w:hAnsi="Arial" w:cs="Times New Roman"/>
          <w:sz w:val="21"/>
        </w:rPr>
        <w:t>2013</w:t>
      </w:r>
      <w:r w:rsidRPr="003F5882">
        <w:rPr>
          <w:rFonts w:ascii="Arial" w:hAnsi="Arial" w:cs="Times New Roman"/>
          <w:sz w:val="21"/>
        </w:rPr>
        <w:t>年</w:t>
      </w:r>
      <w:r w:rsidRPr="003F5882">
        <w:rPr>
          <w:rFonts w:ascii="Arial" w:hAnsi="Arial" w:cs="Times New Roman"/>
          <w:sz w:val="21"/>
        </w:rPr>
        <w:t>12</w:t>
      </w:r>
      <w:r w:rsidRPr="003F5882">
        <w:rPr>
          <w:rFonts w:ascii="Arial" w:hAnsi="Arial" w:cs="Times New Roman"/>
          <w:sz w:val="21"/>
        </w:rPr>
        <w:t>月</w:t>
      </w:r>
      <w:r w:rsidRPr="003F5882">
        <w:rPr>
          <w:rFonts w:ascii="Arial" w:hAnsi="Arial" w:cs="Times New Roman"/>
          <w:sz w:val="21"/>
        </w:rPr>
        <w:t>31</w:t>
      </w:r>
      <w:r w:rsidRPr="003F5882">
        <w:rPr>
          <w:rFonts w:ascii="Arial" w:hAnsi="Arial" w:cs="Times New Roman"/>
          <w:sz w:val="21"/>
        </w:rPr>
        <w:t>日为</w:t>
      </w:r>
      <w:r w:rsidRPr="003F5882">
        <w:rPr>
          <w:rFonts w:ascii="Arial" w:hAnsi="Arial" w:cs="Times New Roman"/>
          <w:sz w:val="21"/>
        </w:rPr>
        <w:t>10</w:t>
      </w:r>
      <w:proofErr w:type="gramStart"/>
      <w:r w:rsidRPr="003F5882">
        <w:rPr>
          <w:rFonts w:ascii="Arial" w:hAnsi="Arial" w:cs="Times New Roman"/>
          <w:sz w:val="21"/>
        </w:rPr>
        <w:t>万瑞</w:t>
      </w:r>
      <w:proofErr w:type="gramEnd"/>
      <w:r w:rsidRPr="003F5882">
        <w:rPr>
          <w:rFonts w:ascii="Arial" w:hAnsi="Arial" w:cs="Times New Roman"/>
          <w:sz w:val="21"/>
        </w:rPr>
        <w:t>郎</w:t>
      </w:r>
      <w:r w:rsidR="00F453AC" w:rsidRPr="003F5882">
        <w:rPr>
          <w:rFonts w:ascii="Arial" w:hAnsi="Arial" w:cs="Times New Roman"/>
          <w:sz w:val="21"/>
        </w:rPr>
        <w:t>］</w:t>
      </w:r>
      <w:r w:rsidRPr="003F5882">
        <w:rPr>
          <w:rFonts w:ascii="Arial" w:hAnsi="Arial" w:cs="Times New Roman"/>
          <w:sz w:val="21"/>
        </w:rPr>
        <w:t>。</w:t>
      </w:r>
    </w:p>
    <w:p w:rsidR="007D62CB" w:rsidRPr="003374D7" w:rsidRDefault="006C0099" w:rsidP="003374D7">
      <w:pPr>
        <w:pStyle w:val="Style3Bold"/>
        <w:keepLines/>
        <w:spacing w:afterLines="50" w:line="340" w:lineRule="atLeast"/>
        <w:rPr>
          <w:rFonts w:eastAsia="SimSun" w:cs="Times New Roman"/>
          <w:sz w:val="21"/>
        </w:rPr>
      </w:pPr>
      <w:r w:rsidRPr="003374D7">
        <w:rPr>
          <w:rFonts w:eastAsia="SimSun" w:cs="Times New Roman"/>
          <w:sz w:val="21"/>
        </w:rPr>
        <w:t>离职后福利</w:t>
      </w:r>
    </w:p>
    <w:p w:rsidR="007D62CB" w:rsidRDefault="006C0099" w:rsidP="007D62CB">
      <w:pPr>
        <w:pStyle w:val="Style3"/>
        <w:spacing w:afterLines="50" w:line="340" w:lineRule="atLeast"/>
        <w:rPr>
          <w:rFonts w:ascii="Arial" w:hAnsi="Arial" w:cs="Times New Roman"/>
          <w:sz w:val="21"/>
        </w:rPr>
      </w:pPr>
      <w:r w:rsidRPr="00DA4636">
        <w:rPr>
          <w:rFonts w:ascii="Arial" w:eastAsia="KaiTi" w:hAnsi="Arial" w:cs="Times New Roman"/>
          <w:b/>
          <w:i/>
          <w:sz w:val="21"/>
        </w:rPr>
        <w:t>关闭的养恤基金</w:t>
      </w:r>
      <w:r w:rsidR="00F453AC" w:rsidRPr="00DA4636">
        <w:rPr>
          <w:rFonts w:ascii="Arial" w:eastAsia="KaiTi" w:hAnsi="Arial" w:cs="Times New Roman"/>
          <w:b/>
          <w:i/>
          <w:sz w:val="21"/>
        </w:rPr>
        <w:t>（</w:t>
      </w:r>
      <w:r w:rsidRPr="00DA4636">
        <w:rPr>
          <w:rFonts w:ascii="Arial" w:eastAsia="KaiTi" w:hAnsi="Arial" w:cs="Times New Roman"/>
          <w:b/>
          <w:i/>
          <w:sz w:val="21"/>
        </w:rPr>
        <w:t>CROMPI</w:t>
      </w:r>
      <w:r w:rsidR="00F453AC" w:rsidRPr="00DA4636">
        <w:rPr>
          <w:rFonts w:ascii="Arial" w:eastAsia="KaiTi" w:hAnsi="Arial" w:cs="Times New Roman"/>
          <w:b/>
          <w:i/>
          <w:sz w:val="21"/>
        </w:rPr>
        <w:t>）</w:t>
      </w:r>
      <w:r w:rsidRPr="003F5882">
        <w:rPr>
          <w:rFonts w:ascii="Arial" w:hAnsi="Arial" w:cs="Times New Roman"/>
          <w:sz w:val="21"/>
        </w:rPr>
        <w:t>：在加入联合国合办工作人员养恤基金</w:t>
      </w:r>
      <w:r w:rsidR="00F453AC" w:rsidRPr="003F5882">
        <w:rPr>
          <w:rFonts w:ascii="Arial" w:hAnsi="Arial" w:cs="Times New Roman" w:hint="eastAsia"/>
          <w:sz w:val="21"/>
        </w:rPr>
        <w:t>（</w:t>
      </w:r>
      <w:r w:rsidRPr="003F5882">
        <w:rPr>
          <w:rFonts w:ascii="Arial" w:hAnsi="Arial" w:cs="Times New Roman"/>
          <w:sz w:val="21"/>
        </w:rPr>
        <w:t>UNJSPF</w:t>
      </w:r>
      <w:r w:rsidR="00F453AC" w:rsidRPr="003F5882">
        <w:rPr>
          <w:rFonts w:ascii="Arial" w:hAnsi="Arial" w:cs="Times New Roman" w:hint="eastAsia"/>
          <w:sz w:val="21"/>
        </w:rPr>
        <w:t>）</w:t>
      </w:r>
      <w:r w:rsidRPr="003F5882">
        <w:rPr>
          <w:rFonts w:ascii="Arial" w:hAnsi="Arial" w:cs="Times New Roman"/>
          <w:sz w:val="21"/>
        </w:rPr>
        <w:t>之前，</w:t>
      </w:r>
      <w:r w:rsidRPr="003F5882">
        <w:rPr>
          <w:rFonts w:ascii="Arial" w:hAnsi="Arial" w:cs="Times New Roman"/>
          <w:sz w:val="21"/>
        </w:rPr>
        <w:t>WIPO</w:t>
      </w:r>
      <w:r w:rsidRPr="003F5882">
        <w:rPr>
          <w:rFonts w:ascii="Arial" w:hAnsi="Arial" w:cs="Times New Roman"/>
          <w:sz w:val="21"/>
        </w:rPr>
        <w:t>的前身组织拥有其自身于</w:t>
      </w:r>
      <w:r w:rsidRPr="003F5882">
        <w:rPr>
          <w:rFonts w:ascii="Arial" w:hAnsi="Arial" w:cs="Times New Roman"/>
          <w:sz w:val="21"/>
        </w:rPr>
        <w:t>1955</w:t>
      </w:r>
      <w:r w:rsidRPr="003F5882">
        <w:rPr>
          <w:rFonts w:ascii="Arial" w:hAnsi="Arial" w:cs="Times New Roman"/>
          <w:sz w:val="21"/>
        </w:rPr>
        <w:t>年建立的养恤基金。该养恤基金已于</w:t>
      </w:r>
      <w:r w:rsidRPr="003F5882">
        <w:rPr>
          <w:rFonts w:ascii="Arial" w:hAnsi="Arial" w:cs="Times New Roman"/>
          <w:sz w:val="21"/>
        </w:rPr>
        <w:t>1975</w:t>
      </w:r>
      <w:r w:rsidRPr="003F5882">
        <w:rPr>
          <w:rFonts w:ascii="Arial" w:hAnsi="Arial" w:cs="Times New Roman"/>
          <w:sz w:val="21"/>
        </w:rPr>
        <w:t>年</w:t>
      </w:r>
      <w:r w:rsidRPr="003F5882">
        <w:rPr>
          <w:rFonts w:ascii="Arial" w:hAnsi="Arial" w:cs="Times New Roman"/>
          <w:sz w:val="21"/>
        </w:rPr>
        <w:t>9</w:t>
      </w:r>
      <w:r w:rsidRPr="003F5882">
        <w:rPr>
          <w:rFonts w:ascii="Arial" w:hAnsi="Arial" w:cs="Times New Roman"/>
          <w:sz w:val="21"/>
        </w:rPr>
        <w:t>月</w:t>
      </w:r>
      <w:r w:rsidRPr="003F5882">
        <w:rPr>
          <w:rFonts w:ascii="Arial" w:hAnsi="Arial" w:cs="Times New Roman"/>
          <w:sz w:val="21"/>
        </w:rPr>
        <w:t>30</w:t>
      </w:r>
      <w:r w:rsidRPr="003F5882">
        <w:rPr>
          <w:rFonts w:ascii="Arial" w:hAnsi="Arial" w:cs="Times New Roman"/>
          <w:sz w:val="21"/>
        </w:rPr>
        <w:t>日对新成员关闭，并在基金理事会的管理下对终止时</w:t>
      </w:r>
      <w:r w:rsidR="00B12580" w:rsidRPr="003F5882">
        <w:rPr>
          <w:rFonts w:ascii="Arial" w:hAnsi="Arial" w:cs="Times New Roman" w:hint="eastAsia"/>
          <w:sz w:val="21"/>
        </w:rPr>
        <w:t>已加入</w:t>
      </w:r>
      <w:r w:rsidRPr="003F5882">
        <w:rPr>
          <w:rFonts w:ascii="Arial" w:hAnsi="Arial" w:cs="Times New Roman"/>
          <w:sz w:val="21"/>
        </w:rPr>
        <w:t>的成员继续生效。根据关闭的养恤基金与本组织</w:t>
      </w:r>
      <w:r w:rsidR="00B12580" w:rsidRPr="003F5882">
        <w:rPr>
          <w:rFonts w:ascii="Arial" w:hAnsi="Arial" w:cs="Times New Roman" w:hint="eastAsia"/>
          <w:sz w:val="21"/>
        </w:rPr>
        <w:t>之间</w:t>
      </w:r>
      <w:r w:rsidRPr="003F5882">
        <w:rPr>
          <w:rFonts w:ascii="Arial" w:hAnsi="Arial" w:cs="Times New Roman"/>
          <w:sz w:val="21"/>
        </w:rPr>
        <w:t>的</w:t>
      </w:r>
      <w:r w:rsidR="00B12580" w:rsidRPr="003F5882">
        <w:rPr>
          <w:rFonts w:ascii="Arial" w:hAnsi="Arial" w:cs="Times New Roman" w:hint="eastAsia"/>
          <w:sz w:val="21"/>
        </w:rPr>
        <w:t>一项</w:t>
      </w:r>
      <w:r w:rsidRPr="003F5882">
        <w:rPr>
          <w:rFonts w:ascii="Arial" w:hAnsi="Arial" w:cs="Times New Roman"/>
          <w:sz w:val="21"/>
        </w:rPr>
        <w:t>公约以及一项由国际劳工组织</w:t>
      </w:r>
      <w:r w:rsidR="00F453AC" w:rsidRPr="003F5882">
        <w:rPr>
          <w:rFonts w:ascii="Arial" w:hAnsi="Arial" w:cs="Times New Roman" w:hint="eastAsia"/>
          <w:sz w:val="21"/>
        </w:rPr>
        <w:t>（</w:t>
      </w:r>
      <w:r w:rsidRPr="003F5882">
        <w:rPr>
          <w:rFonts w:ascii="Arial" w:hAnsi="Arial" w:cs="Times New Roman"/>
          <w:sz w:val="21"/>
        </w:rPr>
        <w:t>ILO</w:t>
      </w:r>
      <w:r w:rsidR="00F453AC" w:rsidRPr="003F5882">
        <w:rPr>
          <w:rFonts w:ascii="Arial" w:hAnsi="Arial" w:cs="Times New Roman" w:hint="eastAsia"/>
          <w:sz w:val="21"/>
        </w:rPr>
        <w:t>）</w:t>
      </w:r>
      <w:r w:rsidRPr="003F5882">
        <w:rPr>
          <w:rFonts w:ascii="Arial" w:hAnsi="Arial" w:cs="Times New Roman"/>
          <w:sz w:val="21"/>
        </w:rPr>
        <w:t>行政法庭</w:t>
      </w:r>
      <w:proofErr w:type="gramStart"/>
      <w:r w:rsidRPr="003F5882">
        <w:rPr>
          <w:rFonts w:ascii="Arial" w:hAnsi="Arial" w:cs="Times New Roman"/>
          <w:sz w:val="21"/>
        </w:rPr>
        <w:t>作出</w:t>
      </w:r>
      <w:proofErr w:type="gramEnd"/>
      <w:r w:rsidRPr="003F5882">
        <w:rPr>
          <w:rFonts w:ascii="Arial" w:hAnsi="Arial" w:cs="Times New Roman"/>
          <w:sz w:val="21"/>
        </w:rPr>
        <w:t>的</w:t>
      </w:r>
      <w:r w:rsidR="00291B82" w:rsidRPr="003F5882">
        <w:rPr>
          <w:rFonts w:ascii="Arial" w:hAnsi="Arial" w:cs="Times New Roman" w:hint="eastAsia"/>
          <w:sz w:val="21"/>
        </w:rPr>
        <w:t>裁决</w:t>
      </w:r>
      <w:r w:rsidRPr="003F5882">
        <w:rPr>
          <w:rFonts w:ascii="Arial" w:hAnsi="Arial" w:cs="Times New Roman"/>
          <w:sz w:val="21"/>
        </w:rPr>
        <w:t>，</w:t>
      </w:r>
      <w:r w:rsidRPr="003F5882">
        <w:rPr>
          <w:rFonts w:ascii="Arial" w:hAnsi="Arial" w:cs="Times New Roman"/>
          <w:sz w:val="21"/>
        </w:rPr>
        <w:t>WIPO</w:t>
      </w:r>
      <w:r w:rsidRPr="003F5882">
        <w:rPr>
          <w:rFonts w:ascii="Arial" w:hAnsi="Arial" w:cs="Times New Roman"/>
          <w:sz w:val="21"/>
        </w:rPr>
        <w:t>负责资助由关闭的养恤基金产生的有关外汇汇率差额以及关闭的养恤基金和联合国合办工作人员养恤基金</w:t>
      </w:r>
      <w:r w:rsidR="00293E42" w:rsidRPr="003F5882">
        <w:rPr>
          <w:rFonts w:ascii="Arial" w:hAnsi="Arial" w:cs="Times New Roman" w:hint="eastAsia"/>
          <w:sz w:val="21"/>
        </w:rPr>
        <w:t>规定</w:t>
      </w:r>
      <w:r w:rsidRPr="003F5882">
        <w:rPr>
          <w:rFonts w:ascii="Arial" w:hAnsi="Arial" w:cs="Times New Roman"/>
          <w:sz w:val="21"/>
        </w:rPr>
        <w:t>的退休年龄差异费用。本组织对关闭的养恤基金的参与者负有若干义务，包括：</w:t>
      </w:r>
    </w:p>
    <w:p w:rsidR="007D62CB" w:rsidRDefault="00291B82" w:rsidP="003374D7">
      <w:pPr>
        <w:pStyle w:val="Style3"/>
        <w:numPr>
          <w:ilvl w:val="0"/>
          <w:numId w:val="11"/>
        </w:numPr>
        <w:spacing w:afterLines="50" w:line="340" w:lineRule="atLeast"/>
        <w:ind w:left="714" w:hanging="357"/>
        <w:rPr>
          <w:rFonts w:ascii="Arial" w:hAnsi="Arial" w:cs="Times New Roman"/>
          <w:sz w:val="21"/>
        </w:rPr>
      </w:pPr>
      <w:r w:rsidRPr="003F5882">
        <w:rPr>
          <w:rFonts w:ascii="Arial" w:hAnsi="Arial" w:cs="Times New Roman" w:hint="eastAsia"/>
          <w:sz w:val="21"/>
        </w:rPr>
        <w:t>在</w:t>
      </w:r>
      <w:r w:rsidR="006C0099" w:rsidRPr="003F5882">
        <w:rPr>
          <w:rFonts w:ascii="Arial" w:hAnsi="Arial" w:cs="Times New Roman"/>
          <w:sz w:val="21"/>
        </w:rPr>
        <w:t>参与关闭的养恤基金的以前工作人员</w:t>
      </w:r>
      <w:r w:rsidRPr="003F5882">
        <w:rPr>
          <w:rFonts w:ascii="Arial" w:hAnsi="Arial" w:cs="Times New Roman" w:hint="eastAsia"/>
          <w:sz w:val="21"/>
        </w:rPr>
        <w:t>满</w:t>
      </w:r>
      <w:r w:rsidR="006C0099" w:rsidRPr="003F5882">
        <w:rPr>
          <w:rFonts w:ascii="Arial" w:hAnsi="Arial" w:cs="Times New Roman"/>
          <w:sz w:val="21"/>
        </w:rPr>
        <w:t>65</w:t>
      </w:r>
      <w:r w:rsidR="006C0099" w:rsidRPr="003F5882">
        <w:rPr>
          <w:rFonts w:ascii="Arial" w:hAnsi="Arial" w:cs="Times New Roman"/>
          <w:sz w:val="21"/>
        </w:rPr>
        <w:t>岁之前</w:t>
      </w:r>
      <w:r w:rsidRPr="003F5882">
        <w:rPr>
          <w:rFonts w:ascii="Arial" w:hAnsi="Arial" w:cs="Times New Roman" w:hint="eastAsia"/>
          <w:sz w:val="21"/>
        </w:rPr>
        <w:t>向他们</w:t>
      </w:r>
      <w:r w:rsidR="006C0099" w:rsidRPr="003F5882">
        <w:rPr>
          <w:rFonts w:ascii="Arial" w:hAnsi="Arial" w:cs="Times New Roman"/>
          <w:sz w:val="21"/>
        </w:rPr>
        <w:t>支付退休金费用的义务。根据</w:t>
      </w:r>
      <w:r w:rsidR="006C0099" w:rsidRPr="003F5882">
        <w:rPr>
          <w:rFonts w:ascii="Arial" w:hAnsi="Arial" w:cs="Times New Roman"/>
          <w:sz w:val="21"/>
        </w:rPr>
        <w:t>2014</w:t>
      </w:r>
      <w:r w:rsidR="006C0099" w:rsidRPr="003F5882">
        <w:rPr>
          <w:rFonts w:ascii="Arial" w:hAnsi="Arial" w:cs="Times New Roman"/>
          <w:sz w:val="21"/>
        </w:rPr>
        <w:t>年进行的最新精算估计，截至</w:t>
      </w:r>
      <w:r w:rsidR="006C0099" w:rsidRPr="003F5882">
        <w:rPr>
          <w:rFonts w:ascii="Arial" w:hAnsi="Arial" w:cs="Times New Roman"/>
          <w:sz w:val="21"/>
        </w:rPr>
        <w:t>2014</w:t>
      </w:r>
      <w:r w:rsidR="006C0099" w:rsidRPr="003F5882">
        <w:rPr>
          <w:rFonts w:ascii="Arial" w:hAnsi="Arial" w:cs="Times New Roman"/>
          <w:sz w:val="21"/>
        </w:rPr>
        <w:t>年</w:t>
      </w:r>
      <w:r w:rsidR="006C0099" w:rsidRPr="003F5882">
        <w:rPr>
          <w:rFonts w:ascii="Arial" w:hAnsi="Arial" w:cs="Times New Roman"/>
          <w:sz w:val="21"/>
        </w:rPr>
        <w:t>12</w:t>
      </w:r>
      <w:r w:rsidR="006C0099" w:rsidRPr="003F5882">
        <w:rPr>
          <w:rFonts w:ascii="Arial" w:hAnsi="Arial" w:cs="Times New Roman"/>
          <w:sz w:val="21"/>
        </w:rPr>
        <w:t>月</w:t>
      </w:r>
      <w:r w:rsidR="006C0099" w:rsidRPr="003F5882">
        <w:rPr>
          <w:rFonts w:ascii="Arial" w:hAnsi="Arial" w:cs="Times New Roman"/>
          <w:sz w:val="21"/>
        </w:rPr>
        <w:t>31</w:t>
      </w:r>
      <w:r w:rsidR="006C0099" w:rsidRPr="003F5882">
        <w:rPr>
          <w:rFonts w:ascii="Arial" w:hAnsi="Arial" w:cs="Times New Roman"/>
          <w:sz w:val="21"/>
        </w:rPr>
        <w:t>日估计负债为</w:t>
      </w:r>
      <w:r w:rsidR="006C0099" w:rsidRPr="003F5882">
        <w:rPr>
          <w:rFonts w:ascii="Arial" w:hAnsi="Arial" w:cs="Times New Roman"/>
          <w:sz w:val="21"/>
        </w:rPr>
        <w:t>13,000</w:t>
      </w:r>
      <w:r w:rsidR="006C0099" w:rsidRPr="003F5882">
        <w:rPr>
          <w:rFonts w:ascii="Arial" w:hAnsi="Arial" w:cs="Times New Roman"/>
          <w:sz w:val="21"/>
        </w:rPr>
        <w:t>瑞郎</w:t>
      </w:r>
      <w:r w:rsidR="00F453AC" w:rsidRPr="003F5882">
        <w:rPr>
          <w:rFonts w:ascii="Arial" w:hAnsi="Arial" w:cs="Times New Roman"/>
          <w:sz w:val="21"/>
        </w:rPr>
        <w:t>［</w:t>
      </w:r>
      <w:r w:rsidR="006C0099" w:rsidRPr="003F5882">
        <w:rPr>
          <w:rFonts w:ascii="Arial" w:hAnsi="Arial" w:cs="Times New Roman"/>
          <w:sz w:val="21"/>
        </w:rPr>
        <w:t>2013</w:t>
      </w:r>
      <w:r w:rsidR="006C0099" w:rsidRPr="003F5882">
        <w:rPr>
          <w:rFonts w:ascii="Arial" w:hAnsi="Arial" w:cs="Times New Roman"/>
          <w:sz w:val="21"/>
        </w:rPr>
        <w:t>年为</w:t>
      </w:r>
      <w:r w:rsidR="006C0099" w:rsidRPr="003F5882">
        <w:rPr>
          <w:rFonts w:ascii="Arial" w:hAnsi="Arial" w:cs="Times New Roman"/>
          <w:sz w:val="21"/>
        </w:rPr>
        <w:t>47,000</w:t>
      </w:r>
      <w:r w:rsidR="006C0099" w:rsidRPr="003F5882">
        <w:rPr>
          <w:rFonts w:ascii="Arial" w:hAnsi="Arial" w:cs="Times New Roman"/>
          <w:sz w:val="21"/>
        </w:rPr>
        <w:t>瑞郎</w:t>
      </w:r>
      <w:r w:rsidR="00F453AC" w:rsidRPr="003F5882">
        <w:rPr>
          <w:rFonts w:ascii="Arial" w:hAnsi="Arial" w:cs="Times New Roman"/>
          <w:sz w:val="21"/>
        </w:rPr>
        <w:t>］</w:t>
      </w:r>
      <w:r w:rsidR="006C0099" w:rsidRPr="003F5882">
        <w:rPr>
          <w:rFonts w:ascii="Arial" w:hAnsi="Arial" w:cs="Times New Roman"/>
          <w:sz w:val="21"/>
        </w:rPr>
        <w:t>。</w:t>
      </w:r>
    </w:p>
    <w:p w:rsidR="007D62CB" w:rsidRDefault="006C0099" w:rsidP="003374D7">
      <w:pPr>
        <w:pStyle w:val="Style3"/>
        <w:numPr>
          <w:ilvl w:val="0"/>
          <w:numId w:val="11"/>
        </w:numPr>
        <w:spacing w:afterLines="50" w:line="340" w:lineRule="atLeast"/>
        <w:ind w:left="714" w:hanging="357"/>
        <w:rPr>
          <w:rFonts w:ascii="Arial" w:hAnsi="Arial" w:cs="Times New Roman"/>
          <w:sz w:val="21"/>
        </w:rPr>
      </w:pPr>
      <w:r w:rsidRPr="003F5882">
        <w:rPr>
          <w:rFonts w:ascii="Arial" w:hAnsi="Arial" w:cs="Times New Roman"/>
          <w:sz w:val="21"/>
        </w:rPr>
        <w:t>根据</w:t>
      </w:r>
      <w:r w:rsidRPr="003F5882">
        <w:rPr>
          <w:rFonts w:ascii="Arial" w:hAnsi="Arial" w:cs="Times New Roman"/>
          <w:sz w:val="21"/>
        </w:rPr>
        <w:t>2006</w:t>
      </w:r>
      <w:r w:rsidRPr="003F5882">
        <w:rPr>
          <w:rFonts w:ascii="Arial" w:hAnsi="Arial" w:cs="Times New Roman"/>
          <w:sz w:val="21"/>
        </w:rPr>
        <w:t>年国际劳工组织行政法庭的一项</w:t>
      </w:r>
      <w:r w:rsidR="00291B82" w:rsidRPr="003F5882">
        <w:rPr>
          <w:rFonts w:ascii="Arial" w:hAnsi="Arial" w:cs="Times New Roman" w:hint="eastAsia"/>
          <w:sz w:val="21"/>
        </w:rPr>
        <w:t>裁决</w:t>
      </w:r>
      <w:r w:rsidRPr="003F5882">
        <w:rPr>
          <w:rFonts w:ascii="Arial" w:hAnsi="Arial" w:cs="Times New Roman"/>
          <w:sz w:val="21"/>
        </w:rPr>
        <w:t>，支付关闭的养恤基金成员</w:t>
      </w:r>
      <w:r w:rsidR="00414186" w:rsidRPr="003F5882">
        <w:rPr>
          <w:rFonts w:ascii="Arial" w:hAnsi="Arial" w:cs="Times New Roman" w:hint="eastAsia"/>
          <w:sz w:val="21"/>
        </w:rPr>
        <w:t>根据关闭的养恤基金</w:t>
      </w:r>
      <w:r w:rsidRPr="003F5882">
        <w:rPr>
          <w:rFonts w:ascii="Arial" w:hAnsi="Arial" w:cs="Times New Roman"/>
          <w:sz w:val="21"/>
        </w:rPr>
        <w:t>应收退休金和</w:t>
      </w:r>
      <w:r w:rsidR="00414186" w:rsidRPr="003F5882">
        <w:rPr>
          <w:rFonts w:ascii="Arial" w:hAnsi="Arial" w:cs="Times New Roman" w:hint="eastAsia"/>
          <w:sz w:val="21"/>
        </w:rPr>
        <w:t>从</w:t>
      </w:r>
      <w:r w:rsidRPr="003F5882">
        <w:rPr>
          <w:rFonts w:ascii="Arial" w:hAnsi="Arial" w:cs="Times New Roman"/>
          <w:sz w:val="21"/>
        </w:rPr>
        <w:t>基于</w:t>
      </w:r>
      <w:r w:rsidRPr="003F5882">
        <w:rPr>
          <w:rFonts w:ascii="Arial" w:hAnsi="Arial" w:cs="Times New Roman"/>
          <w:sz w:val="21"/>
        </w:rPr>
        <w:t>2014</w:t>
      </w:r>
      <w:r w:rsidRPr="003F5882">
        <w:rPr>
          <w:rFonts w:ascii="Arial" w:hAnsi="Arial" w:cs="Times New Roman"/>
          <w:sz w:val="21"/>
        </w:rPr>
        <w:t>年进行的最新精算估计</w:t>
      </w:r>
      <w:r w:rsidR="00414186" w:rsidRPr="003F5882">
        <w:rPr>
          <w:rFonts w:ascii="Arial" w:hAnsi="Arial" w:cs="Times New Roman" w:hint="eastAsia"/>
          <w:sz w:val="21"/>
        </w:rPr>
        <w:t>、</w:t>
      </w:r>
      <w:r w:rsidRPr="003F5882">
        <w:rPr>
          <w:rFonts w:ascii="Arial" w:hAnsi="Arial" w:cs="Times New Roman"/>
          <w:sz w:val="21"/>
        </w:rPr>
        <w:t>截至</w:t>
      </w:r>
      <w:r w:rsidRPr="003F5882">
        <w:rPr>
          <w:rFonts w:ascii="Arial" w:hAnsi="Arial" w:cs="Times New Roman"/>
          <w:sz w:val="21"/>
        </w:rPr>
        <w:t>2014</w:t>
      </w:r>
      <w:r w:rsidRPr="003F5882">
        <w:rPr>
          <w:rFonts w:ascii="Arial" w:hAnsi="Arial" w:cs="Times New Roman"/>
          <w:sz w:val="21"/>
        </w:rPr>
        <w:t>年</w:t>
      </w:r>
      <w:r w:rsidRPr="003F5882">
        <w:rPr>
          <w:rFonts w:ascii="Arial" w:hAnsi="Arial" w:cs="Times New Roman"/>
          <w:sz w:val="21"/>
        </w:rPr>
        <w:t>12</w:t>
      </w:r>
      <w:r w:rsidRPr="003F5882">
        <w:rPr>
          <w:rFonts w:ascii="Arial" w:hAnsi="Arial" w:cs="Times New Roman"/>
          <w:sz w:val="21"/>
        </w:rPr>
        <w:t>月</w:t>
      </w:r>
      <w:r w:rsidRPr="003F5882">
        <w:rPr>
          <w:rFonts w:ascii="Arial" w:hAnsi="Arial" w:cs="Times New Roman"/>
          <w:sz w:val="21"/>
        </w:rPr>
        <w:t>31</w:t>
      </w:r>
      <w:r w:rsidRPr="003F5882">
        <w:rPr>
          <w:rFonts w:ascii="Arial" w:hAnsi="Arial" w:cs="Times New Roman"/>
          <w:sz w:val="21"/>
        </w:rPr>
        <w:t>日数额为</w:t>
      </w:r>
      <w:r w:rsidRPr="003F5882">
        <w:rPr>
          <w:rFonts w:ascii="Arial" w:hAnsi="Arial" w:cs="Times New Roman"/>
          <w:sz w:val="21"/>
        </w:rPr>
        <w:t>280</w:t>
      </w:r>
      <w:proofErr w:type="gramStart"/>
      <w:r w:rsidRPr="003F5882">
        <w:rPr>
          <w:rFonts w:ascii="Arial" w:hAnsi="Arial" w:cs="Times New Roman"/>
          <w:sz w:val="21"/>
        </w:rPr>
        <w:t>万瑞</w:t>
      </w:r>
      <w:proofErr w:type="gramEnd"/>
      <w:r w:rsidRPr="003F5882">
        <w:rPr>
          <w:rFonts w:ascii="Arial" w:hAnsi="Arial" w:cs="Times New Roman"/>
          <w:sz w:val="21"/>
        </w:rPr>
        <w:t>郎</w:t>
      </w:r>
      <w:r w:rsidR="00F453AC" w:rsidRPr="003F5882">
        <w:rPr>
          <w:rFonts w:ascii="Arial" w:hAnsi="Arial" w:cs="Times New Roman"/>
          <w:sz w:val="21"/>
        </w:rPr>
        <w:t>［</w:t>
      </w:r>
      <w:r w:rsidRPr="003F5882">
        <w:rPr>
          <w:rFonts w:ascii="Arial" w:hAnsi="Arial" w:cs="Times New Roman"/>
          <w:sz w:val="21"/>
        </w:rPr>
        <w:t>2013</w:t>
      </w:r>
      <w:r w:rsidRPr="003F5882">
        <w:rPr>
          <w:rFonts w:ascii="Arial" w:hAnsi="Arial" w:cs="Times New Roman"/>
          <w:sz w:val="21"/>
        </w:rPr>
        <w:t>年为</w:t>
      </w:r>
      <w:r w:rsidRPr="003F5882">
        <w:rPr>
          <w:rFonts w:ascii="Arial" w:hAnsi="Arial" w:cs="Times New Roman"/>
          <w:sz w:val="21"/>
        </w:rPr>
        <w:t>300</w:t>
      </w:r>
      <w:proofErr w:type="gramStart"/>
      <w:r w:rsidRPr="003F5882">
        <w:rPr>
          <w:rFonts w:ascii="Arial" w:hAnsi="Arial" w:cs="Times New Roman"/>
          <w:sz w:val="21"/>
        </w:rPr>
        <w:t>万瑞</w:t>
      </w:r>
      <w:proofErr w:type="gramEnd"/>
      <w:r w:rsidRPr="003F5882">
        <w:rPr>
          <w:rFonts w:ascii="Arial" w:hAnsi="Arial" w:cs="Times New Roman"/>
          <w:sz w:val="21"/>
        </w:rPr>
        <w:t>郎</w:t>
      </w:r>
      <w:r w:rsidR="00F453AC" w:rsidRPr="003F5882">
        <w:rPr>
          <w:rFonts w:ascii="Arial" w:hAnsi="Arial" w:cs="Times New Roman"/>
          <w:sz w:val="21"/>
        </w:rPr>
        <w:t>］</w:t>
      </w:r>
      <w:r w:rsidRPr="003F5882">
        <w:rPr>
          <w:rFonts w:ascii="Arial" w:hAnsi="Arial" w:cs="Times New Roman"/>
          <w:sz w:val="21"/>
        </w:rPr>
        <w:t>的</w:t>
      </w:r>
      <w:r w:rsidRPr="003F5882">
        <w:rPr>
          <w:rFonts w:ascii="Arial" w:hAnsi="Arial" w:cs="Times New Roman"/>
          <w:sz w:val="21"/>
        </w:rPr>
        <w:t>UNJSPF</w:t>
      </w:r>
      <w:r w:rsidRPr="003F5882">
        <w:rPr>
          <w:rFonts w:ascii="Arial" w:hAnsi="Arial" w:cs="Times New Roman"/>
          <w:sz w:val="21"/>
        </w:rPr>
        <w:t>应收</w:t>
      </w:r>
      <w:r w:rsidR="00414186" w:rsidRPr="003F5882">
        <w:rPr>
          <w:rFonts w:ascii="Arial" w:hAnsi="Arial" w:cs="Times New Roman" w:hint="eastAsia"/>
          <w:sz w:val="21"/>
        </w:rPr>
        <w:t>退休金</w:t>
      </w:r>
      <w:r w:rsidRPr="003F5882">
        <w:rPr>
          <w:rFonts w:ascii="Arial" w:hAnsi="Arial" w:cs="Times New Roman"/>
          <w:sz w:val="21"/>
        </w:rPr>
        <w:t>之间的某些差额的义务。</w:t>
      </w:r>
    </w:p>
    <w:p w:rsidR="007D62CB" w:rsidRDefault="006C0099" w:rsidP="007D62CB">
      <w:pPr>
        <w:pStyle w:val="Style3"/>
        <w:spacing w:afterLines="50" w:line="340" w:lineRule="atLeast"/>
        <w:rPr>
          <w:rFonts w:ascii="Arial" w:hAnsi="Arial" w:cs="Times New Roman"/>
          <w:sz w:val="21"/>
        </w:rPr>
      </w:pPr>
      <w:r w:rsidRPr="00DA4636">
        <w:rPr>
          <w:rFonts w:ascii="Arial" w:eastAsia="KaiTi" w:hAnsi="Arial" w:cs="Times New Roman"/>
          <w:b/>
          <w:i/>
          <w:sz w:val="21"/>
        </w:rPr>
        <w:t>回国补助金和差旅费</w:t>
      </w:r>
      <w:r w:rsidR="00F46055" w:rsidRPr="003F5882">
        <w:rPr>
          <w:rFonts w:ascii="Arial" w:hAnsi="Arial" w:cs="Times New Roman" w:hint="eastAsia"/>
          <w:sz w:val="21"/>
        </w:rPr>
        <w:t>：</w:t>
      </w:r>
      <w:r w:rsidRPr="003F5882">
        <w:rPr>
          <w:rFonts w:ascii="Arial" w:hAnsi="Arial" w:cs="Times New Roman"/>
          <w:sz w:val="21"/>
        </w:rPr>
        <w:t>本组织负有契约义务，为某些国际征募工作人员在离职时提供诸如回国补助金及差旅和搬迁费的福利。对于临时职位的专业工作人员来说</w:t>
      </w:r>
      <w:r w:rsidR="00C274D1" w:rsidRPr="003F5882">
        <w:rPr>
          <w:rFonts w:ascii="Arial" w:hAnsi="Arial" w:cs="Times New Roman" w:hint="eastAsia"/>
          <w:sz w:val="21"/>
        </w:rPr>
        <w:t>，</w:t>
      </w:r>
      <w:r w:rsidRPr="003F5882">
        <w:rPr>
          <w:rFonts w:ascii="Arial" w:hAnsi="Arial" w:cs="Times New Roman"/>
          <w:sz w:val="21"/>
        </w:rPr>
        <w:t>离职时的回国差旅和搬迁费由</w:t>
      </w:r>
      <w:r w:rsidRPr="003F5882">
        <w:rPr>
          <w:rFonts w:ascii="Arial" w:hAnsi="Arial" w:cs="Times New Roman"/>
          <w:sz w:val="21"/>
        </w:rPr>
        <w:t>WIPO</w:t>
      </w:r>
      <w:r w:rsidRPr="003F5882">
        <w:rPr>
          <w:rFonts w:ascii="Arial" w:hAnsi="Arial" w:cs="Times New Roman"/>
          <w:sz w:val="21"/>
        </w:rPr>
        <w:t>估计</w:t>
      </w:r>
      <w:r w:rsidR="00C274D1" w:rsidRPr="003F5882">
        <w:rPr>
          <w:rFonts w:ascii="Arial" w:hAnsi="Arial" w:cs="Times New Roman" w:hint="eastAsia"/>
          <w:sz w:val="21"/>
        </w:rPr>
        <w:t>，</w:t>
      </w:r>
      <w:r w:rsidRPr="003F5882">
        <w:rPr>
          <w:rFonts w:ascii="Arial" w:hAnsi="Arial" w:cs="Times New Roman"/>
          <w:sz w:val="21"/>
        </w:rPr>
        <w:t>并且被视为一种流动负债。对于国际征募的在职专业工作人员，回国补助金、差旅和搬迁负债由独立精算师计算。负债总额在报告</w:t>
      </w:r>
      <w:proofErr w:type="gramStart"/>
      <w:r w:rsidRPr="003F5882">
        <w:rPr>
          <w:rFonts w:ascii="Arial" w:hAnsi="Arial" w:cs="Times New Roman"/>
          <w:sz w:val="21"/>
        </w:rPr>
        <w:t>日估计</w:t>
      </w:r>
      <w:proofErr w:type="gramEnd"/>
      <w:r w:rsidRPr="003F5882">
        <w:rPr>
          <w:rFonts w:ascii="Arial" w:hAnsi="Arial" w:cs="Times New Roman"/>
          <w:sz w:val="21"/>
        </w:rPr>
        <w:t>如下：</w:t>
      </w:r>
    </w:p>
    <w:p w:rsidR="006C0099" w:rsidRPr="003F5882" w:rsidRDefault="006F16A3" w:rsidP="006F16A3">
      <w:pPr>
        <w:pStyle w:val="Style3"/>
        <w:spacing w:afterLines="50"/>
        <w:jc w:val="center"/>
        <w:rPr>
          <w:rFonts w:ascii="Arial" w:hAnsi="Arial" w:cs="Times New Roman"/>
          <w:sz w:val="21"/>
        </w:rPr>
      </w:pPr>
      <w:r w:rsidRPr="006F16A3">
        <w:rPr>
          <w:noProof/>
          <w:lang w:val="en-US" w:bidi="ar-SA"/>
        </w:rPr>
        <w:lastRenderedPageBreak/>
        <w:drawing>
          <wp:inline distT="0" distB="0" distL="0" distR="0">
            <wp:extent cx="5909310" cy="1587500"/>
            <wp:effectExtent l="0" t="0" r="0" b="0"/>
            <wp:docPr id="148" name="图片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5909310" cy="1587500"/>
                    </a:xfrm>
                    <a:prstGeom prst="rect">
                      <a:avLst/>
                    </a:prstGeom>
                    <a:noFill/>
                    <a:ln>
                      <a:noFill/>
                    </a:ln>
                  </pic:spPr>
                </pic:pic>
              </a:graphicData>
            </a:graphic>
          </wp:inline>
        </w:drawing>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关于回国补助金和差旅的精算估计，下表详细描述了财务执行情况表中确认的回国补助金和差旅支出：</w:t>
      </w:r>
    </w:p>
    <w:p w:rsidR="006C0099" w:rsidRPr="003F5882" w:rsidRDefault="006F16A3" w:rsidP="006F16A3">
      <w:pPr>
        <w:pStyle w:val="Style3"/>
        <w:spacing w:afterLines="50"/>
        <w:jc w:val="center"/>
        <w:rPr>
          <w:rFonts w:ascii="Arial" w:hAnsi="Arial" w:cs="Times New Roman"/>
          <w:sz w:val="21"/>
        </w:rPr>
      </w:pPr>
      <w:r w:rsidRPr="006F16A3">
        <w:rPr>
          <w:noProof/>
          <w:lang w:val="en-US" w:bidi="ar-SA"/>
        </w:rPr>
        <w:drawing>
          <wp:inline distT="0" distB="0" distL="0" distR="0">
            <wp:extent cx="5736590" cy="1682115"/>
            <wp:effectExtent l="0" t="0" r="0" b="0"/>
            <wp:docPr id="149" name="图片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5736590" cy="1682115"/>
                    </a:xfrm>
                    <a:prstGeom prst="rect">
                      <a:avLst/>
                    </a:prstGeom>
                    <a:noFill/>
                    <a:ln>
                      <a:noFill/>
                    </a:ln>
                  </pic:spPr>
                </pic:pic>
              </a:graphicData>
            </a:graphic>
          </wp:inline>
        </w:drawing>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回国补助金和差旅的精算</w:t>
      </w:r>
      <w:r w:rsidR="00B04DC8" w:rsidRPr="003F5882">
        <w:rPr>
          <w:rFonts w:ascii="Arial" w:hAnsi="Arial" w:cs="Times New Roman" w:hint="eastAsia"/>
          <w:sz w:val="21"/>
        </w:rPr>
        <w:t>盈余和亏损</w:t>
      </w:r>
      <w:r w:rsidRPr="003F5882">
        <w:rPr>
          <w:rFonts w:ascii="Arial" w:hAnsi="Arial" w:cs="Times New Roman"/>
          <w:sz w:val="21"/>
        </w:rPr>
        <w:t>在财务执行情况表中立即予以确认。下表详细描述了回国补助金和差旅</w:t>
      </w:r>
      <w:r w:rsidR="007B516A" w:rsidRPr="003F5882">
        <w:rPr>
          <w:rFonts w:ascii="Arial" w:hAnsi="Arial" w:cs="Times New Roman"/>
          <w:sz w:val="21"/>
        </w:rPr>
        <w:t>固定福利债务</w:t>
      </w:r>
      <w:r w:rsidRPr="003F5882">
        <w:rPr>
          <w:rFonts w:ascii="Arial" w:hAnsi="Arial" w:cs="Times New Roman"/>
          <w:sz w:val="21"/>
        </w:rPr>
        <w:t>的变化情况：</w:t>
      </w:r>
    </w:p>
    <w:p w:rsidR="006C0099" w:rsidRPr="003F5882" w:rsidRDefault="006F16A3" w:rsidP="006F16A3">
      <w:pPr>
        <w:pStyle w:val="Style3"/>
        <w:spacing w:afterLines="50"/>
        <w:jc w:val="center"/>
        <w:rPr>
          <w:rFonts w:ascii="Arial" w:hAnsi="Arial" w:cs="Times New Roman"/>
          <w:sz w:val="21"/>
          <w:szCs w:val="22"/>
        </w:rPr>
      </w:pPr>
      <w:r w:rsidRPr="006F16A3">
        <w:rPr>
          <w:noProof/>
          <w:lang w:val="en-US" w:bidi="ar-SA"/>
        </w:rPr>
        <w:drawing>
          <wp:inline distT="0" distB="0" distL="0" distR="0">
            <wp:extent cx="5736590" cy="1880870"/>
            <wp:effectExtent l="0" t="0" r="0" b="0"/>
            <wp:docPr id="150" name="图片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5736590" cy="1880870"/>
                    </a:xfrm>
                    <a:prstGeom prst="rect">
                      <a:avLst/>
                    </a:prstGeom>
                    <a:noFill/>
                    <a:ln>
                      <a:noFill/>
                    </a:ln>
                  </pic:spPr>
                </pic:pic>
              </a:graphicData>
            </a:graphic>
          </wp:inline>
        </w:drawing>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2014</w:t>
      </w:r>
      <w:r w:rsidRPr="003F5882">
        <w:rPr>
          <w:rFonts w:ascii="Arial" w:hAnsi="Arial" w:cs="Times New Roman"/>
          <w:sz w:val="21"/>
        </w:rPr>
        <w:t>年本组织对回国补助金和差旅的缴费总计</w:t>
      </w:r>
      <w:r w:rsidRPr="003F5882">
        <w:rPr>
          <w:rFonts w:ascii="Arial" w:hAnsi="Arial" w:cs="Times New Roman"/>
          <w:sz w:val="21"/>
        </w:rPr>
        <w:t>20</w:t>
      </w:r>
      <w:proofErr w:type="gramStart"/>
      <w:r w:rsidRPr="003F5882">
        <w:rPr>
          <w:rFonts w:ascii="Arial" w:hAnsi="Arial" w:cs="Times New Roman"/>
          <w:sz w:val="21"/>
        </w:rPr>
        <w:t>万瑞</w:t>
      </w:r>
      <w:proofErr w:type="gramEnd"/>
      <w:r w:rsidRPr="003F5882">
        <w:rPr>
          <w:rFonts w:ascii="Arial" w:hAnsi="Arial" w:cs="Times New Roman"/>
          <w:sz w:val="21"/>
        </w:rPr>
        <w:t>郎</w:t>
      </w:r>
      <w:r w:rsidR="00F453AC" w:rsidRPr="003F5882">
        <w:rPr>
          <w:rFonts w:ascii="Arial" w:hAnsi="Arial" w:cs="Times New Roman" w:hint="eastAsia"/>
          <w:sz w:val="21"/>
        </w:rPr>
        <w:t>（</w:t>
      </w:r>
      <w:r w:rsidRPr="003F5882">
        <w:rPr>
          <w:rFonts w:ascii="Arial" w:hAnsi="Arial" w:cs="Times New Roman"/>
          <w:sz w:val="21"/>
        </w:rPr>
        <w:t>2013</w:t>
      </w:r>
      <w:r w:rsidRPr="003F5882">
        <w:rPr>
          <w:rFonts w:ascii="Arial" w:hAnsi="Arial" w:cs="Times New Roman"/>
          <w:sz w:val="21"/>
        </w:rPr>
        <w:t>年为</w:t>
      </w:r>
      <w:r w:rsidRPr="003F5882">
        <w:rPr>
          <w:rFonts w:ascii="Arial" w:hAnsi="Arial" w:cs="Times New Roman"/>
          <w:sz w:val="21"/>
        </w:rPr>
        <w:t>80</w:t>
      </w:r>
      <w:proofErr w:type="gramStart"/>
      <w:r w:rsidRPr="003F5882">
        <w:rPr>
          <w:rFonts w:ascii="Arial" w:hAnsi="Arial" w:cs="Times New Roman"/>
          <w:sz w:val="21"/>
        </w:rPr>
        <w:t>万瑞</w:t>
      </w:r>
      <w:proofErr w:type="gramEnd"/>
      <w:r w:rsidRPr="003F5882">
        <w:rPr>
          <w:rFonts w:ascii="Arial" w:hAnsi="Arial" w:cs="Times New Roman"/>
          <w:sz w:val="21"/>
        </w:rPr>
        <w:t>郎</w:t>
      </w:r>
      <w:r w:rsidR="00F453AC" w:rsidRPr="003F5882">
        <w:rPr>
          <w:rFonts w:ascii="Arial" w:hAnsi="Arial" w:cs="Times New Roman" w:hint="eastAsia"/>
          <w:sz w:val="21"/>
        </w:rPr>
        <w:t>）</w:t>
      </w:r>
      <w:r w:rsidRPr="003F5882">
        <w:rPr>
          <w:rFonts w:ascii="Arial" w:hAnsi="Arial" w:cs="Times New Roman"/>
          <w:sz w:val="21"/>
        </w:rPr>
        <w:t>。预计</w:t>
      </w:r>
      <w:r w:rsidRPr="003F5882">
        <w:rPr>
          <w:rFonts w:ascii="Arial" w:hAnsi="Arial" w:cs="Times New Roman"/>
          <w:sz w:val="21"/>
        </w:rPr>
        <w:t>2015</w:t>
      </w:r>
      <w:r w:rsidRPr="003F5882">
        <w:rPr>
          <w:rFonts w:ascii="Arial" w:hAnsi="Arial" w:cs="Times New Roman"/>
          <w:sz w:val="21"/>
        </w:rPr>
        <w:t>年回国补助金和差旅的缴费额为</w:t>
      </w:r>
      <w:r w:rsidRPr="003F5882">
        <w:rPr>
          <w:rFonts w:ascii="Arial" w:hAnsi="Arial" w:cs="Times New Roman"/>
          <w:sz w:val="21"/>
        </w:rPr>
        <w:t>150</w:t>
      </w:r>
      <w:proofErr w:type="gramStart"/>
      <w:r w:rsidRPr="003F5882">
        <w:rPr>
          <w:rFonts w:ascii="Arial" w:hAnsi="Arial" w:cs="Times New Roman"/>
          <w:sz w:val="21"/>
        </w:rPr>
        <w:t>万瑞</w:t>
      </w:r>
      <w:proofErr w:type="gramEnd"/>
      <w:r w:rsidRPr="003F5882">
        <w:rPr>
          <w:rFonts w:ascii="Arial" w:hAnsi="Arial" w:cs="Times New Roman"/>
          <w:sz w:val="21"/>
        </w:rPr>
        <w:t>郎。</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下表详细描述了</w:t>
      </w:r>
      <w:r w:rsidRPr="003F5882">
        <w:rPr>
          <w:rFonts w:ascii="Arial" w:hAnsi="Arial" w:cs="Times New Roman"/>
          <w:sz w:val="21"/>
        </w:rPr>
        <w:t>2014</w:t>
      </w:r>
      <w:r w:rsidRPr="003F5882">
        <w:rPr>
          <w:rFonts w:ascii="Arial" w:hAnsi="Arial" w:cs="Times New Roman"/>
          <w:sz w:val="21"/>
        </w:rPr>
        <w:t>年</w:t>
      </w:r>
      <w:proofErr w:type="gramStart"/>
      <w:r w:rsidRPr="003F5882">
        <w:rPr>
          <w:rFonts w:ascii="Arial" w:hAnsi="Arial" w:cs="Times New Roman"/>
          <w:sz w:val="21"/>
        </w:rPr>
        <w:t>及</w:t>
      </w:r>
      <w:r w:rsidR="00B04DC8" w:rsidRPr="003F5882">
        <w:rPr>
          <w:rFonts w:ascii="Arial" w:hAnsi="Arial" w:cs="Times New Roman" w:hint="eastAsia"/>
          <w:sz w:val="21"/>
        </w:rPr>
        <w:t>之</w:t>
      </w:r>
      <w:r w:rsidRPr="003F5882">
        <w:rPr>
          <w:rFonts w:ascii="Arial" w:hAnsi="Arial" w:cs="Times New Roman"/>
          <w:sz w:val="21"/>
        </w:rPr>
        <w:t>前</w:t>
      </w:r>
      <w:proofErr w:type="gramEnd"/>
      <w:r w:rsidR="00D80801" w:rsidRPr="003F5882">
        <w:rPr>
          <w:rFonts w:ascii="Arial" w:hAnsi="Arial" w:cs="Times New Roman" w:hint="eastAsia"/>
          <w:sz w:val="21"/>
        </w:rPr>
        <w:t>四</w:t>
      </w:r>
      <w:r w:rsidRPr="003F5882">
        <w:rPr>
          <w:rFonts w:ascii="Arial" w:hAnsi="Arial" w:cs="Times New Roman"/>
          <w:sz w:val="21"/>
        </w:rPr>
        <w:t>年回国补助金和差旅负债产生的</w:t>
      </w:r>
      <w:r w:rsidR="007B516A" w:rsidRPr="003F5882">
        <w:rPr>
          <w:rFonts w:ascii="Arial" w:hAnsi="Arial" w:cs="Times New Roman"/>
          <w:sz w:val="21"/>
        </w:rPr>
        <w:t>固定福利债务</w:t>
      </w:r>
      <w:r w:rsidRPr="003F5882">
        <w:rPr>
          <w:rFonts w:ascii="Arial" w:hAnsi="Arial" w:cs="Times New Roman"/>
          <w:sz w:val="21"/>
        </w:rPr>
        <w:t>和经验调整的现值</w:t>
      </w:r>
      <w:r w:rsidR="00B04DC8" w:rsidRPr="003F5882">
        <w:rPr>
          <w:rFonts w:ascii="Arial" w:hAnsi="Arial" w:cs="Times New Roman" w:hint="eastAsia"/>
          <w:sz w:val="21"/>
        </w:rPr>
        <w:t>：</w:t>
      </w:r>
    </w:p>
    <w:p w:rsidR="006C0099" w:rsidRPr="003F5882" w:rsidRDefault="006F16A3" w:rsidP="006F16A3">
      <w:pPr>
        <w:spacing w:afterLines="50" w:after="120"/>
        <w:jc w:val="center"/>
        <w:rPr>
          <w:rFonts w:ascii="Arial" w:hAnsi="Arial" w:cs="Times New Roman"/>
        </w:rPr>
      </w:pPr>
      <w:r w:rsidRPr="006F16A3">
        <w:rPr>
          <w:noProof/>
          <w:lang w:val="en-US" w:bidi="ar-SA"/>
        </w:rPr>
        <w:drawing>
          <wp:inline distT="0" distB="0" distL="0" distR="0">
            <wp:extent cx="5960745" cy="1078230"/>
            <wp:effectExtent l="0" t="0" r="1905" b="7620"/>
            <wp:docPr id="151" name="图片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5960745" cy="1078230"/>
                    </a:xfrm>
                    <a:prstGeom prst="rect">
                      <a:avLst/>
                    </a:prstGeom>
                    <a:noFill/>
                    <a:ln>
                      <a:noFill/>
                    </a:ln>
                  </pic:spPr>
                </pic:pic>
              </a:graphicData>
            </a:graphic>
          </wp:inline>
        </w:drawing>
      </w:r>
    </w:p>
    <w:p w:rsidR="007D62CB" w:rsidRDefault="006C0099" w:rsidP="006F16A3">
      <w:pPr>
        <w:pStyle w:val="Style3"/>
        <w:keepNext/>
        <w:spacing w:afterLines="50" w:line="340" w:lineRule="atLeast"/>
        <w:rPr>
          <w:rFonts w:ascii="Arial" w:hAnsi="Arial" w:cs="Times New Roman"/>
          <w:sz w:val="21"/>
          <w:szCs w:val="22"/>
        </w:rPr>
      </w:pPr>
      <w:r w:rsidRPr="003F5882">
        <w:rPr>
          <w:rFonts w:ascii="Arial" w:hAnsi="Arial" w:cs="Times New Roman"/>
          <w:sz w:val="21"/>
        </w:rPr>
        <w:lastRenderedPageBreak/>
        <w:t>决定回国补助金和差旅负债以及</w:t>
      </w:r>
      <w:r w:rsidR="007B516A" w:rsidRPr="003F5882">
        <w:rPr>
          <w:rFonts w:ascii="Arial" w:hAnsi="Arial" w:cs="Times New Roman"/>
          <w:sz w:val="21"/>
        </w:rPr>
        <w:t>固定福利债务</w:t>
      </w:r>
      <w:r w:rsidRPr="003F5882">
        <w:rPr>
          <w:rFonts w:ascii="Arial" w:hAnsi="Arial" w:cs="Times New Roman"/>
          <w:sz w:val="21"/>
        </w:rPr>
        <w:t>采用的主要假设如下所示：</w:t>
      </w:r>
    </w:p>
    <w:p w:rsidR="007D62CB" w:rsidRDefault="006F16A3" w:rsidP="006F16A3">
      <w:pPr>
        <w:spacing w:afterLines="50" w:after="120"/>
        <w:jc w:val="center"/>
        <w:rPr>
          <w:rFonts w:ascii="Arial" w:hAnsi="Arial" w:cs="Times New Roman"/>
        </w:rPr>
      </w:pPr>
      <w:r w:rsidRPr="006F16A3">
        <w:rPr>
          <w:noProof/>
          <w:lang w:val="en-US" w:bidi="ar-SA"/>
        </w:rPr>
        <w:drawing>
          <wp:inline distT="0" distB="0" distL="0" distR="0">
            <wp:extent cx="5736590" cy="1647825"/>
            <wp:effectExtent l="0" t="0" r="0" b="0"/>
            <wp:docPr id="152" name="图片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5736590" cy="1647825"/>
                    </a:xfrm>
                    <a:prstGeom prst="rect">
                      <a:avLst/>
                    </a:prstGeom>
                    <a:noFill/>
                    <a:ln>
                      <a:noFill/>
                    </a:ln>
                  </pic:spPr>
                </pic:pic>
              </a:graphicData>
            </a:graphic>
          </wp:inline>
        </w:drawing>
      </w:r>
    </w:p>
    <w:p w:rsidR="007D62CB" w:rsidRDefault="006C0099" w:rsidP="007D62CB">
      <w:pPr>
        <w:pStyle w:val="Style3"/>
        <w:spacing w:afterLines="50" w:line="340" w:lineRule="atLeast"/>
        <w:rPr>
          <w:rFonts w:ascii="Arial" w:hAnsi="Arial" w:cs="Times New Roman"/>
          <w:sz w:val="21"/>
        </w:rPr>
      </w:pPr>
      <w:r w:rsidRPr="00DA4636">
        <w:rPr>
          <w:rFonts w:ascii="Arial" w:eastAsia="KaiTi" w:hAnsi="Arial" w:cs="Times New Roman"/>
          <w:b/>
          <w:i/>
          <w:sz w:val="21"/>
        </w:rPr>
        <w:t>离职后健康保险</w:t>
      </w:r>
      <w:r w:rsidR="00F453AC" w:rsidRPr="00DA4636">
        <w:rPr>
          <w:rFonts w:ascii="Arial" w:eastAsia="KaiTi" w:hAnsi="Arial" w:cs="Times New Roman"/>
          <w:b/>
          <w:i/>
          <w:sz w:val="21"/>
        </w:rPr>
        <w:t>（</w:t>
      </w:r>
      <w:r w:rsidRPr="00DA4636">
        <w:rPr>
          <w:rFonts w:ascii="Arial" w:eastAsia="KaiTi" w:hAnsi="Arial" w:cs="Times New Roman"/>
          <w:b/>
          <w:i/>
          <w:sz w:val="21"/>
        </w:rPr>
        <w:t>ASHI</w:t>
      </w:r>
      <w:r w:rsidR="00F453AC" w:rsidRPr="00DA4636">
        <w:rPr>
          <w:rFonts w:ascii="Arial" w:eastAsia="KaiTi" w:hAnsi="Arial" w:cs="Times New Roman"/>
          <w:b/>
          <w:i/>
          <w:sz w:val="21"/>
        </w:rPr>
        <w:t>）</w:t>
      </w:r>
      <w:r w:rsidRPr="003F5882">
        <w:rPr>
          <w:rFonts w:ascii="Arial" w:hAnsi="Arial" w:cs="Times New Roman"/>
          <w:sz w:val="21"/>
        </w:rPr>
        <w:t>：本组织还负有以医疗和意外事故保险计划保险金的形式向其员工提供离职后医疗福利的契约义务。退休工作人员</w:t>
      </w:r>
      <w:r w:rsidR="00F453AC" w:rsidRPr="003F5882">
        <w:rPr>
          <w:rFonts w:ascii="Arial" w:hAnsi="Arial" w:cs="Times New Roman" w:hint="eastAsia"/>
          <w:sz w:val="21"/>
        </w:rPr>
        <w:t>（</w:t>
      </w:r>
      <w:r w:rsidRPr="003F5882">
        <w:rPr>
          <w:rFonts w:ascii="Arial" w:hAnsi="Arial" w:cs="Times New Roman"/>
          <w:sz w:val="21"/>
        </w:rPr>
        <w:t>及其配偶、受抚养的子女和遗属</w:t>
      </w:r>
      <w:r w:rsidR="00F453AC" w:rsidRPr="003F5882">
        <w:rPr>
          <w:rFonts w:ascii="Arial" w:hAnsi="Arial" w:cs="Times New Roman" w:hint="eastAsia"/>
          <w:sz w:val="21"/>
        </w:rPr>
        <w:t>）</w:t>
      </w:r>
      <w:r w:rsidRPr="003F5882">
        <w:rPr>
          <w:rFonts w:ascii="Arial" w:hAnsi="Arial" w:cs="Times New Roman"/>
          <w:sz w:val="21"/>
        </w:rPr>
        <w:t>如果离职后继续参与离职后健康保险方案，便属于</w:t>
      </w:r>
      <w:r w:rsidRPr="003F5882">
        <w:rPr>
          <w:rFonts w:ascii="Arial" w:hAnsi="Arial" w:cs="Times New Roman"/>
          <w:sz w:val="21"/>
        </w:rPr>
        <w:t>ASHI</w:t>
      </w:r>
      <w:r w:rsidRPr="003F5882">
        <w:rPr>
          <w:rFonts w:ascii="Arial" w:hAnsi="Arial" w:cs="Times New Roman"/>
          <w:sz w:val="21"/>
        </w:rPr>
        <w:t>范围。根据《</w:t>
      </w:r>
      <w:r w:rsidRPr="003F5882">
        <w:rPr>
          <w:rFonts w:ascii="Arial" w:hAnsi="Arial" w:cs="Times New Roman"/>
          <w:sz w:val="21"/>
        </w:rPr>
        <w:t>WIPO</w:t>
      </w:r>
      <w:r w:rsidRPr="003F5882">
        <w:rPr>
          <w:rFonts w:ascii="Arial" w:hAnsi="Arial" w:cs="Times New Roman"/>
          <w:sz w:val="21"/>
        </w:rPr>
        <w:t>工作人员条例和规则》，本组织将支付月医疗保险费的</w:t>
      </w:r>
      <w:r w:rsidRPr="003F5882">
        <w:rPr>
          <w:rFonts w:ascii="Arial" w:hAnsi="Arial" w:cs="Times New Roman"/>
          <w:sz w:val="21"/>
        </w:rPr>
        <w:t>65%</w:t>
      </w:r>
      <w:r w:rsidRPr="003F5882">
        <w:rPr>
          <w:rFonts w:ascii="Arial" w:hAnsi="Arial" w:cs="Times New Roman"/>
          <w:sz w:val="21"/>
        </w:rPr>
        <w:t>份额。自</w:t>
      </w:r>
      <w:r w:rsidRPr="003F5882">
        <w:rPr>
          <w:rFonts w:ascii="Arial" w:hAnsi="Arial" w:cs="Times New Roman"/>
          <w:sz w:val="21"/>
        </w:rPr>
        <w:t>2015</w:t>
      </w:r>
      <w:r w:rsidRPr="003F5882">
        <w:rPr>
          <w:rFonts w:ascii="Arial" w:hAnsi="Arial" w:cs="Times New Roman"/>
          <w:sz w:val="21"/>
        </w:rPr>
        <w:t>年</w:t>
      </w:r>
      <w:r w:rsidRPr="003F5882">
        <w:rPr>
          <w:rFonts w:ascii="Arial" w:hAnsi="Arial" w:cs="Times New Roman"/>
          <w:sz w:val="21"/>
        </w:rPr>
        <w:t>1</w:t>
      </w:r>
      <w:r w:rsidRPr="003F5882">
        <w:rPr>
          <w:rFonts w:ascii="Arial" w:hAnsi="Arial" w:cs="Times New Roman"/>
          <w:sz w:val="21"/>
        </w:rPr>
        <w:t>月</w:t>
      </w:r>
      <w:r w:rsidRPr="003F5882">
        <w:rPr>
          <w:rFonts w:ascii="Arial" w:hAnsi="Arial" w:cs="Times New Roman"/>
          <w:sz w:val="21"/>
        </w:rPr>
        <w:t>1</w:t>
      </w:r>
      <w:r w:rsidRPr="003F5882">
        <w:rPr>
          <w:rFonts w:ascii="Arial" w:hAnsi="Arial" w:cs="Times New Roman"/>
          <w:sz w:val="21"/>
        </w:rPr>
        <w:t>日起，成人和</w:t>
      </w:r>
      <w:proofErr w:type="gramStart"/>
      <w:r w:rsidRPr="003F5882">
        <w:rPr>
          <w:rFonts w:ascii="Arial" w:hAnsi="Arial" w:cs="Times New Roman"/>
          <w:sz w:val="21"/>
        </w:rPr>
        <w:t>子女月医疗</w:t>
      </w:r>
      <w:proofErr w:type="gramEnd"/>
      <w:r w:rsidRPr="003F5882">
        <w:rPr>
          <w:rFonts w:ascii="Arial" w:hAnsi="Arial" w:cs="Times New Roman"/>
          <w:sz w:val="21"/>
        </w:rPr>
        <w:t>保险费金额分别为</w:t>
      </w:r>
      <w:r w:rsidRPr="003F5882">
        <w:rPr>
          <w:rFonts w:ascii="Arial" w:hAnsi="Arial" w:cs="Times New Roman"/>
          <w:sz w:val="21"/>
        </w:rPr>
        <w:t>538</w:t>
      </w:r>
      <w:r w:rsidRPr="003F5882">
        <w:rPr>
          <w:rFonts w:ascii="Arial" w:hAnsi="Arial" w:cs="Times New Roman"/>
          <w:sz w:val="21"/>
        </w:rPr>
        <w:t>瑞郎和</w:t>
      </w:r>
      <w:r w:rsidRPr="003F5882">
        <w:rPr>
          <w:rFonts w:ascii="Arial" w:hAnsi="Arial" w:cs="Times New Roman"/>
          <w:sz w:val="21"/>
        </w:rPr>
        <w:t>240</w:t>
      </w:r>
      <w:r w:rsidRPr="003F5882">
        <w:rPr>
          <w:rFonts w:ascii="Arial" w:hAnsi="Arial" w:cs="Times New Roman"/>
          <w:sz w:val="21"/>
        </w:rPr>
        <w:t>瑞郎</w:t>
      </w:r>
      <w:r w:rsidR="00F453AC" w:rsidRPr="003F5882">
        <w:rPr>
          <w:rFonts w:ascii="Arial" w:hAnsi="Arial" w:cs="Times New Roman"/>
          <w:sz w:val="21"/>
        </w:rPr>
        <w:t>（</w:t>
      </w:r>
      <w:r w:rsidRPr="003F5882">
        <w:rPr>
          <w:rFonts w:ascii="Arial" w:hAnsi="Arial" w:cs="Times New Roman"/>
          <w:sz w:val="21"/>
        </w:rPr>
        <w:t>之前成人和子女分别为</w:t>
      </w:r>
      <w:r w:rsidRPr="003F5882">
        <w:rPr>
          <w:rFonts w:ascii="Arial" w:hAnsi="Arial" w:cs="Times New Roman"/>
          <w:sz w:val="21"/>
        </w:rPr>
        <w:t>552</w:t>
      </w:r>
      <w:r w:rsidRPr="003F5882">
        <w:rPr>
          <w:rFonts w:ascii="Arial" w:hAnsi="Arial" w:cs="Times New Roman"/>
          <w:sz w:val="21"/>
        </w:rPr>
        <w:t>瑞郎和</w:t>
      </w:r>
      <w:r w:rsidRPr="003F5882">
        <w:rPr>
          <w:rFonts w:ascii="Arial" w:hAnsi="Arial" w:cs="Times New Roman"/>
          <w:sz w:val="21"/>
        </w:rPr>
        <w:t>245</w:t>
      </w:r>
      <w:r w:rsidRPr="003F5882">
        <w:rPr>
          <w:rFonts w:ascii="Arial" w:hAnsi="Arial" w:cs="Times New Roman"/>
          <w:sz w:val="21"/>
        </w:rPr>
        <w:t>瑞郎</w:t>
      </w:r>
      <w:r w:rsidR="00F453AC" w:rsidRPr="003F5882">
        <w:rPr>
          <w:rFonts w:ascii="Arial" w:hAnsi="Arial" w:cs="Times New Roman"/>
          <w:sz w:val="21"/>
        </w:rPr>
        <w:t>）</w:t>
      </w:r>
      <w:r w:rsidRPr="003F5882">
        <w:rPr>
          <w:rFonts w:ascii="Arial" w:hAnsi="Arial" w:cs="Times New Roman"/>
          <w:sz w:val="21"/>
        </w:rPr>
        <w:t>。使用预计单位信贷</w:t>
      </w:r>
      <w:r w:rsidR="00F76015" w:rsidRPr="003F5882">
        <w:rPr>
          <w:rFonts w:ascii="Arial" w:hAnsi="Arial" w:cs="Times New Roman" w:hint="eastAsia"/>
          <w:sz w:val="21"/>
        </w:rPr>
        <w:t>方法</w:t>
      </w:r>
      <w:r w:rsidRPr="003F5882">
        <w:rPr>
          <w:rFonts w:ascii="Arial" w:hAnsi="Arial" w:cs="Times New Roman"/>
          <w:sz w:val="21"/>
        </w:rPr>
        <w:t>来确定离职后医疗保险</w:t>
      </w:r>
      <w:r w:rsidR="00F76015" w:rsidRPr="003F5882">
        <w:rPr>
          <w:rFonts w:ascii="Arial" w:hAnsi="Arial" w:cs="Times New Roman" w:hint="eastAsia"/>
          <w:sz w:val="21"/>
        </w:rPr>
        <w:t>的</w:t>
      </w:r>
      <w:r w:rsidR="007B516A" w:rsidRPr="003F5882">
        <w:rPr>
          <w:rFonts w:ascii="Arial" w:hAnsi="Arial" w:cs="Times New Roman" w:hint="eastAsia"/>
          <w:sz w:val="21"/>
        </w:rPr>
        <w:t>固定福利债务</w:t>
      </w:r>
      <w:r w:rsidRPr="003F5882">
        <w:rPr>
          <w:rFonts w:ascii="Arial" w:hAnsi="Arial" w:cs="Times New Roman"/>
          <w:sz w:val="21"/>
        </w:rPr>
        <w:t>的当前值，包括使用基于瑞士法郎高级公司债券和瑞士公债的贴现率对预计未来现金流出进行贴现。该计划是无资助的，而且长期雇员福利基金中也没有计划资产。根据</w:t>
      </w:r>
      <w:r w:rsidRPr="003F5882">
        <w:rPr>
          <w:rFonts w:ascii="Arial" w:hAnsi="Arial" w:cs="Times New Roman"/>
          <w:sz w:val="21"/>
        </w:rPr>
        <w:t>2014</w:t>
      </w:r>
      <w:r w:rsidRPr="003F5882">
        <w:rPr>
          <w:rFonts w:ascii="Arial" w:hAnsi="Arial" w:cs="Times New Roman"/>
          <w:sz w:val="21"/>
        </w:rPr>
        <w:t>年</w:t>
      </w:r>
      <w:r w:rsidRPr="003F5882">
        <w:rPr>
          <w:rFonts w:ascii="Arial" w:hAnsi="Arial" w:cs="Times New Roman"/>
          <w:sz w:val="21"/>
        </w:rPr>
        <w:t>12</w:t>
      </w:r>
      <w:r w:rsidRPr="003F5882">
        <w:rPr>
          <w:rFonts w:ascii="Arial" w:hAnsi="Arial" w:cs="Times New Roman"/>
          <w:sz w:val="21"/>
        </w:rPr>
        <w:t>月一</w:t>
      </w:r>
      <w:proofErr w:type="gramStart"/>
      <w:r w:rsidRPr="003F5882">
        <w:rPr>
          <w:rFonts w:ascii="Arial" w:hAnsi="Arial" w:cs="Times New Roman"/>
          <w:sz w:val="21"/>
        </w:rPr>
        <w:t>个</w:t>
      </w:r>
      <w:proofErr w:type="gramEnd"/>
      <w:r w:rsidRPr="003F5882">
        <w:rPr>
          <w:rFonts w:ascii="Arial" w:hAnsi="Arial" w:cs="Times New Roman"/>
          <w:sz w:val="21"/>
        </w:rPr>
        <w:t>独立事务所进行的一项精算估计，这一负债在本报告日概算如下：</w:t>
      </w:r>
    </w:p>
    <w:p w:rsidR="006C0099" w:rsidRPr="003F5882" w:rsidRDefault="006F16A3" w:rsidP="006F16A3">
      <w:pPr>
        <w:pStyle w:val="Style3"/>
        <w:spacing w:afterLines="50"/>
        <w:jc w:val="center"/>
        <w:rPr>
          <w:rFonts w:ascii="Arial" w:hAnsi="Arial" w:cs="Times New Roman"/>
          <w:sz w:val="20"/>
        </w:rPr>
      </w:pPr>
      <w:r w:rsidRPr="006F16A3">
        <w:rPr>
          <w:noProof/>
          <w:lang w:val="en-US" w:bidi="ar-SA"/>
        </w:rPr>
        <w:drawing>
          <wp:inline distT="0" distB="0" distL="0" distR="0">
            <wp:extent cx="5736590" cy="1164590"/>
            <wp:effectExtent l="0" t="0" r="0" b="0"/>
            <wp:docPr id="153" name="图片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5736590" cy="1164590"/>
                    </a:xfrm>
                    <a:prstGeom prst="rect">
                      <a:avLst/>
                    </a:prstGeom>
                    <a:noFill/>
                    <a:ln>
                      <a:noFill/>
                    </a:ln>
                  </pic:spPr>
                </pic:pic>
              </a:graphicData>
            </a:graphic>
          </wp:inline>
        </w:drawing>
      </w:r>
    </w:p>
    <w:p w:rsidR="007D62CB" w:rsidRDefault="006C0099" w:rsidP="006F16A3">
      <w:pPr>
        <w:pStyle w:val="Style3"/>
        <w:spacing w:afterLines="50" w:line="340" w:lineRule="atLeast"/>
        <w:rPr>
          <w:rFonts w:ascii="Arial" w:hAnsi="Arial" w:cs="Times New Roman"/>
          <w:sz w:val="21"/>
          <w:szCs w:val="22"/>
        </w:rPr>
      </w:pPr>
      <w:r w:rsidRPr="003F5882">
        <w:rPr>
          <w:rFonts w:ascii="Arial" w:hAnsi="Arial" w:cs="Times New Roman"/>
          <w:sz w:val="21"/>
        </w:rPr>
        <w:t>下表详细描述了财务执行情况表中确认的</w:t>
      </w:r>
      <w:r w:rsidRPr="003F5882">
        <w:rPr>
          <w:rFonts w:ascii="Arial" w:hAnsi="Arial" w:cs="Times New Roman"/>
          <w:sz w:val="21"/>
        </w:rPr>
        <w:t>ASHI</w:t>
      </w:r>
      <w:r w:rsidRPr="003F5882">
        <w:rPr>
          <w:rFonts w:ascii="Arial" w:hAnsi="Arial" w:cs="Times New Roman"/>
          <w:sz w:val="21"/>
        </w:rPr>
        <w:t>支出：</w:t>
      </w:r>
    </w:p>
    <w:p w:rsidR="006C0099" w:rsidRPr="003F5882" w:rsidRDefault="006F16A3" w:rsidP="006F16A3">
      <w:pPr>
        <w:spacing w:afterLines="50" w:after="120"/>
        <w:jc w:val="center"/>
        <w:rPr>
          <w:rFonts w:ascii="Arial" w:hAnsi="Arial" w:cs="Times New Roman"/>
          <w:sz w:val="21"/>
          <w:szCs w:val="22"/>
        </w:rPr>
      </w:pPr>
      <w:r w:rsidRPr="006F16A3">
        <w:rPr>
          <w:noProof/>
          <w:lang w:val="en-US" w:bidi="ar-SA"/>
        </w:rPr>
        <w:drawing>
          <wp:inline distT="0" distB="0" distL="0" distR="0">
            <wp:extent cx="5736590" cy="1682115"/>
            <wp:effectExtent l="0" t="0" r="0" b="0"/>
            <wp:docPr id="154" name="图片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5736590" cy="1682115"/>
                    </a:xfrm>
                    <a:prstGeom prst="rect">
                      <a:avLst/>
                    </a:prstGeom>
                    <a:noFill/>
                    <a:ln>
                      <a:noFill/>
                    </a:ln>
                  </pic:spPr>
                </pic:pic>
              </a:graphicData>
            </a:graphic>
          </wp:inline>
        </w:drawing>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WIPO</w:t>
      </w:r>
      <w:r w:rsidRPr="003F5882">
        <w:rPr>
          <w:rFonts w:ascii="Arial" w:hAnsi="Arial" w:cs="Times New Roman"/>
          <w:sz w:val="21"/>
        </w:rPr>
        <w:t>采用居间法确认</w:t>
      </w:r>
      <w:r w:rsidRPr="003F5882">
        <w:rPr>
          <w:rFonts w:ascii="Arial" w:hAnsi="Arial" w:cs="Times New Roman"/>
          <w:sz w:val="21"/>
        </w:rPr>
        <w:t>ASHI</w:t>
      </w:r>
      <w:r w:rsidRPr="003F5882">
        <w:rPr>
          <w:rFonts w:ascii="Arial" w:hAnsi="Arial" w:cs="Times New Roman"/>
          <w:sz w:val="21"/>
        </w:rPr>
        <w:t>的精算</w:t>
      </w:r>
      <w:r w:rsidR="00961838" w:rsidRPr="003F5882">
        <w:rPr>
          <w:rFonts w:ascii="Arial" w:hAnsi="Arial" w:cs="Times New Roman" w:hint="eastAsia"/>
          <w:sz w:val="21"/>
        </w:rPr>
        <w:t>盈余和亏损</w:t>
      </w:r>
      <w:r w:rsidRPr="003F5882">
        <w:rPr>
          <w:rFonts w:ascii="Arial" w:hAnsi="Arial" w:cs="Times New Roman"/>
          <w:sz w:val="21"/>
        </w:rPr>
        <w:t>。根据此项会计政策，如果上一个报告期末的累计未确认</w:t>
      </w:r>
      <w:r w:rsidR="00961838" w:rsidRPr="003F5882">
        <w:rPr>
          <w:rFonts w:ascii="Arial" w:hAnsi="Arial" w:cs="Times New Roman" w:hint="eastAsia"/>
          <w:sz w:val="21"/>
        </w:rPr>
        <w:t>盈余和亏损的</w:t>
      </w:r>
      <w:r w:rsidRPr="003F5882">
        <w:rPr>
          <w:rFonts w:ascii="Arial" w:hAnsi="Arial" w:cs="Times New Roman"/>
          <w:sz w:val="21"/>
        </w:rPr>
        <w:t>净额超过当日</w:t>
      </w:r>
      <w:r w:rsidR="007B516A" w:rsidRPr="003F5882">
        <w:rPr>
          <w:rFonts w:ascii="Arial" w:hAnsi="Arial" w:cs="Times New Roman"/>
          <w:sz w:val="21"/>
        </w:rPr>
        <w:t>固定福利债务</w:t>
      </w:r>
      <w:r w:rsidRPr="003F5882">
        <w:rPr>
          <w:rFonts w:ascii="Arial" w:hAnsi="Arial" w:cs="Times New Roman"/>
          <w:sz w:val="21"/>
        </w:rPr>
        <w:t>现值的</w:t>
      </w:r>
      <w:r w:rsidRPr="003F5882">
        <w:rPr>
          <w:rFonts w:ascii="Arial" w:hAnsi="Arial" w:cs="Times New Roman"/>
          <w:sz w:val="21"/>
        </w:rPr>
        <w:t>10%</w:t>
      </w:r>
      <w:r w:rsidRPr="003F5882">
        <w:rPr>
          <w:rFonts w:ascii="Arial" w:hAnsi="Arial" w:cs="Times New Roman"/>
          <w:sz w:val="21"/>
        </w:rPr>
        <w:t>，则对净精算</w:t>
      </w:r>
      <w:r w:rsidR="00961838" w:rsidRPr="003F5882">
        <w:rPr>
          <w:rFonts w:ascii="Arial" w:hAnsi="Arial" w:cs="Times New Roman" w:hint="eastAsia"/>
          <w:sz w:val="21"/>
        </w:rPr>
        <w:t>盈余和亏损</w:t>
      </w:r>
      <w:r w:rsidRPr="003F5882">
        <w:rPr>
          <w:rFonts w:ascii="Arial" w:hAnsi="Arial" w:cs="Times New Roman"/>
          <w:sz w:val="21"/>
        </w:rPr>
        <w:t>的一部分予以确认。下表详细描述</w:t>
      </w:r>
      <w:r w:rsidR="00961838" w:rsidRPr="003F5882">
        <w:rPr>
          <w:rFonts w:ascii="Arial" w:hAnsi="Arial" w:cs="Times New Roman" w:hint="eastAsia"/>
          <w:sz w:val="21"/>
        </w:rPr>
        <w:t>了</w:t>
      </w:r>
      <w:r w:rsidRPr="003F5882">
        <w:rPr>
          <w:rFonts w:ascii="Arial" w:hAnsi="Arial" w:cs="Times New Roman"/>
          <w:sz w:val="21"/>
        </w:rPr>
        <w:t>ASHI</w:t>
      </w:r>
      <w:r w:rsidR="007B516A" w:rsidRPr="003F5882">
        <w:rPr>
          <w:rFonts w:ascii="Arial" w:hAnsi="Arial" w:cs="Times New Roman"/>
          <w:sz w:val="21"/>
        </w:rPr>
        <w:t>固定福利债务</w:t>
      </w:r>
      <w:r w:rsidRPr="003F5882">
        <w:rPr>
          <w:rFonts w:ascii="Arial" w:hAnsi="Arial" w:cs="Times New Roman"/>
          <w:sz w:val="21"/>
        </w:rPr>
        <w:t>的变化情况，并且对</w:t>
      </w:r>
      <w:r w:rsidR="007B516A" w:rsidRPr="003F5882">
        <w:rPr>
          <w:rFonts w:ascii="Arial" w:hAnsi="Arial" w:cs="Times New Roman"/>
          <w:sz w:val="21"/>
        </w:rPr>
        <w:t>固定福利债务</w:t>
      </w:r>
      <w:r w:rsidRPr="003F5882">
        <w:rPr>
          <w:rFonts w:ascii="Arial" w:hAnsi="Arial" w:cs="Times New Roman"/>
          <w:sz w:val="21"/>
        </w:rPr>
        <w:t>和财务状况表确认的负债进行对账</w:t>
      </w:r>
      <w:r w:rsidR="00961838" w:rsidRPr="003F5882">
        <w:rPr>
          <w:rFonts w:ascii="Arial" w:hAnsi="Arial" w:cs="Times New Roman" w:hint="eastAsia"/>
          <w:sz w:val="21"/>
        </w:rPr>
        <w:t>：</w:t>
      </w:r>
    </w:p>
    <w:p w:rsidR="006C0099" w:rsidRPr="003F5882" w:rsidRDefault="006F16A3" w:rsidP="006F16A3">
      <w:pPr>
        <w:spacing w:afterLines="50" w:after="120"/>
        <w:jc w:val="center"/>
        <w:rPr>
          <w:rFonts w:ascii="Arial" w:hAnsi="Arial" w:cs="Times New Roman"/>
        </w:rPr>
      </w:pPr>
      <w:r w:rsidRPr="006F16A3">
        <w:rPr>
          <w:noProof/>
          <w:lang w:val="en-US" w:bidi="ar-SA"/>
        </w:rPr>
        <w:lastRenderedPageBreak/>
        <w:drawing>
          <wp:inline distT="0" distB="0" distL="0" distR="0">
            <wp:extent cx="5736590" cy="2259965"/>
            <wp:effectExtent l="0" t="0" r="0" b="0"/>
            <wp:docPr id="155" name="图片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5736590" cy="2259965"/>
                    </a:xfrm>
                    <a:prstGeom prst="rect">
                      <a:avLst/>
                    </a:prstGeom>
                    <a:noFill/>
                    <a:ln>
                      <a:noFill/>
                    </a:ln>
                  </pic:spPr>
                </pic:pic>
              </a:graphicData>
            </a:graphic>
          </wp:inline>
        </w:drawing>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2014</w:t>
      </w:r>
      <w:r w:rsidRPr="003F5882">
        <w:rPr>
          <w:rFonts w:ascii="Arial" w:hAnsi="Arial" w:cs="Times New Roman"/>
          <w:sz w:val="21"/>
        </w:rPr>
        <w:t>年本组织</w:t>
      </w:r>
      <w:r w:rsidR="00D80801" w:rsidRPr="003F5882">
        <w:rPr>
          <w:rFonts w:ascii="Arial" w:hAnsi="Arial" w:cs="Times New Roman" w:hint="eastAsia"/>
          <w:sz w:val="21"/>
        </w:rPr>
        <w:t>给</w:t>
      </w:r>
      <w:r w:rsidR="00D80801" w:rsidRPr="003F5882">
        <w:rPr>
          <w:rFonts w:ascii="Arial" w:hAnsi="Arial" w:cs="Times New Roman" w:hint="eastAsia"/>
          <w:sz w:val="21"/>
        </w:rPr>
        <w:t>ASHI</w:t>
      </w:r>
      <w:r w:rsidRPr="003F5882">
        <w:rPr>
          <w:rFonts w:ascii="Arial" w:hAnsi="Arial" w:cs="Times New Roman"/>
          <w:sz w:val="21"/>
        </w:rPr>
        <w:t>的缴费总计</w:t>
      </w:r>
      <w:r w:rsidRPr="003F5882">
        <w:rPr>
          <w:rFonts w:ascii="Arial" w:hAnsi="Arial" w:cs="Times New Roman"/>
          <w:sz w:val="21"/>
        </w:rPr>
        <w:t>250</w:t>
      </w:r>
      <w:proofErr w:type="gramStart"/>
      <w:r w:rsidRPr="003F5882">
        <w:rPr>
          <w:rFonts w:ascii="Arial" w:hAnsi="Arial" w:cs="Times New Roman"/>
          <w:sz w:val="21"/>
        </w:rPr>
        <w:t>万瑞</w:t>
      </w:r>
      <w:proofErr w:type="gramEnd"/>
      <w:r w:rsidRPr="003F5882">
        <w:rPr>
          <w:rFonts w:ascii="Arial" w:hAnsi="Arial" w:cs="Times New Roman"/>
          <w:sz w:val="21"/>
        </w:rPr>
        <w:t>郎</w:t>
      </w:r>
      <w:r w:rsidR="00F453AC" w:rsidRPr="003F5882">
        <w:rPr>
          <w:rFonts w:ascii="Arial" w:hAnsi="Arial" w:cs="Times New Roman" w:hint="eastAsia"/>
          <w:sz w:val="21"/>
        </w:rPr>
        <w:t>（</w:t>
      </w:r>
      <w:r w:rsidRPr="003F5882">
        <w:rPr>
          <w:rFonts w:ascii="Arial" w:hAnsi="Arial" w:cs="Times New Roman"/>
          <w:sz w:val="21"/>
        </w:rPr>
        <w:t>2013</w:t>
      </w:r>
      <w:r w:rsidRPr="003F5882">
        <w:rPr>
          <w:rFonts w:ascii="Arial" w:hAnsi="Arial" w:cs="Times New Roman"/>
          <w:sz w:val="21"/>
        </w:rPr>
        <w:t>年为</w:t>
      </w:r>
      <w:r w:rsidRPr="003F5882">
        <w:rPr>
          <w:rFonts w:ascii="Arial" w:hAnsi="Arial" w:cs="Times New Roman"/>
          <w:sz w:val="21"/>
        </w:rPr>
        <w:t>230</w:t>
      </w:r>
      <w:proofErr w:type="gramStart"/>
      <w:r w:rsidRPr="003F5882">
        <w:rPr>
          <w:rFonts w:ascii="Arial" w:hAnsi="Arial" w:cs="Times New Roman"/>
          <w:sz w:val="21"/>
        </w:rPr>
        <w:t>万瑞</w:t>
      </w:r>
      <w:proofErr w:type="gramEnd"/>
      <w:r w:rsidRPr="003F5882">
        <w:rPr>
          <w:rFonts w:ascii="Arial" w:hAnsi="Arial" w:cs="Times New Roman"/>
          <w:sz w:val="21"/>
        </w:rPr>
        <w:t>郎</w:t>
      </w:r>
      <w:r w:rsidR="00F453AC" w:rsidRPr="003F5882">
        <w:rPr>
          <w:rFonts w:ascii="Arial" w:hAnsi="Arial" w:cs="Times New Roman" w:hint="eastAsia"/>
          <w:sz w:val="21"/>
        </w:rPr>
        <w:t>）</w:t>
      </w:r>
      <w:r w:rsidRPr="003F5882">
        <w:rPr>
          <w:rFonts w:ascii="Arial" w:hAnsi="Arial" w:cs="Times New Roman"/>
          <w:sz w:val="21"/>
        </w:rPr>
        <w:t>。</w:t>
      </w:r>
      <w:r w:rsidRPr="003F5882">
        <w:rPr>
          <w:rFonts w:ascii="Arial" w:hAnsi="Arial" w:cs="Times New Roman"/>
          <w:sz w:val="21"/>
        </w:rPr>
        <w:t>2015</w:t>
      </w:r>
      <w:r w:rsidRPr="003F5882">
        <w:rPr>
          <w:rFonts w:ascii="Arial" w:hAnsi="Arial" w:cs="Times New Roman"/>
          <w:sz w:val="21"/>
        </w:rPr>
        <w:t>年给</w:t>
      </w:r>
      <w:r w:rsidRPr="003F5882">
        <w:rPr>
          <w:rFonts w:ascii="Arial" w:hAnsi="Arial" w:cs="Times New Roman"/>
          <w:sz w:val="21"/>
        </w:rPr>
        <w:t>ASHI</w:t>
      </w:r>
      <w:r w:rsidRPr="003F5882">
        <w:rPr>
          <w:rFonts w:ascii="Arial" w:hAnsi="Arial" w:cs="Times New Roman"/>
          <w:sz w:val="21"/>
        </w:rPr>
        <w:t>的缴费额预计为</w:t>
      </w:r>
      <w:r w:rsidRPr="003F5882">
        <w:rPr>
          <w:rFonts w:ascii="Arial" w:hAnsi="Arial" w:cs="Times New Roman"/>
          <w:sz w:val="21"/>
        </w:rPr>
        <w:t>270</w:t>
      </w:r>
      <w:proofErr w:type="gramStart"/>
      <w:r w:rsidRPr="003F5882">
        <w:rPr>
          <w:rFonts w:ascii="Arial" w:hAnsi="Arial" w:cs="Times New Roman"/>
          <w:sz w:val="21"/>
        </w:rPr>
        <w:t>万瑞</w:t>
      </w:r>
      <w:proofErr w:type="gramEnd"/>
      <w:r w:rsidRPr="003F5882">
        <w:rPr>
          <w:rFonts w:ascii="Arial" w:hAnsi="Arial" w:cs="Times New Roman"/>
          <w:sz w:val="21"/>
        </w:rPr>
        <w:t>郎。</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下表详细描述了</w:t>
      </w:r>
      <w:r w:rsidRPr="003F5882">
        <w:rPr>
          <w:rFonts w:ascii="Arial" w:hAnsi="Arial" w:cs="Times New Roman"/>
          <w:sz w:val="21"/>
        </w:rPr>
        <w:t>2014</w:t>
      </w:r>
      <w:r w:rsidRPr="003F5882">
        <w:rPr>
          <w:rFonts w:ascii="Arial" w:hAnsi="Arial" w:cs="Times New Roman"/>
          <w:sz w:val="21"/>
        </w:rPr>
        <w:t>年</w:t>
      </w:r>
      <w:proofErr w:type="gramStart"/>
      <w:r w:rsidRPr="003F5882">
        <w:rPr>
          <w:rFonts w:ascii="Arial" w:hAnsi="Arial" w:cs="Times New Roman"/>
          <w:sz w:val="21"/>
        </w:rPr>
        <w:t>及</w:t>
      </w:r>
      <w:r w:rsidR="00D80801" w:rsidRPr="003F5882">
        <w:rPr>
          <w:rFonts w:ascii="Arial" w:hAnsi="Arial" w:cs="Times New Roman" w:hint="eastAsia"/>
          <w:sz w:val="21"/>
        </w:rPr>
        <w:t>之</w:t>
      </w:r>
      <w:r w:rsidRPr="003F5882">
        <w:rPr>
          <w:rFonts w:ascii="Arial" w:hAnsi="Arial" w:cs="Times New Roman"/>
          <w:sz w:val="21"/>
        </w:rPr>
        <w:t>前</w:t>
      </w:r>
      <w:proofErr w:type="gramEnd"/>
      <w:r w:rsidR="00D80801" w:rsidRPr="003F5882">
        <w:rPr>
          <w:rFonts w:ascii="Arial" w:hAnsi="Arial" w:cs="Times New Roman" w:hint="eastAsia"/>
          <w:sz w:val="21"/>
        </w:rPr>
        <w:t>四</w:t>
      </w:r>
      <w:r w:rsidRPr="003F5882">
        <w:rPr>
          <w:rFonts w:ascii="Arial" w:hAnsi="Arial" w:cs="Times New Roman"/>
          <w:sz w:val="21"/>
        </w:rPr>
        <w:t>年</w:t>
      </w:r>
      <w:r w:rsidRPr="003F5882">
        <w:rPr>
          <w:rFonts w:ascii="Arial" w:hAnsi="Arial" w:cs="Times New Roman"/>
          <w:sz w:val="21"/>
        </w:rPr>
        <w:t>ASHI</w:t>
      </w:r>
      <w:r w:rsidRPr="003F5882">
        <w:rPr>
          <w:rFonts w:ascii="Arial" w:hAnsi="Arial" w:cs="Times New Roman"/>
          <w:sz w:val="21"/>
        </w:rPr>
        <w:t>负债产生的</w:t>
      </w:r>
      <w:r w:rsidR="007B516A" w:rsidRPr="003F5882">
        <w:rPr>
          <w:rFonts w:ascii="Arial" w:hAnsi="Arial" w:cs="Times New Roman"/>
          <w:sz w:val="21"/>
        </w:rPr>
        <w:t>固定福利债务</w:t>
      </w:r>
      <w:r w:rsidRPr="003F5882">
        <w:rPr>
          <w:rFonts w:ascii="Arial" w:hAnsi="Arial" w:cs="Times New Roman"/>
          <w:sz w:val="21"/>
        </w:rPr>
        <w:t>和经验调整的现值</w:t>
      </w:r>
      <w:r w:rsidR="00D80801" w:rsidRPr="003F5882">
        <w:rPr>
          <w:rFonts w:ascii="Arial" w:hAnsi="Arial" w:cs="Times New Roman" w:hint="eastAsia"/>
          <w:sz w:val="21"/>
        </w:rPr>
        <w:t>：</w:t>
      </w:r>
    </w:p>
    <w:p w:rsidR="006C0099" w:rsidRPr="003F5882" w:rsidRDefault="006F16A3" w:rsidP="006F16A3">
      <w:pPr>
        <w:spacing w:afterLines="50" w:after="120"/>
        <w:jc w:val="center"/>
        <w:rPr>
          <w:rFonts w:ascii="Arial" w:hAnsi="Arial" w:cs="Times New Roman"/>
          <w:sz w:val="21"/>
          <w:szCs w:val="22"/>
        </w:rPr>
      </w:pPr>
      <w:r w:rsidRPr="006F16A3">
        <w:rPr>
          <w:noProof/>
          <w:lang w:val="en-US" w:bidi="ar-SA"/>
        </w:rPr>
        <w:drawing>
          <wp:inline distT="0" distB="0" distL="0" distR="0">
            <wp:extent cx="5960745" cy="1078230"/>
            <wp:effectExtent l="0" t="0" r="1905" b="7620"/>
            <wp:docPr id="156" name="图片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960745" cy="1078230"/>
                    </a:xfrm>
                    <a:prstGeom prst="rect">
                      <a:avLst/>
                    </a:prstGeom>
                    <a:noFill/>
                    <a:ln>
                      <a:noFill/>
                    </a:ln>
                  </pic:spPr>
                </pic:pic>
              </a:graphicData>
            </a:graphic>
          </wp:inline>
        </w:drawing>
      </w:r>
    </w:p>
    <w:p w:rsidR="007D62CB" w:rsidRDefault="00167580" w:rsidP="007D62CB">
      <w:pPr>
        <w:pStyle w:val="Style3"/>
        <w:spacing w:afterLines="50" w:line="340" w:lineRule="atLeast"/>
        <w:rPr>
          <w:rFonts w:ascii="Arial" w:hAnsi="Arial" w:cs="Times New Roman"/>
          <w:sz w:val="21"/>
          <w:szCs w:val="22"/>
        </w:rPr>
      </w:pPr>
      <w:r w:rsidRPr="003F5882">
        <w:rPr>
          <w:rFonts w:ascii="Arial" w:hAnsi="Arial" w:cs="Times New Roman" w:hint="eastAsia"/>
          <w:sz w:val="21"/>
        </w:rPr>
        <w:t>确</w:t>
      </w:r>
      <w:r w:rsidR="006C0099" w:rsidRPr="003F5882">
        <w:rPr>
          <w:rFonts w:ascii="Arial" w:hAnsi="Arial" w:cs="Times New Roman"/>
          <w:sz w:val="21"/>
        </w:rPr>
        <w:t>定</w:t>
      </w:r>
      <w:r w:rsidR="006C0099" w:rsidRPr="003F5882">
        <w:rPr>
          <w:rFonts w:ascii="Arial" w:hAnsi="Arial" w:cs="Times New Roman"/>
          <w:sz w:val="21"/>
        </w:rPr>
        <w:t>ASHI</w:t>
      </w:r>
      <w:r w:rsidR="006C0099" w:rsidRPr="003F5882">
        <w:rPr>
          <w:rFonts w:ascii="Arial" w:hAnsi="Arial" w:cs="Times New Roman"/>
          <w:sz w:val="21"/>
        </w:rPr>
        <w:t>负债以及</w:t>
      </w:r>
      <w:r w:rsidR="007B516A" w:rsidRPr="003F5882">
        <w:rPr>
          <w:rFonts w:ascii="Arial" w:hAnsi="Arial" w:cs="Times New Roman"/>
          <w:sz w:val="21"/>
        </w:rPr>
        <w:t>固定福利债务</w:t>
      </w:r>
      <w:r w:rsidR="006C0099" w:rsidRPr="003F5882">
        <w:rPr>
          <w:rFonts w:ascii="Arial" w:hAnsi="Arial" w:cs="Times New Roman"/>
          <w:sz w:val="21"/>
        </w:rPr>
        <w:t>采用的主要假设如下所示：</w:t>
      </w:r>
    </w:p>
    <w:p w:rsidR="007D62CB" w:rsidRDefault="006F16A3" w:rsidP="006F16A3">
      <w:pPr>
        <w:spacing w:afterLines="50" w:after="120"/>
        <w:jc w:val="center"/>
        <w:rPr>
          <w:rFonts w:ascii="Arial" w:hAnsi="Arial" w:cs="Times New Roman"/>
          <w:sz w:val="21"/>
          <w:szCs w:val="22"/>
        </w:rPr>
      </w:pPr>
      <w:r w:rsidRPr="006F16A3">
        <w:rPr>
          <w:noProof/>
          <w:lang w:val="en-US" w:bidi="ar-SA"/>
        </w:rPr>
        <w:drawing>
          <wp:inline distT="0" distB="0" distL="0" distR="0">
            <wp:extent cx="5736590" cy="3528060"/>
            <wp:effectExtent l="0" t="0" r="0" b="0"/>
            <wp:docPr id="157" name="图片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5736590" cy="3528060"/>
                    </a:xfrm>
                    <a:prstGeom prst="rect">
                      <a:avLst/>
                    </a:prstGeom>
                    <a:noFill/>
                    <a:ln>
                      <a:noFill/>
                    </a:ln>
                  </pic:spPr>
                </pic:pic>
              </a:graphicData>
            </a:graphic>
          </wp:inline>
        </w:drawing>
      </w:r>
    </w:p>
    <w:p w:rsidR="007D62CB" w:rsidRDefault="006C0099" w:rsidP="006F16A3">
      <w:pPr>
        <w:pStyle w:val="Style3"/>
        <w:keepNext/>
        <w:spacing w:afterLines="50" w:line="340" w:lineRule="atLeast"/>
        <w:rPr>
          <w:rFonts w:ascii="Arial" w:hAnsi="Arial" w:cs="Times New Roman"/>
          <w:sz w:val="21"/>
          <w:szCs w:val="22"/>
        </w:rPr>
      </w:pPr>
      <w:r w:rsidRPr="003F5882">
        <w:rPr>
          <w:rFonts w:ascii="Arial" w:hAnsi="Arial" w:cs="Times New Roman"/>
          <w:noProof/>
          <w:sz w:val="21"/>
        </w:rPr>
        <w:lastRenderedPageBreak/>
        <w:t>假设的医疗成本趋势对</w:t>
      </w:r>
      <w:r w:rsidRPr="003F5882">
        <w:rPr>
          <w:rFonts w:ascii="Arial" w:hAnsi="Arial" w:cs="Times New Roman"/>
          <w:noProof/>
          <w:sz w:val="21"/>
        </w:rPr>
        <w:t>ASHI</w:t>
      </w:r>
      <w:r w:rsidRPr="003F5882">
        <w:rPr>
          <w:rFonts w:ascii="Arial" w:hAnsi="Arial" w:cs="Times New Roman"/>
          <w:noProof/>
          <w:sz w:val="21"/>
        </w:rPr>
        <w:t>债务计算的数额带来了重大影响。假设的医疗成本趋势中一个百分点的变化便会产生以下影响：</w:t>
      </w:r>
    </w:p>
    <w:p w:rsidR="007D62CB" w:rsidRDefault="006F16A3" w:rsidP="006F16A3">
      <w:pPr>
        <w:spacing w:afterLines="50" w:after="120"/>
        <w:jc w:val="center"/>
        <w:rPr>
          <w:rFonts w:ascii="Arial" w:hAnsi="Arial" w:cs="Times New Roman"/>
          <w:sz w:val="20"/>
          <w:szCs w:val="20"/>
        </w:rPr>
      </w:pPr>
      <w:r w:rsidRPr="006F16A3">
        <w:rPr>
          <w:noProof/>
          <w:lang w:val="en-US" w:bidi="ar-SA"/>
        </w:rPr>
        <w:drawing>
          <wp:inline distT="0" distB="0" distL="0" distR="0">
            <wp:extent cx="5943600" cy="1915160"/>
            <wp:effectExtent l="0" t="0" r="0" b="0"/>
            <wp:docPr id="158" name="图片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5943600" cy="1915160"/>
                    </a:xfrm>
                    <a:prstGeom prst="rect">
                      <a:avLst/>
                    </a:prstGeom>
                    <a:noFill/>
                    <a:ln>
                      <a:noFill/>
                    </a:ln>
                  </pic:spPr>
                </pic:pic>
              </a:graphicData>
            </a:graphic>
          </wp:inline>
        </w:drawing>
      </w:r>
    </w:p>
    <w:p w:rsidR="007D62CB" w:rsidRPr="003374D7" w:rsidRDefault="006C0099" w:rsidP="003374D7">
      <w:pPr>
        <w:pStyle w:val="Style3Bold"/>
        <w:keepLines/>
        <w:spacing w:afterLines="50" w:line="340" w:lineRule="atLeast"/>
        <w:rPr>
          <w:rFonts w:eastAsia="SimSun" w:cs="Times New Roman"/>
          <w:sz w:val="21"/>
        </w:rPr>
      </w:pPr>
      <w:r w:rsidRPr="003374D7">
        <w:rPr>
          <w:rFonts w:eastAsia="SimSun" w:cs="Times New Roman"/>
          <w:sz w:val="21"/>
        </w:rPr>
        <w:t>联合国合办工作人员养恤基金</w:t>
      </w:r>
      <w:r w:rsidR="00F453AC" w:rsidRPr="003374D7">
        <w:rPr>
          <w:rFonts w:eastAsia="SimSun" w:cs="Times New Roman" w:hint="eastAsia"/>
          <w:sz w:val="21"/>
        </w:rPr>
        <w:t>（</w:t>
      </w:r>
      <w:r w:rsidRPr="003374D7">
        <w:rPr>
          <w:rFonts w:eastAsia="SimSun" w:cs="Times New Roman"/>
          <w:sz w:val="21"/>
        </w:rPr>
        <w:t>UNJSPF</w:t>
      </w:r>
      <w:r w:rsidR="00F453AC" w:rsidRPr="003374D7">
        <w:rPr>
          <w:rFonts w:eastAsia="SimSun" w:cs="Times New Roman" w:hint="eastAsia"/>
          <w:sz w:val="21"/>
        </w:rPr>
        <w:t>）</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《养恤基金条例》规定，养恤金委员会应聘请顾问精算</w:t>
      </w:r>
      <w:proofErr w:type="gramStart"/>
      <w:r w:rsidRPr="003F5882">
        <w:rPr>
          <w:rFonts w:ascii="Arial" w:hAnsi="Arial" w:cs="Times New Roman"/>
          <w:sz w:val="21"/>
        </w:rPr>
        <w:t>师至少</w:t>
      </w:r>
      <w:proofErr w:type="gramEnd"/>
      <w:r w:rsidRPr="003F5882">
        <w:rPr>
          <w:rFonts w:ascii="Arial" w:hAnsi="Arial" w:cs="Times New Roman"/>
          <w:sz w:val="21"/>
        </w:rPr>
        <w:t>每三年对基金进行一次精算估值。养恤金委员会沿用的惯例是使用开放团体总额方法，每两年进行一次精算估值。精算估值的主要目的在于确定养恤基金当前和估算的未来资产是否将足以偿付其负债。</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WIPO</w:t>
      </w:r>
      <w:r w:rsidRPr="003F5882">
        <w:rPr>
          <w:rFonts w:ascii="Arial" w:hAnsi="Arial" w:cs="Times New Roman"/>
          <w:sz w:val="21"/>
        </w:rPr>
        <w:t>对</w:t>
      </w:r>
      <w:r w:rsidRPr="003F5882">
        <w:rPr>
          <w:rFonts w:ascii="Arial" w:hAnsi="Arial" w:cs="Times New Roman"/>
          <w:sz w:val="21"/>
        </w:rPr>
        <w:t>UNJSPF</w:t>
      </w:r>
      <w:r w:rsidRPr="003F5882">
        <w:rPr>
          <w:rFonts w:ascii="Arial" w:hAnsi="Arial" w:cs="Times New Roman"/>
          <w:sz w:val="21"/>
        </w:rPr>
        <w:t>承担的财务义务，包括以联合国大会确定的比率计算的应缴部分</w:t>
      </w:r>
      <w:r w:rsidR="00F453AC" w:rsidRPr="003F5882">
        <w:rPr>
          <w:rFonts w:ascii="Arial" w:hAnsi="Arial" w:cs="Times New Roman" w:hint="eastAsia"/>
          <w:sz w:val="21"/>
        </w:rPr>
        <w:t>（</w:t>
      </w:r>
      <w:r w:rsidRPr="003F5882">
        <w:rPr>
          <w:rFonts w:ascii="Arial" w:hAnsi="Arial" w:cs="Times New Roman"/>
          <w:sz w:val="21"/>
        </w:rPr>
        <w:t>目前参加者支付</w:t>
      </w:r>
      <w:r w:rsidRPr="003F5882">
        <w:rPr>
          <w:rFonts w:ascii="Arial" w:hAnsi="Arial" w:cs="Times New Roman"/>
          <w:sz w:val="21"/>
        </w:rPr>
        <w:t>7.9%</w:t>
      </w:r>
      <w:r w:rsidRPr="003F5882">
        <w:rPr>
          <w:rFonts w:ascii="Arial" w:hAnsi="Arial" w:cs="Times New Roman"/>
          <w:sz w:val="21"/>
        </w:rPr>
        <w:t>，成员组织支付</w:t>
      </w:r>
      <w:r w:rsidRPr="003F5882">
        <w:rPr>
          <w:rFonts w:ascii="Arial" w:hAnsi="Arial" w:cs="Times New Roman"/>
          <w:sz w:val="21"/>
        </w:rPr>
        <w:t>15.8%</w:t>
      </w:r>
      <w:r w:rsidR="00F453AC" w:rsidRPr="003F5882">
        <w:rPr>
          <w:rFonts w:ascii="Arial" w:hAnsi="Arial" w:cs="Times New Roman" w:hint="eastAsia"/>
          <w:sz w:val="21"/>
        </w:rPr>
        <w:t>）</w:t>
      </w:r>
      <w:r w:rsidRPr="003F5882">
        <w:rPr>
          <w:rFonts w:ascii="Arial" w:hAnsi="Arial" w:cs="Times New Roman"/>
          <w:sz w:val="21"/>
        </w:rPr>
        <w:t>以及根据《养恤基金条例》第</w:t>
      </w:r>
      <w:r w:rsidRPr="003F5882">
        <w:rPr>
          <w:rFonts w:ascii="Arial" w:hAnsi="Arial" w:cs="Times New Roman"/>
          <w:sz w:val="21"/>
        </w:rPr>
        <w:t>26</w:t>
      </w:r>
      <w:r w:rsidRPr="003F5882">
        <w:rPr>
          <w:rFonts w:ascii="Arial" w:hAnsi="Arial" w:cs="Times New Roman"/>
          <w:sz w:val="21"/>
        </w:rPr>
        <w:t>条的规定本组织在任何应付精算短缺付款中的份额。只有联合国大会在依据估值日对养恤金基金的精算充足性进行评估，确定需要付款以弥补短缺并援引《养恤基金条例》第</w:t>
      </w:r>
      <w:r w:rsidRPr="003F5882">
        <w:rPr>
          <w:rFonts w:ascii="Arial" w:hAnsi="Arial" w:cs="Times New Roman"/>
          <w:sz w:val="21"/>
        </w:rPr>
        <w:t>26</w:t>
      </w:r>
      <w:r w:rsidRPr="003F5882">
        <w:rPr>
          <w:rFonts w:ascii="Arial" w:hAnsi="Arial" w:cs="Times New Roman"/>
          <w:sz w:val="21"/>
        </w:rPr>
        <w:t>条的规定时，才应支付这种款项。每个成员组织应按估值日之前三年在交款总额中各自支付所占比例，分摊该短缺金额。</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精算估值是在</w:t>
      </w:r>
      <w:r w:rsidRPr="003F5882">
        <w:rPr>
          <w:rFonts w:ascii="Arial" w:hAnsi="Arial" w:cs="Times New Roman"/>
          <w:sz w:val="21"/>
        </w:rPr>
        <w:t>2013</w:t>
      </w:r>
      <w:r w:rsidRPr="003F5882">
        <w:rPr>
          <w:rFonts w:ascii="Arial" w:hAnsi="Arial" w:cs="Times New Roman"/>
          <w:sz w:val="21"/>
        </w:rPr>
        <w:t>年</w:t>
      </w:r>
      <w:r w:rsidRPr="003F5882">
        <w:rPr>
          <w:rFonts w:ascii="Arial" w:hAnsi="Arial" w:cs="Times New Roman"/>
          <w:sz w:val="21"/>
        </w:rPr>
        <w:t>12</w:t>
      </w:r>
      <w:r w:rsidRPr="003F5882">
        <w:rPr>
          <w:rFonts w:ascii="Arial" w:hAnsi="Arial" w:cs="Times New Roman"/>
          <w:sz w:val="21"/>
        </w:rPr>
        <w:t>月</w:t>
      </w:r>
      <w:r w:rsidRPr="003F5882">
        <w:rPr>
          <w:rFonts w:ascii="Arial" w:hAnsi="Arial" w:cs="Times New Roman"/>
          <w:sz w:val="21"/>
        </w:rPr>
        <w:t>31</w:t>
      </w:r>
      <w:r w:rsidRPr="003F5882">
        <w:rPr>
          <w:rFonts w:ascii="Arial" w:hAnsi="Arial" w:cs="Times New Roman"/>
          <w:sz w:val="21"/>
        </w:rPr>
        <w:t>日进行的。估值结果显示了占</w:t>
      </w:r>
      <w:proofErr w:type="gramStart"/>
      <w:r w:rsidRPr="003F5882">
        <w:rPr>
          <w:rFonts w:ascii="Arial" w:hAnsi="Arial" w:cs="Times New Roman"/>
          <w:sz w:val="21"/>
        </w:rPr>
        <w:t>应计养恤金</w:t>
      </w:r>
      <w:proofErr w:type="gramEnd"/>
      <w:r w:rsidRPr="003F5882">
        <w:rPr>
          <w:rFonts w:ascii="Arial" w:hAnsi="Arial" w:cs="Times New Roman"/>
          <w:sz w:val="21"/>
        </w:rPr>
        <w:t>薪酬</w:t>
      </w:r>
      <w:r w:rsidRPr="003F5882">
        <w:rPr>
          <w:rFonts w:ascii="Arial" w:hAnsi="Arial" w:cs="Times New Roman"/>
          <w:sz w:val="21"/>
        </w:rPr>
        <w:t>0.72%</w:t>
      </w:r>
      <w:r w:rsidR="00F453AC" w:rsidRPr="003F5882">
        <w:rPr>
          <w:rFonts w:ascii="Arial" w:hAnsi="Arial" w:cs="Times New Roman" w:hint="eastAsia"/>
          <w:sz w:val="21"/>
        </w:rPr>
        <w:t>（</w:t>
      </w:r>
      <w:r w:rsidRPr="003F5882">
        <w:rPr>
          <w:rFonts w:ascii="Arial" w:hAnsi="Arial" w:cs="Times New Roman"/>
          <w:sz w:val="21"/>
        </w:rPr>
        <w:t>2011</w:t>
      </w:r>
      <w:r w:rsidRPr="003F5882">
        <w:rPr>
          <w:rFonts w:ascii="Arial" w:hAnsi="Arial" w:cs="Times New Roman"/>
          <w:sz w:val="21"/>
        </w:rPr>
        <w:t>年估值结果为</w:t>
      </w:r>
      <w:r w:rsidRPr="003F5882">
        <w:rPr>
          <w:rFonts w:ascii="Arial" w:hAnsi="Arial" w:cs="Times New Roman"/>
          <w:sz w:val="21"/>
        </w:rPr>
        <w:t>1.87%</w:t>
      </w:r>
      <w:r w:rsidR="00F453AC" w:rsidRPr="003F5882">
        <w:rPr>
          <w:rFonts w:ascii="Arial" w:hAnsi="Arial" w:cs="Times New Roman" w:hint="eastAsia"/>
          <w:sz w:val="21"/>
        </w:rPr>
        <w:t>）</w:t>
      </w:r>
      <w:r w:rsidRPr="003F5882">
        <w:rPr>
          <w:rFonts w:ascii="Arial" w:hAnsi="Arial" w:cs="Times New Roman"/>
          <w:sz w:val="21"/>
        </w:rPr>
        <w:t>的精算赤字，这意味着从</w:t>
      </w:r>
      <w:r w:rsidRPr="003F5882">
        <w:rPr>
          <w:rFonts w:ascii="Arial" w:hAnsi="Arial" w:cs="Times New Roman"/>
          <w:sz w:val="21"/>
        </w:rPr>
        <w:t>2013</w:t>
      </w:r>
      <w:r w:rsidRPr="003F5882">
        <w:rPr>
          <w:rFonts w:ascii="Arial" w:hAnsi="Arial" w:cs="Times New Roman"/>
          <w:sz w:val="21"/>
        </w:rPr>
        <w:t>年</w:t>
      </w:r>
      <w:r w:rsidRPr="003F5882">
        <w:rPr>
          <w:rFonts w:ascii="Arial" w:hAnsi="Arial" w:cs="Times New Roman"/>
          <w:sz w:val="21"/>
        </w:rPr>
        <w:t>12</w:t>
      </w:r>
      <w:r w:rsidRPr="003F5882">
        <w:rPr>
          <w:rFonts w:ascii="Arial" w:hAnsi="Arial" w:cs="Times New Roman"/>
          <w:sz w:val="21"/>
        </w:rPr>
        <w:t>月</w:t>
      </w:r>
      <w:r w:rsidRPr="003F5882">
        <w:rPr>
          <w:rFonts w:ascii="Arial" w:hAnsi="Arial" w:cs="Times New Roman"/>
          <w:sz w:val="21"/>
        </w:rPr>
        <w:t>31</w:t>
      </w:r>
      <w:r w:rsidRPr="003F5882">
        <w:rPr>
          <w:rFonts w:ascii="Arial" w:hAnsi="Arial" w:cs="Times New Roman"/>
          <w:sz w:val="21"/>
        </w:rPr>
        <w:t>日起要实现平衡，理论上所需的缴费率为</w:t>
      </w:r>
      <w:proofErr w:type="gramStart"/>
      <w:r w:rsidRPr="003F5882">
        <w:rPr>
          <w:rFonts w:ascii="Arial" w:hAnsi="Arial" w:cs="Times New Roman"/>
          <w:sz w:val="21"/>
        </w:rPr>
        <w:t>应计养恤金</w:t>
      </w:r>
      <w:proofErr w:type="gramEnd"/>
      <w:r w:rsidRPr="003F5882">
        <w:rPr>
          <w:rFonts w:ascii="Arial" w:hAnsi="Arial" w:cs="Times New Roman"/>
          <w:sz w:val="21"/>
        </w:rPr>
        <w:t>薪酬的</w:t>
      </w:r>
      <w:r w:rsidRPr="003F5882">
        <w:rPr>
          <w:rFonts w:ascii="Arial" w:hAnsi="Arial" w:cs="Times New Roman"/>
          <w:sz w:val="21"/>
        </w:rPr>
        <w:t>24.42%</w:t>
      </w:r>
      <w:r w:rsidRPr="003F5882">
        <w:rPr>
          <w:rFonts w:ascii="Arial" w:hAnsi="Arial" w:cs="Times New Roman"/>
          <w:sz w:val="21"/>
        </w:rPr>
        <w:t>，相比之下，</w:t>
      </w:r>
      <w:proofErr w:type="gramStart"/>
      <w:r w:rsidRPr="003F5882">
        <w:rPr>
          <w:rFonts w:ascii="Arial" w:hAnsi="Arial" w:cs="Times New Roman"/>
          <w:sz w:val="21"/>
        </w:rPr>
        <w:t>实际养</w:t>
      </w:r>
      <w:proofErr w:type="gramEnd"/>
      <w:r w:rsidRPr="003F5882">
        <w:rPr>
          <w:rFonts w:ascii="Arial" w:hAnsi="Arial" w:cs="Times New Roman"/>
          <w:sz w:val="21"/>
        </w:rPr>
        <w:t>恤金缴费率为</w:t>
      </w:r>
      <w:r w:rsidRPr="003F5882">
        <w:rPr>
          <w:rFonts w:ascii="Arial" w:hAnsi="Arial" w:cs="Times New Roman"/>
          <w:sz w:val="21"/>
        </w:rPr>
        <w:t>23.7</w:t>
      </w:r>
      <w:r w:rsidR="005B3B2F" w:rsidRPr="003F5882">
        <w:rPr>
          <w:rFonts w:ascii="Arial" w:hAnsi="Arial" w:cs="Times New Roman" w:hint="eastAsia"/>
          <w:sz w:val="21"/>
        </w:rPr>
        <w:t>0</w:t>
      </w:r>
      <w:r w:rsidRPr="003F5882">
        <w:rPr>
          <w:rFonts w:ascii="Arial" w:hAnsi="Arial" w:cs="Times New Roman"/>
          <w:sz w:val="21"/>
        </w:rPr>
        <w:t>%</w:t>
      </w:r>
      <w:r w:rsidRPr="003F5882">
        <w:rPr>
          <w:rFonts w:ascii="Arial" w:hAnsi="Arial" w:cs="Times New Roman"/>
          <w:sz w:val="21"/>
        </w:rPr>
        <w:t>。下一次精算估值将</w:t>
      </w:r>
      <w:r w:rsidR="005B3B2F" w:rsidRPr="003F5882">
        <w:rPr>
          <w:rFonts w:ascii="Arial" w:hAnsi="Arial" w:cs="Times New Roman" w:hint="eastAsia"/>
          <w:sz w:val="21"/>
        </w:rPr>
        <w:t>在</w:t>
      </w:r>
      <w:r w:rsidRPr="003F5882">
        <w:rPr>
          <w:rFonts w:ascii="Arial" w:hAnsi="Arial" w:cs="Times New Roman"/>
          <w:sz w:val="21"/>
        </w:rPr>
        <w:t>2015</w:t>
      </w:r>
      <w:r w:rsidRPr="003F5882">
        <w:rPr>
          <w:rFonts w:ascii="Arial" w:hAnsi="Arial" w:cs="Times New Roman"/>
          <w:sz w:val="21"/>
        </w:rPr>
        <w:t>年</w:t>
      </w:r>
      <w:r w:rsidRPr="003F5882">
        <w:rPr>
          <w:rFonts w:ascii="Arial" w:hAnsi="Arial" w:cs="Times New Roman"/>
          <w:sz w:val="21"/>
        </w:rPr>
        <w:t>12</w:t>
      </w:r>
      <w:r w:rsidRPr="003F5882">
        <w:rPr>
          <w:rFonts w:ascii="Arial" w:hAnsi="Arial" w:cs="Times New Roman"/>
          <w:sz w:val="21"/>
        </w:rPr>
        <w:t>月</w:t>
      </w:r>
      <w:r w:rsidRPr="003F5882">
        <w:rPr>
          <w:rFonts w:ascii="Arial" w:hAnsi="Arial" w:cs="Times New Roman"/>
          <w:sz w:val="21"/>
        </w:rPr>
        <w:t>31</w:t>
      </w:r>
      <w:r w:rsidRPr="003F5882">
        <w:rPr>
          <w:rFonts w:ascii="Arial" w:hAnsi="Arial" w:cs="Times New Roman"/>
          <w:sz w:val="21"/>
        </w:rPr>
        <w:t>日</w:t>
      </w:r>
      <w:r w:rsidRPr="003F5882">
        <w:rPr>
          <w:rFonts w:ascii="Arial" w:hAnsi="Arial" w:cs="Times New Roman" w:hint="eastAsia"/>
          <w:sz w:val="21"/>
        </w:rPr>
        <w:t>开始进行。</w:t>
      </w:r>
    </w:p>
    <w:p w:rsidR="007D62CB" w:rsidRDefault="006C0099" w:rsidP="006C0099">
      <w:pPr>
        <w:tabs>
          <w:tab w:val="num" w:pos="1080"/>
        </w:tabs>
        <w:autoSpaceDE w:val="0"/>
        <w:autoSpaceDN w:val="0"/>
        <w:adjustRightInd w:val="0"/>
        <w:jc w:val="both"/>
        <w:rPr>
          <w:rFonts w:ascii="Arial" w:hAnsi="Arial" w:cs="Times New Roman"/>
          <w:sz w:val="21"/>
          <w:szCs w:val="22"/>
        </w:rPr>
      </w:pPr>
      <w:r w:rsidRPr="003F5882">
        <w:rPr>
          <w:rFonts w:ascii="Arial" w:hAnsi="Arial" w:cs="Times New Roman"/>
          <w:sz w:val="21"/>
        </w:rPr>
        <w:t>截至</w:t>
      </w:r>
      <w:r w:rsidRPr="003F5882">
        <w:rPr>
          <w:rFonts w:ascii="Arial" w:hAnsi="Arial" w:cs="Times New Roman"/>
          <w:sz w:val="21"/>
        </w:rPr>
        <w:t>2013</w:t>
      </w:r>
      <w:r w:rsidRPr="003F5882">
        <w:rPr>
          <w:rFonts w:ascii="Arial" w:hAnsi="Arial" w:cs="Times New Roman"/>
          <w:sz w:val="21"/>
        </w:rPr>
        <w:t>年</w:t>
      </w:r>
      <w:r w:rsidRPr="003F5882">
        <w:rPr>
          <w:rFonts w:ascii="Arial" w:hAnsi="Arial" w:cs="Times New Roman"/>
          <w:sz w:val="21"/>
        </w:rPr>
        <w:t>12</w:t>
      </w:r>
      <w:r w:rsidRPr="003F5882">
        <w:rPr>
          <w:rFonts w:ascii="Arial" w:hAnsi="Arial" w:cs="Times New Roman"/>
          <w:sz w:val="21"/>
        </w:rPr>
        <w:t>月</w:t>
      </w:r>
      <w:r w:rsidRPr="003F5882">
        <w:rPr>
          <w:rFonts w:ascii="Arial" w:hAnsi="Arial" w:cs="Times New Roman"/>
          <w:sz w:val="21"/>
        </w:rPr>
        <w:t>31</w:t>
      </w:r>
      <w:r w:rsidRPr="003F5882">
        <w:rPr>
          <w:rFonts w:ascii="Arial" w:hAnsi="Arial" w:cs="Times New Roman"/>
          <w:sz w:val="21"/>
        </w:rPr>
        <w:t>日，精算资产与精算负债的资助比率，在未进行未来养恤金调整的情况下为</w:t>
      </w:r>
      <w:r w:rsidRPr="003F5882">
        <w:rPr>
          <w:rFonts w:ascii="Arial" w:hAnsi="Arial" w:cs="Times New Roman"/>
          <w:sz w:val="21"/>
        </w:rPr>
        <w:t>127.5%</w:t>
      </w:r>
      <w:r w:rsidR="00F453AC" w:rsidRPr="003F5882">
        <w:rPr>
          <w:rFonts w:ascii="Arial" w:hAnsi="Arial" w:cs="Times New Roman" w:hint="eastAsia"/>
          <w:sz w:val="21"/>
        </w:rPr>
        <w:t>（</w:t>
      </w:r>
      <w:r w:rsidRPr="003F5882">
        <w:rPr>
          <w:rFonts w:ascii="Arial" w:hAnsi="Arial" w:cs="Times New Roman"/>
          <w:sz w:val="21"/>
        </w:rPr>
        <w:t>2011</w:t>
      </w:r>
      <w:r w:rsidRPr="003F5882">
        <w:rPr>
          <w:rFonts w:ascii="Arial" w:hAnsi="Arial" w:cs="Times New Roman"/>
          <w:sz w:val="21"/>
        </w:rPr>
        <w:t>年估值为</w:t>
      </w:r>
      <w:r w:rsidRPr="003F5882">
        <w:rPr>
          <w:rFonts w:ascii="Arial" w:hAnsi="Arial" w:cs="Times New Roman"/>
          <w:sz w:val="21"/>
        </w:rPr>
        <w:t>130.0%</w:t>
      </w:r>
      <w:r w:rsidR="00F453AC" w:rsidRPr="003F5882">
        <w:rPr>
          <w:rFonts w:ascii="Arial" w:hAnsi="Arial" w:cs="Times New Roman" w:hint="eastAsia"/>
          <w:sz w:val="21"/>
        </w:rPr>
        <w:t>）</w:t>
      </w:r>
      <w:r w:rsidRPr="003F5882">
        <w:rPr>
          <w:rFonts w:ascii="Arial" w:hAnsi="Arial" w:cs="Times New Roman"/>
          <w:sz w:val="21"/>
        </w:rPr>
        <w:t>。在顾及当前养恤金调整制度的情况下，资助比率为</w:t>
      </w:r>
      <w:r w:rsidRPr="003F5882">
        <w:rPr>
          <w:rFonts w:ascii="Arial" w:hAnsi="Arial" w:cs="Times New Roman"/>
          <w:sz w:val="21"/>
        </w:rPr>
        <w:t>91.2%</w:t>
      </w:r>
      <w:r w:rsidR="00F453AC" w:rsidRPr="003F5882">
        <w:rPr>
          <w:rFonts w:ascii="Arial" w:hAnsi="Arial" w:cs="Times New Roman" w:hint="eastAsia"/>
          <w:sz w:val="21"/>
        </w:rPr>
        <w:t>（</w:t>
      </w:r>
      <w:r w:rsidRPr="003F5882">
        <w:rPr>
          <w:rFonts w:ascii="Arial" w:hAnsi="Arial" w:cs="Times New Roman"/>
          <w:sz w:val="21"/>
        </w:rPr>
        <w:t>2011</w:t>
      </w:r>
      <w:r w:rsidRPr="003F5882">
        <w:rPr>
          <w:rFonts w:ascii="Arial" w:hAnsi="Arial" w:cs="Times New Roman"/>
          <w:sz w:val="21"/>
        </w:rPr>
        <w:t>年为</w:t>
      </w:r>
      <w:r w:rsidRPr="003F5882">
        <w:rPr>
          <w:rFonts w:ascii="Arial" w:hAnsi="Arial" w:cs="Times New Roman"/>
          <w:sz w:val="21"/>
        </w:rPr>
        <w:t>86.2%</w:t>
      </w:r>
      <w:r w:rsidR="00F453AC" w:rsidRPr="003F5882">
        <w:rPr>
          <w:rFonts w:ascii="Arial" w:hAnsi="Arial" w:cs="Times New Roman" w:hint="eastAsia"/>
          <w:sz w:val="21"/>
        </w:rPr>
        <w:t>）</w:t>
      </w:r>
      <w:r w:rsidRPr="003F5882">
        <w:rPr>
          <w:rFonts w:ascii="Arial" w:hAnsi="Arial" w:cs="Times New Roman"/>
          <w:sz w:val="21"/>
        </w:rPr>
        <w:t>。</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在对基金的精算充足性进行评估后，顾问精算师得出结论，截至</w:t>
      </w:r>
      <w:r w:rsidRPr="003F5882">
        <w:rPr>
          <w:rFonts w:ascii="Arial" w:hAnsi="Arial" w:cs="Times New Roman"/>
          <w:sz w:val="21"/>
        </w:rPr>
        <w:t>2013</w:t>
      </w:r>
      <w:r w:rsidRPr="003F5882">
        <w:rPr>
          <w:rFonts w:ascii="Arial" w:hAnsi="Arial" w:cs="Times New Roman"/>
          <w:sz w:val="21"/>
        </w:rPr>
        <w:t>年</w:t>
      </w:r>
      <w:r w:rsidRPr="003F5882">
        <w:rPr>
          <w:rFonts w:ascii="Arial" w:hAnsi="Arial" w:cs="Times New Roman"/>
          <w:sz w:val="21"/>
        </w:rPr>
        <w:t>12</w:t>
      </w:r>
      <w:r w:rsidRPr="003F5882">
        <w:rPr>
          <w:rFonts w:ascii="Arial" w:hAnsi="Arial" w:cs="Times New Roman"/>
          <w:sz w:val="21"/>
        </w:rPr>
        <w:t>月</w:t>
      </w:r>
      <w:r w:rsidRPr="003F5882">
        <w:rPr>
          <w:rFonts w:ascii="Arial" w:hAnsi="Arial" w:cs="Times New Roman"/>
          <w:sz w:val="21"/>
        </w:rPr>
        <w:t>31</w:t>
      </w:r>
      <w:r w:rsidRPr="003F5882">
        <w:rPr>
          <w:rFonts w:ascii="Arial" w:hAnsi="Arial" w:cs="Times New Roman"/>
          <w:sz w:val="21"/>
        </w:rPr>
        <w:t>日，由于基金下资产的精算价值超过了所有累计负债的精算价值，因此，不存在根据《基金条例》第</w:t>
      </w:r>
      <w:r w:rsidRPr="003F5882">
        <w:rPr>
          <w:rFonts w:ascii="Arial" w:hAnsi="Arial" w:cs="Times New Roman"/>
          <w:sz w:val="21"/>
        </w:rPr>
        <w:t>26</w:t>
      </w:r>
      <w:r w:rsidRPr="003F5882">
        <w:rPr>
          <w:rFonts w:ascii="Arial" w:hAnsi="Arial" w:cs="Times New Roman"/>
          <w:sz w:val="21"/>
        </w:rPr>
        <w:t>条所要求的短缺支付问题。此外，截至估值日止，资产的市场价值亦超过了所有累计负债的价值。在本报告发布时，大会并未援引第</w:t>
      </w:r>
      <w:r w:rsidRPr="003F5882">
        <w:rPr>
          <w:rFonts w:ascii="Arial" w:hAnsi="Arial" w:cs="Times New Roman"/>
          <w:sz w:val="21"/>
        </w:rPr>
        <w:t>26</w:t>
      </w:r>
      <w:r w:rsidRPr="003F5882">
        <w:rPr>
          <w:rFonts w:ascii="Arial" w:hAnsi="Arial" w:cs="Times New Roman"/>
          <w:sz w:val="21"/>
        </w:rPr>
        <w:t>条的条款。</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2012</w:t>
      </w:r>
      <w:r w:rsidRPr="003F5882">
        <w:rPr>
          <w:rFonts w:ascii="Arial" w:hAnsi="Arial" w:cs="Times New Roman"/>
          <w:sz w:val="21"/>
        </w:rPr>
        <w:t>年</w:t>
      </w:r>
      <w:r w:rsidRPr="003F5882">
        <w:rPr>
          <w:rFonts w:ascii="Arial" w:hAnsi="Arial" w:cs="Times New Roman"/>
          <w:sz w:val="21"/>
        </w:rPr>
        <w:t>12</w:t>
      </w:r>
      <w:r w:rsidRPr="003F5882">
        <w:rPr>
          <w:rFonts w:ascii="Arial" w:hAnsi="Arial" w:cs="Times New Roman"/>
          <w:sz w:val="21"/>
        </w:rPr>
        <w:t>月和</w:t>
      </w:r>
      <w:r w:rsidRPr="003F5882">
        <w:rPr>
          <w:rFonts w:ascii="Arial" w:hAnsi="Arial" w:cs="Times New Roman"/>
          <w:sz w:val="21"/>
        </w:rPr>
        <w:t>2013</w:t>
      </w:r>
      <w:r w:rsidRPr="003F5882">
        <w:rPr>
          <w:rFonts w:ascii="Arial" w:hAnsi="Arial" w:cs="Times New Roman"/>
          <w:sz w:val="21"/>
        </w:rPr>
        <w:t>年</w:t>
      </w:r>
      <w:r w:rsidRPr="003F5882">
        <w:rPr>
          <w:rFonts w:ascii="Arial" w:hAnsi="Arial" w:cs="Times New Roman"/>
          <w:sz w:val="21"/>
        </w:rPr>
        <w:t>4</w:t>
      </w:r>
      <w:r w:rsidRPr="003F5882">
        <w:rPr>
          <w:rFonts w:ascii="Arial" w:hAnsi="Arial" w:cs="Times New Roman"/>
          <w:sz w:val="21"/>
        </w:rPr>
        <w:t>月，大会授权将基金新参加者的正常退休年龄和强制离职年龄分别提高至</w:t>
      </w:r>
      <w:r w:rsidRPr="003F5882">
        <w:rPr>
          <w:rFonts w:ascii="Arial" w:hAnsi="Arial" w:cs="Times New Roman"/>
          <w:sz w:val="21"/>
        </w:rPr>
        <w:t>65</w:t>
      </w:r>
      <w:r w:rsidRPr="003F5882">
        <w:rPr>
          <w:rFonts w:ascii="Arial" w:hAnsi="Arial" w:cs="Times New Roman"/>
          <w:sz w:val="21"/>
        </w:rPr>
        <w:t>岁，最迟于</w:t>
      </w:r>
      <w:r w:rsidRPr="003F5882">
        <w:rPr>
          <w:rFonts w:ascii="Arial" w:hAnsi="Arial" w:cs="Times New Roman"/>
          <w:sz w:val="21"/>
        </w:rPr>
        <w:t>2014</w:t>
      </w:r>
      <w:r w:rsidRPr="003F5882">
        <w:rPr>
          <w:rFonts w:ascii="Arial" w:hAnsi="Arial" w:cs="Times New Roman"/>
          <w:sz w:val="21"/>
        </w:rPr>
        <w:t>年</w:t>
      </w:r>
      <w:r w:rsidRPr="003F5882">
        <w:rPr>
          <w:rFonts w:ascii="Arial" w:hAnsi="Arial" w:cs="Times New Roman"/>
          <w:sz w:val="21"/>
        </w:rPr>
        <w:t>1</w:t>
      </w:r>
      <w:r w:rsidRPr="003F5882">
        <w:rPr>
          <w:rFonts w:ascii="Arial" w:hAnsi="Arial" w:cs="Times New Roman"/>
          <w:sz w:val="21"/>
        </w:rPr>
        <w:t>月</w:t>
      </w:r>
      <w:r w:rsidRPr="003F5882">
        <w:rPr>
          <w:rFonts w:ascii="Arial" w:hAnsi="Arial" w:cs="Times New Roman"/>
          <w:sz w:val="21"/>
        </w:rPr>
        <w:t>1</w:t>
      </w:r>
      <w:r w:rsidRPr="003F5882">
        <w:rPr>
          <w:rFonts w:ascii="Arial" w:hAnsi="Arial" w:cs="Times New Roman"/>
          <w:sz w:val="21"/>
        </w:rPr>
        <w:t>日开始实行。大会于</w:t>
      </w:r>
      <w:r w:rsidRPr="003F5882">
        <w:rPr>
          <w:rFonts w:ascii="Arial" w:hAnsi="Arial" w:cs="Times New Roman"/>
          <w:sz w:val="21"/>
        </w:rPr>
        <w:t>2013</w:t>
      </w:r>
      <w:r w:rsidRPr="003F5882">
        <w:rPr>
          <w:rFonts w:ascii="Arial" w:hAnsi="Arial" w:cs="Times New Roman"/>
          <w:sz w:val="21"/>
        </w:rPr>
        <w:t>年</w:t>
      </w:r>
      <w:r w:rsidRPr="003F5882">
        <w:rPr>
          <w:rFonts w:ascii="Arial" w:hAnsi="Arial" w:cs="Times New Roman"/>
          <w:sz w:val="21"/>
        </w:rPr>
        <w:t>12</w:t>
      </w:r>
      <w:r w:rsidRPr="003F5882">
        <w:rPr>
          <w:rFonts w:ascii="Arial" w:hAnsi="Arial" w:cs="Times New Roman"/>
          <w:sz w:val="21"/>
        </w:rPr>
        <w:t>月核准了《养恤基金条例》的相关变化。从</w:t>
      </w:r>
      <w:r w:rsidRPr="003F5882">
        <w:rPr>
          <w:rFonts w:ascii="Arial" w:hAnsi="Arial" w:cs="Times New Roman"/>
          <w:sz w:val="21"/>
        </w:rPr>
        <w:t>2013</w:t>
      </w:r>
      <w:r w:rsidRPr="003F5882">
        <w:rPr>
          <w:rFonts w:ascii="Arial" w:hAnsi="Arial" w:cs="Times New Roman"/>
          <w:sz w:val="21"/>
        </w:rPr>
        <w:t>年</w:t>
      </w:r>
      <w:r w:rsidRPr="003F5882">
        <w:rPr>
          <w:rFonts w:ascii="Arial" w:hAnsi="Arial" w:cs="Times New Roman"/>
          <w:sz w:val="21"/>
        </w:rPr>
        <w:t>12</w:t>
      </w:r>
      <w:r w:rsidRPr="003F5882">
        <w:rPr>
          <w:rFonts w:ascii="Arial" w:hAnsi="Arial" w:cs="Times New Roman"/>
          <w:sz w:val="21"/>
        </w:rPr>
        <w:t>月</w:t>
      </w:r>
      <w:r w:rsidRPr="003F5882">
        <w:rPr>
          <w:rFonts w:ascii="Arial" w:hAnsi="Arial" w:cs="Times New Roman"/>
          <w:sz w:val="21"/>
        </w:rPr>
        <w:t>31</w:t>
      </w:r>
      <w:r w:rsidRPr="003F5882">
        <w:rPr>
          <w:rFonts w:ascii="Arial" w:hAnsi="Arial" w:cs="Times New Roman"/>
          <w:sz w:val="21"/>
        </w:rPr>
        <w:t>日起，提高正常的退休年龄将反映在基金的精算估值中。</w:t>
      </w:r>
    </w:p>
    <w:p w:rsidR="007D62CB" w:rsidRDefault="006C0099" w:rsidP="007D62CB">
      <w:pPr>
        <w:pStyle w:val="Style3"/>
        <w:spacing w:afterLines="50" w:line="340" w:lineRule="atLeast"/>
        <w:rPr>
          <w:rFonts w:ascii="Arial" w:hAnsi="Arial" w:cs="Times New Roman"/>
          <w:sz w:val="21"/>
          <w:szCs w:val="22"/>
        </w:rPr>
      </w:pPr>
      <w:r w:rsidRPr="003F5882">
        <w:rPr>
          <w:rFonts w:ascii="Arial" w:hAnsi="Arial" w:cs="Times New Roman"/>
          <w:sz w:val="21"/>
        </w:rPr>
        <w:t>2014</w:t>
      </w:r>
      <w:r w:rsidRPr="003F5882">
        <w:rPr>
          <w:rFonts w:ascii="Arial" w:hAnsi="Arial" w:cs="Times New Roman"/>
          <w:sz w:val="21"/>
        </w:rPr>
        <w:t>年，</w:t>
      </w:r>
      <w:r w:rsidRPr="003F5882">
        <w:rPr>
          <w:rFonts w:ascii="Arial" w:hAnsi="Arial" w:cs="Times New Roman"/>
          <w:sz w:val="21"/>
        </w:rPr>
        <w:t>WIPO</w:t>
      </w:r>
      <w:r w:rsidRPr="003F5882">
        <w:rPr>
          <w:rFonts w:ascii="Arial" w:hAnsi="Arial" w:cs="Times New Roman"/>
          <w:sz w:val="21"/>
        </w:rPr>
        <w:t>对</w:t>
      </w:r>
      <w:r w:rsidRPr="003F5882">
        <w:rPr>
          <w:rFonts w:ascii="Arial" w:hAnsi="Arial" w:cs="Times New Roman"/>
          <w:sz w:val="21"/>
        </w:rPr>
        <w:t>UNJSPF</w:t>
      </w:r>
      <w:r w:rsidRPr="003F5882">
        <w:rPr>
          <w:rFonts w:ascii="Arial" w:hAnsi="Arial" w:cs="Times New Roman"/>
          <w:sz w:val="21"/>
        </w:rPr>
        <w:t>缴纳的退休计划缴费总额为</w:t>
      </w:r>
      <w:r w:rsidRPr="003F5882">
        <w:rPr>
          <w:rFonts w:ascii="Arial" w:hAnsi="Arial" w:cs="Times New Roman"/>
          <w:sz w:val="21"/>
        </w:rPr>
        <w:t>2,600</w:t>
      </w:r>
      <w:proofErr w:type="gramStart"/>
      <w:r w:rsidRPr="003F5882">
        <w:rPr>
          <w:rFonts w:ascii="Arial" w:hAnsi="Arial" w:cs="Times New Roman"/>
          <w:sz w:val="21"/>
        </w:rPr>
        <w:t>万瑞</w:t>
      </w:r>
      <w:proofErr w:type="gramEnd"/>
      <w:r w:rsidRPr="003F5882">
        <w:rPr>
          <w:rFonts w:ascii="Arial" w:hAnsi="Arial" w:cs="Times New Roman"/>
          <w:sz w:val="21"/>
        </w:rPr>
        <w:t>郎［</w:t>
      </w:r>
      <w:r w:rsidRPr="003F5882">
        <w:rPr>
          <w:rFonts w:ascii="Arial" w:hAnsi="Arial" w:cs="Times New Roman"/>
          <w:sz w:val="21"/>
        </w:rPr>
        <w:t>2013</w:t>
      </w:r>
      <w:r w:rsidRPr="003F5882">
        <w:rPr>
          <w:rFonts w:ascii="Arial" w:hAnsi="Arial" w:cs="Times New Roman"/>
          <w:sz w:val="21"/>
        </w:rPr>
        <w:t>年为</w:t>
      </w:r>
      <w:r w:rsidRPr="003F5882">
        <w:rPr>
          <w:rFonts w:ascii="Arial" w:hAnsi="Arial" w:cs="Times New Roman"/>
          <w:sz w:val="21"/>
        </w:rPr>
        <w:t>2,610</w:t>
      </w:r>
      <w:proofErr w:type="gramStart"/>
      <w:r w:rsidRPr="003F5882">
        <w:rPr>
          <w:rFonts w:ascii="Arial" w:hAnsi="Arial" w:cs="Times New Roman"/>
          <w:sz w:val="21"/>
        </w:rPr>
        <w:t>万瑞</w:t>
      </w:r>
      <w:proofErr w:type="gramEnd"/>
      <w:r w:rsidRPr="003F5882">
        <w:rPr>
          <w:rFonts w:ascii="Arial" w:hAnsi="Arial" w:cs="Times New Roman"/>
          <w:sz w:val="21"/>
        </w:rPr>
        <w:t>郎］。预期</w:t>
      </w:r>
      <w:r w:rsidRPr="003F5882">
        <w:rPr>
          <w:rFonts w:ascii="Arial" w:hAnsi="Arial" w:cs="Times New Roman"/>
          <w:sz w:val="21"/>
        </w:rPr>
        <w:t>2015</w:t>
      </w:r>
      <w:r w:rsidRPr="003F5882">
        <w:rPr>
          <w:rFonts w:ascii="Arial" w:hAnsi="Arial" w:cs="Times New Roman"/>
          <w:sz w:val="21"/>
        </w:rPr>
        <w:t>年到期的缴费额为</w:t>
      </w:r>
      <w:r w:rsidRPr="003F5882">
        <w:rPr>
          <w:rFonts w:ascii="Arial" w:hAnsi="Arial" w:cs="Times New Roman"/>
          <w:sz w:val="21"/>
        </w:rPr>
        <w:t>2,660</w:t>
      </w:r>
      <w:r w:rsidRPr="003F5882">
        <w:rPr>
          <w:rFonts w:ascii="Arial" w:hAnsi="Arial" w:cs="Times New Roman"/>
          <w:sz w:val="21"/>
        </w:rPr>
        <w:t>万瑞郎。联合国审计委员会每年对</w:t>
      </w:r>
      <w:r w:rsidRPr="003F5882">
        <w:rPr>
          <w:rFonts w:ascii="Arial" w:hAnsi="Arial" w:cs="Times New Roman"/>
          <w:sz w:val="21"/>
        </w:rPr>
        <w:t>UNJSPF</w:t>
      </w:r>
      <w:r w:rsidRPr="003F5882">
        <w:rPr>
          <w:rFonts w:ascii="Arial" w:hAnsi="Arial" w:cs="Times New Roman"/>
          <w:sz w:val="21"/>
        </w:rPr>
        <w:t>进行一次审</w:t>
      </w:r>
      <w:r w:rsidR="0062686F" w:rsidRPr="003F5882">
        <w:rPr>
          <w:rFonts w:ascii="Arial" w:hAnsi="Arial" w:cs="Times New Roman" w:hint="eastAsia"/>
          <w:sz w:val="21"/>
        </w:rPr>
        <w:t>计</w:t>
      </w:r>
      <w:r w:rsidRPr="003F5882">
        <w:rPr>
          <w:rFonts w:ascii="Arial" w:hAnsi="Arial" w:cs="Times New Roman"/>
          <w:sz w:val="21"/>
        </w:rPr>
        <w:t>，并就审计情况每年向</w:t>
      </w:r>
      <w:r w:rsidRPr="003F5882">
        <w:rPr>
          <w:rFonts w:ascii="Arial" w:hAnsi="Arial" w:cs="Times New Roman"/>
          <w:sz w:val="21"/>
        </w:rPr>
        <w:t>UNJSPF</w:t>
      </w:r>
      <w:r w:rsidRPr="003F5882">
        <w:rPr>
          <w:rFonts w:ascii="Arial" w:hAnsi="Arial" w:cs="Times New Roman"/>
          <w:sz w:val="21"/>
        </w:rPr>
        <w:t>养恤金委员会做出报告。</w:t>
      </w:r>
      <w:r w:rsidRPr="003F5882">
        <w:rPr>
          <w:rFonts w:ascii="Arial" w:hAnsi="Arial" w:cs="Times New Roman"/>
          <w:sz w:val="21"/>
        </w:rPr>
        <w:t>UNJSPF</w:t>
      </w:r>
      <w:r w:rsidRPr="003F5882">
        <w:rPr>
          <w:rFonts w:ascii="Arial" w:hAnsi="Arial" w:cs="Times New Roman"/>
          <w:sz w:val="21"/>
        </w:rPr>
        <w:t>每季度发表投资报告。有关这些报告的详情，可访问</w:t>
      </w:r>
      <w:r w:rsidRPr="003F5882">
        <w:rPr>
          <w:rFonts w:ascii="Arial" w:hAnsi="Arial" w:cs="Times New Roman"/>
          <w:sz w:val="21"/>
        </w:rPr>
        <w:t>UNJSPF</w:t>
      </w:r>
      <w:r w:rsidRPr="003F5882">
        <w:rPr>
          <w:rFonts w:ascii="Arial" w:hAnsi="Arial" w:cs="Times New Roman"/>
          <w:sz w:val="21"/>
        </w:rPr>
        <w:t>网站：</w:t>
      </w:r>
      <w:hyperlink r:id="rId87">
        <w:r w:rsidRPr="003F5882">
          <w:rPr>
            <w:rStyle w:val="ac"/>
            <w:rFonts w:ascii="Arial" w:hAnsi="Arial" w:cs="Times New Roman"/>
            <w:sz w:val="21"/>
          </w:rPr>
          <w:t>www.unjspf.org</w:t>
        </w:r>
      </w:hyperlink>
      <w:r w:rsidR="0062686F" w:rsidRPr="003F5882">
        <w:rPr>
          <w:rFonts w:ascii="Arial" w:hAnsi="Arial" w:cs="Times New Roman" w:hint="eastAsia"/>
          <w:sz w:val="21"/>
        </w:rPr>
        <w:t>。</w:t>
      </w:r>
    </w:p>
    <w:p w:rsidR="007D62CB" w:rsidRDefault="006C0099" w:rsidP="007D62CB">
      <w:pPr>
        <w:pStyle w:val="STYLETITRENOTES"/>
        <w:keepNext/>
        <w:overflowPunct w:val="0"/>
        <w:spacing w:beforeLines="100" w:before="240" w:afterLines="100" w:after="240" w:line="340" w:lineRule="atLeast"/>
        <w:rPr>
          <w:rFonts w:ascii="Arial" w:eastAsia="SimHei" w:hAnsi="Arial" w:cs="Times New Roman"/>
          <w:b w:val="0"/>
          <w:sz w:val="21"/>
          <w:szCs w:val="22"/>
        </w:rPr>
      </w:pPr>
      <w:r w:rsidRPr="00F453AC">
        <w:rPr>
          <w:rFonts w:ascii="Arial" w:eastAsia="SimHei" w:hAnsi="Arial" w:cs="Times New Roman"/>
          <w:b w:val="0"/>
          <w:sz w:val="21"/>
        </w:rPr>
        <w:lastRenderedPageBreak/>
        <w:t>附注</w:t>
      </w:r>
      <w:r w:rsidRPr="00F453AC">
        <w:rPr>
          <w:rFonts w:ascii="Arial" w:eastAsia="SimHei" w:hAnsi="Arial" w:cs="Times New Roman"/>
          <w:b w:val="0"/>
          <w:sz w:val="21"/>
        </w:rPr>
        <w:t>13</w:t>
      </w:r>
      <w:r w:rsidRPr="00F453AC">
        <w:rPr>
          <w:rFonts w:ascii="Arial" w:eastAsia="SimHei" w:hAnsi="Arial" w:cs="Times New Roman"/>
          <w:b w:val="0"/>
          <w:sz w:val="21"/>
        </w:rPr>
        <w:t>：</w:t>
      </w:r>
      <w:r w:rsidRPr="00F453AC">
        <w:rPr>
          <w:rFonts w:ascii="Arial" w:eastAsia="SimHei" w:hAnsi="Arial" w:cs="Times New Roman"/>
          <w:b w:val="0"/>
          <w:sz w:val="21"/>
        </w:rPr>
        <w:tab/>
      </w:r>
      <w:r w:rsidRPr="00F453AC">
        <w:rPr>
          <w:rFonts w:ascii="Arial" w:eastAsia="SimHei" w:hAnsi="Arial" w:cs="Times New Roman"/>
          <w:b w:val="0"/>
          <w:sz w:val="21"/>
        </w:rPr>
        <w:t>应付转</w:t>
      </w:r>
      <w:r w:rsidR="007B51AD" w:rsidRPr="00F453AC">
        <w:rPr>
          <w:rFonts w:ascii="Arial" w:eastAsia="SimHei" w:hAnsi="Arial" w:cs="Times New Roman"/>
          <w:b w:val="0"/>
          <w:sz w:val="21"/>
        </w:rPr>
        <w:t>账</w:t>
      </w:r>
      <w:r w:rsidRPr="00F453AC">
        <w:rPr>
          <w:rFonts w:ascii="Arial" w:eastAsia="SimHei" w:hAnsi="Arial" w:cs="Times New Roman"/>
          <w:b w:val="0"/>
          <w:sz w:val="21"/>
        </w:rPr>
        <w:t>款</w:t>
      </w:r>
    </w:p>
    <w:p w:rsidR="006C0099" w:rsidRPr="003F5882" w:rsidRDefault="006F16A3" w:rsidP="006F16A3">
      <w:pPr>
        <w:spacing w:afterLines="50" w:after="120"/>
        <w:jc w:val="center"/>
        <w:rPr>
          <w:rFonts w:ascii="Arial" w:hAnsi="Arial" w:cs="Times New Roman"/>
          <w:sz w:val="21"/>
          <w:szCs w:val="22"/>
        </w:rPr>
      </w:pPr>
      <w:r w:rsidRPr="006F16A3">
        <w:rPr>
          <w:noProof/>
          <w:lang w:val="en-US" w:bidi="ar-SA"/>
        </w:rPr>
        <w:drawing>
          <wp:inline distT="0" distB="0" distL="0" distR="0">
            <wp:extent cx="5736590" cy="2717165"/>
            <wp:effectExtent l="0" t="0" r="0" b="0"/>
            <wp:docPr id="159"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5736590" cy="2717165"/>
                    </a:xfrm>
                    <a:prstGeom prst="rect">
                      <a:avLst/>
                    </a:prstGeom>
                    <a:noFill/>
                    <a:ln>
                      <a:noFill/>
                    </a:ln>
                  </pic:spPr>
                </pic:pic>
              </a:graphicData>
            </a:graphic>
          </wp:inline>
        </w:drawing>
      </w:r>
    </w:p>
    <w:p w:rsidR="007D62CB" w:rsidRDefault="006C0099" w:rsidP="003374D7">
      <w:pPr>
        <w:pStyle w:val="Style3"/>
        <w:spacing w:afterLines="50" w:line="340" w:lineRule="atLeast"/>
        <w:rPr>
          <w:rFonts w:ascii="Arial" w:hAnsi="Arial" w:cs="Times New Roman"/>
          <w:sz w:val="21"/>
        </w:rPr>
      </w:pPr>
      <w:r w:rsidRPr="003F5882">
        <w:rPr>
          <w:rFonts w:ascii="Arial" w:hAnsi="Arial" w:cs="Times New Roman"/>
          <w:sz w:val="21"/>
        </w:rPr>
        <w:t>本组织代表《马德里协定》和《议定书》以及《海牙协定共同实施细则》的缔约方收费。本组织的</w:t>
      </w:r>
      <w:r w:rsidRPr="003F5882">
        <w:rPr>
          <w:rFonts w:ascii="Arial" w:hAnsi="Arial" w:cs="Times New Roman"/>
          <w:sz w:val="21"/>
        </w:rPr>
        <w:t>PCT</w:t>
      </w:r>
      <w:r w:rsidRPr="003F5882">
        <w:rPr>
          <w:rFonts w:ascii="Arial" w:hAnsi="Arial" w:cs="Times New Roman"/>
          <w:sz w:val="21"/>
        </w:rPr>
        <w:t>国际局向申请人收取资金，用以抵偿向国际检索单位支付的费用。此外，本组织收取在通过仲裁与调解中心处理的案件中直接支付给调解人、仲裁人或专</w:t>
      </w:r>
      <w:r w:rsidR="00867E7C" w:rsidRPr="003F5882">
        <w:rPr>
          <w:rFonts w:ascii="Arial" w:hAnsi="Arial" w:cs="Times New Roman" w:hint="eastAsia"/>
          <w:sz w:val="21"/>
        </w:rPr>
        <w:t>家</w:t>
      </w:r>
      <w:r w:rsidRPr="003F5882">
        <w:rPr>
          <w:rFonts w:ascii="Arial" w:hAnsi="Arial" w:cs="Times New Roman"/>
          <w:sz w:val="21"/>
        </w:rPr>
        <w:t>组成员的费用。本组织在根据本组织管辖的各项条约和协定向最终受益人移交之前暂时持有这些资金。以下是本组织在本两年期的收费总额和对各项收费的说明：</w:t>
      </w:r>
    </w:p>
    <w:p w:rsidR="007D62CB" w:rsidRDefault="006C0099" w:rsidP="003374D7">
      <w:pPr>
        <w:pStyle w:val="Style3"/>
        <w:numPr>
          <w:ilvl w:val="0"/>
          <w:numId w:val="12"/>
        </w:numPr>
        <w:spacing w:afterLines="50" w:line="340" w:lineRule="atLeast"/>
        <w:ind w:left="714" w:hanging="357"/>
        <w:rPr>
          <w:rFonts w:ascii="Arial" w:hAnsi="Arial" w:cs="Times New Roman"/>
          <w:sz w:val="21"/>
        </w:rPr>
      </w:pPr>
      <w:r w:rsidRPr="00DA4636">
        <w:rPr>
          <w:rFonts w:ascii="Arial" w:eastAsia="KaiTi" w:hAnsi="Arial" w:cs="Times New Roman"/>
          <w:i/>
          <w:sz w:val="21"/>
        </w:rPr>
        <w:t>马德里联盟补充费和附加费</w:t>
      </w:r>
      <w:r w:rsidRPr="003F5882">
        <w:rPr>
          <w:rFonts w:ascii="Arial" w:hAnsi="Arial" w:cs="Times New Roman"/>
          <w:sz w:val="21"/>
        </w:rPr>
        <w:t>：根据《马德里协定》</w:t>
      </w:r>
      <w:r w:rsidR="00F453AC" w:rsidRPr="003F5882">
        <w:rPr>
          <w:rFonts w:ascii="Arial" w:hAnsi="Arial" w:cs="Times New Roman"/>
          <w:sz w:val="21"/>
        </w:rPr>
        <w:t>［</w:t>
      </w:r>
      <w:r w:rsidRPr="003F5882">
        <w:rPr>
          <w:rFonts w:ascii="Arial" w:hAnsi="Arial" w:cs="Times New Roman"/>
          <w:sz w:val="21"/>
        </w:rPr>
        <w:t>第</w:t>
      </w:r>
      <w:r w:rsidRPr="003F5882">
        <w:rPr>
          <w:rFonts w:ascii="Arial" w:hAnsi="Arial" w:cs="Times New Roman"/>
          <w:sz w:val="21"/>
        </w:rPr>
        <w:t>8</w:t>
      </w:r>
      <w:r w:rsidRPr="003F5882">
        <w:rPr>
          <w:rFonts w:ascii="Arial" w:hAnsi="Arial" w:cs="Times New Roman"/>
          <w:sz w:val="21"/>
        </w:rPr>
        <w:t>条第</w:t>
      </w:r>
      <w:r w:rsidRPr="003F5882">
        <w:rPr>
          <w:rFonts w:ascii="Arial" w:hAnsi="Arial" w:cs="Times New Roman"/>
          <w:sz w:val="21"/>
        </w:rPr>
        <w:t>(2)</w:t>
      </w:r>
      <w:r w:rsidRPr="003F5882">
        <w:rPr>
          <w:rFonts w:ascii="Arial" w:hAnsi="Arial" w:cs="Times New Roman"/>
          <w:sz w:val="21"/>
        </w:rPr>
        <w:t>款</w:t>
      </w:r>
      <w:r w:rsidRPr="003F5882">
        <w:rPr>
          <w:rFonts w:ascii="Arial" w:hAnsi="Arial" w:cs="Times New Roman"/>
          <w:sz w:val="21"/>
        </w:rPr>
        <w:t>(b)</w:t>
      </w:r>
      <w:r w:rsidRPr="003F5882">
        <w:rPr>
          <w:rFonts w:ascii="Arial" w:hAnsi="Arial" w:cs="Times New Roman"/>
          <w:sz w:val="21"/>
        </w:rPr>
        <w:t>项和</w:t>
      </w:r>
      <w:r w:rsidRPr="003F5882">
        <w:rPr>
          <w:rFonts w:ascii="Arial" w:hAnsi="Arial" w:cs="Times New Roman"/>
          <w:sz w:val="21"/>
        </w:rPr>
        <w:t>(c)</w:t>
      </w:r>
      <w:r w:rsidRPr="003F5882">
        <w:rPr>
          <w:rFonts w:ascii="Arial" w:hAnsi="Arial" w:cs="Times New Roman"/>
          <w:sz w:val="21"/>
        </w:rPr>
        <w:t>项</w:t>
      </w:r>
      <w:r w:rsidR="00F453AC" w:rsidRPr="003F5882">
        <w:rPr>
          <w:rFonts w:ascii="Arial" w:hAnsi="Arial" w:cs="Times New Roman"/>
          <w:sz w:val="21"/>
        </w:rPr>
        <w:t>］</w:t>
      </w:r>
      <w:r w:rsidRPr="003F5882">
        <w:rPr>
          <w:rFonts w:ascii="Arial" w:hAnsi="Arial" w:cs="Times New Roman"/>
          <w:sz w:val="21"/>
        </w:rPr>
        <w:t>和《马德里议定书》</w:t>
      </w:r>
      <w:r w:rsidR="00F453AC" w:rsidRPr="003F5882">
        <w:rPr>
          <w:rFonts w:ascii="Arial" w:hAnsi="Arial" w:cs="Times New Roman"/>
          <w:sz w:val="21"/>
        </w:rPr>
        <w:t>［</w:t>
      </w:r>
      <w:r w:rsidRPr="003F5882">
        <w:rPr>
          <w:rFonts w:ascii="Arial" w:hAnsi="Arial" w:cs="Times New Roman"/>
          <w:sz w:val="21"/>
        </w:rPr>
        <w:t>第</w:t>
      </w:r>
      <w:r w:rsidRPr="003F5882">
        <w:rPr>
          <w:rFonts w:ascii="Arial" w:hAnsi="Arial" w:cs="Times New Roman"/>
          <w:sz w:val="21"/>
        </w:rPr>
        <w:t>8</w:t>
      </w:r>
      <w:r w:rsidRPr="003F5882">
        <w:rPr>
          <w:rFonts w:ascii="Arial" w:hAnsi="Arial" w:cs="Times New Roman"/>
          <w:sz w:val="21"/>
        </w:rPr>
        <w:t>条第</w:t>
      </w:r>
      <w:r w:rsidRPr="003F5882">
        <w:rPr>
          <w:rFonts w:ascii="Arial" w:hAnsi="Arial" w:cs="Times New Roman"/>
          <w:sz w:val="21"/>
        </w:rPr>
        <w:t>(2)</w:t>
      </w:r>
      <w:r w:rsidRPr="003F5882">
        <w:rPr>
          <w:rFonts w:ascii="Arial" w:hAnsi="Arial" w:cs="Times New Roman"/>
          <w:sz w:val="21"/>
        </w:rPr>
        <w:t>款第</w:t>
      </w:r>
      <w:r w:rsidRPr="003F5882">
        <w:rPr>
          <w:rFonts w:ascii="Arial" w:hAnsi="Arial" w:cs="Times New Roman"/>
          <w:sz w:val="21"/>
        </w:rPr>
        <w:t>(ii)</w:t>
      </w:r>
      <w:r w:rsidRPr="003F5882">
        <w:rPr>
          <w:rFonts w:ascii="Arial" w:hAnsi="Arial" w:cs="Times New Roman"/>
          <w:sz w:val="21"/>
        </w:rPr>
        <w:t>项和第</w:t>
      </w:r>
      <w:r w:rsidRPr="003F5882">
        <w:rPr>
          <w:rFonts w:ascii="Arial" w:hAnsi="Arial" w:cs="Times New Roman"/>
          <w:sz w:val="21"/>
        </w:rPr>
        <w:t>(iii)</w:t>
      </w:r>
      <w:r w:rsidRPr="003F5882">
        <w:rPr>
          <w:rFonts w:ascii="Arial" w:hAnsi="Arial" w:cs="Times New Roman"/>
          <w:sz w:val="21"/>
        </w:rPr>
        <w:t>项</w:t>
      </w:r>
      <w:r w:rsidR="00F453AC" w:rsidRPr="003F5882">
        <w:rPr>
          <w:rFonts w:ascii="Arial" w:hAnsi="Arial" w:cs="Times New Roman"/>
          <w:sz w:val="21"/>
        </w:rPr>
        <w:t>］</w:t>
      </w:r>
      <w:r w:rsidRPr="003F5882">
        <w:rPr>
          <w:rFonts w:ascii="Arial" w:hAnsi="Arial" w:cs="Times New Roman"/>
          <w:sz w:val="21"/>
        </w:rPr>
        <w:t>，本组织代表缔约方收取补充费和附加费，每份申请或续展为</w:t>
      </w:r>
      <w:r w:rsidRPr="003F5882">
        <w:rPr>
          <w:rFonts w:ascii="Arial" w:hAnsi="Arial" w:cs="Times New Roman"/>
          <w:sz w:val="21"/>
        </w:rPr>
        <w:t>100</w:t>
      </w:r>
      <w:r w:rsidRPr="003F5882">
        <w:rPr>
          <w:rFonts w:ascii="Arial" w:hAnsi="Arial" w:cs="Times New Roman"/>
          <w:sz w:val="21"/>
        </w:rPr>
        <w:t>瑞郎。应付给每一缔约方的金额根据该方提供的服务</w:t>
      </w:r>
      <w:r w:rsidR="00F453AC" w:rsidRPr="003F5882">
        <w:rPr>
          <w:rFonts w:ascii="Arial" w:hAnsi="Arial" w:cs="Times New Roman" w:hint="eastAsia"/>
          <w:sz w:val="21"/>
        </w:rPr>
        <w:t>（</w:t>
      </w:r>
      <w:r w:rsidRPr="003F5882">
        <w:rPr>
          <w:rFonts w:ascii="Arial" w:hAnsi="Arial" w:cs="Times New Roman"/>
          <w:sz w:val="21"/>
        </w:rPr>
        <w:t>执行审查</w:t>
      </w:r>
      <w:r w:rsidR="00F453AC" w:rsidRPr="003F5882">
        <w:rPr>
          <w:rFonts w:ascii="Arial" w:hAnsi="Arial" w:cs="Times New Roman" w:hint="eastAsia"/>
          <w:sz w:val="21"/>
        </w:rPr>
        <w:t>）</w:t>
      </w:r>
      <w:r w:rsidRPr="003F5882">
        <w:rPr>
          <w:rFonts w:ascii="Arial" w:hAnsi="Arial" w:cs="Times New Roman"/>
          <w:sz w:val="21"/>
        </w:rPr>
        <w:t>不等。资金每年于报告日之后在上半年转账。</w:t>
      </w:r>
    </w:p>
    <w:p w:rsidR="007D62CB" w:rsidRDefault="006C0099" w:rsidP="003374D7">
      <w:pPr>
        <w:pStyle w:val="Style3"/>
        <w:numPr>
          <w:ilvl w:val="0"/>
          <w:numId w:val="12"/>
        </w:numPr>
        <w:spacing w:afterLines="50" w:line="340" w:lineRule="atLeast"/>
        <w:ind w:left="714" w:hanging="357"/>
        <w:rPr>
          <w:rFonts w:ascii="Arial" w:hAnsi="Arial" w:cs="Times New Roman"/>
          <w:sz w:val="21"/>
        </w:rPr>
      </w:pPr>
      <w:r w:rsidRPr="00DA4636">
        <w:rPr>
          <w:rFonts w:ascii="Arial" w:eastAsia="KaiTi" w:hAnsi="Arial" w:cs="Times New Roman"/>
          <w:i/>
          <w:sz w:val="21"/>
        </w:rPr>
        <w:t>马德里联盟单独</w:t>
      </w:r>
      <w:proofErr w:type="gramStart"/>
      <w:r w:rsidRPr="00DA4636">
        <w:rPr>
          <w:rFonts w:ascii="Arial" w:eastAsia="KaiTi" w:hAnsi="Arial" w:cs="Times New Roman"/>
          <w:i/>
          <w:sz w:val="21"/>
        </w:rPr>
        <w:t>规</w:t>
      </w:r>
      <w:proofErr w:type="gramEnd"/>
      <w:r w:rsidRPr="00DA4636">
        <w:rPr>
          <w:rFonts w:ascii="Arial" w:eastAsia="KaiTi" w:hAnsi="Arial" w:cs="Times New Roman"/>
          <w:i/>
          <w:sz w:val="21"/>
        </w:rPr>
        <w:t>费</w:t>
      </w:r>
      <w:r w:rsidRPr="003F5882">
        <w:rPr>
          <w:rFonts w:ascii="Arial" w:hAnsi="Arial" w:cs="Times New Roman"/>
          <w:sz w:val="21"/>
        </w:rPr>
        <w:t>：根据《马德里议定书》第</w:t>
      </w:r>
      <w:r w:rsidRPr="003F5882">
        <w:rPr>
          <w:rFonts w:ascii="Arial" w:hAnsi="Arial" w:cs="Times New Roman"/>
          <w:sz w:val="21"/>
        </w:rPr>
        <w:t>8</w:t>
      </w:r>
      <w:r w:rsidRPr="003F5882">
        <w:rPr>
          <w:rFonts w:ascii="Arial" w:hAnsi="Arial" w:cs="Times New Roman"/>
          <w:sz w:val="21"/>
        </w:rPr>
        <w:t>条第</w:t>
      </w:r>
      <w:r w:rsidRPr="003F5882">
        <w:rPr>
          <w:rFonts w:ascii="Arial" w:hAnsi="Arial" w:cs="Times New Roman"/>
          <w:sz w:val="21"/>
        </w:rPr>
        <w:t>(7)</w:t>
      </w:r>
      <w:r w:rsidRPr="003F5882">
        <w:rPr>
          <w:rFonts w:ascii="Arial" w:hAnsi="Arial" w:cs="Times New Roman"/>
          <w:sz w:val="21"/>
        </w:rPr>
        <w:t>款及《共同实施细则》第</w:t>
      </w:r>
      <w:r w:rsidRPr="003F5882">
        <w:rPr>
          <w:rFonts w:ascii="Arial" w:hAnsi="Arial" w:cs="Times New Roman"/>
          <w:sz w:val="21"/>
        </w:rPr>
        <w:t>38</w:t>
      </w:r>
      <w:r w:rsidRPr="003F5882">
        <w:rPr>
          <w:rFonts w:ascii="Arial" w:hAnsi="Arial" w:cs="Times New Roman"/>
          <w:sz w:val="21"/>
        </w:rPr>
        <w:t>条，缔约方可规定费用，由本组织收取，在登记费用所涉的注册或续展指定后一个月内向缔约方转付。选择规定单独规费的缔约方不能收取上述补充费和附加费。列出的应付额为报告期期末待转账的</w:t>
      </w:r>
      <w:proofErr w:type="gramStart"/>
      <w:r w:rsidRPr="003F5882">
        <w:rPr>
          <w:rFonts w:ascii="Arial" w:hAnsi="Arial" w:cs="Times New Roman"/>
          <w:sz w:val="21"/>
        </w:rPr>
        <w:t>规</w:t>
      </w:r>
      <w:proofErr w:type="gramEnd"/>
      <w:r w:rsidRPr="003F5882">
        <w:rPr>
          <w:rFonts w:ascii="Arial" w:hAnsi="Arial" w:cs="Times New Roman"/>
          <w:sz w:val="21"/>
        </w:rPr>
        <w:t>费。</w:t>
      </w:r>
    </w:p>
    <w:p w:rsidR="007D62CB" w:rsidRDefault="006C0099" w:rsidP="003374D7">
      <w:pPr>
        <w:pStyle w:val="Style3"/>
        <w:numPr>
          <w:ilvl w:val="0"/>
          <w:numId w:val="12"/>
        </w:numPr>
        <w:spacing w:afterLines="50" w:line="340" w:lineRule="atLeast"/>
        <w:ind w:left="714" w:hanging="357"/>
        <w:rPr>
          <w:rFonts w:ascii="Arial" w:hAnsi="Arial" w:cs="Times New Roman"/>
          <w:sz w:val="21"/>
        </w:rPr>
      </w:pPr>
      <w:r w:rsidRPr="00DA4636">
        <w:rPr>
          <w:rFonts w:ascii="Arial" w:eastAsia="KaiTi" w:hAnsi="Arial" w:cs="Times New Roman"/>
          <w:i/>
          <w:sz w:val="21"/>
        </w:rPr>
        <w:t>马德里联盟预缴款</w:t>
      </w:r>
      <w:r w:rsidRPr="003F5882">
        <w:rPr>
          <w:rFonts w:ascii="Arial" w:hAnsi="Arial" w:cs="Times New Roman"/>
          <w:sz w:val="21"/>
        </w:rPr>
        <w:t>：本组织从马德里体系申请人处收到支付的款项，按照与商标相关的未决程序，这些款项被视为预缴款。在这些预缴款中，有一部分是</w:t>
      </w:r>
      <w:r w:rsidRPr="003F5882">
        <w:rPr>
          <w:rFonts w:ascii="Arial" w:hAnsi="Arial" w:cs="Times New Roman"/>
          <w:sz w:val="21"/>
        </w:rPr>
        <w:t>WIPO</w:t>
      </w:r>
      <w:r w:rsidRPr="003F5882">
        <w:rPr>
          <w:rFonts w:ascii="Arial" w:hAnsi="Arial" w:cs="Times New Roman"/>
          <w:sz w:val="21"/>
        </w:rPr>
        <w:t>代第三方收取的资金，随后要按照条约转账。财务报表的应付转账款包含了这部分预交款的概算。预缴款中由本组织预先收取的费用概算包含在财务报表的预售款中</w:t>
      </w:r>
      <w:r w:rsidR="00F453AC" w:rsidRPr="003F5882">
        <w:rPr>
          <w:rFonts w:ascii="Arial" w:hAnsi="Arial" w:cs="Times New Roman" w:hint="eastAsia"/>
          <w:sz w:val="21"/>
        </w:rPr>
        <w:t>（</w:t>
      </w:r>
      <w:r w:rsidRPr="003F5882">
        <w:rPr>
          <w:rFonts w:ascii="Arial" w:hAnsi="Arial" w:cs="Times New Roman"/>
          <w:sz w:val="21"/>
        </w:rPr>
        <w:t>见附注</w:t>
      </w:r>
      <w:r w:rsidRPr="003F5882">
        <w:rPr>
          <w:rFonts w:ascii="Arial" w:hAnsi="Arial" w:cs="Times New Roman"/>
          <w:sz w:val="21"/>
        </w:rPr>
        <w:t>14</w:t>
      </w:r>
      <w:r w:rsidR="00F453AC" w:rsidRPr="003F5882">
        <w:rPr>
          <w:rFonts w:ascii="Arial" w:hAnsi="Arial" w:cs="Times New Roman" w:hint="eastAsia"/>
          <w:sz w:val="21"/>
        </w:rPr>
        <w:t>）</w:t>
      </w:r>
      <w:r w:rsidRPr="003F5882">
        <w:rPr>
          <w:rFonts w:ascii="Arial" w:hAnsi="Arial" w:cs="Times New Roman"/>
          <w:sz w:val="21"/>
        </w:rPr>
        <w:t>。</w:t>
      </w:r>
    </w:p>
    <w:p w:rsidR="007D62CB" w:rsidRDefault="006C0099" w:rsidP="003374D7">
      <w:pPr>
        <w:pStyle w:val="Style3"/>
        <w:numPr>
          <w:ilvl w:val="0"/>
          <w:numId w:val="12"/>
        </w:numPr>
        <w:spacing w:afterLines="50" w:line="340" w:lineRule="atLeast"/>
        <w:ind w:left="714" w:hanging="357"/>
        <w:rPr>
          <w:rFonts w:ascii="Arial" w:hAnsi="Arial" w:cs="Times New Roman"/>
          <w:sz w:val="21"/>
          <w:u w:val="single"/>
        </w:rPr>
      </w:pPr>
      <w:r w:rsidRPr="00DA4636">
        <w:rPr>
          <w:rFonts w:ascii="Arial" w:eastAsia="KaiTi" w:hAnsi="Arial" w:cs="Times New Roman"/>
          <w:i/>
          <w:sz w:val="21"/>
        </w:rPr>
        <w:t>海牙联盟分配</w:t>
      </w:r>
      <w:r w:rsidRPr="003F5882">
        <w:rPr>
          <w:rFonts w:ascii="Arial" w:hAnsi="Arial" w:cs="Times New Roman"/>
          <w:sz w:val="21"/>
        </w:rPr>
        <w:t>：根据《海牙协定共同实施细则》的细则</w:t>
      </w:r>
      <w:r w:rsidRPr="003F5882">
        <w:rPr>
          <w:rFonts w:ascii="Arial" w:hAnsi="Arial" w:cs="Times New Roman"/>
          <w:sz w:val="21"/>
        </w:rPr>
        <w:t>13.2</w:t>
      </w:r>
      <w:r w:rsidRPr="003F5882">
        <w:rPr>
          <w:rFonts w:ascii="Arial" w:hAnsi="Arial" w:cs="Times New Roman"/>
          <w:sz w:val="21"/>
        </w:rPr>
        <w:t>条</w:t>
      </w:r>
      <w:r w:rsidRPr="003F5882">
        <w:rPr>
          <w:rFonts w:ascii="Arial" w:hAnsi="Arial" w:cs="Times New Roman"/>
          <w:sz w:val="21"/>
        </w:rPr>
        <w:t>(a)</w:t>
      </w:r>
      <w:r w:rsidRPr="003F5882">
        <w:rPr>
          <w:rFonts w:ascii="Arial" w:hAnsi="Arial" w:cs="Times New Roman"/>
          <w:sz w:val="21"/>
        </w:rPr>
        <w:t>款</w:t>
      </w:r>
      <w:r w:rsidRPr="003F5882">
        <w:rPr>
          <w:rFonts w:ascii="Arial" w:hAnsi="Arial" w:cs="Times New Roman"/>
          <w:sz w:val="21"/>
        </w:rPr>
        <w:t>(iii)</w:t>
      </w:r>
      <w:r w:rsidRPr="003F5882">
        <w:rPr>
          <w:rFonts w:ascii="Arial" w:hAnsi="Arial" w:cs="Times New Roman"/>
          <w:sz w:val="21"/>
        </w:rPr>
        <w:t>项、细则</w:t>
      </w:r>
      <w:r w:rsidRPr="003F5882">
        <w:rPr>
          <w:rFonts w:ascii="Arial" w:hAnsi="Arial" w:cs="Times New Roman"/>
          <w:sz w:val="21"/>
        </w:rPr>
        <w:t>13.2</w:t>
      </w:r>
      <w:r w:rsidRPr="003F5882">
        <w:rPr>
          <w:rFonts w:ascii="Arial" w:hAnsi="Arial" w:cs="Times New Roman"/>
          <w:sz w:val="21"/>
        </w:rPr>
        <w:t>条</w:t>
      </w:r>
      <w:r w:rsidRPr="003F5882">
        <w:rPr>
          <w:rFonts w:ascii="Arial" w:hAnsi="Arial" w:cs="Times New Roman"/>
          <w:sz w:val="21"/>
        </w:rPr>
        <w:t>(e)</w:t>
      </w:r>
      <w:r w:rsidRPr="003F5882">
        <w:rPr>
          <w:rFonts w:ascii="Arial" w:hAnsi="Arial" w:cs="Times New Roman"/>
          <w:sz w:val="21"/>
        </w:rPr>
        <w:t>款和细则</w:t>
      </w:r>
      <w:r w:rsidRPr="003F5882">
        <w:rPr>
          <w:rFonts w:ascii="Arial" w:hAnsi="Arial" w:cs="Times New Roman"/>
          <w:sz w:val="21"/>
        </w:rPr>
        <w:t>24.2</w:t>
      </w:r>
      <w:r w:rsidRPr="003F5882">
        <w:rPr>
          <w:rFonts w:ascii="Arial" w:hAnsi="Arial" w:cs="Times New Roman"/>
          <w:sz w:val="21"/>
        </w:rPr>
        <w:t>条，本组织代表缔约方为国际注册或续展收取一般国家规费、国家续展费和新颖性审查费。这些资金每月向缔约方支付。列出的应付额为报告期期末待转账的数额。</w:t>
      </w:r>
    </w:p>
    <w:p w:rsidR="007D62CB" w:rsidRDefault="006C0099" w:rsidP="003374D7">
      <w:pPr>
        <w:pStyle w:val="Style3"/>
        <w:numPr>
          <w:ilvl w:val="0"/>
          <w:numId w:val="12"/>
        </w:numPr>
        <w:spacing w:afterLines="50" w:line="340" w:lineRule="atLeast"/>
        <w:ind w:left="714" w:hanging="357"/>
        <w:rPr>
          <w:rFonts w:ascii="Arial" w:hAnsi="Arial" w:cs="Times New Roman"/>
          <w:sz w:val="21"/>
        </w:rPr>
      </w:pPr>
      <w:r w:rsidRPr="00DA4636">
        <w:rPr>
          <w:rFonts w:ascii="Arial" w:eastAsia="KaiTi" w:hAnsi="Arial" w:cs="Times New Roman"/>
          <w:i/>
          <w:sz w:val="21"/>
        </w:rPr>
        <w:t>马德里和海牙联盟待分费</w:t>
      </w:r>
      <w:r w:rsidRPr="003F5882">
        <w:rPr>
          <w:rFonts w:ascii="Arial" w:hAnsi="Arial" w:cs="Times New Roman"/>
          <w:sz w:val="21"/>
        </w:rPr>
        <w:t>：如果未收到明确的付款指示或者缔约方要求确认后再付款，本组织则持有应付给缔约方的资金。所列数额包括总额为</w:t>
      </w:r>
      <w:r w:rsidRPr="003F5882">
        <w:rPr>
          <w:rFonts w:ascii="Arial" w:hAnsi="Arial" w:cs="Times New Roman"/>
          <w:sz w:val="21"/>
        </w:rPr>
        <w:t>180</w:t>
      </w:r>
      <w:r w:rsidRPr="003F5882">
        <w:rPr>
          <w:rFonts w:ascii="Arial" w:hAnsi="Arial" w:cs="Times New Roman"/>
          <w:sz w:val="21"/>
        </w:rPr>
        <w:t>万瑞郎的款项，应付给所有组成前南斯拉夫联</w:t>
      </w:r>
      <w:r w:rsidR="0034571D" w:rsidRPr="003F5882">
        <w:rPr>
          <w:rFonts w:ascii="Arial" w:hAnsi="Arial" w:cs="Times New Roman" w:hint="eastAsia"/>
          <w:sz w:val="21"/>
        </w:rPr>
        <w:t>盟</w:t>
      </w:r>
      <w:r w:rsidRPr="003F5882">
        <w:rPr>
          <w:rFonts w:ascii="Arial" w:hAnsi="Arial" w:cs="Times New Roman"/>
          <w:sz w:val="21"/>
        </w:rPr>
        <w:t>共和国的国家，即波斯尼亚和黑塞哥维那、克罗地亚、黑山、塞尔维亚、斯洛文尼亚</w:t>
      </w:r>
      <w:r w:rsidRPr="003F5882">
        <w:rPr>
          <w:rFonts w:ascii="Arial" w:hAnsi="Arial" w:cs="Times New Roman"/>
          <w:sz w:val="21"/>
        </w:rPr>
        <w:lastRenderedPageBreak/>
        <w:t>和前南斯拉夫的马其顿共和国。国际局一旦收到相关成员国之间关于应付给每个国家的金额的相互协定，即进行支付。</w:t>
      </w:r>
    </w:p>
    <w:p w:rsidR="007D62CB" w:rsidRDefault="006C0099" w:rsidP="003374D7">
      <w:pPr>
        <w:pStyle w:val="Style3"/>
        <w:numPr>
          <w:ilvl w:val="0"/>
          <w:numId w:val="12"/>
        </w:numPr>
        <w:spacing w:afterLines="50" w:line="340" w:lineRule="atLeast"/>
        <w:ind w:left="714" w:hanging="357"/>
        <w:rPr>
          <w:rFonts w:ascii="Arial" w:hAnsi="Arial" w:cs="Times New Roman"/>
          <w:sz w:val="21"/>
        </w:rPr>
      </w:pPr>
      <w:r w:rsidRPr="00DA4636">
        <w:rPr>
          <w:rFonts w:ascii="Arial" w:eastAsia="KaiTi" w:hAnsi="Arial" w:cs="Times New Roman"/>
          <w:i/>
          <w:sz w:val="21"/>
        </w:rPr>
        <w:t>仲裁与调解中心预缴款</w:t>
      </w:r>
      <w:r w:rsidRPr="003F5882">
        <w:rPr>
          <w:rFonts w:ascii="Arial" w:hAnsi="Arial" w:cs="Times New Roman"/>
          <w:sz w:val="21"/>
        </w:rPr>
        <w:t>：本组织为通过仲裁与调解中心进行的有关域名及其他知识产权相关问题的仲裁收取费用。除了付给本组织的费用外，当事人预缴一笔款项，数额相当于估算的仲裁员费用。如果仲裁员的费用超过估计，本组织可要求当事人提供所需的额外资金。收取的款项直接付给仲裁员，本组织不将其计为收入。前表所列金额为当事人已付但报告日未付给仲裁员的净金额。</w:t>
      </w:r>
    </w:p>
    <w:p w:rsidR="007D62CB" w:rsidRDefault="006C0099" w:rsidP="003374D7">
      <w:pPr>
        <w:pStyle w:val="Style3"/>
        <w:numPr>
          <w:ilvl w:val="0"/>
          <w:numId w:val="12"/>
        </w:numPr>
        <w:spacing w:afterLines="50" w:line="340" w:lineRule="atLeast"/>
        <w:ind w:left="714" w:hanging="357"/>
        <w:rPr>
          <w:rFonts w:ascii="Arial" w:hAnsi="Arial" w:cs="Times New Roman"/>
          <w:sz w:val="21"/>
        </w:rPr>
      </w:pPr>
      <w:r w:rsidRPr="00DA4636">
        <w:rPr>
          <w:rFonts w:ascii="Arial" w:eastAsia="KaiTi" w:hAnsi="Arial" w:cs="Times New Roman"/>
          <w:i/>
          <w:sz w:val="21"/>
        </w:rPr>
        <w:t>PCT</w:t>
      </w:r>
      <w:r w:rsidRPr="00DA4636">
        <w:rPr>
          <w:rFonts w:ascii="Arial" w:eastAsia="KaiTi" w:hAnsi="Arial" w:cs="Times New Roman"/>
          <w:i/>
          <w:sz w:val="21"/>
        </w:rPr>
        <w:t>国际检索单位</w:t>
      </w:r>
      <w:r w:rsidRPr="003F5882">
        <w:rPr>
          <w:rFonts w:ascii="Arial" w:hAnsi="Arial" w:cs="Times New Roman"/>
          <w:sz w:val="21"/>
        </w:rPr>
        <w:t>：国际局向在国际局提交国际专利申请的申请人收取费用，以支付本组织按《专利合作条约》</w:t>
      </w:r>
      <w:r w:rsidR="00F453AC" w:rsidRPr="003F5882">
        <w:rPr>
          <w:rFonts w:ascii="Arial" w:hAnsi="Arial" w:cs="Times New Roman" w:hint="eastAsia"/>
          <w:sz w:val="21"/>
        </w:rPr>
        <w:t>（</w:t>
      </w:r>
      <w:r w:rsidRPr="003F5882">
        <w:rPr>
          <w:rFonts w:ascii="Arial" w:hAnsi="Arial" w:cs="Times New Roman"/>
          <w:sz w:val="21"/>
        </w:rPr>
        <w:t>PCT</w:t>
      </w:r>
      <w:r w:rsidR="00F453AC" w:rsidRPr="003F5882">
        <w:rPr>
          <w:rFonts w:ascii="Arial" w:hAnsi="Arial" w:cs="Times New Roman" w:hint="eastAsia"/>
          <w:sz w:val="21"/>
        </w:rPr>
        <w:t>）</w:t>
      </w:r>
      <w:r w:rsidRPr="003F5882">
        <w:rPr>
          <w:rFonts w:ascii="Arial" w:hAnsi="Arial" w:cs="Times New Roman"/>
          <w:sz w:val="21"/>
        </w:rPr>
        <w:t>指定的国际检索单位进行国际检索的费用。前表所列金额为报告日应向国际检索单位转付的金额。</w:t>
      </w:r>
    </w:p>
    <w:p w:rsidR="007D62CB" w:rsidRDefault="006C0099" w:rsidP="003374D7">
      <w:pPr>
        <w:pStyle w:val="Style3"/>
        <w:numPr>
          <w:ilvl w:val="0"/>
          <w:numId w:val="12"/>
        </w:numPr>
        <w:spacing w:afterLines="50" w:line="340" w:lineRule="atLeast"/>
        <w:ind w:left="714" w:hanging="357"/>
        <w:rPr>
          <w:rFonts w:ascii="Arial" w:hAnsi="Arial" w:cs="Times New Roman"/>
          <w:sz w:val="21"/>
        </w:rPr>
      </w:pPr>
      <w:r w:rsidRPr="00DA4636">
        <w:rPr>
          <w:rFonts w:ascii="Arial" w:eastAsia="KaiTi" w:hAnsi="Arial" w:cs="Times New Roman"/>
          <w:i/>
          <w:sz w:val="21"/>
        </w:rPr>
        <w:t>应付给</w:t>
      </w:r>
      <w:r w:rsidRPr="00DA4636">
        <w:rPr>
          <w:rFonts w:ascii="Arial" w:eastAsia="KaiTi" w:hAnsi="Arial" w:cs="Times New Roman"/>
          <w:i/>
          <w:sz w:val="21"/>
        </w:rPr>
        <w:t>EOP</w:t>
      </w:r>
      <w:r w:rsidRPr="00DA4636">
        <w:rPr>
          <w:rFonts w:ascii="Arial" w:eastAsia="KaiTi" w:hAnsi="Arial" w:cs="Times New Roman"/>
          <w:i/>
          <w:sz w:val="21"/>
        </w:rPr>
        <w:t>的</w:t>
      </w:r>
      <w:r w:rsidRPr="00DA4636">
        <w:rPr>
          <w:rFonts w:ascii="Arial" w:eastAsia="KaiTi" w:hAnsi="Arial" w:cs="Times New Roman"/>
          <w:i/>
          <w:sz w:val="21"/>
        </w:rPr>
        <w:t>USPTO</w:t>
      </w:r>
      <w:r w:rsidRPr="00DA4636">
        <w:rPr>
          <w:rFonts w:ascii="Arial" w:eastAsia="KaiTi" w:hAnsi="Arial" w:cs="Times New Roman"/>
          <w:i/>
          <w:sz w:val="21"/>
        </w:rPr>
        <w:t>检索费</w:t>
      </w:r>
      <w:r w:rsidRPr="003F5882">
        <w:rPr>
          <w:rFonts w:ascii="Arial" w:hAnsi="Arial" w:cs="Times New Roman"/>
          <w:sz w:val="21"/>
        </w:rPr>
        <w:t>：根据欧洲专利局</w:t>
      </w:r>
      <w:r w:rsidR="00F453AC" w:rsidRPr="003F5882">
        <w:rPr>
          <w:rFonts w:ascii="Arial" w:hAnsi="Arial" w:cs="Times New Roman"/>
          <w:sz w:val="21"/>
        </w:rPr>
        <w:t>（</w:t>
      </w:r>
      <w:r w:rsidRPr="003F5882">
        <w:rPr>
          <w:rFonts w:ascii="Arial" w:hAnsi="Arial" w:cs="Times New Roman"/>
          <w:sz w:val="21"/>
        </w:rPr>
        <w:t>EPO</w:t>
      </w:r>
      <w:r w:rsidR="00F453AC" w:rsidRPr="003F5882">
        <w:rPr>
          <w:rFonts w:ascii="Arial" w:hAnsi="Arial" w:cs="Times New Roman"/>
          <w:sz w:val="21"/>
        </w:rPr>
        <w:t>）</w:t>
      </w:r>
      <w:r w:rsidRPr="003F5882">
        <w:rPr>
          <w:rFonts w:ascii="Arial" w:hAnsi="Arial" w:cs="Times New Roman"/>
          <w:sz w:val="21"/>
        </w:rPr>
        <w:t>、美国专利与商标局</w:t>
      </w:r>
      <w:r w:rsidR="00F453AC" w:rsidRPr="003F5882">
        <w:rPr>
          <w:rFonts w:ascii="Arial" w:hAnsi="Arial" w:cs="Times New Roman"/>
          <w:sz w:val="21"/>
        </w:rPr>
        <w:t>（</w:t>
      </w:r>
      <w:r w:rsidRPr="003F5882">
        <w:rPr>
          <w:rFonts w:ascii="Arial" w:hAnsi="Arial" w:cs="Times New Roman"/>
          <w:sz w:val="21"/>
        </w:rPr>
        <w:t>USPTO</w:t>
      </w:r>
      <w:r w:rsidR="00F453AC" w:rsidRPr="003F5882">
        <w:rPr>
          <w:rFonts w:ascii="Arial" w:hAnsi="Arial" w:cs="Times New Roman"/>
          <w:sz w:val="21"/>
        </w:rPr>
        <w:t>）</w:t>
      </w:r>
      <w:r w:rsidRPr="003F5882">
        <w:rPr>
          <w:rFonts w:ascii="Arial" w:hAnsi="Arial" w:cs="Times New Roman"/>
          <w:sz w:val="21"/>
        </w:rPr>
        <w:t>和</w:t>
      </w:r>
      <w:r w:rsidRPr="003F5882">
        <w:rPr>
          <w:rFonts w:ascii="Arial" w:hAnsi="Arial" w:cs="Times New Roman"/>
          <w:sz w:val="21"/>
        </w:rPr>
        <w:t>WIPO</w:t>
      </w:r>
      <w:r w:rsidRPr="003F5882">
        <w:rPr>
          <w:rFonts w:ascii="Arial" w:hAnsi="Arial" w:cs="Times New Roman"/>
          <w:sz w:val="21"/>
        </w:rPr>
        <w:t>达成的谅解备忘录，</w:t>
      </w:r>
      <w:r w:rsidRPr="003F5882">
        <w:rPr>
          <w:rFonts w:ascii="Arial" w:hAnsi="Arial" w:cs="Times New Roman"/>
          <w:sz w:val="21"/>
        </w:rPr>
        <w:t>WIPO</w:t>
      </w:r>
      <w:r w:rsidRPr="003F5882">
        <w:rPr>
          <w:rFonts w:ascii="Arial" w:hAnsi="Arial" w:cs="Times New Roman"/>
          <w:sz w:val="21"/>
        </w:rPr>
        <w:t>从</w:t>
      </w:r>
      <w:r w:rsidRPr="003F5882">
        <w:rPr>
          <w:rFonts w:ascii="Arial" w:hAnsi="Arial" w:cs="Times New Roman"/>
          <w:sz w:val="21"/>
        </w:rPr>
        <w:t>USPTO</w:t>
      </w:r>
      <w:r w:rsidRPr="003F5882">
        <w:rPr>
          <w:rFonts w:ascii="Arial" w:hAnsi="Arial" w:cs="Times New Roman"/>
          <w:sz w:val="21"/>
        </w:rPr>
        <w:t>获取应从</w:t>
      </w:r>
      <w:r w:rsidRPr="003F5882">
        <w:rPr>
          <w:rFonts w:ascii="Arial" w:hAnsi="Arial" w:cs="Times New Roman"/>
          <w:sz w:val="21"/>
        </w:rPr>
        <w:t>USPTO</w:t>
      </w:r>
      <w:r w:rsidR="00F453AC" w:rsidRPr="003F5882">
        <w:rPr>
          <w:rFonts w:ascii="Arial" w:hAnsi="Arial" w:cs="Times New Roman" w:hint="eastAsia"/>
          <w:sz w:val="21"/>
        </w:rPr>
        <w:t>（</w:t>
      </w:r>
      <w:r w:rsidRPr="003F5882">
        <w:rPr>
          <w:rFonts w:ascii="Arial" w:hAnsi="Arial" w:cs="Times New Roman"/>
          <w:sz w:val="21"/>
        </w:rPr>
        <w:t>作为</w:t>
      </w:r>
      <w:r w:rsidRPr="003F5882">
        <w:rPr>
          <w:rFonts w:ascii="Arial" w:hAnsi="Arial" w:cs="Times New Roman"/>
          <w:sz w:val="21"/>
        </w:rPr>
        <w:t>PCT</w:t>
      </w:r>
      <w:r w:rsidRPr="003F5882">
        <w:rPr>
          <w:rFonts w:ascii="Arial" w:hAnsi="Arial" w:cs="Times New Roman"/>
          <w:sz w:val="21"/>
        </w:rPr>
        <w:t>收取单位</w:t>
      </w:r>
      <w:r w:rsidR="00F453AC" w:rsidRPr="003F5882">
        <w:rPr>
          <w:rFonts w:ascii="Arial" w:hAnsi="Arial" w:cs="Times New Roman" w:hint="eastAsia"/>
          <w:sz w:val="21"/>
        </w:rPr>
        <w:t>）</w:t>
      </w:r>
      <w:r w:rsidRPr="003F5882">
        <w:rPr>
          <w:rFonts w:ascii="Arial" w:hAnsi="Arial" w:cs="Times New Roman"/>
          <w:sz w:val="21"/>
        </w:rPr>
        <w:t>转付给</w:t>
      </w:r>
      <w:r w:rsidRPr="003F5882">
        <w:rPr>
          <w:rFonts w:ascii="Arial" w:hAnsi="Arial" w:cs="Times New Roman"/>
          <w:sz w:val="21"/>
        </w:rPr>
        <w:t>EPO</w:t>
      </w:r>
      <w:r w:rsidR="00F453AC" w:rsidRPr="003F5882">
        <w:rPr>
          <w:rFonts w:ascii="Arial" w:hAnsi="Arial" w:cs="Times New Roman" w:hint="eastAsia"/>
          <w:sz w:val="21"/>
        </w:rPr>
        <w:t>（</w:t>
      </w:r>
      <w:r w:rsidRPr="003F5882">
        <w:rPr>
          <w:rFonts w:ascii="Arial" w:hAnsi="Arial" w:cs="Times New Roman"/>
          <w:sz w:val="21"/>
        </w:rPr>
        <w:t>作为国际检索单位</w:t>
      </w:r>
      <w:r w:rsidR="00F453AC" w:rsidRPr="003F5882">
        <w:rPr>
          <w:rFonts w:ascii="Arial" w:hAnsi="Arial" w:cs="Times New Roman"/>
          <w:sz w:val="21"/>
        </w:rPr>
        <w:t>）</w:t>
      </w:r>
      <w:r w:rsidRPr="003F5882">
        <w:rPr>
          <w:rFonts w:ascii="Arial" w:hAnsi="Arial" w:cs="Times New Roman"/>
          <w:sz w:val="21"/>
        </w:rPr>
        <w:t>的</w:t>
      </w:r>
      <w:r w:rsidRPr="003F5882">
        <w:rPr>
          <w:rFonts w:ascii="Arial" w:hAnsi="Arial" w:cs="Times New Roman"/>
          <w:sz w:val="21"/>
        </w:rPr>
        <w:t>PCT</w:t>
      </w:r>
      <w:r w:rsidRPr="003F5882">
        <w:rPr>
          <w:rFonts w:ascii="Arial" w:hAnsi="Arial" w:cs="Times New Roman"/>
          <w:sz w:val="21"/>
        </w:rPr>
        <w:t>检索费用，再由</w:t>
      </w:r>
      <w:r w:rsidRPr="003F5882">
        <w:rPr>
          <w:rFonts w:ascii="Arial" w:hAnsi="Arial" w:cs="Times New Roman"/>
          <w:sz w:val="21"/>
        </w:rPr>
        <w:t>WIPO</w:t>
      </w:r>
      <w:r w:rsidRPr="003F5882">
        <w:rPr>
          <w:rFonts w:ascii="Arial" w:hAnsi="Arial" w:cs="Times New Roman"/>
          <w:sz w:val="21"/>
        </w:rPr>
        <w:t>转付给</w:t>
      </w:r>
      <w:r w:rsidRPr="003F5882">
        <w:rPr>
          <w:rFonts w:ascii="Arial" w:hAnsi="Arial" w:cs="Times New Roman"/>
          <w:sz w:val="21"/>
        </w:rPr>
        <w:t>EPO</w:t>
      </w:r>
      <w:r w:rsidRPr="003F5882">
        <w:rPr>
          <w:rFonts w:ascii="Arial" w:hAnsi="Arial" w:cs="Times New Roman"/>
          <w:sz w:val="21"/>
        </w:rPr>
        <w:t>。此份谅解备忘录旨在完善检索费用转付的管理，降低国际</w:t>
      </w:r>
      <w:proofErr w:type="gramStart"/>
      <w:r w:rsidRPr="003F5882">
        <w:rPr>
          <w:rFonts w:ascii="Arial" w:hAnsi="Arial" w:cs="Times New Roman"/>
          <w:sz w:val="21"/>
        </w:rPr>
        <w:t>局履行</w:t>
      </w:r>
      <w:proofErr w:type="gramEnd"/>
      <w:r w:rsidRPr="003F5882">
        <w:rPr>
          <w:rFonts w:ascii="Arial" w:hAnsi="Arial" w:cs="Times New Roman"/>
          <w:sz w:val="21"/>
        </w:rPr>
        <w:t>PCT</w:t>
      </w:r>
      <w:r w:rsidRPr="003F5882">
        <w:rPr>
          <w:rFonts w:ascii="Arial" w:hAnsi="Arial" w:cs="Times New Roman"/>
          <w:sz w:val="21"/>
        </w:rPr>
        <w:t>第</w:t>
      </w:r>
      <w:r w:rsidRPr="003F5882">
        <w:rPr>
          <w:rFonts w:ascii="Arial" w:hAnsi="Arial" w:cs="Times New Roman"/>
          <w:sz w:val="21"/>
        </w:rPr>
        <w:t>16.1</w:t>
      </w:r>
      <w:r w:rsidR="00762C26" w:rsidRPr="003F5882">
        <w:rPr>
          <w:rFonts w:ascii="Arial" w:hAnsi="Arial" w:cs="Times New Roman" w:hint="eastAsia"/>
          <w:sz w:val="21"/>
        </w:rPr>
        <w:t>(</w:t>
      </w:r>
      <w:r w:rsidRPr="003F5882">
        <w:rPr>
          <w:rFonts w:ascii="Arial" w:hAnsi="Arial" w:cs="Times New Roman"/>
          <w:sz w:val="21"/>
        </w:rPr>
        <w:t>e</w:t>
      </w:r>
      <w:r w:rsidR="00762C26" w:rsidRPr="003F5882">
        <w:rPr>
          <w:rFonts w:ascii="Arial" w:hAnsi="Arial" w:cs="Times New Roman" w:hint="eastAsia"/>
          <w:sz w:val="21"/>
        </w:rPr>
        <w:t>)</w:t>
      </w:r>
      <w:r w:rsidRPr="003F5882">
        <w:rPr>
          <w:rFonts w:ascii="Arial" w:hAnsi="Arial" w:cs="Times New Roman"/>
          <w:sz w:val="21"/>
        </w:rPr>
        <w:t>条规定因汇率波动而遭受的损失。前表所列金额为</w:t>
      </w:r>
      <w:r w:rsidRPr="003F5882">
        <w:rPr>
          <w:rFonts w:ascii="Arial" w:hAnsi="Arial" w:cs="Times New Roman"/>
          <w:sz w:val="21"/>
        </w:rPr>
        <w:t>WIPO</w:t>
      </w:r>
      <w:r w:rsidRPr="003F5882">
        <w:rPr>
          <w:rFonts w:ascii="Arial" w:hAnsi="Arial" w:cs="Times New Roman"/>
          <w:sz w:val="21"/>
        </w:rPr>
        <w:t>获取的但</w:t>
      </w:r>
      <w:r w:rsidR="00762C26" w:rsidRPr="003F5882">
        <w:rPr>
          <w:rFonts w:ascii="Arial" w:hAnsi="Arial" w:cs="Times New Roman"/>
          <w:sz w:val="21"/>
        </w:rPr>
        <w:t>在报告日</w:t>
      </w:r>
      <w:r w:rsidRPr="003F5882">
        <w:rPr>
          <w:rFonts w:ascii="Arial" w:hAnsi="Arial" w:cs="Times New Roman"/>
          <w:sz w:val="21"/>
        </w:rPr>
        <w:t>尚未转付给</w:t>
      </w:r>
      <w:r w:rsidRPr="003F5882">
        <w:rPr>
          <w:rFonts w:ascii="Arial" w:hAnsi="Arial" w:cs="Times New Roman"/>
          <w:sz w:val="21"/>
        </w:rPr>
        <w:t>EPO</w:t>
      </w:r>
      <w:r w:rsidRPr="003F5882">
        <w:rPr>
          <w:rFonts w:ascii="Arial" w:hAnsi="Arial" w:cs="Times New Roman"/>
          <w:sz w:val="21"/>
        </w:rPr>
        <w:t>的转付余额。</w:t>
      </w:r>
    </w:p>
    <w:p w:rsidR="007D62CB" w:rsidRDefault="006C0099" w:rsidP="007D62CB">
      <w:pPr>
        <w:pStyle w:val="STYLETITRENOTES"/>
        <w:keepNext/>
        <w:overflowPunct w:val="0"/>
        <w:spacing w:beforeLines="100" w:before="240" w:afterLines="100" w:after="240" w:line="340" w:lineRule="atLeast"/>
        <w:rPr>
          <w:rFonts w:ascii="Arial" w:eastAsia="SimHei" w:hAnsi="Arial" w:cs="Times New Roman"/>
          <w:b w:val="0"/>
          <w:sz w:val="21"/>
          <w:szCs w:val="22"/>
        </w:rPr>
      </w:pPr>
      <w:r w:rsidRPr="00F453AC">
        <w:rPr>
          <w:rFonts w:ascii="Arial" w:eastAsia="SimHei" w:hAnsi="Arial" w:cs="Times New Roman"/>
          <w:b w:val="0"/>
          <w:sz w:val="21"/>
        </w:rPr>
        <w:t>附注</w:t>
      </w:r>
      <w:r w:rsidRPr="00F453AC">
        <w:rPr>
          <w:rFonts w:ascii="Arial" w:eastAsia="SimHei" w:hAnsi="Arial" w:cs="Times New Roman"/>
          <w:b w:val="0"/>
          <w:sz w:val="21"/>
        </w:rPr>
        <w:t>14</w:t>
      </w:r>
      <w:r w:rsidRPr="00F453AC">
        <w:rPr>
          <w:rFonts w:ascii="Arial" w:eastAsia="SimHei" w:hAnsi="Arial" w:cs="Times New Roman"/>
          <w:b w:val="0"/>
          <w:sz w:val="21"/>
        </w:rPr>
        <w:t>：</w:t>
      </w:r>
      <w:r w:rsidRPr="00F453AC">
        <w:rPr>
          <w:rFonts w:ascii="Arial" w:eastAsia="SimHei" w:hAnsi="Arial" w:cs="Times New Roman"/>
          <w:b w:val="0"/>
          <w:sz w:val="21"/>
        </w:rPr>
        <w:tab/>
      </w:r>
      <w:r w:rsidRPr="00F453AC">
        <w:rPr>
          <w:rFonts w:ascii="Arial" w:eastAsia="SimHei" w:hAnsi="Arial" w:cs="Times New Roman"/>
          <w:b w:val="0"/>
          <w:sz w:val="21"/>
        </w:rPr>
        <w:t>预收款</w:t>
      </w:r>
    </w:p>
    <w:p w:rsidR="006C0099" w:rsidRPr="003F5882" w:rsidRDefault="006F16A3" w:rsidP="006F16A3">
      <w:pPr>
        <w:spacing w:afterLines="50" w:after="120"/>
        <w:jc w:val="center"/>
        <w:rPr>
          <w:rFonts w:ascii="Arial" w:hAnsi="Arial" w:cs="Times New Roman"/>
        </w:rPr>
      </w:pPr>
      <w:r w:rsidRPr="006F16A3">
        <w:rPr>
          <w:noProof/>
          <w:lang w:val="en-US" w:bidi="ar-SA"/>
        </w:rPr>
        <w:drawing>
          <wp:inline distT="0" distB="0" distL="0" distR="0">
            <wp:extent cx="5736590" cy="3105785"/>
            <wp:effectExtent l="0" t="0" r="0" b="0"/>
            <wp:docPr id="160" name="图片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5736590" cy="3105785"/>
                    </a:xfrm>
                    <a:prstGeom prst="rect">
                      <a:avLst/>
                    </a:prstGeom>
                    <a:noFill/>
                    <a:ln>
                      <a:noFill/>
                    </a:ln>
                  </pic:spPr>
                </pic:pic>
              </a:graphicData>
            </a:graphic>
          </wp:inline>
        </w:drawing>
      </w:r>
    </w:p>
    <w:p w:rsidR="007D62CB" w:rsidRDefault="006C0099" w:rsidP="003374D7">
      <w:pPr>
        <w:pStyle w:val="Style3"/>
        <w:spacing w:afterLines="50" w:line="340" w:lineRule="atLeast"/>
        <w:rPr>
          <w:rFonts w:ascii="Arial" w:hAnsi="Arial" w:cs="Times New Roman"/>
          <w:sz w:val="21"/>
          <w:szCs w:val="22"/>
        </w:rPr>
      </w:pPr>
      <w:r w:rsidRPr="003F5882">
        <w:rPr>
          <w:rFonts w:ascii="Arial" w:hAnsi="Arial" w:cs="Times New Roman"/>
          <w:sz w:val="21"/>
        </w:rPr>
        <w:t>许多情况下，本组织在服务全部履行之前，或根据本组织管理的条约、协定、议定书和条例挣</w:t>
      </w:r>
      <w:proofErr w:type="gramStart"/>
      <w:r w:rsidRPr="003F5882">
        <w:rPr>
          <w:rFonts w:ascii="Arial" w:hAnsi="Arial" w:cs="Times New Roman"/>
          <w:sz w:val="21"/>
        </w:rPr>
        <w:t>得费用</w:t>
      </w:r>
      <w:proofErr w:type="gramEnd"/>
      <w:r w:rsidRPr="003F5882">
        <w:rPr>
          <w:rFonts w:ascii="Arial" w:hAnsi="Arial" w:cs="Times New Roman"/>
          <w:sz w:val="21"/>
        </w:rPr>
        <w:t>之前，便收取了</w:t>
      </w:r>
      <w:proofErr w:type="gramStart"/>
      <w:r w:rsidRPr="003F5882">
        <w:rPr>
          <w:rFonts w:ascii="Arial" w:hAnsi="Arial" w:cs="Times New Roman"/>
          <w:sz w:val="21"/>
        </w:rPr>
        <w:t>规</w:t>
      </w:r>
      <w:proofErr w:type="gramEnd"/>
      <w:r w:rsidRPr="003F5882">
        <w:rPr>
          <w:rFonts w:ascii="Arial" w:hAnsi="Arial" w:cs="Times New Roman"/>
          <w:sz w:val="21"/>
        </w:rPr>
        <w:t>费和服务费。有关国际申请处理的费用收入</w:t>
      </w:r>
      <w:r w:rsidR="00F453AC" w:rsidRPr="003F5882">
        <w:rPr>
          <w:rFonts w:ascii="Arial" w:hAnsi="Arial" w:cs="Times New Roman" w:hint="eastAsia"/>
          <w:sz w:val="21"/>
        </w:rPr>
        <w:t>（</w:t>
      </w:r>
      <w:r w:rsidRPr="003F5882">
        <w:rPr>
          <w:rFonts w:ascii="Arial" w:hAnsi="Arial" w:cs="Times New Roman"/>
          <w:sz w:val="21"/>
        </w:rPr>
        <w:t>商标、工业</w:t>
      </w:r>
      <w:r w:rsidR="007B51AD" w:rsidRPr="003F5882">
        <w:rPr>
          <w:rFonts w:ascii="Arial" w:hAnsi="Arial" w:cs="Times New Roman" w:hint="eastAsia"/>
          <w:sz w:val="21"/>
        </w:rPr>
        <w:t>品</w:t>
      </w:r>
      <w:r w:rsidRPr="003F5882">
        <w:rPr>
          <w:rFonts w:ascii="Arial" w:hAnsi="Arial" w:cs="Times New Roman"/>
          <w:sz w:val="21"/>
        </w:rPr>
        <w:t>外观设计、专利</w:t>
      </w:r>
      <w:r w:rsidR="00F453AC" w:rsidRPr="003F5882">
        <w:rPr>
          <w:rFonts w:ascii="Arial" w:hAnsi="Arial" w:cs="Times New Roman" w:hint="eastAsia"/>
          <w:sz w:val="21"/>
        </w:rPr>
        <w:t>）</w:t>
      </w:r>
      <w:r w:rsidRPr="003F5882">
        <w:rPr>
          <w:rFonts w:ascii="Arial" w:hAnsi="Arial" w:cs="Times New Roman"/>
          <w:sz w:val="21"/>
        </w:rPr>
        <w:t>在申请公布后入账。以纸件或</w:t>
      </w:r>
      <w:r w:rsidRPr="003F5882">
        <w:rPr>
          <w:rFonts w:ascii="Arial" w:hAnsi="Arial" w:cs="Times New Roman"/>
          <w:sz w:val="21"/>
        </w:rPr>
        <w:t>EASY</w:t>
      </w:r>
      <w:r w:rsidRPr="003F5882">
        <w:rPr>
          <w:rFonts w:ascii="Arial" w:hAnsi="Arial" w:cs="Times New Roman"/>
          <w:sz w:val="21"/>
        </w:rPr>
        <w:t>模式提交的国际专利申请的增加页数费用收入推迟到相关申请公布时再予以确认。此外，包括非英文专利性报告的翻译费用在内的国际专利申请规费部分也推迟到翻译完成之时予以确认。所有</w:t>
      </w:r>
      <w:proofErr w:type="gramStart"/>
      <w:r w:rsidRPr="003F5882">
        <w:rPr>
          <w:rFonts w:ascii="Arial" w:hAnsi="Arial" w:cs="Times New Roman"/>
          <w:sz w:val="21"/>
        </w:rPr>
        <w:t>规</w:t>
      </w:r>
      <w:proofErr w:type="gramEnd"/>
      <w:r w:rsidRPr="003F5882">
        <w:rPr>
          <w:rFonts w:ascii="Arial" w:hAnsi="Arial" w:cs="Times New Roman"/>
          <w:sz w:val="21"/>
        </w:rPr>
        <w:t>费收入，包括续展、提取、修改、放弃、转让、确认和调整费用，在完成服务时予以计入。</w:t>
      </w:r>
    </w:p>
    <w:p w:rsidR="007D62CB" w:rsidRDefault="006C0099" w:rsidP="003374D7">
      <w:pPr>
        <w:pStyle w:val="Style3"/>
        <w:spacing w:afterLines="50" w:line="340" w:lineRule="atLeast"/>
        <w:rPr>
          <w:rFonts w:ascii="Arial" w:hAnsi="Arial" w:cs="Times New Roman"/>
          <w:sz w:val="21"/>
        </w:rPr>
      </w:pPr>
      <w:r w:rsidRPr="003F5882">
        <w:rPr>
          <w:rFonts w:ascii="Arial" w:hAnsi="Arial" w:cs="Times New Roman"/>
          <w:sz w:val="21"/>
        </w:rPr>
        <w:lastRenderedPageBreak/>
        <w:t>载明要求本组织向受援国政府或</w:t>
      </w:r>
      <w:proofErr w:type="gramStart"/>
      <w:r w:rsidRPr="003F5882">
        <w:rPr>
          <w:rFonts w:ascii="Arial" w:hAnsi="Arial" w:cs="Times New Roman"/>
          <w:sz w:val="21"/>
        </w:rPr>
        <w:t>其他第三</w:t>
      </w:r>
      <w:proofErr w:type="gramEnd"/>
      <w:r w:rsidRPr="003F5882">
        <w:rPr>
          <w:rFonts w:ascii="Arial" w:hAnsi="Arial" w:cs="Times New Roman"/>
          <w:sz w:val="21"/>
        </w:rPr>
        <w:t>方提供服务条件的特别账户中捐助方的自愿捐助，被视为递延收入，直至提供自愿捐助所涉及的服务之后，才计入收入。</w:t>
      </w:r>
    </w:p>
    <w:p w:rsidR="007D62CB" w:rsidRDefault="006C0099" w:rsidP="003374D7">
      <w:pPr>
        <w:pStyle w:val="Style3"/>
        <w:spacing w:afterLines="50" w:line="340" w:lineRule="atLeast"/>
        <w:rPr>
          <w:rFonts w:ascii="Arial" w:hAnsi="Arial" w:cs="Times New Roman"/>
          <w:sz w:val="21"/>
          <w:szCs w:val="22"/>
        </w:rPr>
      </w:pPr>
      <w:r w:rsidRPr="003F5882">
        <w:rPr>
          <w:rFonts w:ascii="Arial" w:hAnsi="Arial" w:cs="Times New Roman"/>
          <w:sz w:val="21"/>
        </w:rPr>
        <w:t>升级</w:t>
      </w:r>
      <w:r w:rsidRPr="003F5882">
        <w:rPr>
          <w:rFonts w:ascii="Arial" w:hAnsi="Arial" w:cs="Times New Roman"/>
          <w:sz w:val="21"/>
        </w:rPr>
        <w:t>WIPO</w:t>
      </w:r>
      <w:r w:rsidRPr="003F5882">
        <w:rPr>
          <w:rFonts w:ascii="Arial" w:hAnsi="Arial" w:cs="Times New Roman"/>
          <w:sz w:val="21"/>
        </w:rPr>
        <w:t>现有办公楼安全和安保标准的建筑项目由国际组织办公楼基金会</w:t>
      </w:r>
      <w:r w:rsidR="00F453AC" w:rsidRPr="003F5882">
        <w:rPr>
          <w:rFonts w:ascii="Arial" w:hAnsi="Arial" w:cs="Times New Roman" w:hint="eastAsia"/>
          <w:sz w:val="21"/>
        </w:rPr>
        <w:t>（</w:t>
      </w:r>
      <w:r w:rsidRPr="003F5882">
        <w:rPr>
          <w:rFonts w:ascii="Arial" w:hAnsi="Arial" w:cs="Times New Roman"/>
          <w:sz w:val="21"/>
        </w:rPr>
        <w:t>FIPOI</w:t>
      </w:r>
      <w:r w:rsidR="00F453AC" w:rsidRPr="003F5882">
        <w:rPr>
          <w:rFonts w:ascii="Arial" w:hAnsi="Arial" w:cs="Times New Roman" w:hint="eastAsia"/>
          <w:sz w:val="21"/>
        </w:rPr>
        <w:t>）</w:t>
      </w:r>
      <w:r w:rsidRPr="003F5882">
        <w:rPr>
          <w:rFonts w:ascii="Arial" w:hAnsi="Arial" w:cs="Times New Roman"/>
          <w:sz w:val="21"/>
        </w:rPr>
        <w:t>供应部分资金。</w:t>
      </w:r>
      <w:r w:rsidRPr="003F5882">
        <w:rPr>
          <w:rFonts w:ascii="Arial" w:hAnsi="Arial" w:cs="Times New Roman"/>
          <w:sz w:val="21"/>
        </w:rPr>
        <w:t>FIPOI</w:t>
      </w:r>
      <w:r w:rsidRPr="003F5882">
        <w:rPr>
          <w:rFonts w:ascii="Arial" w:hAnsi="Arial" w:cs="Times New Roman"/>
          <w:sz w:val="21"/>
        </w:rPr>
        <w:t>供资的建筑工程纳入在建工程并转化为资本，相应的金额记为递延收入。截至</w:t>
      </w:r>
      <w:r w:rsidRPr="003F5882">
        <w:rPr>
          <w:rFonts w:ascii="Arial" w:hAnsi="Arial" w:cs="Times New Roman"/>
          <w:sz w:val="21"/>
        </w:rPr>
        <w:t>2014</w:t>
      </w:r>
      <w:r w:rsidRPr="003F5882">
        <w:rPr>
          <w:rFonts w:ascii="Arial" w:hAnsi="Arial" w:cs="Times New Roman"/>
          <w:sz w:val="21"/>
        </w:rPr>
        <w:t>年</w:t>
      </w:r>
      <w:r w:rsidRPr="003F5882">
        <w:rPr>
          <w:rFonts w:ascii="Arial" w:hAnsi="Arial" w:cs="Times New Roman"/>
          <w:sz w:val="21"/>
        </w:rPr>
        <w:t>12</w:t>
      </w:r>
      <w:r w:rsidRPr="003F5882">
        <w:rPr>
          <w:rFonts w:ascii="Arial" w:hAnsi="Arial" w:cs="Times New Roman"/>
          <w:sz w:val="21"/>
        </w:rPr>
        <w:t>月</w:t>
      </w:r>
      <w:r w:rsidRPr="003F5882">
        <w:rPr>
          <w:rFonts w:ascii="Arial" w:hAnsi="Arial" w:cs="Times New Roman"/>
          <w:sz w:val="21"/>
        </w:rPr>
        <w:t>31</w:t>
      </w:r>
      <w:r w:rsidRPr="003F5882">
        <w:rPr>
          <w:rFonts w:ascii="Arial" w:hAnsi="Arial" w:cs="Times New Roman"/>
          <w:sz w:val="21"/>
        </w:rPr>
        <w:t>日，递</w:t>
      </w:r>
      <w:proofErr w:type="gramStart"/>
      <w:r w:rsidRPr="003F5882">
        <w:rPr>
          <w:rFonts w:ascii="Arial" w:hAnsi="Arial" w:cs="Times New Roman"/>
          <w:sz w:val="21"/>
        </w:rPr>
        <w:t>延收入</w:t>
      </w:r>
      <w:proofErr w:type="gramEnd"/>
      <w:r w:rsidRPr="003F5882">
        <w:rPr>
          <w:rFonts w:ascii="Arial" w:hAnsi="Arial" w:cs="Times New Roman"/>
          <w:sz w:val="21"/>
        </w:rPr>
        <w:t>余额为</w:t>
      </w:r>
      <w:r w:rsidRPr="003F5882">
        <w:rPr>
          <w:rFonts w:ascii="Arial" w:hAnsi="Arial" w:cs="Times New Roman"/>
          <w:sz w:val="21"/>
        </w:rPr>
        <w:t>300</w:t>
      </w:r>
      <w:proofErr w:type="gramStart"/>
      <w:r w:rsidRPr="003F5882">
        <w:rPr>
          <w:rFonts w:ascii="Arial" w:hAnsi="Arial" w:cs="Times New Roman"/>
          <w:sz w:val="21"/>
        </w:rPr>
        <w:t>万瑞</w:t>
      </w:r>
      <w:proofErr w:type="gramEnd"/>
      <w:r w:rsidRPr="003F5882">
        <w:rPr>
          <w:rFonts w:ascii="Arial" w:hAnsi="Arial" w:cs="Times New Roman"/>
          <w:sz w:val="21"/>
        </w:rPr>
        <w:t>郎</w:t>
      </w:r>
      <w:r w:rsidR="00F453AC" w:rsidRPr="003F5882">
        <w:rPr>
          <w:rFonts w:ascii="Arial" w:hAnsi="Arial" w:cs="Times New Roman" w:hint="eastAsia"/>
          <w:sz w:val="21"/>
        </w:rPr>
        <w:t>（</w:t>
      </w:r>
      <w:r w:rsidRPr="003F5882">
        <w:rPr>
          <w:rFonts w:ascii="Arial" w:hAnsi="Arial" w:cs="Times New Roman"/>
          <w:sz w:val="21"/>
        </w:rPr>
        <w:t>2013</w:t>
      </w:r>
      <w:r w:rsidRPr="003F5882">
        <w:rPr>
          <w:rFonts w:ascii="Arial" w:hAnsi="Arial" w:cs="Times New Roman"/>
          <w:sz w:val="21"/>
        </w:rPr>
        <w:t>年</w:t>
      </w:r>
      <w:r w:rsidRPr="003F5882">
        <w:rPr>
          <w:rFonts w:ascii="Arial" w:hAnsi="Arial" w:cs="Times New Roman"/>
          <w:sz w:val="21"/>
        </w:rPr>
        <w:t>12</w:t>
      </w:r>
      <w:r w:rsidRPr="003F5882">
        <w:rPr>
          <w:rFonts w:ascii="Arial" w:hAnsi="Arial" w:cs="Times New Roman"/>
          <w:sz w:val="21"/>
        </w:rPr>
        <w:t>月</w:t>
      </w:r>
      <w:r w:rsidRPr="003F5882">
        <w:rPr>
          <w:rFonts w:ascii="Arial" w:hAnsi="Arial" w:cs="Times New Roman"/>
          <w:sz w:val="21"/>
        </w:rPr>
        <w:t>31</w:t>
      </w:r>
      <w:r w:rsidRPr="003F5882">
        <w:rPr>
          <w:rFonts w:ascii="Arial" w:hAnsi="Arial" w:cs="Times New Roman"/>
          <w:sz w:val="21"/>
        </w:rPr>
        <w:t>日为</w:t>
      </w:r>
      <w:r w:rsidRPr="003F5882">
        <w:rPr>
          <w:rFonts w:ascii="Arial" w:hAnsi="Arial" w:cs="Times New Roman"/>
          <w:sz w:val="21"/>
        </w:rPr>
        <w:t>190</w:t>
      </w:r>
      <w:proofErr w:type="gramStart"/>
      <w:r w:rsidRPr="003F5882">
        <w:rPr>
          <w:rFonts w:ascii="Arial" w:hAnsi="Arial" w:cs="Times New Roman"/>
          <w:sz w:val="21"/>
        </w:rPr>
        <w:t>万瑞</w:t>
      </w:r>
      <w:proofErr w:type="gramEnd"/>
      <w:r w:rsidRPr="003F5882">
        <w:rPr>
          <w:rFonts w:ascii="Arial" w:hAnsi="Arial" w:cs="Times New Roman"/>
          <w:sz w:val="21"/>
        </w:rPr>
        <w:t>郎</w:t>
      </w:r>
      <w:r w:rsidR="00F453AC" w:rsidRPr="003F5882">
        <w:rPr>
          <w:rFonts w:ascii="Arial" w:hAnsi="Arial" w:cs="Times New Roman" w:hint="eastAsia"/>
          <w:sz w:val="21"/>
        </w:rPr>
        <w:t>）</w:t>
      </w:r>
      <w:r w:rsidRPr="003F5882">
        <w:rPr>
          <w:rFonts w:ascii="Arial" w:hAnsi="Arial" w:cs="Times New Roman"/>
          <w:sz w:val="21"/>
        </w:rPr>
        <w:t>。随着安保建筑在有效寿命期内不断折旧，这一收入是逐步计入。</w:t>
      </w:r>
    </w:p>
    <w:p w:rsidR="007D62CB" w:rsidRDefault="006C0099" w:rsidP="007D62CB">
      <w:pPr>
        <w:pStyle w:val="STYLETITRENOTES"/>
        <w:keepNext/>
        <w:overflowPunct w:val="0"/>
        <w:spacing w:beforeLines="100" w:before="240" w:afterLines="100" w:after="240" w:line="340" w:lineRule="atLeast"/>
        <w:rPr>
          <w:rFonts w:ascii="Arial" w:eastAsia="SimHei" w:hAnsi="Arial" w:cs="Times New Roman"/>
          <w:b w:val="0"/>
          <w:sz w:val="21"/>
        </w:rPr>
      </w:pPr>
      <w:r w:rsidRPr="00F453AC">
        <w:rPr>
          <w:rFonts w:ascii="Arial" w:eastAsia="SimHei" w:hAnsi="Arial" w:cs="Times New Roman"/>
          <w:b w:val="0"/>
          <w:sz w:val="21"/>
        </w:rPr>
        <w:t>附注</w:t>
      </w:r>
      <w:r w:rsidRPr="00F453AC">
        <w:rPr>
          <w:rFonts w:ascii="Arial" w:eastAsia="SimHei" w:hAnsi="Arial" w:cs="Times New Roman"/>
          <w:b w:val="0"/>
          <w:sz w:val="21"/>
        </w:rPr>
        <w:t>15</w:t>
      </w:r>
      <w:r w:rsidRPr="00F453AC">
        <w:rPr>
          <w:rFonts w:ascii="Arial" w:eastAsia="SimHei" w:hAnsi="Arial" w:cs="Times New Roman"/>
          <w:b w:val="0"/>
          <w:sz w:val="21"/>
        </w:rPr>
        <w:t>：</w:t>
      </w:r>
      <w:r w:rsidRPr="00F453AC">
        <w:rPr>
          <w:rFonts w:ascii="Arial" w:eastAsia="SimHei" w:hAnsi="Arial" w:cs="Times New Roman"/>
          <w:b w:val="0"/>
          <w:sz w:val="21"/>
        </w:rPr>
        <w:tab/>
      </w:r>
      <w:r w:rsidRPr="00F453AC">
        <w:rPr>
          <w:rFonts w:ascii="Arial" w:eastAsia="SimHei" w:hAnsi="Arial" w:cs="Times New Roman"/>
          <w:b w:val="0"/>
          <w:sz w:val="21"/>
        </w:rPr>
        <w:t>借</w:t>
      </w:r>
      <w:r w:rsidR="00B31204">
        <w:rPr>
          <w:rFonts w:ascii="Arial" w:eastAsia="SimHei" w:hAnsi="Arial" w:cs="Times New Roman" w:hint="eastAsia"/>
          <w:b w:val="0"/>
          <w:sz w:val="21"/>
        </w:rPr>
        <w:t xml:space="preserve">　</w:t>
      </w:r>
      <w:r w:rsidRPr="00F453AC">
        <w:rPr>
          <w:rFonts w:ascii="Arial" w:eastAsia="SimHei" w:hAnsi="Arial" w:cs="Times New Roman"/>
          <w:b w:val="0"/>
          <w:sz w:val="21"/>
        </w:rPr>
        <w:t>款</w:t>
      </w:r>
    </w:p>
    <w:p w:rsidR="006C0099" w:rsidRPr="003F5882" w:rsidRDefault="006F16A3" w:rsidP="006F16A3">
      <w:pPr>
        <w:pStyle w:val="style30"/>
        <w:spacing w:afterLines="50"/>
        <w:jc w:val="center"/>
        <w:rPr>
          <w:rFonts w:ascii="Arial" w:hAnsi="Arial" w:cs="Times New Roman"/>
          <w:sz w:val="21"/>
        </w:rPr>
      </w:pPr>
      <w:r w:rsidRPr="006F16A3">
        <w:rPr>
          <w:noProof/>
          <w:lang w:val="en-US" w:bidi="ar-SA"/>
        </w:rPr>
        <w:drawing>
          <wp:inline distT="0" distB="0" distL="0" distR="0">
            <wp:extent cx="5736590" cy="2173605"/>
            <wp:effectExtent l="0" t="0" r="0" b="0"/>
            <wp:docPr id="161" name="图片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5736590" cy="2173605"/>
                    </a:xfrm>
                    <a:prstGeom prst="rect">
                      <a:avLst/>
                    </a:prstGeom>
                    <a:noFill/>
                    <a:ln>
                      <a:noFill/>
                    </a:ln>
                  </pic:spPr>
                </pic:pic>
              </a:graphicData>
            </a:graphic>
          </wp:inline>
        </w:drawing>
      </w:r>
    </w:p>
    <w:p w:rsidR="007D62CB" w:rsidRDefault="006C0099" w:rsidP="003374D7">
      <w:pPr>
        <w:pStyle w:val="Style3"/>
        <w:spacing w:afterLines="50" w:line="340" w:lineRule="atLeast"/>
        <w:rPr>
          <w:rFonts w:ascii="Arial" w:hAnsi="Arial" w:cs="Times New Roman"/>
          <w:sz w:val="21"/>
        </w:rPr>
      </w:pPr>
      <w:r w:rsidRPr="003F5882">
        <w:rPr>
          <w:rFonts w:ascii="Arial" w:hAnsi="Arial" w:cs="Times New Roman"/>
          <w:sz w:val="21"/>
        </w:rPr>
        <w:t>本组织为建设其位于瑞士日内瓦的总部办公楼，从国际组织不动产基金会</w:t>
      </w:r>
      <w:r w:rsidR="00F453AC" w:rsidRPr="003F5882">
        <w:rPr>
          <w:rFonts w:ascii="Arial" w:hAnsi="Arial" w:cs="Times New Roman" w:hint="eastAsia"/>
          <w:sz w:val="21"/>
        </w:rPr>
        <w:t>（</w:t>
      </w:r>
      <w:r w:rsidRPr="003F5882">
        <w:rPr>
          <w:rFonts w:ascii="Arial" w:hAnsi="Arial" w:cs="Times New Roman"/>
          <w:sz w:val="21"/>
        </w:rPr>
        <w:t>FIPOI</w:t>
      </w:r>
      <w:r w:rsidR="00F453AC" w:rsidRPr="003F5882">
        <w:rPr>
          <w:rFonts w:ascii="Arial" w:hAnsi="Arial" w:cs="Times New Roman" w:hint="eastAsia"/>
          <w:sz w:val="21"/>
        </w:rPr>
        <w:t>）</w:t>
      </w:r>
      <w:r w:rsidRPr="003F5882">
        <w:rPr>
          <w:rFonts w:ascii="Arial" w:hAnsi="Arial" w:cs="Times New Roman"/>
          <w:sz w:val="21"/>
        </w:rPr>
        <w:t>借入了资金</w:t>
      </w:r>
      <w:r w:rsidR="00F453AC" w:rsidRPr="003F5882">
        <w:rPr>
          <w:rFonts w:ascii="Arial" w:hAnsi="Arial" w:cs="Times New Roman" w:hint="eastAsia"/>
          <w:sz w:val="21"/>
        </w:rPr>
        <w:t>（</w:t>
      </w:r>
      <w:r w:rsidRPr="003F5882">
        <w:rPr>
          <w:rFonts w:ascii="Arial" w:hAnsi="Arial" w:cs="Times New Roman"/>
          <w:sz w:val="21"/>
        </w:rPr>
        <w:t>1977</w:t>
      </w:r>
      <w:r w:rsidRPr="003F5882">
        <w:rPr>
          <w:rFonts w:ascii="Arial" w:hAnsi="Arial" w:cs="Times New Roman"/>
          <w:sz w:val="21"/>
        </w:rPr>
        <w:t>年和</w:t>
      </w:r>
      <w:r w:rsidRPr="003F5882">
        <w:rPr>
          <w:rFonts w:ascii="Arial" w:hAnsi="Arial" w:cs="Times New Roman"/>
          <w:sz w:val="21"/>
        </w:rPr>
        <w:t>1987</w:t>
      </w:r>
      <w:r w:rsidRPr="003F5882">
        <w:rPr>
          <w:rFonts w:ascii="Arial" w:hAnsi="Arial" w:cs="Times New Roman"/>
          <w:sz w:val="21"/>
        </w:rPr>
        <w:t>年分别批准了</w:t>
      </w:r>
      <w:r w:rsidRPr="003F5882">
        <w:rPr>
          <w:rFonts w:ascii="Arial" w:hAnsi="Arial" w:cs="Times New Roman"/>
          <w:sz w:val="21"/>
        </w:rPr>
        <w:t>5,080</w:t>
      </w:r>
      <w:proofErr w:type="gramStart"/>
      <w:r w:rsidRPr="003F5882">
        <w:rPr>
          <w:rFonts w:ascii="Arial" w:hAnsi="Arial" w:cs="Times New Roman"/>
          <w:sz w:val="21"/>
        </w:rPr>
        <w:t>万瑞</w:t>
      </w:r>
      <w:proofErr w:type="gramEnd"/>
      <w:r w:rsidRPr="003F5882">
        <w:rPr>
          <w:rFonts w:ascii="Arial" w:hAnsi="Arial" w:cs="Times New Roman"/>
          <w:sz w:val="21"/>
        </w:rPr>
        <w:t>郎和</w:t>
      </w:r>
      <w:r w:rsidRPr="003F5882">
        <w:rPr>
          <w:rFonts w:ascii="Arial" w:hAnsi="Arial" w:cs="Times New Roman"/>
          <w:sz w:val="21"/>
        </w:rPr>
        <w:t>841</w:t>
      </w:r>
      <w:proofErr w:type="gramStart"/>
      <w:r w:rsidRPr="003F5882">
        <w:rPr>
          <w:rFonts w:ascii="Arial" w:hAnsi="Arial" w:cs="Times New Roman"/>
          <w:sz w:val="21"/>
        </w:rPr>
        <w:t>万瑞</w:t>
      </w:r>
      <w:proofErr w:type="gramEnd"/>
      <w:r w:rsidRPr="003F5882">
        <w:rPr>
          <w:rFonts w:ascii="Arial" w:hAnsi="Arial" w:cs="Times New Roman"/>
          <w:sz w:val="21"/>
        </w:rPr>
        <w:t>郎</w:t>
      </w:r>
      <w:r w:rsidR="00F453AC" w:rsidRPr="003F5882">
        <w:rPr>
          <w:rFonts w:ascii="Arial" w:hAnsi="Arial" w:cs="Times New Roman" w:hint="eastAsia"/>
          <w:sz w:val="21"/>
        </w:rPr>
        <w:t>）</w:t>
      </w:r>
      <w:r w:rsidRPr="003F5882">
        <w:rPr>
          <w:rFonts w:ascii="Arial" w:hAnsi="Arial" w:cs="Times New Roman"/>
          <w:sz w:val="21"/>
        </w:rPr>
        <w:t>。这些贷款最初要求支付利息。但</w:t>
      </w:r>
      <w:r w:rsidRPr="003F5882">
        <w:rPr>
          <w:rFonts w:ascii="Arial" w:hAnsi="Arial" w:cs="Times New Roman"/>
          <w:sz w:val="21"/>
        </w:rPr>
        <w:t>1996</w:t>
      </w:r>
      <w:r w:rsidRPr="003F5882">
        <w:rPr>
          <w:rFonts w:ascii="Arial" w:hAnsi="Arial" w:cs="Times New Roman"/>
          <w:sz w:val="21"/>
        </w:rPr>
        <w:t>年，瑞士联邦政府外交部同意免除进一步的利息支付。目前贷款仅需偿还本金。</w:t>
      </w:r>
    </w:p>
    <w:p w:rsidR="007D62CB" w:rsidRDefault="006C0099" w:rsidP="003374D7">
      <w:pPr>
        <w:pStyle w:val="Style3"/>
        <w:spacing w:afterLines="50" w:line="340" w:lineRule="atLeast"/>
        <w:rPr>
          <w:rFonts w:ascii="Arial" w:hAnsi="Arial" w:cs="Times New Roman"/>
          <w:sz w:val="21"/>
        </w:rPr>
      </w:pPr>
      <w:r w:rsidRPr="003F5882">
        <w:rPr>
          <w:rFonts w:ascii="Arial" w:hAnsi="Arial" w:cs="Times New Roman"/>
          <w:sz w:val="21"/>
        </w:rPr>
        <w:t>2008</w:t>
      </w:r>
      <w:r w:rsidRPr="003F5882">
        <w:rPr>
          <w:rFonts w:ascii="Arial" w:hAnsi="Arial" w:cs="Times New Roman"/>
          <w:sz w:val="21"/>
        </w:rPr>
        <w:t>年</w:t>
      </w:r>
      <w:r w:rsidRPr="003F5882">
        <w:rPr>
          <w:rFonts w:ascii="Arial" w:hAnsi="Arial" w:cs="Times New Roman"/>
          <w:sz w:val="21"/>
        </w:rPr>
        <w:t>2</w:t>
      </w:r>
      <w:r w:rsidRPr="003F5882">
        <w:rPr>
          <w:rFonts w:ascii="Arial" w:hAnsi="Arial" w:cs="Times New Roman"/>
          <w:sz w:val="21"/>
        </w:rPr>
        <w:t>月，为资助新办公楼建筑的部分成本，本组织与日内瓦州立银行</w:t>
      </w:r>
      <w:r w:rsidR="00F453AC" w:rsidRPr="003F5882">
        <w:rPr>
          <w:rFonts w:ascii="Arial" w:hAnsi="Arial" w:cs="Times New Roman"/>
          <w:sz w:val="21"/>
        </w:rPr>
        <w:t>（</w:t>
      </w:r>
      <w:r w:rsidRPr="003F5882">
        <w:rPr>
          <w:rFonts w:ascii="Arial" w:hAnsi="Arial" w:cs="Times New Roman"/>
          <w:sz w:val="21"/>
        </w:rPr>
        <w:t>BCG</w:t>
      </w:r>
      <w:r w:rsidR="00F453AC" w:rsidRPr="003F5882">
        <w:rPr>
          <w:rFonts w:ascii="Arial" w:hAnsi="Arial" w:cs="Times New Roman"/>
          <w:sz w:val="21"/>
        </w:rPr>
        <w:t>）</w:t>
      </w:r>
      <w:r w:rsidRPr="003F5882">
        <w:rPr>
          <w:rFonts w:ascii="Arial" w:hAnsi="Arial" w:cs="Times New Roman"/>
          <w:sz w:val="21"/>
        </w:rPr>
        <w:t>和</w:t>
      </w:r>
      <w:proofErr w:type="gramStart"/>
      <w:r w:rsidRPr="003F5882">
        <w:rPr>
          <w:rFonts w:ascii="Arial" w:hAnsi="Arial" w:cs="Times New Roman"/>
          <w:sz w:val="21"/>
        </w:rPr>
        <w:t>沃州</w:t>
      </w:r>
      <w:proofErr w:type="gramEnd"/>
      <w:r w:rsidRPr="003F5882">
        <w:rPr>
          <w:rFonts w:ascii="Arial" w:hAnsi="Arial" w:cs="Times New Roman"/>
          <w:sz w:val="21"/>
        </w:rPr>
        <w:t>州立银行</w:t>
      </w:r>
      <w:r w:rsidR="00F453AC" w:rsidRPr="003F5882">
        <w:rPr>
          <w:rFonts w:ascii="Arial" w:hAnsi="Arial" w:cs="Times New Roman"/>
          <w:sz w:val="21"/>
        </w:rPr>
        <w:t>（</w:t>
      </w:r>
      <w:r w:rsidRPr="003F5882">
        <w:rPr>
          <w:rFonts w:ascii="Arial" w:hAnsi="Arial" w:cs="Times New Roman"/>
          <w:sz w:val="21"/>
        </w:rPr>
        <w:t>BCV</w:t>
      </w:r>
      <w:r w:rsidR="00F453AC" w:rsidRPr="003F5882">
        <w:rPr>
          <w:rFonts w:ascii="Arial" w:hAnsi="Arial" w:cs="Times New Roman"/>
          <w:sz w:val="21"/>
        </w:rPr>
        <w:t>）</w:t>
      </w:r>
      <w:r w:rsidRPr="003F5882">
        <w:rPr>
          <w:rFonts w:ascii="Arial" w:hAnsi="Arial" w:cs="Times New Roman"/>
          <w:sz w:val="21"/>
        </w:rPr>
        <w:t>签订了一项金额为</w:t>
      </w:r>
      <w:r w:rsidRPr="003F5882">
        <w:rPr>
          <w:rFonts w:ascii="Arial" w:hAnsi="Arial" w:cs="Times New Roman"/>
          <w:sz w:val="21"/>
        </w:rPr>
        <w:t>1.14</w:t>
      </w:r>
      <w:r w:rsidR="00FD0477" w:rsidRPr="003F5882">
        <w:rPr>
          <w:rFonts w:ascii="Arial" w:hAnsi="Arial" w:cs="Times New Roman" w:hint="eastAsia"/>
          <w:sz w:val="21"/>
        </w:rPr>
        <w:t>0</w:t>
      </w:r>
      <w:r w:rsidRPr="003F5882">
        <w:rPr>
          <w:rFonts w:ascii="Arial" w:hAnsi="Arial" w:cs="Times New Roman"/>
          <w:sz w:val="21"/>
        </w:rPr>
        <w:t>亿瑞郎、外加</w:t>
      </w:r>
      <w:r w:rsidRPr="003F5882">
        <w:rPr>
          <w:rFonts w:ascii="Arial" w:hAnsi="Arial" w:cs="Times New Roman"/>
          <w:sz w:val="21"/>
        </w:rPr>
        <w:t>1,600</w:t>
      </w:r>
      <w:proofErr w:type="gramStart"/>
      <w:r w:rsidRPr="003F5882">
        <w:rPr>
          <w:rFonts w:ascii="Arial" w:hAnsi="Arial" w:cs="Times New Roman"/>
          <w:sz w:val="21"/>
        </w:rPr>
        <w:t>万瑞郎可能</w:t>
      </w:r>
      <w:proofErr w:type="gramEnd"/>
      <w:r w:rsidRPr="003F5882">
        <w:rPr>
          <w:rFonts w:ascii="Arial" w:hAnsi="Arial" w:cs="Times New Roman"/>
          <w:sz w:val="21"/>
        </w:rPr>
        <w:t>增加额的贷款合约，贷款使用期至</w:t>
      </w:r>
      <w:r w:rsidRPr="003F5882">
        <w:rPr>
          <w:rFonts w:ascii="Arial" w:hAnsi="Arial" w:cs="Times New Roman"/>
          <w:sz w:val="21"/>
        </w:rPr>
        <w:t>2011</w:t>
      </w:r>
      <w:r w:rsidRPr="003F5882">
        <w:rPr>
          <w:rFonts w:ascii="Arial" w:hAnsi="Arial" w:cs="Times New Roman"/>
          <w:sz w:val="21"/>
        </w:rPr>
        <w:t>年</w:t>
      </w:r>
      <w:r w:rsidRPr="003F5882">
        <w:rPr>
          <w:rFonts w:ascii="Arial" w:hAnsi="Arial" w:cs="Times New Roman"/>
          <w:sz w:val="21"/>
        </w:rPr>
        <w:t>2</w:t>
      </w:r>
      <w:r w:rsidRPr="003F5882">
        <w:rPr>
          <w:rFonts w:ascii="Arial" w:hAnsi="Arial" w:cs="Times New Roman"/>
          <w:sz w:val="21"/>
        </w:rPr>
        <w:t>月</w:t>
      </w:r>
      <w:r w:rsidRPr="003F5882">
        <w:rPr>
          <w:rFonts w:ascii="Arial" w:hAnsi="Arial" w:cs="Times New Roman"/>
          <w:sz w:val="21"/>
        </w:rPr>
        <w:t>28</w:t>
      </w:r>
      <w:r w:rsidRPr="003F5882">
        <w:rPr>
          <w:rFonts w:ascii="Arial" w:hAnsi="Arial" w:cs="Times New Roman"/>
          <w:sz w:val="21"/>
        </w:rPr>
        <w:t>日。</w:t>
      </w:r>
      <w:r w:rsidRPr="003F5882">
        <w:rPr>
          <w:rFonts w:ascii="Arial" w:hAnsi="Arial" w:cs="Times New Roman"/>
          <w:sz w:val="21"/>
        </w:rPr>
        <w:t>2011</w:t>
      </w:r>
      <w:r w:rsidRPr="003F5882">
        <w:rPr>
          <w:rFonts w:ascii="Arial" w:hAnsi="Arial" w:cs="Times New Roman"/>
          <w:sz w:val="21"/>
        </w:rPr>
        <w:t>年</w:t>
      </w:r>
      <w:r w:rsidRPr="003F5882">
        <w:rPr>
          <w:rFonts w:ascii="Arial" w:hAnsi="Arial" w:cs="Times New Roman"/>
          <w:sz w:val="21"/>
        </w:rPr>
        <w:t>1</w:t>
      </w:r>
      <w:r w:rsidRPr="003F5882">
        <w:rPr>
          <w:rFonts w:ascii="Arial" w:hAnsi="Arial" w:cs="Times New Roman"/>
          <w:sz w:val="21"/>
        </w:rPr>
        <w:t>月</w:t>
      </w:r>
      <w:r w:rsidRPr="003F5882">
        <w:rPr>
          <w:rFonts w:ascii="Arial" w:hAnsi="Arial" w:cs="Times New Roman"/>
          <w:sz w:val="21"/>
        </w:rPr>
        <w:t>27</w:t>
      </w:r>
      <w:r w:rsidRPr="003F5882">
        <w:rPr>
          <w:rFonts w:ascii="Arial" w:hAnsi="Arial" w:cs="Times New Roman"/>
          <w:sz w:val="21"/>
        </w:rPr>
        <w:t>日，本组织支取了增加的</w:t>
      </w:r>
      <w:r w:rsidRPr="003F5882">
        <w:rPr>
          <w:rFonts w:ascii="Arial" w:hAnsi="Arial" w:cs="Times New Roman"/>
          <w:sz w:val="21"/>
        </w:rPr>
        <w:t>1,600</w:t>
      </w:r>
      <w:proofErr w:type="gramStart"/>
      <w:r w:rsidRPr="003F5882">
        <w:rPr>
          <w:rFonts w:ascii="Arial" w:hAnsi="Arial" w:cs="Times New Roman"/>
          <w:sz w:val="21"/>
        </w:rPr>
        <w:t>万瑞</w:t>
      </w:r>
      <w:proofErr w:type="gramEnd"/>
      <w:r w:rsidRPr="003F5882">
        <w:rPr>
          <w:rFonts w:ascii="Arial" w:hAnsi="Arial" w:cs="Times New Roman"/>
          <w:sz w:val="21"/>
        </w:rPr>
        <w:t>郎。贷款利率固定为瑞士法郎伦敦银行同业拆借互换利率，期限为</w:t>
      </w:r>
      <w:r w:rsidRPr="003F5882">
        <w:rPr>
          <w:rFonts w:ascii="Arial" w:hAnsi="Arial" w:cs="Times New Roman"/>
          <w:sz w:val="21"/>
        </w:rPr>
        <w:t>15</w:t>
      </w:r>
      <w:r w:rsidRPr="003F5882">
        <w:rPr>
          <w:rFonts w:ascii="Arial" w:hAnsi="Arial" w:cs="Times New Roman"/>
          <w:sz w:val="21"/>
        </w:rPr>
        <w:t>年，并根据本组织确定的期限长度另加</w:t>
      </w:r>
      <w:r w:rsidRPr="003F5882">
        <w:rPr>
          <w:rFonts w:ascii="Arial" w:hAnsi="Arial" w:cs="Times New Roman"/>
          <w:sz w:val="21"/>
        </w:rPr>
        <w:t>0.30%</w:t>
      </w:r>
      <w:r w:rsidRPr="003F5882">
        <w:rPr>
          <w:rFonts w:ascii="Arial" w:hAnsi="Arial" w:cs="Times New Roman"/>
          <w:sz w:val="21"/>
        </w:rPr>
        <w:t>至</w:t>
      </w:r>
      <w:r w:rsidRPr="003F5882">
        <w:rPr>
          <w:rFonts w:ascii="Arial" w:hAnsi="Arial" w:cs="Times New Roman"/>
          <w:sz w:val="21"/>
        </w:rPr>
        <w:t>0.70%</w:t>
      </w:r>
      <w:r w:rsidRPr="003F5882">
        <w:rPr>
          <w:rFonts w:ascii="Arial" w:hAnsi="Arial" w:cs="Times New Roman"/>
          <w:sz w:val="21"/>
        </w:rPr>
        <w:t>不等的利润。</w:t>
      </w:r>
      <w:r w:rsidRPr="003F5882">
        <w:rPr>
          <w:rFonts w:ascii="Arial" w:hAnsi="Arial" w:cs="Times New Roman"/>
          <w:sz w:val="21"/>
        </w:rPr>
        <w:t>2014</w:t>
      </w:r>
      <w:r w:rsidRPr="003F5882">
        <w:rPr>
          <w:rFonts w:ascii="Arial" w:hAnsi="Arial" w:cs="Times New Roman"/>
          <w:sz w:val="21"/>
        </w:rPr>
        <w:t>年支付的利息总计为</w:t>
      </w:r>
      <w:r w:rsidRPr="003F5882">
        <w:rPr>
          <w:rFonts w:ascii="Arial" w:hAnsi="Arial" w:cs="Times New Roman"/>
          <w:sz w:val="21"/>
        </w:rPr>
        <w:t>310</w:t>
      </w:r>
      <w:proofErr w:type="gramStart"/>
      <w:r w:rsidRPr="003F5882">
        <w:rPr>
          <w:rFonts w:ascii="Arial" w:hAnsi="Arial" w:cs="Times New Roman"/>
          <w:sz w:val="21"/>
        </w:rPr>
        <w:t>万瑞</w:t>
      </w:r>
      <w:proofErr w:type="gramEnd"/>
      <w:r w:rsidRPr="003F5882">
        <w:rPr>
          <w:rFonts w:ascii="Arial" w:hAnsi="Arial" w:cs="Times New Roman"/>
          <w:sz w:val="21"/>
        </w:rPr>
        <w:t>郎，本年度加权平均利率为</w:t>
      </w:r>
      <w:r w:rsidRPr="003F5882">
        <w:rPr>
          <w:rFonts w:ascii="Arial" w:hAnsi="Arial" w:cs="Times New Roman"/>
          <w:sz w:val="21"/>
        </w:rPr>
        <w:t>2.60%</w:t>
      </w:r>
      <w:r w:rsidRPr="003F5882">
        <w:rPr>
          <w:rFonts w:ascii="Arial" w:hAnsi="Arial" w:cs="Times New Roman"/>
          <w:sz w:val="21"/>
        </w:rPr>
        <w:t>。除支付利息外，合约还规定，针对</w:t>
      </w:r>
      <w:r w:rsidRPr="003F5882">
        <w:rPr>
          <w:rFonts w:ascii="Arial" w:hAnsi="Arial" w:cs="Times New Roman"/>
          <w:sz w:val="21"/>
        </w:rPr>
        <w:t>1.14</w:t>
      </w:r>
      <w:r w:rsidR="00FD0477" w:rsidRPr="003F5882">
        <w:rPr>
          <w:rFonts w:ascii="Arial" w:hAnsi="Arial" w:cs="Times New Roman" w:hint="eastAsia"/>
          <w:sz w:val="21"/>
        </w:rPr>
        <w:t>0</w:t>
      </w:r>
      <w:r w:rsidRPr="003F5882">
        <w:rPr>
          <w:rFonts w:ascii="Arial" w:hAnsi="Arial" w:cs="Times New Roman"/>
          <w:sz w:val="21"/>
        </w:rPr>
        <w:t>亿瑞郎的最初贷款和</w:t>
      </w:r>
      <w:r w:rsidRPr="003F5882">
        <w:rPr>
          <w:rFonts w:ascii="Arial" w:hAnsi="Arial" w:cs="Times New Roman"/>
          <w:sz w:val="21"/>
        </w:rPr>
        <w:t>1,600</w:t>
      </w:r>
      <w:proofErr w:type="gramStart"/>
      <w:r w:rsidRPr="003F5882">
        <w:rPr>
          <w:rFonts w:ascii="Arial" w:hAnsi="Arial" w:cs="Times New Roman"/>
          <w:sz w:val="21"/>
        </w:rPr>
        <w:t>万瑞</w:t>
      </w:r>
      <w:proofErr w:type="gramEnd"/>
      <w:r w:rsidRPr="003F5882">
        <w:rPr>
          <w:rFonts w:ascii="Arial" w:hAnsi="Arial" w:cs="Times New Roman"/>
          <w:sz w:val="21"/>
        </w:rPr>
        <w:t>郎的补充贷款，从</w:t>
      </w:r>
      <w:r w:rsidRPr="003F5882">
        <w:rPr>
          <w:rFonts w:ascii="Arial" w:hAnsi="Arial" w:cs="Times New Roman"/>
          <w:sz w:val="21"/>
        </w:rPr>
        <w:t>2012</w:t>
      </w:r>
      <w:r w:rsidRPr="003F5882">
        <w:rPr>
          <w:rFonts w:ascii="Arial" w:hAnsi="Arial" w:cs="Times New Roman"/>
          <w:sz w:val="21"/>
        </w:rPr>
        <w:t>年</w:t>
      </w:r>
      <w:r w:rsidRPr="003F5882">
        <w:rPr>
          <w:rFonts w:ascii="Arial" w:hAnsi="Arial" w:cs="Times New Roman"/>
          <w:sz w:val="21"/>
        </w:rPr>
        <w:t>2</w:t>
      </w:r>
      <w:r w:rsidRPr="003F5882">
        <w:rPr>
          <w:rFonts w:ascii="Arial" w:hAnsi="Arial" w:cs="Times New Roman"/>
          <w:sz w:val="21"/>
        </w:rPr>
        <w:t>月</w:t>
      </w:r>
      <w:r w:rsidRPr="003F5882">
        <w:rPr>
          <w:rFonts w:ascii="Arial" w:hAnsi="Arial" w:cs="Times New Roman"/>
          <w:sz w:val="21"/>
        </w:rPr>
        <w:t>28</w:t>
      </w:r>
      <w:r w:rsidRPr="003F5882">
        <w:rPr>
          <w:rFonts w:ascii="Arial" w:hAnsi="Arial" w:cs="Times New Roman"/>
          <w:sz w:val="21"/>
        </w:rPr>
        <w:t>日起开始逐年偿还本金，每年还款额为借款总额的</w:t>
      </w:r>
      <w:r w:rsidRPr="003F5882">
        <w:rPr>
          <w:rFonts w:ascii="Arial" w:hAnsi="Arial" w:cs="Times New Roman"/>
          <w:sz w:val="21"/>
        </w:rPr>
        <w:t>3%</w:t>
      </w:r>
      <w:r w:rsidRPr="003F5882">
        <w:rPr>
          <w:rFonts w:ascii="Arial" w:hAnsi="Arial" w:cs="Times New Roman"/>
          <w:sz w:val="21"/>
        </w:rPr>
        <w:t>。本组织将于</w:t>
      </w:r>
      <w:r w:rsidRPr="003F5882">
        <w:rPr>
          <w:rFonts w:ascii="Arial" w:hAnsi="Arial" w:cs="Times New Roman"/>
          <w:sz w:val="21"/>
        </w:rPr>
        <w:t>2015</w:t>
      </w:r>
      <w:r w:rsidRPr="003F5882">
        <w:rPr>
          <w:rFonts w:ascii="Arial" w:hAnsi="Arial" w:cs="Times New Roman"/>
          <w:sz w:val="21"/>
        </w:rPr>
        <w:t>年</w:t>
      </w:r>
      <w:r w:rsidRPr="003F5882">
        <w:rPr>
          <w:rFonts w:ascii="Arial" w:hAnsi="Arial" w:cs="Times New Roman"/>
          <w:sz w:val="21"/>
        </w:rPr>
        <w:t>11</w:t>
      </w:r>
      <w:r w:rsidRPr="003F5882">
        <w:rPr>
          <w:rFonts w:ascii="Arial" w:hAnsi="Arial" w:cs="Times New Roman"/>
          <w:sz w:val="21"/>
        </w:rPr>
        <w:t>月进行第一期一次性偿还贷款，偿还金额为</w:t>
      </w:r>
      <w:r w:rsidRPr="003F5882">
        <w:rPr>
          <w:rFonts w:ascii="Arial" w:hAnsi="Arial" w:cs="Times New Roman"/>
          <w:sz w:val="21"/>
        </w:rPr>
        <w:t>2,400</w:t>
      </w:r>
      <w:proofErr w:type="gramStart"/>
      <w:r w:rsidRPr="003F5882">
        <w:rPr>
          <w:rFonts w:ascii="Arial" w:hAnsi="Arial" w:cs="Times New Roman"/>
          <w:sz w:val="21"/>
        </w:rPr>
        <w:t>万瑞</w:t>
      </w:r>
      <w:proofErr w:type="gramEnd"/>
      <w:r w:rsidRPr="003F5882">
        <w:rPr>
          <w:rFonts w:ascii="Arial" w:hAnsi="Arial" w:cs="Times New Roman"/>
          <w:sz w:val="21"/>
        </w:rPr>
        <w:t>郎。第二期一次性偿还贷款目前安排在</w:t>
      </w:r>
      <w:r w:rsidRPr="003F5882">
        <w:rPr>
          <w:rFonts w:ascii="Arial" w:hAnsi="Arial" w:cs="Times New Roman"/>
          <w:sz w:val="21"/>
        </w:rPr>
        <w:t>2016</w:t>
      </w:r>
      <w:r w:rsidRPr="003F5882">
        <w:rPr>
          <w:rFonts w:ascii="Arial" w:hAnsi="Arial" w:cs="Times New Roman"/>
          <w:sz w:val="21"/>
        </w:rPr>
        <w:t>年</w:t>
      </w:r>
      <w:r w:rsidRPr="003F5882">
        <w:rPr>
          <w:rFonts w:ascii="Arial" w:hAnsi="Arial" w:cs="Times New Roman"/>
          <w:sz w:val="21"/>
        </w:rPr>
        <w:t>1</w:t>
      </w:r>
      <w:r w:rsidRPr="003F5882">
        <w:rPr>
          <w:rFonts w:ascii="Arial" w:hAnsi="Arial" w:cs="Times New Roman"/>
          <w:sz w:val="21"/>
        </w:rPr>
        <w:t>月，金额为</w:t>
      </w:r>
      <w:r w:rsidRPr="003F5882">
        <w:rPr>
          <w:rFonts w:ascii="Arial" w:hAnsi="Arial" w:cs="Times New Roman"/>
          <w:sz w:val="21"/>
        </w:rPr>
        <w:t>1,600</w:t>
      </w:r>
      <w:proofErr w:type="gramStart"/>
      <w:r w:rsidRPr="003F5882">
        <w:rPr>
          <w:rFonts w:ascii="Arial" w:hAnsi="Arial" w:cs="Times New Roman"/>
          <w:sz w:val="21"/>
        </w:rPr>
        <w:t>万瑞</w:t>
      </w:r>
      <w:proofErr w:type="gramEnd"/>
      <w:r w:rsidRPr="003F5882">
        <w:rPr>
          <w:rFonts w:ascii="Arial" w:hAnsi="Arial" w:cs="Times New Roman"/>
          <w:sz w:val="21"/>
        </w:rPr>
        <w:t>郎。</w:t>
      </w:r>
    </w:p>
    <w:p w:rsidR="007D62CB" w:rsidRDefault="006C0099" w:rsidP="003374D7">
      <w:pPr>
        <w:pStyle w:val="Style3"/>
        <w:spacing w:afterLines="50" w:line="340" w:lineRule="atLeast"/>
        <w:rPr>
          <w:rFonts w:ascii="Arial" w:hAnsi="Arial" w:cs="Times New Roman"/>
          <w:sz w:val="21"/>
        </w:rPr>
      </w:pPr>
      <w:r w:rsidRPr="003F5882">
        <w:rPr>
          <w:rFonts w:ascii="Arial" w:hAnsi="Arial" w:cs="Times New Roman"/>
          <w:sz w:val="21"/>
        </w:rPr>
        <w:t>2010</w:t>
      </w:r>
      <w:r w:rsidRPr="003F5882">
        <w:rPr>
          <w:rFonts w:ascii="Arial" w:hAnsi="Arial" w:cs="Times New Roman"/>
          <w:sz w:val="21"/>
        </w:rPr>
        <w:t>年</w:t>
      </w:r>
      <w:r w:rsidRPr="003F5882">
        <w:rPr>
          <w:rFonts w:ascii="Arial" w:hAnsi="Arial" w:cs="Times New Roman"/>
          <w:sz w:val="21"/>
        </w:rPr>
        <w:t>10</w:t>
      </w:r>
      <w:r w:rsidRPr="003F5882">
        <w:rPr>
          <w:rFonts w:ascii="Arial" w:hAnsi="Arial" w:cs="Times New Roman"/>
          <w:sz w:val="21"/>
        </w:rPr>
        <w:t>月，日内瓦州立银行、沃州州立银行和</w:t>
      </w:r>
      <w:r w:rsidRPr="003F5882">
        <w:rPr>
          <w:rFonts w:ascii="Arial" w:hAnsi="Arial" w:cs="Times New Roman"/>
          <w:sz w:val="21"/>
        </w:rPr>
        <w:t>WIPO</w:t>
      </w:r>
      <w:r w:rsidRPr="003F5882">
        <w:rPr>
          <w:rFonts w:ascii="Arial" w:hAnsi="Arial" w:cs="Times New Roman"/>
          <w:sz w:val="21"/>
        </w:rPr>
        <w:t>批准了贷款合约的修正案，其中规定提供</w:t>
      </w:r>
      <w:r w:rsidRPr="003F5882">
        <w:rPr>
          <w:rFonts w:ascii="Arial" w:hAnsi="Arial" w:cs="Times New Roman"/>
          <w:sz w:val="21"/>
        </w:rPr>
        <w:t>4,000</w:t>
      </w:r>
      <w:proofErr w:type="gramStart"/>
      <w:r w:rsidRPr="003F5882">
        <w:rPr>
          <w:rFonts w:ascii="Arial" w:hAnsi="Arial" w:cs="Times New Roman"/>
          <w:sz w:val="21"/>
        </w:rPr>
        <w:t>万瑞</w:t>
      </w:r>
      <w:proofErr w:type="gramEnd"/>
      <w:r w:rsidRPr="003F5882">
        <w:rPr>
          <w:rFonts w:ascii="Arial" w:hAnsi="Arial" w:cs="Times New Roman"/>
          <w:sz w:val="21"/>
        </w:rPr>
        <w:t>郎的增加额，作为资助新会议厅的部分成本，可在</w:t>
      </w:r>
      <w:r w:rsidRPr="003F5882">
        <w:rPr>
          <w:rFonts w:ascii="Arial" w:hAnsi="Arial" w:cs="Times New Roman"/>
          <w:sz w:val="21"/>
        </w:rPr>
        <w:t>2011</w:t>
      </w:r>
      <w:r w:rsidRPr="003F5882">
        <w:rPr>
          <w:rFonts w:ascii="Arial" w:hAnsi="Arial" w:cs="Times New Roman"/>
          <w:sz w:val="21"/>
        </w:rPr>
        <w:t>年</w:t>
      </w:r>
      <w:r w:rsidRPr="003F5882">
        <w:rPr>
          <w:rFonts w:ascii="Arial" w:hAnsi="Arial" w:cs="Times New Roman"/>
          <w:sz w:val="21"/>
        </w:rPr>
        <w:t>3</w:t>
      </w:r>
      <w:r w:rsidRPr="003F5882">
        <w:rPr>
          <w:rFonts w:ascii="Arial" w:hAnsi="Arial" w:cs="Times New Roman"/>
          <w:sz w:val="21"/>
        </w:rPr>
        <w:t>月</w:t>
      </w:r>
      <w:r w:rsidRPr="003F5882">
        <w:rPr>
          <w:rFonts w:ascii="Arial" w:hAnsi="Arial" w:cs="Times New Roman"/>
          <w:sz w:val="21"/>
        </w:rPr>
        <w:t>31</w:t>
      </w:r>
      <w:r w:rsidRPr="003F5882">
        <w:rPr>
          <w:rFonts w:ascii="Arial" w:hAnsi="Arial" w:cs="Times New Roman"/>
          <w:sz w:val="21"/>
        </w:rPr>
        <w:t>日至</w:t>
      </w:r>
      <w:r w:rsidRPr="003F5882">
        <w:rPr>
          <w:rFonts w:ascii="Arial" w:hAnsi="Arial" w:cs="Times New Roman"/>
          <w:sz w:val="21"/>
        </w:rPr>
        <w:t>2014</w:t>
      </w:r>
      <w:r w:rsidRPr="003F5882">
        <w:rPr>
          <w:rFonts w:ascii="Arial" w:hAnsi="Arial" w:cs="Times New Roman"/>
          <w:sz w:val="21"/>
        </w:rPr>
        <w:t>年</w:t>
      </w:r>
      <w:r w:rsidRPr="003F5882">
        <w:rPr>
          <w:rFonts w:ascii="Arial" w:hAnsi="Arial" w:cs="Times New Roman"/>
          <w:sz w:val="21"/>
        </w:rPr>
        <w:t>3</w:t>
      </w:r>
      <w:r w:rsidRPr="003F5882">
        <w:rPr>
          <w:rFonts w:ascii="Arial" w:hAnsi="Arial" w:cs="Times New Roman"/>
          <w:sz w:val="21"/>
        </w:rPr>
        <w:t>月</w:t>
      </w:r>
      <w:r w:rsidRPr="003F5882">
        <w:rPr>
          <w:rFonts w:ascii="Arial" w:hAnsi="Arial" w:cs="Times New Roman"/>
          <w:sz w:val="21"/>
        </w:rPr>
        <w:t>31</w:t>
      </w:r>
      <w:r w:rsidRPr="003F5882">
        <w:rPr>
          <w:rFonts w:ascii="Arial" w:hAnsi="Arial" w:cs="Times New Roman"/>
          <w:sz w:val="21"/>
        </w:rPr>
        <w:t>日期间使用。</w:t>
      </w:r>
      <w:r w:rsidRPr="003F5882">
        <w:rPr>
          <w:rFonts w:ascii="Arial" w:hAnsi="Arial" w:cs="Times New Roman"/>
          <w:sz w:val="21"/>
        </w:rPr>
        <w:t>2014</w:t>
      </w:r>
      <w:r w:rsidRPr="003F5882">
        <w:rPr>
          <w:rFonts w:ascii="Arial" w:hAnsi="Arial" w:cs="Times New Roman"/>
          <w:sz w:val="21"/>
        </w:rPr>
        <w:t>年期间，本组织选择不提取该</w:t>
      </w:r>
      <w:r w:rsidRPr="003F5882">
        <w:rPr>
          <w:rFonts w:ascii="Arial" w:hAnsi="Arial" w:cs="Times New Roman"/>
          <w:sz w:val="21"/>
        </w:rPr>
        <w:t>4,000</w:t>
      </w:r>
      <w:r w:rsidRPr="003F5882">
        <w:rPr>
          <w:rFonts w:ascii="Arial" w:hAnsi="Arial" w:cs="Times New Roman"/>
          <w:sz w:val="21"/>
        </w:rPr>
        <w:t>万瑞郎的增加额。应指出，在可用期间，本组织为未动用贷款金额每年支付</w:t>
      </w:r>
      <w:r w:rsidRPr="003F5882">
        <w:rPr>
          <w:rFonts w:ascii="Arial" w:hAnsi="Arial" w:cs="Times New Roman"/>
          <w:sz w:val="21"/>
        </w:rPr>
        <w:t>0.15%</w:t>
      </w:r>
      <w:r w:rsidRPr="003F5882">
        <w:rPr>
          <w:rFonts w:ascii="Arial" w:hAnsi="Arial" w:cs="Times New Roman"/>
          <w:sz w:val="21"/>
        </w:rPr>
        <w:t>的手续费。</w:t>
      </w:r>
    </w:p>
    <w:p w:rsidR="007D62CB" w:rsidRDefault="00C14A2F" w:rsidP="007D62CB">
      <w:pPr>
        <w:pStyle w:val="STYLETITRENOTES"/>
        <w:keepNext/>
        <w:overflowPunct w:val="0"/>
        <w:spacing w:beforeLines="100" w:before="240" w:afterLines="100" w:after="240" w:line="340" w:lineRule="atLeast"/>
        <w:rPr>
          <w:rFonts w:ascii="Arial" w:eastAsia="SimHei" w:hAnsi="Arial"/>
          <w:b w:val="0"/>
          <w:sz w:val="21"/>
          <w:szCs w:val="22"/>
        </w:rPr>
      </w:pPr>
      <w:r w:rsidRPr="00F453AC">
        <w:rPr>
          <w:rFonts w:ascii="Arial" w:eastAsia="SimHei" w:hAnsi="Arial"/>
          <w:b w:val="0"/>
          <w:sz w:val="21"/>
        </w:rPr>
        <w:lastRenderedPageBreak/>
        <w:t>附注</w:t>
      </w:r>
      <w:r w:rsidRPr="007D62CB">
        <w:rPr>
          <w:rFonts w:ascii="Arial" w:eastAsia="SimHei" w:hAnsi="Arial" w:cs="Times New Roman"/>
          <w:b w:val="0"/>
          <w:sz w:val="21"/>
        </w:rPr>
        <w:t>16</w:t>
      </w:r>
      <w:r w:rsidRPr="00F453AC">
        <w:rPr>
          <w:rFonts w:ascii="Arial" w:eastAsia="SimHei" w:hAnsi="Arial"/>
          <w:b w:val="0"/>
          <w:sz w:val="21"/>
        </w:rPr>
        <w:t>：</w:t>
      </w:r>
      <w:r w:rsidRPr="00F453AC">
        <w:rPr>
          <w:rFonts w:ascii="Arial" w:eastAsia="SimHei" w:hAnsi="Arial"/>
          <w:b w:val="0"/>
          <w:sz w:val="21"/>
        </w:rPr>
        <w:tab/>
      </w:r>
      <w:r w:rsidRPr="00F453AC">
        <w:rPr>
          <w:rFonts w:ascii="Arial" w:eastAsia="SimHei" w:hAnsi="Arial"/>
          <w:b w:val="0"/>
          <w:sz w:val="21"/>
        </w:rPr>
        <w:t>准备金</w:t>
      </w:r>
    </w:p>
    <w:p w:rsidR="00C14A2F" w:rsidRPr="003F5882" w:rsidRDefault="006F16A3" w:rsidP="00C14A2F">
      <w:pPr>
        <w:jc w:val="center"/>
        <w:rPr>
          <w:rFonts w:ascii="Arial" w:hAnsi="Arial"/>
          <w:sz w:val="20"/>
          <w:szCs w:val="20"/>
        </w:rPr>
      </w:pPr>
      <w:r w:rsidRPr="006F16A3">
        <w:rPr>
          <w:noProof/>
          <w:lang w:val="en-US" w:bidi="ar-SA"/>
        </w:rPr>
        <w:drawing>
          <wp:inline distT="0" distB="0" distL="0" distR="0">
            <wp:extent cx="5736590" cy="1181735"/>
            <wp:effectExtent l="0" t="0" r="0" b="0"/>
            <wp:docPr id="162" name="图片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5736590" cy="1181735"/>
                    </a:xfrm>
                    <a:prstGeom prst="rect">
                      <a:avLst/>
                    </a:prstGeom>
                    <a:noFill/>
                    <a:ln>
                      <a:noFill/>
                    </a:ln>
                  </pic:spPr>
                </pic:pic>
              </a:graphicData>
            </a:graphic>
          </wp:inline>
        </w:drawing>
      </w:r>
    </w:p>
    <w:p w:rsidR="007D62CB" w:rsidRDefault="00C14A2F" w:rsidP="003374D7">
      <w:pPr>
        <w:pStyle w:val="Style3"/>
        <w:spacing w:afterLines="50" w:line="340" w:lineRule="atLeast"/>
        <w:rPr>
          <w:rFonts w:ascii="Arial" w:hAnsi="Arial"/>
          <w:sz w:val="21"/>
        </w:rPr>
      </w:pPr>
      <w:r w:rsidRPr="003F5882">
        <w:rPr>
          <w:rFonts w:ascii="Arial" w:hAnsi="Arial"/>
          <w:sz w:val="21"/>
        </w:rPr>
        <w:t>作为其正常活动的一部分，本组织也会经历诉讼。截至报告日，</w:t>
      </w:r>
      <w:r w:rsidRPr="003F5882">
        <w:rPr>
          <w:rFonts w:ascii="Arial" w:hAnsi="Arial"/>
          <w:sz w:val="21"/>
        </w:rPr>
        <w:t>2014</w:t>
      </w:r>
      <w:r w:rsidRPr="003F5882">
        <w:rPr>
          <w:rFonts w:ascii="Arial" w:hAnsi="Arial"/>
          <w:sz w:val="21"/>
        </w:rPr>
        <w:t>年</w:t>
      </w:r>
      <w:r w:rsidRPr="003F5882">
        <w:rPr>
          <w:rFonts w:ascii="Arial" w:hAnsi="Arial"/>
          <w:sz w:val="21"/>
        </w:rPr>
        <w:t>12</w:t>
      </w:r>
      <w:r w:rsidRPr="003F5882">
        <w:rPr>
          <w:rFonts w:ascii="Arial" w:hAnsi="Arial"/>
          <w:sz w:val="21"/>
        </w:rPr>
        <w:t>月</w:t>
      </w:r>
      <w:r w:rsidRPr="003F5882">
        <w:rPr>
          <w:rFonts w:ascii="Arial" w:hAnsi="Arial"/>
          <w:sz w:val="21"/>
        </w:rPr>
        <w:t>31</w:t>
      </w:r>
      <w:r w:rsidRPr="003F5882">
        <w:rPr>
          <w:rFonts w:ascii="Arial" w:hAnsi="Arial"/>
          <w:sz w:val="21"/>
        </w:rPr>
        <w:t>日之前开展的活动已经形成了一定的法律债务。由于这些债务未来可能需要清算，并且由于可以对清算金额做出可靠的估算，因此设立了法律费用准备金。在估算准备金的数额时，根据可用信息，尽可能做了贴近实际的估算。</w:t>
      </w:r>
    </w:p>
    <w:p w:rsidR="00C14A2F" w:rsidRPr="003F5882" w:rsidRDefault="006F16A3" w:rsidP="006F16A3">
      <w:pPr>
        <w:pStyle w:val="Style3"/>
        <w:spacing w:afterLines="50"/>
        <w:jc w:val="center"/>
        <w:rPr>
          <w:rFonts w:ascii="Arial" w:hAnsi="Arial"/>
          <w:sz w:val="21"/>
          <w:szCs w:val="22"/>
        </w:rPr>
      </w:pPr>
      <w:r w:rsidRPr="006F16A3">
        <w:rPr>
          <w:noProof/>
          <w:lang w:val="en-US" w:bidi="ar-SA"/>
        </w:rPr>
        <w:drawing>
          <wp:inline distT="0" distB="0" distL="0" distR="0">
            <wp:extent cx="4442460" cy="3209290"/>
            <wp:effectExtent l="0" t="0" r="0" b="0"/>
            <wp:docPr id="163" name="图片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4442460" cy="3209290"/>
                    </a:xfrm>
                    <a:prstGeom prst="rect">
                      <a:avLst/>
                    </a:prstGeom>
                    <a:noFill/>
                    <a:ln>
                      <a:noFill/>
                    </a:ln>
                  </pic:spPr>
                </pic:pic>
              </a:graphicData>
            </a:graphic>
          </wp:inline>
        </w:drawing>
      </w:r>
    </w:p>
    <w:p w:rsidR="007D62CB" w:rsidRDefault="00C14A2F" w:rsidP="007D62CB">
      <w:pPr>
        <w:pStyle w:val="STYLETITRENOTES"/>
        <w:keepNext/>
        <w:overflowPunct w:val="0"/>
        <w:spacing w:beforeLines="100" w:before="240" w:afterLines="100" w:after="240" w:line="340" w:lineRule="atLeast"/>
        <w:rPr>
          <w:rFonts w:ascii="Arial" w:eastAsia="SimHei" w:hAnsi="Arial"/>
          <w:b w:val="0"/>
          <w:sz w:val="21"/>
        </w:rPr>
      </w:pPr>
      <w:r w:rsidRPr="00F453AC">
        <w:rPr>
          <w:rFonts w:ascii="Arial" w:eastAsia="SimHei" w:hAnsi="Arial"/>
          <w:b w:val="0"/>
          <w:sz w:val="21"/>
        </w:rPr>
        <w:t>附注</w:t>
      </w:r>
      <w:r w:rsidRPr="00F453AC">
        <w:rPr>
          <w:rFonts w:ascii="Arial" w:eastAsia="SimHei" w:hAnsi="Arial"/>
          <w:b w:val="0"/>
          <w:sz w:val="21"/>
        </w:rPr>
        <w:t>17</w:t>
      </w:r>
      <w:r w:rsidRPr="00F453AC">
        <w:rPr>
          <w:rFonts w:ascii="Arial" w:eastAsia="SimHei" w:hAnsi="Arial"/>
          <w:b w:val="0"/>
          <w:sz w:val="21"/>
        </w:rPr>
        <w:t>：</w:t>
      </w:r>
      <w:r w:rsidRPr="00F453AC">
        <w:rPr>
          <w:rFonts w:ascii="Arial" w:eastAsia="SimHei" w:hAnsi="Arial"/>
          <w:b w:val="0"/>
          <w:sz w:val="21"/>
        </w:rPr>
        <w:tab/>
      </w:r>
      <w:r w:rsidRPr="00F453AC">
        <w:rPr>
          <w:rFonts w:ascii="Arial" w:eastAsia="SimHei" w:hAnsi="Arial"/>
          <w:b w:val="0"/>
          <w:sz w:val="21"/>
        </w:rPr>
        <w:t>其他负债</w:t>
      </w:r>
    </w:p>
    <w:p w:rsidR="00C14A2F" w:rsidRPr="003F5882" w:rsidRDefault="006F16A3" w:rsidP="006F16A3">
      <w:pPr>
        <w:spacing w:afterLines="50" w:after="120"/>
        <w:jc w:val="center"/>
        <w:rPr>
          <w:rFonts w:ascii="Arial" w:hAnsi="Arial"/>
          <w:sz w:val="20"/>
          <w:szCs w:val="20"/>
        </w:rPr>
      </w:pPr>
      <w:r w:rsidRPr="006F16A3">
        <w:rPr>
          <w:noProof/>
          <w:lang w:val="en-US" w:bidi="ar-SA"/>
        </w:rPr>
        <w:drawing>
          <wp:inline distT="0" distB="0" distL="0" distR="0">
            <wp:extent cx="5736590" cy="1190625"/>
            <wp:effectExtent l="0" t="0" r="0" b="0"/>
            <wp:docPr id="164" name="图片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5736590" cy="1190625"/>
                    </a:xfrm>
                    <a:prstGeom prst="rect">
                      <a:avLst/>
                    </a:prstGeom>
                    <a:noFill/>
                    <a:ln>
                      <a:noFill/>
                    </a:ln>
                  </pic:spPr>
                </pic:pic>
              </a:graphicData>
            </a:graphic>
          </wp:inline>
        </w:drawing>
      </w:r>
    </w:p>
    <w:p w:rsidR="007D62CB" w:rsidRDefault="00C14A2F" w:rsidP="003374D7">
      <w:pPr>
        <w:pStyle w:val="Style3"/>
        <w:spacing w:afterLines="50" w:line="340" w:lineRule="atLeast"/>
        <w:rPr>
          <w:rFonts w:ascii="Arial" w:hAnsi="Arial"/>
          <w:sz w:val="21"/>
        </w:rPr>
      </w:pPr>
      <w:r w:rsidRPr="003F5882">
        <w:rPr>
          <w:rFonts w:ascii="Arial" w:hAnsi="Arial"/>
          <w:sz w:val="21"/>
        </w:rPr>
        <w:t>本组织向</w:t>
      </w:r>
      <w:r w:rsidRPr="003F5882">
        <w:rPr>
          <w:rFonts w:ascii="Arial" w:hAnsi="Arial"/>
          <w:sz w:val="21"/>
        </w:rPr>
        <w:t>PCT</w:t>
      </w:r>
      <w:r w:rsidRPr="003F5882">
        <w:rPr>
          <w:rFonts w:ascii="Arial" w:hAnsi="Arial"/>
          <w:sz w:val="21"/>
        </w:rPr>
        <w:t>、商标和工业品外观设计的申请人提供便利，使其可以将资金存入</w:t>
      </w:r>
      <w:r w:rsidR="003D06E3" w:rsidRPr="003F5882">
        <w:rPr>
          <w:rFonts w:ascii="Arial" w:hAnsi="Arial" w:hint="eastAsia"/>
          <w:sz w:val="21"/>
        </w:rPr>
        <w:t>“</w:t>
      </w:r>
      <w:r w:rsidRPr="003F5882">
        <w:rPr>
          <w:rFonts w:ascii="Arial" w:hAnsi="Arial"/>
          <w:sz w:val="21"/>
        </w:rPr>
        <w:t>往来账户</w:t>
      </w:r>
      <w:r w:rsidR="003D06E3" w:rsidRPr="003F5882">
        <w:rPr>
          <w:rFonts w:ascii="Arial" w:hAnsi="Arial" w:hint="eastAsia"/>
          <w:sz w:val="21"/>
        </w:rPr>
        <w:t>”</w:t>
      </w:r>
      <w:r w:rsidRPr="003F5882">
        <w:rPr>
          <w:rFonts w:ascii="Arial" w:hAnsi="Arial"/>
          <w:sz w:val="21"/>
        </w:rPr>
        <w:t>。在该项资金使用前，本组织担任资金的保管人，用以支付与个人申请和续展相关的应缴费用。这些资金一直被保存至递交特定申请之际。在收到申请和授权后，往来账户余额将相应减少。在申请被注册前，这些资金被视为预缴款。</w:t>
      </w:r>
    </w:p>
    <w:p w:rsidR="007D62CB" w:rsidRDefault="00C14A2F" w:rsidP="003374D7">
      <w:pPr>
        <w:pStyle w:val="Style3"/>
        <w:spacing w:afterLines="50" w:line="340" w:lineRule="atLeast"/>
        <w:rPr>
          <w:rFonts w:ascii="Arial" w:hAnsi="Arial"/>
          <w:sz w:val="21"/>
        </w:rPr>
      </w:pPr>
      <w:r w:rsidRPr="003F5882">
        <w:rPr>
          <w:rFonts w:ascii="Arial" w:hAnsi="Arial"/>
          <w:sz w:val="21"/>
        </w:rPr>
        <w:t>此外，本组织还以其名义持有银行账户，向某些缔约方提供一种转付资金的机制，这些资金由</w:t>
      </w:r>
      <w:r w:rsidRPr="003374D7">
        <w:rPr>
          <w:rFonts w:ascii="Arial" w:hAnsi="Arial" w:cs="Times New Roman"/>
          <w:sz w:val="21"/>
        </w:rPr>
        <w:t>缔约</w:t>
      </w:r>
      <w:r w:rsidRPr="003F5882">
        <w:rPr>
          <w:rFonts w:ascii="Arial" w:hAnsi="Arial"/>
          <w:sz w:val="21"/>
        </w:rPr>
        <w:t>方代表本组织收取。在缔约方通知本组织这些账户所持资金为本组织的收入之前，账户所剩余额不计为收入。</w:t>
      </w:r>
    </w:p>
    <w:p w:rsidR="007D62CB" w:rsidRDefault="00C14A2F" w:rsidP="007D62CB">
      <w:pPr>
        <w:pStyle w:val="STYLETITRENOTES"/>
        <w:keepNext/>
        <w:overflowPunct w:val="0"/>
        <w:spacing w:beforeLines="100" w:before="240" w:afterLines="100" w:after="240" w:line="340" w:lineRule="atLeast"/>
        <w:rPr>
          <w:rFonts w:ascii="Arial" w:eastAsia="SimHei" w:hAnsi="Arial"/>
          <w:b w:val="0"/>
          <w:sz w:val="21"/>
          <w:szCs w:val="22"/>
        </w:rPr>
      </w:pPr>
      <w:r w:rsidRPr="00F453AC">
        <w:rPr>
          <w:rFonts w:ascii="Arial" w:eastAsia="SimHei" w:hAnsi="Arial"/>
          <w:b w:val="0"/>
          <w:sz w:val="21"/>
        </w:rPr>
        <w:lastRenderedPageBreak/>
        <w:t>附注</w:t>
      </w:r>
      <w:r w:rsidRPr="00F453AC">
        <w:rPr>
          <w:rFonts w:ascii="Arial" w:eastAsia="SimHei" w:hAnsi="Arial"/>
          <w:b w:val="0"/>
          <w:sz w:val="21"/>
        </w:rPr>
        <w:t>18</w:t>
      </w:r>
      <w:r w:rsidRPr="00F453AC">
        <w:rPr>
          <w:rFonts w:ascii="Arial" w:eastAsia="SimHei" w:hAnsi="Arial"/>
          <w:b w:val="0"/>
          <w:sz w:val="21"/>
        </w:rPr>
        <w:t>：</w:t>
      </w:r>
      <w:r w:rsidRPr="00F453AC">
        <w:rPr>
          <w:rFonts w:ascii="Arial" w:eastAsia="SimHei" w:hAnsi="Arial"/>
          <w:b w:val="0"/>
          <w:sz w:val="21"/>
        </w:rPr>
        <w:tab/>
      </w:r>
      <w:r w:rsidRPr="00F453AC">
        <w:rPr>
          <w:rFonts w:ascii="Arial" w:eastAsia="SimHei" w:hAnsi="Arial"/>
          <w:b w:val="0"/>
          <w:sz w:val="21"/>
        </w:rPr>
        <w:t>或有资产和负债</w:t>
      </w:r>
    </w:p>
    <w:p w:rsidR="007D62CB" w:rsidRDefault="00C14A2F" w:rsidP="003374D7">
      <w:pPr>
        <w:pStyle w:val="Style3"/>
        <w:spacing w:afterLines="50" w:line="340" w:lineRule="atLeast"/>
        <w:rPr>
          <w:rFonts w:ascii="Arial" w:hAnsi="Arial"/>
          <w:sz w:val="21"/>
        </w:rPr>
      </w:pPr>
      <w:r w:rsidRPr="003F5882">
        <w:rPr>
          <w:rFonts w:ascii="Arial" w:hAnsi="Arial"/>
          <w:sz w:val="21"/>
        </w:rPr>
        <w:t>WIPO</w:t>
      </w:r>
      <w:r w:rsidRPr="003F5882">
        <w:rPr>
          <w:rFonts w:ascii="Arial" w:hAnsi="Arial"/>
          <w:sz w:val="21"/>
        </w:rPr>
        <w:t>的若干名工作人员与本组织存在着纠纷。对正在由</w:t>
      </w:r>
      <w:r w:rsidRPr="003F5882">
        <w:rPr>
          <w:rFonts w:ascii="Arial" w:hAnsi="Arial"/>
          <w:sz w:val="21"/>
        </w:rPr>
        <w:t>WIPO</w:t>
      </w:r>
      <w:r w:rsidRPr="003F5882">
        <w:rPr>
          <w:rFonts w:ascii="Arial" w:hAnsi="Arial"/>
          <w:sz w:val="21"/>
        </w:rPr>
        <w:t>申诉委员会</w:t>
      </w:r>
      <w:r w:rsidR="00F453AC" w:rsidRPr="003F5882">
        <w:rPr>
          <w:rFonts w:ascii="Arial" w:hAnsi="Arial"/>
          <w:sz w:val="21"/>
        </w:rPr>
        <w:t>（</w:t>
      </w:r>
      <w:r w:rsidRPr="003F5882">
        <w:rPr>
          <w:rFonts w:ascii="Arial" w:hAnsi="Arial"/>
          <w:sz w:val="21"/>
        </w:rPr>
        <w:t>WAB</w:t>
      </w:r>
      <w:r w:rsidR="00F453AC" w:rsidRPr="003F5882">
        <w:rPr>
          <w:rFonts w:ascii="Arial" w:hAnsi="Arial"/>
          <w:sz w:val="21"/>
        </w:rPr>
        <w:t>）</w:t>
      </w:r>
      <w:r w:rsidRPr="003F5882">
        <w:rPr>
          <w:rFonts w:ascii="Arial" w:hAnsi="Arial"/>
          <w:sz w:val="21"/>
        </w:rPr>
        <w:t>或国际劳工组织行政法庭</w:t>
      </w:r>
      <w:r w:rsidR="00F453AC" w:rsidRPr="003F5882">
        <w:rPr>
          <w:rFonts w:ascii="Arial" w:hAnsi="Arial"/>
          <w:sz w:val="21"/>
        </w:rPr>
        <w:t>（</w:t>
      </w:r>
      <w:r w:rsidRPr="003F5882">
        <w:rPr>
          <w:rFonts w:ascii="Arial" w:hAnsi="Arial"/>
          <w:sz w:val="21"/>
        </w:rPr>
        <w:t>ILOAT</w:t>
      </w:r>
      <w:r w:rsidR="00F453AC" w:rsidRPr="003F5882">
        <w:rPr>
          <w:rFonts w:ascii="Arial" w:hAnsi="Arial"/>
          <w:sz w:val="21"/>
        </w:rPr>
        <w:t>）</w:t>
      </w:r>
      <w:r w:rsidRPr="003F5882">
        <w:rPr>
          <w:rFonts w:ascii="Arial" w:hAnsi="Arial"/>
          <w:sz w:val="21"/>
        </w:rPr>
        <w:t>审理案件计提的准备金见附注</w:t>
      </w:r>
      <w:r w:rsidRPr="003F5882">
        <w:rPr>
          <w:rFonts w:ascii="Arial" w:hAnsi="Arial"/>
          <w:sz w:val="21"/>
        </w:rPr>
        <w:t>16</w:t>
      </w:r>
      <w:r w:rsidRPr="003F5882">
        <w:rPr>
          <w:rFonts w:ascii="Arial" w:hAnsi="Arial"/>
          <w:sz w:val="21"/>
        </w:rPr>
        <w:t>。对于</w:t>
      </w:r>
      <w:r w:rsidRPr="003F5882">
        <w:rPr>
          <w:rFonts w:ascii="Arial" w:hAnsi="Arial"/>
          <w:sz w:val="21"/>
        </w:rPr>
        <w:t>WAB</w:t>
      </w:r>
      <w:r w:rsidRPr="003F5882">
        <w:rPr>
          <w:rFonts w:ascii="Arial" w:hAnsi="Arial"/>
          <w:sz w:val="21"/>
        </w:rPr>
        <w:t>或</w:t>
      </w:r>
      <w:r w:rsidRPr="003F5882">
        <w:rPr>
          <w:rFonts w:ascii="Arial" w:hAnsi="Arial"/>
          <w:sz w:val="21"/>
        </w:rPr>
        <w:t>ILOAT</w:t>
      </w:r>
      <w:r w:rsidRPr="003F5882">
        <w:rPr>
          <w:rFonts w:ascii="Arial" w:hAnsi="Arial"/>
          <w:sz w:val="21"/>
        </w:rPr>
        <w:t>审理的其他一些案件，在法律意见表明这些案件不太可能导致债务的情况下，未</w:t>
      </w:r>
      <w:proofErr w:type="gramStart"/>
      <w:r w:rsidRPr="003F5882">
        <w:rPr>
          <w:rFonts w:ascii="Arial" w:hAnsi="Arial"/>
          <w:sz w:val="21"/>
        </w:rPr>
        <w:t>予计</w:t>
      </w:r>
      <w:proofErr w:type="gramEnd"/>
      <w:r w:rsidRPr="003F5882">
        <w:rPr>
          <w:rFonts w:ascii="Arial" w:hAnsi="Arial"/>
          <w:sz w:val="21"/>
        </w:rPr>
        <w:t>提准备金。在报告日，本组织对</w:t>
      </w:r>
      <w:r w:rsidRPr="003374D7">
        <w:rPr>
          <w:rFonts w:ascii="Arial" w:hAnsi="Arial" w:cs="Times New Roman"/>
          <w:sz w:val="21"/>
        </w:rPr>
        <w:t>这些</w:t>
      </w:r>
      <w:r w:rsidRPr="003F5882">
        <w:rPr>
          <w:rFonts w:ascii="Arial" w:hAnsi="Arial"/>
          <w:sz w:val="21"/>
        </w:rPr>
        <w:t>案件产生的索赔可能支付的或有债务估值为</w:t>
      </w:r>
      <w:r w:rsidRPr="003F5882">
        <w:rPr>
          <w:rFonts w:ascii="Arial" w:hAnsi="Arial"/>
          <w:sz w:val="21"/>
        </w:rPr>
        <w:t>605,500</w:t>
      </w:r>
      <w:r w:rsidRPr="003F5882">
        <w:rPr>
          <w:rFonts w:ascii="Arial" w:hAnsi="Arial"/>
          <w:sz w:val="21"/>
        </w:rPr>
        <w:t>瑞郎。人事方面还存在处于申请审理状态的案件。由于这些案件的索赔数额尚有待确认，因此未就此确认准备金。在报告日，本组织因这些案件可能做出的结算支付的或有债务估值为</w:t>
      </w:r>
      <w:r w:rsidRPr="003F5882">
        <w:rPr>
          <w:rFonts w:ascii="Arial" w:hAnsi="Arial"/>
          <w:sz w:val="21"/>
        </w:rPr>
        <w:t>1,000</w:t>
      </w:r>
      <w:r w:rsidRPr="003F5882">
        <w:rPr>
          <w:rFonts w:ascii="Arial" w:hAnsi="Arial"/>
          <w:sz w:val="21"/>
        </w:rPr>
        <w:t>瑞郎。</w:t>
      </w:r>
    </w:p>
    <w:p w:rsidR="007D62CB" w:rsidRDefault="00C14A2F" w:rsidP="003374D7">
      <w:pPr>
        <w:pStyle w:val="Style3"/>
        <w:spacing w:afterLines="50" w:line="340" w:lineRule="atLeast"/>
        <w:rPr>
          <w:rFonts w:ascii="Arial" w:hAnsi="Arial"/>
          <w:sz w:val="21"/>
        </w:rPr>
      </w:pPr>
      <w:r w:rsidRPr="003F5882">
        <w:rPr>
          <w:rFonts w:ascii="Arial" w:hAnsi="Arial"/>
          <w:sz w:val="21"/>
        </w:rPr>
        <w:t>截至</w:t>
      </w:r>
      <w:r w:rsidRPr="003F5882">
        <w:rPr>
          <w:rFonts w:ascii="Arial" w:hAnsi="Arial"/>
          <w:sz w:val="21"/>
        </w:rPr>
        <w:t>2014</w:t>
      </w:r>
      <w:r w:rsidRPr="003F5882">
        <w:rPr>
          <w:rFonts w:ascii="Arial" w:hAnsi="Arial"/>
          <w:sz w:val="21"/>
        </w:rPr>
        <w:t>年</w:t>
      </w:r>
      <w:r w:rsidRPr="003F5882">
        <w:rPr>
          <w:rFonts w:ascii="Arial" w:hAnsi="Arial"/>
          <w:sz w:val="21"/>
        </w:rPr>
        <w:t>12</w:t>
      </w:r>
      <w:r w:rsidRPr="003F5882">
        <w:rPr>
          <w:rFonts w:ascii="Arial" w:hAnsi="Arial"/>
          <w:sz w:val="21"/>
        </w:rPr>
        <w:t>月</w:t>
      </w:r>
      <w:r w:rsidRPr="003F5882">
        <w:rPr>
          <w:rFonts w:ascii="Arial" w:hAnsi="Arial"/>
          <w:sz w:val="21"/>
        </w:rPr>
        <w:t>31</w:t>
      </w:r>
      <w:r w:rsidRPr="003F5882">
        <w:rPr>
          <w:rFonts w:ascii="Arial" w:hAnsi="Arial"/>
          <w:sz w:val="21"/>
        </w:rPr>
        <w:t>日，尚未履行的新会议厅建设合同总额为</w:t>
      </w:r>
      <w:r w:rsidRPr="003F5882">
        <w:rPr>
          <w:rFonts w:ascii="Arial" w:hAnsi="Arial"/>
          <w:sz w:val="21"/>
        </w:rPr>
        <w:t>20</w:t>
      </w:r>
      <w:proofErr w:type="gramStart"/>
      <w:r w:rsidRPr="003F5882">
        <w:rPr>
          <w:rFonts w:ascii="Arial" w:hAnsi="Arial"/>
          <w:sz w:val="21"/>
        </w:rPr>
        <w:t>万瑞</w:t>
      </w:r>
      <w:proofErr w:type="gramEnd"/>
      <w:r w:rsidRPr="003F5882">
        <w:rPr>
          <w:rFonts w:ascii="Arial" w:hAnsi="Arial"/>
          <w:sz w:val="21"/>
        </w:rPr>
        <w:t>郎，尚未</w:t>
      </w:r>
      <w:r w:rsidRPr="003374D7">
        <w:rPr>
          <w:rFonts w:ascii="Arial" w:hAnsi="Arial" w:cs="Times New Roman"/>
          <w:sz w:val="21"/>
        </w:rPr>
        <w:t>履行</w:t>
      </w:r>
      <w:r w:rsidRPr="003F5882">
        <w:rPr>
          <w:rFonts w:ascii="Arial" w:hAnsi="Arial"/>
          <w:sz w:val="21"/>
        </w:rPr>
        <w:t>的安保建筑合</w:t>
      </w:r>
      <w:r w:rsidR="00512FC5" w:rsidRPr="003F5882">
        <w:rPr>
          <w:rFonts w:ascii="Arial" w:hAnsi="Arial" w:hint="eastAsia"/>
          <w:sz w:val="21"/>
        </w:rPr>
        <w:t>同</w:t>
      </w:r>
      <w:r w:rsidRPr="003F5882">
        <w:rPr>
          <w:rFonts w:ascii="Arial" w:hAnsi="Arial"/>
          <w:sz w:val="21"/>
        </w:rPr>
        <w:t>总额为</w:t>
      </w:r>
      <w:r w:rsidRPr="003F5882">
        <w:rPr>
          <w:rFonts w:ascii="Arial" w:hAnsi="Arial"/>
          <w:sz w:val="21"/>
        </w:rPr>
        <w:t>60</w:t>
      </w:r>
      <w:proofErr w:type="gramStart"/>
      <w:r w:rsidRPr="003F5882">
        <w:rPr>
          <w:rFonts w:ascii="Arial" w:hAnsi="Arial"/>
          <w:sz w:val="21"/>
        </w:rPr>
        <w:t>万瑞</w:t>
      </w:r>
      <w:proofErr w:type="gramEnd"/>
      <w:r w:rsidRPr="003F5882">
        <w:rPr>
          <w:rFonts w:ascii="Arial" w:hAnsi="Arial"/>
          <w:sz w:val="21"/>
        </w:rPr>
        <w:t>郎。本组织还有不可撤销服务合约总价值为</w:t>
      </w:r>
      <w:r w:rsidRPr="003F5882">
        <w:rPr>
          <w:rFonts w:ascii="Arial" w:hAnsi="Arial"/>
          <w:sz w:val="21"/>
        </w:rPr>
        <w:t>150</w:t>
      </w:r>
      <w:proofErr w:type="gramStart"/>
      <w:r w:rsidRPr="003F5882">
        <w:rPr>
          <w:rFonts w:ascii="Arial" w:hAnsi="Arial"/>
          <w:sz w:val="21"/>
        </w:rPr>
        <w:t>万瑞</w:t>
      </w:r>
      <w:proofErr w:type="gramEnd"/>
      <w:r w:rsidRPr="003F5882">
        <w:rPr>
          <w:rFonts w:ascii="Arial" w:hAnsi="Arial"/>
          <w:sz w:val="21"/>
        </w:rPr>
        <w:t>郎。</w:t>
      </w:r>
    </w:p>
    <w:p w:rsidR="007D62CB" w:rsidRDefault="00C14A2F" w:rsidP="003374D7">
      <w:pPr>
        <w:pStyle w:val="Style3"/>
        <w:spacing w:afterLines="50" w:line="340" w:lineRule="atLeast"/>
        <w:rPr>
          <w:rFonts w:ascii="Arial" w:hAnsi="Arial"/>
          <w:sz w:val="21"/>
        </w:rPr>
      </w:pPr>
      <w:r w:rsidRPr="003F5882">
        <w:rPr>
          <w:rFonts w:ascii="Arial" w:hAnsi="Arial"/>
          <w:sz w:val="21"/>
        </w:rPr>
        <w:t>WIPO</w:t>
      </w:r>
      <w:r w:rsidRPr="003F5882">
        <w:rPr>
          <w:rFonts w:ascii="Arial" w:hAnsi="Arial"/>
          <w:sz w:val="21"/>
        </w:rPr>
        <w:t>是国际电子计算中心</w:t>
      </w:r>
      <w:r w:rsidR="00F453AC" w:rsidRPr="003F5882">
        <w:rPr>
          <w:rFonts w:ascii="Arial" w:hAnsi="Arial"/>
          <w:sz w:val="21"/>
        </w:rPr>
        <w:t>（</w:t>
      </w:r>
      <w:r w:rsidRPr="003F5882">
        <w:rPr>
          <w:rFonts w:ascii="Arial" w:hAnsi="Arial"/>
          <w:sz w:val="21"/>
        </w:rPr>
        <w:t>ICC</w:t>
      </w:r>
      <w:r w:rsidR="00F453AC" w:rsidRPr="003F5882">
        <w:rPr>
          <w:rFonts w:ascii="Arial" w:hAnsi="Arial"/>
          <w:sz w:val="21"/>
        </w:rPr>
        <w:t>）</w:t>
      </w:r>
      <w:r w:rsidRPr="003F5882">
        <w:rPr>
          <w:rFonts w:ascii="Arial" w:hAnsi="Arial"/>
          <w:sz w:val="21"/>
        </w:rPr>
        <w:t>的一个伙伴组织。</w:t>
      </w:r>
      <w:r w:rsidRPr="003F5882">
        <w:rPr>
          <w:rFonts w:ascii="Arial" w:hAnsi="Arial"/>
          <w:sz w:val="21"/>
        </w:rPr>
        <w:t>ICC</w:t>
      </w:r>
      <w:r w:rsidRPr="003F5882">
        <w:rPr>
          <w:rFonts w:ascii="Arial" w:hAnsi="Arial"/>
          <w:sz w:val="21"/>
        </w:rPr>
        <w:t>是为提供信息技术服务而创建的一个组织间机构。根据</w:t>
      </w:r>
      <w:r w:rsidRPr="003F5882">
        <w:rPr>
          <w:rFonts w:ascii="Arial" w:hAnsi="Arial"/>
          <w:sz w:val="21"/>
        </w:rPr>
        <w:t>ICC</w:t>
      </w:r>
      <w:r w:rsidRPr="003F5882">
        <w:rPr>
          <w:rFonts w:ascii="Arial" w:hAnsi="Arial"/>
          <w:sz w:val="21"/>
        </w:rPr>
        <w:t>的授权条款，伙伴组织应负责承担因</w:t>
      </w:r>
      <w:r w:rsidRPr="003F5882">
        <w:rPr>
          <w:rFonts w:ascii="Arial" w:hAnsi="Arial"/>
          <w:sz w:val="21"/>
        </w:rPr>
        <w:t>ICC</w:t>
      </w:r>
      <w:r w:rsidRPr="003F5882">
        <w:rPr>
          <w:rFonts w:ascii="Arial" w:hAnsi="Arial"/>
          <w:sz w:val="21"/>
        </w:rPr>
        <w:t>运行而产生的某些债务份额。</w:t>
      </w:r>
    </w:p>
    <w:p w:rsidR="007D62CB" w:rsidRDefault="00C14A2F" w:rsidP="003374D7">
      <w:pPr>
        <w:pStyle w:val="Style3"/>
        <w:spacing w:afterLines="50" w:line="340" w:lineRule="atLeast"/>
        <w:rPr>
          <w:rFonts w:ascii="Arial" w:hAnsi="Arial"/>
          <w:sz w:val="21"/>
        </w:rPr>
      </w:pPr>
      <w:r w:rsidRPr="003F5882">
        <w:rPr>
          <w:rFonts w:ascii="Arial" w:hAnsi="Arial"/>
          <w:sz w:val="21"/>
        </w:rPr>
        <w:t>WIPO</w:t>
      </w:r>
      <w:r w:rsidRPr="003F5882">
        <w:rPr>
          <w:rFonts w:ascii="Arial" w:hAnsi="Arial"/>
          <w:sz w:val="21"/>
        </w:rPr>
        <w:t>存在着与不可撤销的租赁协议有关的合约承诺款项，详见附注</w:t>
      </w:r>
      <w:r w:rsidRPr="003F5882">
        <w:rPr>
          <w:rFonts w:ascii="Arial" w:hAnsi="Arial"/>
          <w:sz w:val="21"/>
        </w:rPr>
        <w:t>19</w:t>
      </w:r>
      <w:r w:rsidRPr="003F5882">
        <w:rPr>
          <w:rFonts w:ascii="Arial" w:hAnsi="Arial"/>
          <w:sz w:val="21"/>
        </w:rPr>
        <w:t>。</w:t>
      </w:r>
    </w:p>
    <w:p w:rsidR="007D62CB" w:rsidRDefault="00C14A2F" w:rsidP="007D62CB">
      <w:pPr>
        <w:pStyle w:val="STYLETITRENOTES"/>
        <w:keepNext/>
        <w:overflowPunct w:val="0"/>
        <w:spacing w:beforeLines="100" w:before="240" w:afterLines="100" w:after="240" w:line="340" w:lineRule="atLeast"/>
        <w:rPr>
          <w:rFonts w:ascii="Arial" w:eastAsia="SimHei" w:hAnsi="Arial"/>
          <w:b w:val="0"/>
          <w:sz w:val="21"/>
          <w:szCs w:val="22"/>
        </w:rPr>
      </w:pPr>
      <w:r w:rsidRPr="00F453AC">
        <w:rPr>
          <w:rFonts w:ascii="Arial" w:eastAsia="SimHei" w:hAnsi="Arial"/>
          <w:b w:val="0"/>
          <w:sz w:val="21"/>
        </w:rPr>
        <w:t>附注</w:t>
      </w:r>
      <w:r w:rsidRPr="007D62CB">
        <w:rPr>
          <w:rFonts w:ascii="Arial" w:eastAsia="SimHei" w:hAnsi="Arial" w:cs="Times New Roman"/>
          <w:b w:val="0"/>
          <w:sz w:val="21"/>
        </w:rPr>
        <w:t>19</w:t>
      </w:r>
      <w:r w:rsidRPr="00F453AC">
        <w:rPr>
          <w:rFonts w:ascii="Arial" w:eastAsia="SimHei" w:hAnsi="Arial"/>
          <w:b w:val="0"/>
          <w:sz w:val="21"/>
        </w:rPr>
        <w:t>：</w:t>
      </w:r>
      <w:r w:rsidRPr="00F453AC">
        <w:rPr>
          <w:rFonts w:ascii="Arial" w:eastAsia="SimHei" w:hAnsi="Arial"/>
          <w:b w:val="0"/>
          <w:sz w:val="21"/>
        </w:rPr>
        <w:tab/>
      </w:r>
      <w:r w:rsidRPr="00F453AC">
        <w:rPr>
          <w:rFonts w:ascii="Arial" w:eastAsia="SimHei" w:hAnsi="Arial"/>
          <w:b w:val="0"/>
          <w:sz w:val="21"/>
        </w:rPr>
        <w:t>租赁</w:t>
      </w:r>
    </w:p>
    <w:p w:rsidR="00C14A2F" w:rsidRPr="00DA4636" w:rsidRDefault="00C14A2F" w:rsidP="003374D7">
      <w:pPr>
        <w:keepNext/>
        <w:spacing w:afterLines="50" w:after="120" w:line="340" w:lineRule="atLeast"/>
        <w:jc w:val="both"/>
        <w:rPr>
          <w:rFonts w:ascii="Arial" w:eastAsia="KaiTi" w:hAnsi="Arial"/>
          <w:b/>
          <w:i/>
          <w:sz w:val="21"/>
          <w:szCs w:val="22"/>
        </w:rPr>
      </w:pPr>
      <w:r w:rsidRPr="00DA4636">
        <w:rPr>
          <w:rFonts w:ascii="Arial" w:eastAsia="KaiTi" w:hAnsi="Arial"/>
          <w:b/>
          <w:i/>
          <w:sz w:val="21"/>
        </w:rPr>
        <w:t>WIPO</w:t>
      </w:r>
      <w:r w:rsidRPr="00DA4636">
        <w:rPr>
          <w:rFonts w:ascii="Arial" w:eastAsia="KaiTi" w:hAnsi="Arial"/>
          <w:b/>
          <w:i/>
          <w:sz w:val="21"/>
        </w:rPr>
        <w:t>作为承租人</w:t>
      </w:r>
    </w:p>
    <w:p w:rsidR="007D62CB" w:rsidRDefault="00C14A2F" w:rsidP="003374D7">
      <w:pPr>
        <w:pStyle w:val="Style3"/>
        <w:spacing w:afterLines="50" w:line="340" w:lineRule="atLeast"/>
        <w:rPr>
          <w:rFonts w:ascii="Arial" w:hAnsi="Arial"/>
          <w:sz w:val="21"/>
        </w:rPr>
      </w:pPr>
      <w:r w:rsidRPr="003F5882">
        <w:rPr>
          <w:rFonts w:ascii="Arial" w:hAnsi="Arial"/>
          <w:sz w:val="21"/>
        </w:rPr>
        <w:t>本组织持有若干租约，在日内瓦提供额外的场所、仓储和专用设施。此外，本组织还为驻纽约、里约热内卢和东京的驻外办事处租赁有办公场所。未来不可撤销经营租赁下的最低租赁付款</w:t>
      </w:r>
      <w:r w:rsidR="0074278E" w:rsidRPr="003F5882">
        <w:rPr>
          <w:rFonts w:ascii="Arial" w:hAnsi="Arial" w:hint="eastAsia"/>
          <w:sz w:val="21"/>
        </w:rPr>
        <w:t>价</w:t>
      </w:r>
      <w:r w:rsidRPr="003F5882">
        <w:rPr>
          <w:rFonts w:ascii="Arial" w:hAnsi="Arial"/>
          <w:sz w:val="21"/>
        </w:rPr>
        <w:t>值如下：</w:t>
      </w:r>
    </w:p>
    <w:p w:rsidR="007D62CB" w:rsidRDefault="006F16A3" w:rsidP="006F16A3">
      <w:pPr>
        <w:pStyle w:val="Style3"/>
        <w:spacing w:afterLines="50"/>
        <w:jc w:val="center"/>
        <w:rPr>
          <w:rFonts w:ascii="Arial" w:hAnsi="Arial"/>
          <w:sz w:val="21"/>
        </w:rPr>
      </w:pPr>
      <w:r w:rsidRPr="006F16A3">
        <w:rPr>
          <w:noProof/>
          <w:lang w:val="en-US" w:bidi="ar-SA"/>
        </w:rPr>
        <w:drawing>
          <wp:inline distT="0" distB="0" distL="0" distR="0">
            <wp:extent cx="5581015" cy="1242060"/>
            <wp:effectExtent l="0" t="0" r="635" b="0"/>
            <wp:docPr id="165" name="图片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5581015" cy="1242060"/>
                    </a:xfrm>
                    <a:prstGeom prst="rect">
                      <a:avLst/>
                    </a:prstGeom>
                    <a:noFill/>
                    <a:ln>
                      <a:noFill/>
                    </a:ln>
                  </pic:spPr>
                </pic:pic>
              </a:graphicData>
            </a:graphic>
          </wp:inline>
        </w:drawing>
      </w:r>
    </w:p>
    <w:p w:rsidR="007D62CB" w:rsidRDefault="00C14A2F" w:rsidP="003374D7">
      <w:pPr>
        <w:pStyle w:val="Style3"/>
        <w:spacing w:afterLines="50" w:line="340" w:lineRule="atLeast"/>
        <w:rPr>
          <w:rFonts w:ascii="Arial" w:hAnsi="Arial"/>
          <w:sz w:val="21"/>
        </w:rPr>
      </w:pPr>
      <w:r w:rsidRPr="003F5882">
        <w:rPr>
          <w:rFonts w:ascii="Arial" w:hAnsi="Arial"/>
          <w:sz w:val="21"/>
        </w:rPr>
        <w:t>本组织还达成了一项租赁日内瓦基金国际中心</w:t>
      </w:r>
      <w:r w:rsidR="00F453AC" w:rsidRPr="003F5882">
        <w:rPr>
          <w:rFonts w:ascii="Arial" w:hAnsi="Arial"/>
          <w:sz w:val="21"/>
        </w:rPr>
        <w:t>（</w:t>
      </w:r>
      <w:r w:rsidRPr="003F5882">
        <w:rPr>
          <w:rFonts w:ascii="Arial" w:hAnsi="Arial"/>
          <w:sz w:val="21"/>
        </w:rPr>
        <w:t>FCIG</w:t>
      </w:r>
      <w:r w:rsidR="00F453AC" w:rsidRPr="003F5882">
        <w:rPr>
          <w:rFonts w:ascii="Arial" w:hAnsi="Arial"/>
          <w:sz w:val="21"/>
        </w:rPr>
        <w:t>）</w:t>
      </w:r>
      <w:r w:rsidRPr="003F5882">
        <w:rPr>
          <w:rFonts w:ascii="Arial" w:hAnsi="Arial"/>
          <w:sz w:val="21"/>
        </w:rPr>
        <w:t>大楼的协定。该协定详情，包括未来的租赁付款，单独在附注</w:t>
      </w:r>
      <w:r w:rsidRPr="003F5882">
        <w:rPr>
          <w:rFonts w:ascii="Arial" w:hAnsi="Arial"/>
          <w:sz w:val="21"/>
        </w:rPr>
        <w:t>10</w:t>
      </w:r>
      <w:r w:rsidRPr="003F5882">
        <w:rPr>
          <w:rFonts w:ascii="Arial" w:hAnsi="Arial"/>
          <w:sz w:val="21"/>
        </w:rPr>
        <w:t>列示。</w:t>
      </w:r>
    </w:p>
    <w:p w:rsidR="007D62CB" w:rsidRDefault="00C14A2F" w:rsidP="003374D7">
      <w:pPr>
        <w:pStyle w:val="Style3"/>
        <w:spacing w:afterLines="50" w:line="340" w:lineRule="atLeast"/>
        <w:rPr>
          <w:rFonts w:ascii="Arial" w:hAnsi="Arial"/>
          <w:sz w:val="21"/>
        </w:rPr>
      </w:pPr>
      <w:r w:rsidRPr="003F5882">
        <w:rPr>
          <w:rFonts w:ascii="Arial" w:hAnsi="Arial"/>
          <w:sz w:val="21"/>
        </w:rPr>
        <w:t>本组织在报告日没有视为融资租赁的未清租约。在报告期被确认为开支的租赁付款总额为</w:t>
      </w:r>
      <w:r w:rsidRPr="003F5882">
        <w:rPr>
          <w:rFonts w:ascii="Arial" w:hAnsi="Arial"/>
          <w:sz w:val="21"/>
        </w:rPr>
        <w:t>190</w:t>
      </w:r>
      <w:proofErr w:type="gramStart"/>
      <w:r w:rsidRPr="003F5882">
        <w:rPr>
          <w:rFonts w:ascii="Arial" w:hAnsi="Arial"/>
          <w:sz w:val="21"/>
        </w:rPr>
        <w:t>万瑞</w:t>
      </w:r>
      <w:proofErr w:type="gramEnd"/>
      <w:r w:rsidRPr="003F5882">
        <w:rPr>
          <w:rFonts w:ascii="Arial" w:hAnsi="Arial"/>
          <w:sz w:val="21"/>
        </w:rPr>
        <w:t>郎</w:t>
      </w:r>
      <w:r w:rsidR="00F453AC" w:rsidRPr="003F5882">
        <w:rPr>
          <w:rFonts w:ascii="Arial" w:hAnsi="Arial"/>
          <w:sz w:val="21"/>
        </w:rPr>
        <w:t>［</w:t>
      </w:r>
      <w:r w:rsidRPr="003F5882">
        <w:rPr>
          <w:rFonts w:ascii="Arial" w:hAnsi="Arial"/>
          <w:sz w:val="21"/>
        </w:rPr>
        <w:t>2013</w:t>
      </w:r>
      <w:r w:rsidRPr="003F5882">
        <w:rPr>
          <w:rFonts w:ascii="Arial" w:hAnsi="Arial"/>
          <w:sz w:val="21"/>
        </w:rPr>
        <w:t>年为</w:t>
      </w:r>
      <w:r w:rsidRPr="003F5882">
        <w:rPr>
          <w:rFonts w:ascii="Arial" w:hAnsi="Arial"/>
          <w:sz w:val="21"/>
        </w:rPr>
        <w:t>200</w:t>
      </w:r>
      <w:proofErr w:type="gramStart"/>
      <w:r w:rsidRPr="003F5882">
        <w:rPr>
          <w:rFonts w:ascii="Arial" w:hAnsi="Arial"/>
          <w:sz w:val="21"/>
        </w:rPr>
        <w:t>万瑞</w:t>
      </w:r>
      <w:proofErr w:type="gramEnd"/>
      <w:r w:rsidRPr="003F5882">
        <w:rPr>
          <w:rFonts w:ascii="Arial" w:hAnsi="Arial"/>
          <w:sz w:val="21"/>
        </w:rPr>
        <w:t>郎</w:t>
      </w:r>
      <w:r w:rsidR="00F453AC" w:rsidRPr="003F5882">
        <w:rPr>
          <w:rFonts w:ascii="Arial" w:hAnsi="Arial"/>
          <w:sz w:val="21"/>
        </w:rPr>
        <w:t>］</w:t>
      </w:r>
      <w:r w:rsidRPr="003F5882">
        <w:rPr>
          <w:rFonts w:ascii="Arial" w:hAnsi="Arial"/>
          <w:sz w:val="21"/>
        </w:rPr>
        <w:t>。</w:t>
      </w:r>
    </w:p>
    <w:p w:rsidR="00C14A2F" w:rsidRPr="00DA4636" w:rsidRDefault="00C14A2F" w:rsidP="003374D7">
      <w:pPr>
        <w:keepNext/>
        <w:spacing w:afterLines="50" w:after="120" w:line="340" w:lineRule="atLeast"/>
        <w:jc w:val="both"/>
        <w:rPr>
          <w:rFonts w:ascii="Arial" w:eastAsia="KaiTi" w:hAnsi="Arial"/>
          <w:b/>
          <w:i/>
          <w:sz w:val="21"/>
        </w:rPr>
      </w:pPr>
      <w:r w:rsidRPr="00DA4636">
        <w:rPr>
          <w:rFonts w:ascii="Arial" w:eastAsia="KaiTi" w:hAnsi="Arial"/>
          <w:b/>
          <w:i/>
          <w:sz w:val="21"/>
        </w:rPr>
        <w:t>WIPO</w:t>
      </w:r>
      <w:r w:rsidRPr="00DA4636">
        <w:rPr>
          <w:rFonts w:ascii="Arial" w:eastAsia="KaiTi" w:hAnsi="Arial"/>
          <w:b/>
          <w:i/>
          <w:sz w:val="21"/>
        </w:rPr>
        <w:t>作为出租人</w:t>
      </w:r>
    </w:p>
    <w:p w:rsidR="007D62CB" w:rsidRDefault="00C14A2F" w:rsidP="003374D7">
      <w:pPr>
        <w:pStyle w:val="Style3"/>
        <w:spacing w:afterLines="50" w:line="340" w:lineRule="atLeast"/>
        <w:rPr>
          <w:rFonts w:ascii="Arial" w:hAnsi="Arial"/>
          <w:sz w:val="21"/>
        </w:rPr>
      </w:pPr>
      <w:r w:rsidRPr="003F5882">
        <w:rPr>
          <w:rFonts w:ascii="Arial" w:hAnsi="Arial"/>
          <w:sz w:val="21"/>
        </w:rPr>
        <w:t>本组织达成了若干将其总部大楼内的空间租赁给第三方的协定。这些租约均可撤销，</w:t>
      </w:r>
      <w:r w:rsidR="007D03BB" w:rsidRPr="003F5882">
        <w:rPr>
          <w:rFonts w:ascii="Arial" w:hAnsi="Arial" w:hint="eastAsia"/>
          <w:sz w:val="21"/>
        </w:rPr>
        <w:t>但要</w:t>
      </w:r>
      <w:r w:rsidRPr="003F5882">
        <w:rPr>
          <w:rFonts w:ascii="Arial" w:hAnsi="Arial"/>
          <w:sz w:val="21"/>
        </w:rPr>
        <w:t>遵守协议规定的通知期。报告期内这些租赁安排的</w:t>
      </w:r>
      <w:r w:rsidRPr="003374D7">
        <w:rPr>
          <w:rFonts w:ascii="Arial" w:hAnsi="Arial" w:cs="Times New Roman"/>
          <w:sz w:val="21"/>
        </w:rPr>
        <w:t>租金</w:t>
      </w:r>
      <w:r w:rsidRPr="003F5882">
        <w:rPr>
          <w:rFonts w:ascii="Arial" w:hAnsi="Arial"/>
          <w:sz w:val="21"/>
        </w:rPr>
        <w:t>收入总额为</w:t>
      </w:r>
      <w:r w:rsidRPr="003F5882">
        <w:rPr>
          <w:rFonts w:ascii="Arial" w:hAnsi="Arial"/>
          <w:sz w:val="21"/>
        </w:rPr>
        <w:t>60</w:t>
      </w:r>
      <w:proofErr w:type="gramStart"/>
      <w:r w:rsidRPr="003F5882">
        <w:rPr>
          <w:rFonts w:ascii="Arial" w:hAnsi="Arial"/>
          <w:sz w:val="21"/>
        </w:rPr>
        <w:t>万瑞</w:t>
      </w:r>
      <w:proofErr w:type="gramEnd"/>
      <w:r w:rsidRPr="003F5882">
        <w:rPr>
          <w:rFonts w:ascii="Arial" w:hAnsi="Arial"/>
          <w:sz w:val="21"/>
        </w:rPr>
        <w:t>郎</w:t>
      </w:r>
      <w:r w:rsidR="00F453AC" w:rsidRPr="003F5882">
        <w:rPr>
          <w:rFonts w:ascii="Arial" w:hAnsi="Arial"/>
          <w:sz w:val="21"/>
        </w:rPr>
        <w:t>［</w:t>
      </w:r>
      <w:r w:rsidRPr="003F5882">
        <w:rPr>
          <w:rFonts w:ascii="Arial" w:hAnsi="Arial"/>
          <w:sz w:val="21"/>
        </w:rPr>
        <w:t>2013</w:t>
      </w:r>
      <w:r w:rsidRPr="003F5882">
        <w:rPr>
          <w:rFonts w:ascii="Arial" w:hAnsi="Arial"/>
          <w:sz w:val="21"/>
        </w:rPr>
        <w:t>年为</w:t>
      </w:r>
      <w:r w:rsidRPr="003F5882">
        <w:rPr>
          <w:rFonts w:ascii="Arial" w:hAnsi="Arial"/>
          <w:sz w:val="21"/>
        </w:rPr>
        <w:t>60</w:t>
      </w:r>
      <w:proofErr w:type="gramStart"/>
      <w:r w:rsidRPr="003F5882">
        <w:rPr>
          <w:rFonts w:ascii="Arial" w:hAnsi="Arial"/>
          <w:sz w:val="21"/>
        </w:rPr>
        <w:t>万瑞</w:t>
      </w:r>
      <w:proofErr w:type="gramEnd"/>
      <w:r w:rsidRPr="003F5882">
        <w:rPr>
          <w:rFonts w:ascii="Arial" w:hAnsi="Arial"/>
          <w:sz w:val="21"/>
        </w:rPr>
        <w:t>郎</w:t>
      </w:r>
      <w:r w:rsidR="00F453AC" w:rsidRPr="003F5882">
        <w:rPr>
          <w:rFonts w:ascii="Arial" w:hAnsi="Arial"/>
          <w:sz w:val="21"/>
        </w:rPr>
        <w:t>］</w:t>
      </w:r>
      <w:r w:rsidRPr="003F5882">
        <w:rPr>
          <w:rFonts w:ascii="Arial" w:hAnsi="Arial"/>
          <w:sz w:val="21"/>
        </w:rPr>
        <w:t>。本组织还出租马德里联盟办公楼中的公寓、停车场和其他设施。马德里联盟办公楼的不可撤销租赁和租金收入的价值在附注</w:t>
      </w:r>
      <w:r w:rsidRPr="003F5882">
        <w:rPr>
          <w:rFonts w:ascii="Arial" w:hAnsi="Arial"/>
          <w:sz w:val="21"/>
        </w:rPr>
        <w:t>7</w:t>
      </w:r>
      <w:r w:rsidRPr="003F5882">
        <w:rPr>
          <w:rFonts w:ascii="Arial" w:hAnsi="Arial"/>
          <w:sz w:val="21"/>
        </w:rPr>
        <w:t>中列示。</w:t>
      </w:r>
    </w:p>
    <w:p w:rsidR="007D62CB" w:rsidRDefault="00C14A2F" w:rsidP="007D62CB">
      <w:pPr>
        <w:pStyle w:val="STYLETITRENOTES"/>
        <w:keepNext/>
        <w:overflowPunct w:val="0"/>
        <w:spacing w:beforeLines="100" w:before="240" w:afterLines="100" w:after="240" w:line="340" w:lineRule="atLeast"/>
        <w:rPr>
          <w:rFonts w:ascii="Arial" w:eastAsia="SimHei" w:hAnsi="Arial"/>
          <w:b w:val="0"/>
          <w:sz w:val="21"/>
          <w:szCs w:val="22"/>
        </w:rPr>
      </w:pPr>
      <w:r w:rsidRPr="00F453AC">
        <w:rPr>
          <w:rFonts w:ascii="Arial" w:eastAsia="SimHei" w:hAnsi="Arial"/>
          <w:b w:val="0"/>
          <w:sz w:val="21"/>
        </w:rPr>
        <w:t>附注</w:t>
      </w:r>
      <w:r w:rsidRPr="00F453AC">
        <w:rPr>
          <w:rFonts w:ascii="Arial" w:eastAsia="SimHei" w:hAnsi="Arial"/>
          <w:b w:val="0"/>
          <w:sz w:val="21"/>
        </w:rPr>
        <w:t>20</w:t>
      </w:r>
      <w:r w:rsidRPr="00F453AC">
        <w:rPr>
          <w:rFonts w:ascii="Arial" w:eastAsia="SimHei" w:hAnsi="Arial"/>
          <w:b w:val="0"/>
          <w:sz w:val="21"/>
        </w:rPr>
        <w:t>：</w:t>
      </w:r>
      <w:r w:rsidRPr="00F453AC">
        <w:rPr>
          <w:rFonts w:ascii="Arial" w:eastAsia="SimHei" w:hAnsi="Arial"/>
          <w:b w:val="0"/>
          <w:sz w:val="21"/>
        </w:rPr>
        <w:tab/>
      </w:r>
      <w:r w:rsidRPr="00F453AC">
        <w:rPr>
          <w:rFonts w:ascii="Arial" w:eastAsia="SimHei" w:hAnsi="Arial"/>
          <w:b w:val="0"/>
          <w:sz w:val="21"/>
        </w:rPr>
        <w:t>相关方交易</w:t>
      </w:r>
    </w:p>
    <w:p w:rsidR="007D62CB" w:rsidRDefault="00C14A2F" w:rsidP="003374D7">
      <w:pPr>
        <w:pStyle w:val="Style3"/>
        <w:spacing w:afterLines="50" w:line="340" w:lineRule="atLeast"/>
        <w:rPr>
          <w:rFonts w:ascii="Arial" w:hAnsi="Arial"/>
          <w:sz w:val="21"/>
        </w:rPr>
      </w:pPr>
      <w:r w:rsidRPr="003F5882">
        <w:rPr>
          <w:rFonts w:ascii="Arial" w:hAnsi="Arial"/>
          <w:sz w:val="21"/>
        </w:rPr>
        <w:t>本组织由</w:t>
      </w:r>
      <w:r w:rsidRPr="003F5882">
        <w:rPr>
          <w:rFonts w:ascii="Arial" w:hAnsi="Arial"/>
          <w:sz w:val="21"/>
        </w:rPr>
        <w:t>WIPO</w:t>
      </w:r>
      <w:r w:rsidRPr="003F5882">
        <w:rPr>
          <w:rFonts w:ascii="Arial" w:hAnsi="Arial"/>
          <w:sz w:val="21"/>
        </w:rPr>
        <w:t>大会管理。</w:t>
      </w:r>
      <w:r w:rsidRPr="003F5882">
        <w:rPr>
          <w:rFonts w:ascii="Arial" w:hAnsi="Arial"/>
          <w:sz w:val="21"/>
        </w:rPr>
        <w:t>WIPO</w:t>
      </w:r>
      <w:r w:rsidRPr="003F5882">
        <w:rPr>
          <w:rFonts w:ascii="Arial" w:hAnsi="Arial"/>
          <w:sz w:val="21"/>
        </w:rPr>
        <w:t>大会由各成员国代表组成，他们不领取本组织的酬金。本组织由总干事、副总干事、助理总干事和官员</w:t>
      </w:r>
      <w:r w:rsidR="00F453AC" w:rsidRPr="003F5882">
        <w:rPr>
          <w:rFonts w:ascii="Arial" w:hAnsi="Arial"/>
          <w:sz w:val="21"/>
        </w:rPr>
        <w:t>（</w:t>
      </w:r>
      <w:r w:rsidRPr="003F5882">
        <w:rPr>
          <w:rFonts w:ascii="Arial" w:hAnsi="Arial"/>
          <w:sz w:val="21"/>
        </w:rPr>
        <w:t>主要管理人员</w:t>
      </w:r>
      <w:r w:rsidR="00F453AC" w:rsidRPr="003F5882">
        <w:rPr>
          <w:rFonts w:ascii="Arial" w:hAnsi="Arial"/>
          <w:sz w:val="21"/>
        </w:rPr>
        <w:t>）</w:t>
      </w:r>
      <w:r w:rsidRPr="003F5882">
        <w:rPr>
          <w:rFonts w:ascii="Arial" w:hAnsi="Arial"/>
          <w:sz w:val="21"/>
        </w:rPr>
        <w:t>领导，他们在本组织领取报酬。支付主要管理人员</w:t>
      </w:r>
      <w:r w:rsidRPr="003F5882">
        <w:rPr>
          <w:rFonts w:ascii="Arial" w:hAnsi="Arial"/>
          <w:sz w:val="21"/>
        </w:rPr>
        <w:lastRenderedPageBreak/>
        <w:t>的总薪酬包括薪金、津贴、法定的差旅费和根据适用于所有工作人员的《工作人员条例与细则》支付的其他应享权利。此外，总干事、副总干事和助理总干事领取交际津贴。主要管理人员是工作人员和本组织向其缴费的联合国养恤基金的成员，也有资格参与工作人员健康保险方案，如果符合资格条件也包括离职后医疗保险方案。本组织在联合公司或合资企业中没有所有者权益</w:t>
      </w:r>
      <w:r w:rsidR="00E362AF" w:rsidRPr="003F5882">
        <w:rPr>
          <w:rFonts w:ascii="Arial" w:hAnsi="Arial" w:hint="eastAsia"/>
          <w:sz w:val="21"/>
        </w:rPr>
        <w:t>，</w:t>
      </w:r>
      <w:r w:rsidRPr="003F5882">
        <w:rPr>
          <w:rFonts w:ascii="Arial" w:hAnsi="Arial"/>
          <w:sz w:val="21"/>
        </w:rPr>
        <w:t>同时也没有控股实体。</w:t>
      </w:r>
      <w:r w:rsidRPr="003F5882">
        <w:rPr>
          <w:rFonts w:ascii="Arial" w:hAnsi="Arial"/>
          <w:sz w:val="21"/>
        </w:rPr>
        <w:t>WIPO</w:t>
      </w:r>
      <w:r w:rsidRPr="003F5882">
        <w:rPr>
          <w:rFonts w:ascii="Arial" w:hAnsi="Arial"/>
          <w:sz w:val="21"/>
        </w:rPr>
        <w:t>是联合国养恤基金的成员，一些以前的工作人员是</w:t>
      </w:r>
      <w:r w:rsidRPr="003F5882">
        <w:rPr>
          <w:rFonts w:ascii="Arial" w:hAnsi="Arial"/>
          <w:sz w:val="21"/>
        </w:rPr>
        <w:t>WIPO</w:t>
      </w:r>
      <w:r w:rsidRPr="003F5882">
        <w:rPr>
          <w:rFonts w:ascii="Arial" w:hAnsi="Arial"/>
          <w:sz w:val="21"/>
        </w:rPr>
        <w:t>已关闭养恤基金</w:t>
      </w:r>
      <w:r w:rsidR="00F453AC" w:rsidRPr="003F5882">
        <w:rPr>
          <w:rFonts w:ascii="Arial" w:hAnsi="Arial" w:hint="eastAsia"/>
          <w:sz w:val="21"/>
        </w:rPr>
        <w:t>（</w:t>
      </w:r>
      <w:r w:rsidRPr="003F5882">
        <w:rPr>
          <w:rFonts w:ascii="Arial" w:hAnsi="Arial"/>
          <w:sz w:val="21"/>
        </w:rPr>
        <w:t>CROMPI</w:t>
      </w:r>
      <w:r w:rsidR="00F453AC" w:rsidRPr="003F5882">
        <w:rPr>
          <w:rFonts w:ascii="Arial" w:hAnsi="Arial"/>
          <w:sz w:val="21"/>
        </w:rPr>
        <w:t>）</w:t>
      </w:r>
      <w:r w:rsidRPr="003F5882">
        <w:rPr>
          <w:rFonts w:ascii="Arial" w:hAnsi="Arial"/>
          <w:sz w:val="21"/>
        </w:rPr>
        <w:t>的成员。附注</w:t>
      </w:r>
      <w:r w:rsidRPr="003F5882">
        <w:rPr>
          <w:rFonts w:ascii="Arial" w:hAnsi="Arial"/>
          <w:sz w:val="21"/>
        </w:rPr>
        <w:t>12</w:t>
      </w:r>
      <w:r w:rsidRPr="003F5882">
        <w:rPr>
          <w:rFonts w:ascii="Arial" w:hAnsi="Arial"/>
          <w:sz w:val="21"/>
        </w:rPr>
        <w:t>对这两个基金的关系做了详细说明。</w:t>
      </w:r>
    </w:p>
    <w:p w:rsidR="007D62CB" w:rsidRDefault="00C14A2F" w:rsidP="003374D7">
      <w:pPr>
        <w:pStyle w:val="Style3"/>
        <w:spacing w:afterLines="50" w:line="340" w:lineRule="atLeast"/>
        <w:rPr>
          <w:rFonts w:ascii="Arial" w:hAnsi="Arial"/>
          <w:sz w:val="21"/>
        </w:rPr>
      </w:pPr>
      <w:r w:rsidRPr="003F5882">
        <w:rPr>
          <w:rFonts w:ascii="Arial" w:hAnsi="Arial"/>
          <w:sz w:val="21"/>
        </w:rPr>
        <w:t>本组织与国际植物新品种保护联盟</w:t>
      </w:r>
      <w:r w:rsidR="00F453AC" w:rsidRPr="003F5882">
        <w:rPr>
          <w:rFonts w:ascii="Arial" w:hAnsi="Arial" w:hint="eastAsia"/>
          <w:sz w:val="21"/>
        </w:rPr>
        <w:t>（</w:t>
      </w:r>
      <w:r w:rsidRPr="003F5882">
        <w:rPr>
          <w:rFonts w:ascii="Arial" w:hAnsi="Arial"/>
          <w:sz w:val="21"/>
        </w:rPr>
        <w:t>UPOV</w:t>
      </w:r>
      <w:r w:rsidR="00F453AC" w:rsidRPr="003F5882">
        <w:rPr>
          <w:rFonts w:ascii="Arial" w:hAnsi="Arial" w:hint="eastAsia"/>
          <w:sz w:val="21"/>
        </w:rPr>
        <w:t>）</w:t>
      </w:r>
      <w:r w:rsidRPr="003F5882">
        <w:rPr>
          <w:rFonts w:ascii="Arial" w:hAnsi="Arial"/>
          <w:sz w:val="21"/>
        </w:rPr>
        <w:t>保持着关系，本组织总干事担任</w:t>
      </w:r>
      <w:r w:rsidRPr="003F5882">
        <w:rPr>
          <w:rFonts w:ascii="Arial" w:hAnsi="Arial"/>
          <w:sz w:val="21"/>
        </w:rPr>
        <w:t>UPOV</w:t>
      </w:r>
      <w:r w:rsidRPr="003F5882">
        <w:rPr>
          <w:rFonts w:ascii="Arial" w:hAnsi="Arial"/>
          <w:sz w:val="21"/>
        </w:rPr>
        <w:t>的秘书长。根据</w:t>
      </w:r>
      <w:r w:rsidRPr="003F5882">
        <w:rPr>
          <w:rFonts w:ascii="Arial" w:hAnsi="Arial"/>
          <w:sz w:val="21"/>
        </w:rPr>
        <w:t>1982</w:t>
      </w:r>
      <w:r w:rsidRPr="003F5882">
        <w:rPr>
          <w:rFonts w:ascii="Arial" w:hAnsi="Arial"/>
          <w:sz w:val="21"/>
        </w:rPr>
        <w:t>年</w:t>
      </w:r>
      <w:r w:rsidRPr="003F5882">
        <w:rPr>
          <w:rFonts w:ascii="Arial" w:hAnsi="Arial"/>
          <w:sz w:val="21"/>
        </w:rPr>
        <w:t>11</w:t>
      </w:r>
      <w:r w:rsidRPr="003F5882">
        <w:rPr>
          <w:rFonts w:ascii="Arial" w:hAnsi="Arial"/>
          <w:sz w:val="21"/>
        </w:rPr>
        <w:t>月</w:t>
      </w:r>
      <w:r w:rsidRPr="003F5882">
        <w:rPr>
          <w:rFonts w:ascii="Arial" w:hAnsi="Arial"/>
          <w:sz w:val="21"/>
        </w:rPr>
        <w:t>26</w:t>
      </w:r>
      <w:r w:rsidRPr="003F5882">
        <w:rPr>
          <w:rFonts w:ascii="Arial" w:hAnsi="Arial"/>
          <w:sz w:val="21"/>
        </w:rPr>
        <w:t>日本组织与</w:t>
      </w:r>
      <w:r w:rsidRPr="003F5882">
        <w:rPr>
          <w:rFonts w:ascii="Arial" w:hAnsi="Arial"/>
          <w:sz w:val="21"/>
        </w:rPr>
        <w:t>UPOV</w:t>
      </w:r>
      <w:r w:rsidRPr="003F5882">
        <w:rPr>
          <w:rFonts w:ascii="Arial" w:hAnsi="Arial"/>
          <w:sz w:val="21"/>
        </w:rPr>
        <w:t>签订的协议条款，本组织负责向</w:t>
      </w:r>
      <w:r w:rsidRPr="003F5882">
        <w:rPr>
          <w:rFonts w:ascii="Arial" w:hAnsi="Arial"/>
          <w:sz w:val="21"/>
        </w:rPr>
        <w:t>UPOV</w:t>
      </w:r>
      <w:r w:rsidRPr="003F5882">
        <w:rPr>
          <w:rFonts w:ascii="Arial" w:hAnsi="Arial"/>
          <w:sz w:val="21"/>
        </w:rPr>
        <w:t>提供办公场地、人事管理、财务管理、采购服务和其他行政支助。</w:t>
      </w:r>
      <w:r w:rsidRPr="003F5882">
        <w:rPr>
          <w:rFonts w:ascii="Arial" w:hAnsi="Arial"/>
          <w:sz w:val="21"/>
        </w:rPr>
        <w:t>UPOV</w:t>
      </w:r>
      <w:r w:rsidRPr="003F5882">
        <w:rPr>
          <w:rFonts w:ascii="Arial" w:hAnsi="Arial"/>
          <w:sz w:val="21"/>
        </w:rPr>
        <w:t>根据上述协议条款向本组织偿还这些服务的费用。作为</w:t>
      </w:r>
      <w:r w:rsidRPr="003F5882">
        <w:rPr>
          <w:rFonts w:ascii="Arial" w:hAnsi="Arial"/>
          <w:sz w:val="21"/>
        </w:rPr>
        <w:t>UPOV</w:t>
      </w:r>
      <w:r w:rsidRPr="003F5882">
        <w:rPr>
          <w:rFonts w:ascii="Arial" w:hAnsi="Arial"/>
          <w:sz w:val="21"/>
        </w:rPr>
        <w:t>领导机构的</w:t>
      </w:r>
      <w:r w:rsidRPr="003F5882">
        <w:rPr>
          <w:rFonts w:ascii="Arial" w:hAnsi="Arial"/>
          <w:sz w:val="21"/>
        </w:rPr>
        <w:t>UPOV</w:t>
      </w:r>
      <w:r w:rsidRPr="003F5882">
        <w:rPr>
          <w:rFonts w:ascii="Arial" w:hAnsi="Arial"/>
          <w:sz w:val="21"/>
        </w:rPr>
        <w:t>理事会由</w:t>
      </w:r>
      <w:r w:rsidRPr="003F5882">
        <w:rPr>
          <w:rFonts w:ascii="Arial" w:hAnsi="Arial"/>
          <w:sz w:val="21"/>
        </w:rPr>
        <w:t>1961</w:t>
      </w:r>
      <w:r w:rsidRPr="003F5882">
        <w:rPr>
          <w:rFonts w:ascii="Arial" w:hAnsi="Arial"/>
          <w:sz w:val="21"/>
        </w:rPr>
        <w:t>年</w:t>
      </w:r>
      <w:r w:rsidRPr="003F5882">
        <w:rPr>
          <w:rFonts w:ascii="Arial" w:hAnsi="Arial"/>
          <w:sz w:val="21"/>
        </w:rPr>
        <w:t>12</w:t>
      </w:r>
      <w:r w:rsidRPr="003F5882">
        <w:rPr>
          <w:rFonts w:ascii="Arial" w:hAnsi="Arial"/>
          <w:sz w:val="21"/>
        </w:rPr>
        <w:t>月</w:t>
      </w:r>
      <w:r w:rsidRPr="003F5882">
        <w:rPr>
          <w:rFonts w:ascii="Arial" w:hAnsi="Arial"/>
          <w:sz w:val="21"/>
        </w:rPr>
        <w:t>2</w:t>
      </w:r>
      <w:r w:rsidRPr="003F5882">
        <w:rPr>
          <w:rFonts w:ascii="Arial" w:hAnsi="Arial"/>
          <w:sz w:val="21"/>
        </w:rPr>
        <w:t>日《国际植物新品种保护公约》</w:t>
      </w:r>
      <w:r w:rsidR="00F453AC" w:rsidRPr="003F5882">
        <w:rPr>
          <w:rFonts w:ascii="Arial" w:hAnsi="Arial"/>
          <w:sz w:val="21"/>
        </w:rPr>
        <w:t>（</w:t>
      </w:r>
      <w:r w:rsidRPr="003F5882">
        <w:rPr>
          <w:rFonts w:ascii="Arial" w:hAnsi="Arial"/>
          <w:sz w:val="21"/>
        </w:rPr>
        <w:t>经修订</w:t>
      </w:r>
      <w:r w:rsidR="00F453AC" w:rsidRPr="003F5882">
        <w:rPr>
          <w:rFonts w:ascii="Arial" w:hAnsi="Arial"/>
          <w:sz w:val="21"/>
        </w:rPr>
        <w:t>）</w:t>
      </w:r>
      <w:r w:rsidRPr="003F5882">
        <w:rPr>
          <w:rFonts w:ascii="Arial" w:hAnsi="Arial"/>
          <w:sz w:val="21"/>
        </w:rPr>
        <w:t>缔约方的代表组成。根据</w:t>
      </w:r>
      <w:r w:rsidRPr="003F5882">
        <w:rPr>
          <w:rFonts w:ascii="Arial" w:hAnsi="Arial"/>
          <w:sz w:val="21"/>
        </w:rPr>
        <w:t>UPOV</w:t>
      </w:r>
      <w:r w:rsidRPr="003F5882">
        <w:rPr>
          <w:rFonts w:ascii="Arial" w:hAnsi="Arial"/>
          <w:sz w:val="21"/>
        </w:rPr>
        <w:t>规则与条例，</w:t>
      </w:r>
      <w:r w:rsidRPr="003F5882">
        <w:rPr>
          <w:rFonts w:ascii="Arial" w:hAnsi="Arial"/>
          <w:sz w:val="21"/>
        </w:rPr>
        <w:t>UPOV</w:t>
      </w:r>
      <w:r w:rsidRPr="003F5882">
        <w:rPr>
          <w:rFonts w:ascii="Arial" w:hAnsi="Arial"/>
          <w:sz w:val="21"/>
        </w:rPr>
        <w:t>办公室由</w:t>
      </w:r>
      <w:r w:rsidRPr="003F5882">
        <w:rPr>
          <w:rFonts w:ascii="Arial" w:hAnsi="Arial"/>
          <w:sz w:val="21"/>
        </w:rPr>
        <w:t>UPOV</w:t>
      </w:r>
      <w:r w:rsidRPr="003F5882">
        <w:rPr>
          <w:rFonts w:ascii="Arial" w:hAnsi="Arial"/>
          <w:sz w:val="21"/>
        </w:rPr>
        <w:t>秘书长和工作人员组成，完全独立于本组织行使职能。</w:t>
      </w:r>
    </w:p>
    <w:p w:rsidR="007D62CB" w:rsidRDefault="00C14A2F" w:rsidP="003374D7">
      <w:pPr>
        <w:pStyle w:val="Style3"/>
        <w:spacing w:afterLines="50" w:line="340" w:lineRule="atLeast"/>
        <w:rPr>
          <w:rFonts w:ascii="Arial" w:hAnsi="Arial"/>
          <w:sz w:val="21"/>
        </w:rPr>
      </w:pPr>
      <w:r w:rsidRPr="003F5882">
        <w:rPr>
          <w:rFonts w:ascii="Arial" w:hAnsi="Arial"/>
          <w:sz w:val="21"/>
        </w:rPr>
        <w:t>除偿还由本组织代表</w:t>
      </w:r>
      <w:r w:rsidRPr="003F5882">
        <w:rPr>
          <w:rFonts w:ascii="Arial" w:hAnsi="Arial"/>
          <w:sz w:val="21"/>
        </w:rPr>
        <w:t>UPOV</w:t>
      </w:r>
      <w:r w:rsidRPr="003F5882">
        <w:rPr>
          <w:rFonts w:ascii="Arial" w:hAnsi="Arial"/>
          <w:sz w:val="21"/>
        </w:rPr>
        <w:t>支付的所有资金外，本组织每年从</w:t>
      </w:r>
      <w:r w:rsidRPr="003F5882">
        <w:rPr>
          <w:rFonts w:ascii="Arial" w:hAnsi="Arial"/>
          <w:sz w:val="21"/>
        </w:rPr>
        <w:t>UPOV</w:t>
      </w:r>
      <w:r w:rsidRPr="003F5882">
        <w:rPr>
          <w:rFonts w:ascii="Arial" w:hAnsi="Arial"/>
          <w:sz w:val="21"/>
        </w:rPr>
        <w:t>收到</w:t>
      </w:r>
      <w:r w:rsidRPr="003F5882">
        <w:rPr>
          <w:rFonts w:ascii="Arial" w:hAnsi="Arial"/>
          <w:sz w:val="21"/>
        </w:rPr>
        <w:t>61.8</w:t>
      </w:r>
      <w:proofErr w:type="gramStart"/>
      <w:r w:rsidRPr="003F5882">
        <w:rPr>
          <w:rFonts w:ascii="Arial" w:hAnsi="Arial"/>
          <w:sz w:val="21"/>
        </w:rPr>
        <w:t>万瑞</w:t>
      </w:r>
      <w:proofErr w:type="gramEnd"/>
      <w:r w:rsidRPr="003F5882">
        <w:rPr>
          <w:rFonts w:ascii="Arial" w:hAnsi="Arial"/>
          <w:sz w:val="21"/>
        </w:rPr>
        <w:t>郎，用于支付根据两个组织之间的协议所提供的各种服务。</w:t>
      </w:r>
      <w:r w:rsidRPr="003F5882">
        <w:rPr>
          <w:rFonts w:ascii="Arial" w:hAnsi="Arial"/>
          <w:sz w:val="21"/>
        </w:rPr>
        <w:t>2014</w:t>
      </w:r>
      <w:r w:rsidRPr="003F5882">
        <w:rPr>
          <w:rFonts w:ascii="Arial" w:hAnsi="Arial"/>
          <w:sz w:val="21"/>
        </w:rPr>
        <w:t>年期间，不存在其他重大的相关方交易。</w:t>
      </w:r>
    </w:p>
    <w:p w:rsidR="007D62CB" w:rsidRDefault="00C14A2F" w:rsidP="003374D7">
      <w:pPr>
        <w:pStyle w:val="Style3"/>
        <w:spacing w:afterLines="50" w:line="340" w:lineRule="atLeast"/>
        <w:rPr>
          <w:rFonts w:ascii="Arial" w:hAnsi="Arial"/>
          <w:sz w:val="21"/>
        </w:rPr>
      </w:pPr>
      <w:r w:rsidRPr="003F5882">
        <w:rPr>
          <w:rFonts w:ascii="Arial" w:hAnsi="Arial"/>
          <w:sz w:val="21"/>
        </w:rPr>
        <w:t>主要管理人员及其总薪酬</w:t>
      </w:r>
      <w:r w:rsidR="00D73A44" w:rsidRPr="003F5882">
        <w:rPr>
          <w:rFonts w:ascii="Arial" w:hAnsi="Arial" w:hint="eastAsia"/>
          <w:sz w:val="21"/>
        </w:rPr>
        <w:t>详见</w:t>
      </w:r>
      <w:r w:rsidRPr="003F5882">
        <w:rPr>
          <w:rFonts w:ascii="Arial" w:hAnsi="Arial"/>
          <w:sz w:val="21"/>
        </w:rPr>
        <w:t>下表所示：不存在向主要管理人员或其近亲属提供</w:t>
      </w:r>
      <w:r w:rsidR="00D73A44" w:rsidRPr="003F5882">
        <w:rPr>
          <w:rFonts w:ascii="Arial" w:hAnsi="Arial" w:hint="eastAsia"/>
          <w:sz w:val="21"/>
        </w:rPr>
        <w:t>、而</w:t>
      </w:r>
      <w:r w:rsidRPr="003F5882">
        <w:rPr>
          <w:rFonts w:ascii="Arial" w:hAnsi="Arial"/>
          <w:sz w:val="21"/>
        </w:rPr>
        <w:t>不向其他工作人员类别提供的贷款。不存在对主要管理人员或其近亲属的其他薪酬或补偿。</w:t>
      </w:r>
    </w:p>
    <w:p w:rsidR="007D62CB" w:rsidRDefault="006F16A3" w:rsidP="00C14A2F">
      <w:pPr>
        <w:pStyle w:val="Style3"/>
        <w:spacing w:after="0"/>
        <w:jc w:val="center"/>
        <w:rPr>
          <w:rFonts w:ascii="Arial" w:hAnsi="Arial"/>
          <w:sz w:val="21"/>
        </w:rPr>
      </w:pPr>
      <w:r w:rsidRPr="006F16A3">
        <w:rPr>
          <w:noProof/>
          <w:lang w:val="en-US" w:bidi="ar-SA"/>
        </w:rPr>
        <w:drawing>
          <wp:inline distT="0" distB="0" distL="0" distR="0">
            <wp:extent cx="5969635" cy="1449070"/>
            <wp:effectExtent l="0" t="0" r="0" b="0"/>
            <wp:docPr id="166" name="图片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5969635" cy="1449070"/>
                    </a:xfrm>
                    <a:prstGeom prst="rect">
                      <a:avLst/>
                    </a:prstGeom>
                    <a:noFill/>
                    <a:ln>
                      <a:noFill/>
                    </a:ln>
                  </pic:spPr>
                </pic:pic>
              </a:graphicData>
            </a:graphic>
          </wp:inline>
        </w:drawing>
      </w:r>
    </w:p>
    <w:p w:rsidR="007D62CB" w:rsidRDefault="00C14A2F" w:rsidP="007D62CB">
      <w:pPr>
        <w:pStyle w:val="STYLETITRENOTES"/>
        <w:keepNext/>
        <w:overflowPunct w:val="0"/>
        <w:spacing w:beforeLines="100" w:before="240" w:afterLines="100" w:after="240" w:line="340" w:lineRule="atLeast"/>
        <w:rPr>
          <w:rFonts w:ascii="Arial" w:eastAsia="SimHei" w:hAnsi="Arial"/>
          <w:b w:val="0"/>
          <w:sz w:val="21"/>
          <w:szCs w:val="22"/>
        </w:rPr>
      </w:pPr>
      <w:r w:rsidRPr="00F453AC">
        <w:rPr>
          <w:rFonts w:ascii="Arial" w:eastAsia="SimHei" w:hAnsi="Arial"/>
          <w:b w:val="0"/>
          <w:sz w:val="21"/>
        </w:rPr>
        <w:t>附注</w:t>
      </w:r>
      <w:r w:rsidRPr="00F453AC">
        <w:rPr>
          <w:rFonts w:ascii="Arial" w:eastAsia="SimHei" w:hAnsi="Arial"/>
          <w:b w:val="0"/>
          <w:sz w:val="21"/>
        </w:rPr>
        <w:t>21</w:t>
      </w:r>
      <w:r w:rsidRPr="00F453AC">
        <w:rPr>
          <w:rFonts w:ascii="Arial" w:eastAsia="SimHei" w:hAnsi="Arial"/>
          <w:b w:val="0"/>
          <w:sz w:val="21"/>
        </w:rPr>
        <w:t>：</w:t>
      </w:r>
      <w:r w:rsidRPr="00F453AC">
        <w:rPr>
          <w:rFonts w:ascii="Arial" w:eastAsia="SimHei" w:hAnsi="Arial"/>
          <w:b w:val="0"/>
          <w:sz w:val="21"/>
        </w:rPr>
        <w:tab/>
      </w:r>
      <w:r w:rsidRPr="00F453AC">
        <w:rPr>
          <w:rFonts w:ascii="Arial" w:eastAsia="SimHei" w:hAnsi="Arial"/>
          <w:b w:val="0"/>
          <w:sz w:val="21"/>
        </w:rPr>
        <w:t>储备金和基金结余</w:t>
      </w:r>
    </w:p>
    <w:p w:rsidR="00C14A2F" w:rsidRPr="003F5882" w:rsidRDefault="006F16A3" w:rsidP="00C14A2F">
      <w:pPr>
        <w:pStyle w:val="STYLEDUTEXTE"/>
        <w:jc w:val="center"/>
        <w:rPr>
          <w:rFonts w:ascii="Arial" w:hAnsi="Arial"/>
          <w:sz w:val="20"/>
        </w:rPr>
      </w:pPr>
      <w:r w:rsidRPr="006F16A3">
        <w:rPr>
          <w:noProof/>
          <w:lang w:val="en-US" w:bidi="ar-SA"/>
        </w:rPr>
        <w:drawing>
          <wp:inline distT="0" distB="0" distL="0" distR="0" wp14:anchorId="75CA5687" wp14:editId="6E667918">
            <wp:extent cx="5977255" cy="2899141"/>
            <wp:effectExtent l="0" t="0" r="4445" b="0"/>
            <wp:docPr id="167" name="图片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5977255" cy="2899141"/>
                    </a:xfrm>
                    <a:prstGeom prst="rect">
                      <a:avLst/>
                    </a:prstGeom>
                    <a:noFill/>
                    <a:ln>
                      <a:noFill/>
                    </a:ln>
                  </pic:spPr>
                </pic:pic>
              </a:graphicData>
            </a:graphic>
          </wp:inline>
        </w:drawing>
      </w:r>
    </w:p>
    <w:p w:rsidR="007D62CB" w:rsidRDefault="00C14A2F" w:rsidP="003374D7">
      <w:pPr>
        <w:pStyle w:val="Style3"/>
        <w:spacing w:afterLines="50" w:line="340" w:lineRule="atLeast"/>
        <w:rPr>
          <w:rFonts w:ascii="Arial" w:hAnsi="Arial"/>
          <w:sz w:val="21"/>
        </w:rPr>
      </w:pPr>
      <w:r w:rsidRPr="003F5882">
        <w:rPr>
          <w:rFonts w:ascii="Arial" w:hAnsi="Arial"/>
          <w:sz w:val="21"/>
        </w:rPr>
        <w:lastRenderedPageBreak/>
        <w:t>本组织的资金结余为</w:t>
      </w:r>
      <w:r w:rsidRPr="003F5882">
        <w:rPr>
          <w:rFonts w:ascii="Arial" w:hAnsi="Arial"/>
          <w:sz w:val="21"/>
        </w:rPr>
        <w:t>2014</w:t>
      </w:r>
      <w:r w:rsidRPr="003F5882">
        <w:rPr>
          <w:rFonts w:ascii="Arial" w:hAnsi="Arial"/>
          <w:sz w:val="21"/>
        </w:rPr>
        <w:t>年和前期业务的累计净额。</w:t>
      </w:r>
    </w:p>
    <w:p w:rsidR="007D62CB" w:rsidRDefault="00C14A2F" w:rsidP="003374D7">
      <w:pPr>
        <w:pStyle w:val="Style3"/>
        <w:spacing w:afterLines="50" w:line="340" w:lineRule="atLeast"/>
        <w:rPr>
          <w:rFonts w:ascii="Arial" w:hAnsi="Arial"/>
          <w:sz w:val="21"/>
        </w:rPr>
      </w:pPr>
      <w:r w:rsidRPr="003F5882">
        <w:rPr>
          <w:rFonts w:ascii="Arial" w:hAnsi="Arial"/>
          <w:sz w:val="21"/>
        </w:rPr>
        <w:t>重估值盈余储备</w:t>
      </w:r>
      <w:proofErr w:type="gramStart"/>
      <w:r w:rsidRPr="003F5882">
        <w:rPr>
          <w:rFonts w:ascii="Arial" w:hAnsi="Arial"/>
          <w:sz w:val="21"/>
        </w:rPr>
        <w:t>金包括</w:t>
      </w:r>
      <w:proofErr w:type="gramEnd"/>
      <w:r w:rsidRPr="003F5882">
        <w:rPr>
          <w:rFonts w:ascii="Arial" w:hAnsi="Arial"/>
          <w:sz w:val="21"/>
        </w:rPr>
        <w:t>本组织用于建设新大楼的自有土地的重估值</w:t>
      </w:r>
      <w:r w:rsidR="00F453AC" w:rsidRPr="003F5882">
        <w:rPr>
          <w:rFonts w:ascii="Arial" w:hAnsi="Arial"/>
          <w:sz w:val="21"/>
        </w:rPr>
        <w:t>（</w:t>
      </w:r>
      <w:r w:rsidRPr="003F5882">
        <w:rPr>
          <w:rFonts w:ascii="Arial" w:hAnsi="Arial"/>
          <w:sz w:val="21"/>
        </w:rPr>
        <w:t>从历史成本转为公允价值</w:t>
      </w:r>
      <w:r w:rsidR="00F453AC" w:rsidRPr="003F5882">
        <w:rPr>
          <w:rFonts w:ascii="Arial" w:hAnsi="Arial"/>
          <w:sz w:val="21"/>
        </w:rPr>
        <w:t>）</w:t>
      </w:r>
      <w:r w:rsidRPr="003F5882">
        <w:rPr>
          <w:rFonts w:ascii="Arial" w:hAnsi="Arial"/>
          <w:sz w:val="21"/>
        </w:rPr>
        <w:t>结果。公允价值经过独立评估确定。储备</w:t>
      </w:r>
      <w:proofErr w:type="gramStart"/>
      <w:r w:rsidRPr="003F5882">
        <w:rPr>
          <w:rFonts w:ascii="Arial" w:hAnsi="Arial"/>
          <w:sz w:val="21"/>
        </w:rPr>
        <w:t>金包括</w:t>
      </w:r>
      <w:proofErr w:type="gramEnd"/>
      <w:r w:rsidRPr="003F5882">
        <w:rPr>
          <w:rFonts w:ascii="Arial" w:hAnsi="Arial"/>
          <w:sz w:val="21"/>
        </w:rPr>
        <w:t>由每一联盟的成员国大会设立的周转基金，用于在出现暂时的流动性短缺时提供拨款的预先筹资。</w:t>
      </w:r>
    </w:p>
    <w:p w:rsidR="007D62CB" w:rsidRDefault="00C14A2F" w:rsidP="003374D7">
      <w:pPr>
        <w:pStyle w:val="Style3"/>
        <w:spacing w:afterLines="50" w:line="340" w:lineRule="atLeast"/>
        <w:rPr>
          <w:rFonts w:ascii="Arial" w:hAnsi="Arial"/>
          <w:sz w:val="21"/>
        </w:rPr>
      </w:pPr>
      <w:r w:rsidRPr="003F5882">
        <w:rPr>
          <w:rFonts w:ascii="Arial" w:hAnsi="Arial"/>
          <w:sz w:val="21"/>
        </w:rPr>
        <w:t>WIPO</w:t>
      </w:r>
      <w:r w:rsidRPr="003F5882">
        <w:rPr>
          <w:rFonts w:ascii="Arial" w:hAnsi="Arial"/>
          <w:sz w:val="21"/>
        </w:rPr>
        <w:t>的资本由累计盈余和周转基金组成，它们构成资产净额的一部分。资本的管理是依照</w:t>
      </w:r>
      <w:r w:rsidRPr="003F5882">
        <w:rPr>
          <w:rFonts w:ascii="Arial" w:hAnsi="Arial"/>
          <w:sz w:val="21"/>
        </w:rPr>
        <w:t>2010</w:t>
      </w:r>
      <w:r w:rsidRPr="003F5882">
        <w:rPr>
          <w:rFonts w:ascii="Arial" w:hAnsi="Arial"/>
          <w:sz w:val="21"/>
        </w:rPr>
        <w:t>年</w:t>
      </w:r>
      <w:r w:rsidRPr="003F5882">
        <w:rPr>
          <w:rFonts w:ascii="Arial" w:hAnsi="Arial"/>
          <w:sz w:val="21"/>
        </w:rPr>
        <w:t>WIPO</w:t>
      </w:r>
      <w:r w:rsidRPr="003F5882">
        <w:rPr>
          <w:rFonts w:ascii="Arial" w:hAnsi="Arial"/>
          <w:sz w:val="21"/>
        </w:rPr>
        <w:t>成员国大会第四十八届系列会议</w:t>
      </w:r>
      <w:r w:rsidR="00F453AC" w:rsidRPr="003F5882">
        <w:rPr>
          <w:rFonts w:ascii="Arial" w:hAnsi="Arial"/>
          <w:sz w:val="21"/>
        </w:rPr>
        <w:t>［</w:t>
      </w:r>
      <w:r w:rsidRPr="003F5882">
        <w:rPr>
          <w:rFonts w:ascii="Arial" w:hAnsi="Arial"/>
          <w:sz w:val="21"/>
        </w:rPr>
        <w:t>A/48/9</w:t>
      </w:r>
      <w:r w:rsidR="00F453AC" w:rsidRPr="003F5882">
        <w:rPr>
          <w:rFonts w:ascii="Arial" w:hAnsi="Arial"/>
          <w:sz w:val="21"/>
        </w:rPr>
        <w:t>］</w:t>
      </w:r>
      <w:r w:rsidRPr="003F5882">
        <w:rPr>
          <w:rFonts w:ascii="Arial" w:hAnsi="Arial"/>
          <w:sz w:val="21"/>
        </w:rPr>
        <w:t>通过的储备基金政策和储备金使用原则进行的。该政策制定了累计盈余目标数额，相当于本组织的每一联盟两年期开支概算的一个百分比。此外，各联盟的条约协定明确了周转基金数额。拨出等于累计盈余和周转基金目标水平的资金来保持足够的流动性水平，并在业务出现赤字时用来弥补赤字。根据</w:t>
      </w:r>
      <w:r w:rsidRPr="003F5882">
        <w:rPr>
          <w:rFonts w:ascii="Arial" w:hAnsi="Arial"/>
          <w:sz w:val="21"/>
        </w:rPr>
        <w:t>WIPO</w:t>
      </w:r>
      <w:r w:rsidRPr="003F5882">
        <w:rPr>
          <w:rFonts w:ascii="Arial" w:hAnsi="Arial"/>
          <w:sz w:val="21"/>
        </w:rPr>
        <w:t>大会建立的储备</w:t>
      </w:r>
      <w:proofErr w:type="gramStart"/>
      <w:r w:rsidRPr="003F5882">
        <w:rPr>
          <w:rFonts w:ascii="Arial" w:hAnsi="Arial"/>
          <w:sz w:val="21"/>
        </w:rPr>
        <w:t>金利用</w:t>
      </w:r>
      <w:proofErr w:type="gramEnd"/>
      <w:r w:rsidRPr="003F5882">
        <w:rPr>
          <w:rFonts w:ascii="Arial" w:hAnsi="Arial"/>
          <w:sz w:val="21"/>
        </w:rPr>
        <w:t>政策，大会可以用超过目标的累计盈余为完善基建或其他优先项目提供资助。</w:t>
      </w:r>
    </w:p>
    <w:p w:rsidR="007D62CB" w:rsidRDefault="00C14A2F" w:rsidP="003374D7">
      <w:pPr>
        <w:pStyle w:val="Style3"/>
        <w:spacing w:afterLines="50" w:line="340" w:lineRule="atLeast"/>
        <w:rPr>
          <w:rFonts w:ascii="Arial" w:hAnsi="Arial"/>
          <w:sz w:val="21"/>
          <w:szCs w:val="22"/>
        </w:rPr>
      </w:pPr>
      <w:r w:rsidRPr="003F5882">
        <w:rPr>
          <w:rFonts w:ascii="Arial" w:hAnsi="Arial"/>
          <w:sz w:val="21"/>
        </w:rPr>
        <w:t>截至</w:t>
      </w:r>
      <w:r w:rsidRPr="003F5882">
        <w:rPr>
          <w:rFonts w:ascii="Arial" w:hAnsi="Arial"/>
          <w:sz w:val="21"/>
        </w:rPr>
        <w:t>2014</w:t>
      </w:r>
      <w:r w:rsidRPr="003F5882">
        <w:rPr>
          <w:rFonts w:ascii="Arial" w:hAnsi="Arial"/>
          <w:sz w:val="21"/>
        </w:rPr>
        <w:t>年</w:t>
      </w:r>
      <w:r w:rsidRPr="003F5882">
        <w:rPr>
          <w:rFonts w:ascii="Arial" w:hAnsi="Arial"/>
          <w:sz w:val="21"/>
        </w:rPr>
        <w:t>12</w:t>
      </w:r>
      <w:r w:rsidRPr="003F5882">
        <w:rPr>
          <w:rFonts w:ascii="Arial" w:hAnsi="Arial"/>
          <w:sz w:val="21"/>
        </w:rPr>
        <w:t>月</w:t>
      </w:r>
      <w:r w:rsidRPr="003F5882">
        <w:rPr>
          <w:rFonts w:ascii="Arial" w:hAnsi="Arial"/>
          <w:sz w:val="21"/>
        </w:rPr>
        <w:t>31</w:t>
      </w:r>
      <w:r w:rsidRPr="003F5882">
        <w:rPr>
          <w:rFonts w:ascii="Arial" w:hAnsi="Arial"/>
          <w:sz w:val="21"/>
        </w:rPr>
        <w:t>日，累计盈余余额包括依照这一政策核准</w:t>
      </w:r>
      <w:r w:rsidRPr="003374D7">
        <w:rPr>
          <w:rFonts w:ascii="Arial" w:hAnsi="Arial" w:cs="Times New Roman"/>
          <w:sz w:val="21"/>
        </w:rPr>
        <w:t>用于</w:t>
      </w:r>
      <w:r w:rsidRPr="003F5882">
        <w:rPr>
          <w:rFonts w:ascii="Arial" w:hAnsi="Arial"/>
          <w:sz w:val="21"/>
        </w:rPr>
        <w:t>项目的资金。报告日核准的特殊项目的</w:t>
      </w:r>
      <w:r w:rsidR="00986E9F" w:rsidRPr="003F5882">
        <w:rPr>
          <w:rFonts w:ascii="Arial" w:hAnsi="Arial" w:hint="eastAsia"/>
          <w:sz w:val="21"/>
        </w:rPr>
        <w:t>剩余</w:t>
      </w:r>
      <w:r w:rsidRPr="003F5882">
        <w:rPr>
          <w:rFonts w:ascii="Arial" w:hAnsi="Arial"/>
          <w:sz w:val="21"/>
        </w:rPr>
        <w:t>余额为</w:t>
      </w:r>
      <w:r w:rsidRPr="003F5882">
        <w:rPr>
          <w:rFonts w:ascii="Arial" w:hAnsi="Arial"/>
          <w:sz w:val="21"/>
        </w:rPr>
        <w:t>2,560</w:t>
      </w:r>
      <w:r w:rsidRPr="003F5882">
        <w:rPr>
          <w:rFonts w:ascii="Arial" w:hAnsi="Arial"/>
          <w:sz w:val="21"/>
        </w:rPr>
        <w:t>万瑞郎。报告日发展议程储备金部分的</w:t>
      </w:r>
      <w:r w:rsidR="00986E9F" w:rsidRPr="003F5882">
        <w:rPr>
          <w:rFonts w:ascii="Arial" w:hAnsi="Arial" w:hint="eastAsia"/>
          <w:sz w:val="21"/>
        </w:rPr>
        <w:t>剩余</w:t>
      </w:r>
      <w:r w:rsidRPr="003F5882">
        <w:rPr>
          <w:rFonts w:ascii="Arial" w:hAnsi="Arial"/>
          <w:sz w:val="21"/>
        </w:rPr>
        <w:t>余额为</w:t>
      </w:r>
      <w:r w:rsidRPr="003F5882">
        <w:rPr>
          <w:rFonts w:ascii="Arial" w:hAnsi="Arial"/>
          <w:sz w:val="21"/>
        </w:rPr>
        <w:t>100</w:t>
      </w:r>
      <w:r w:rsidRPr="003F5882">
        <w:rPr>
          <w:rFonts w:ascii="Arial" w:hAnsi="Arial"/>
          <w:sz w:val="21"/>
        </w:rPr>
        <w:t>万瑞郎。还要注意的是，截至</w:t>
      </w:r>
      <w:r w:rsidRPr="003F5882">
        <w:rPr>
          <w:rFonts w:ascii="Arial" w:hAnsi="Arial"/>
          <w:sz w:val="21"/>
        </w:rPr>
        <w:t>2014</w:t>
      </w:r>
      <w:r w:rsidRPr="003F5882">
        <w:rPr>
          <w:rFonts w:ascii="Arial" w:hAnsi="Arial"/>
          <w:sz w:val="21"/>
        </w:rPr>
        <w:t>年</w:t>
      </w:r>
      <w:r w:rsidRPr="003F5882">
        <w:rPr>
          <w:rFonts w:ascii="Arial" w:hAnsi="Arial"/>
          <w:sz w:val="21"/>
        </w:rPr>
        <w:t>12</w:t>
      </w:r>
      <w:r w:rsidRPr="003F5882">
        <w:rPr>
          <w:rFonts w:ascii="Arial" w:hAnsi="Arial"/>
          <w:sz w:val="21"/>
        </w:rPr>
        <w:t>月</w:t>
      </w:r>
      <w:r w:rsidRPr="003F5882">
        <w:rPr>
          <w:rFonts w:ascii="Arial" w:hAnsi="Arial"/>
          <w:sz w:val="21"/>
        </w:rPr>
        <w:t>31</w:t>
      </w:r>
      <w:r w:rsidRPr="003F5882">
        <w:rPr>
          <w:rFonts w:ascii="Arial" w:hAnsi="Arial"/>
          <w:sz w:val="21"/>
        </w:rPr>
        <w:t>日，办公楼建筑项目的余额为</w:t>
      </w:r>
      <w:r w:rsidRPr="003F5882">
        <w:rPr>
          <w:rFonts w:ascii="Arial" w:hAnsi="Arial"/>
          <w:sz w:val="21"/>
        </w:rPr>
        <w:t>60</w:t>
      </w:r>
      <w:r w:rsidRPr="003F5882">
        <w:rPr>
          <w:rFonts w:ascii="Arial" w:hAnsi="Arial"/>
          <w:sz w:val="21"/>
        </w:rPr>
        <w:t>万瑞郎。这些建筑项目在建期间不会影响净资产水平，因为产生的支出作为在建工程转化为资本。下表详细描述了本年度储备金供资的项目以及净支出。</w:t>
      </w:r>
    </w:p>
    <w:p w:rsidR="007D62CB" w:rsidRDefault="006F16A3" w:rsidP="00C14A2F">
      <w:pPr>
        <w:pStyle w:val="STYLEDUTEXTE"/>
        <w:jc w:val="center"/>
        <w:rPr>
          <w:rFonts w:ascii="Arial" w:hAnsi="Arial"/>
          <w:sz w:val="21"/>
        </w:rPr>
      </w:pPr>
      <w:r w:rsidRPr="006F16A3">
        <w:rPr>
          <w:noProof/>
          <w:lang w:val="en-US" w:bidi="ar-SA"/>
        </w:rPr>
        <w:drawing>
          <wp:inline distT="0" distB="0" distL="0" distR="0" wp14:anchorId="06AA5248" wp14:editId="4F2356B1">
            <wp:extent cx="5977255" cy="3790959"/>
            <wp:effectExtent l="0" t="0" r="4445" b="0"/>
            <wp:docPr id="168" name="图片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5977255" cy="3790959"/>
                    </a:xfrm>
                    <a:prstGeom prst="rect">
                      <a:avLst/>
                    </a:prstGeom>
                    <a:noFill/>
                    <a:ln>
                      <a:noFill/>
                    </a:ln>
                  </pic:spPr>
                </pic:pic>
              </a:graphicData>
            </a:graphic>
          </wp:inline>
        </w:drawing>
      </w:r>
    </w:p>
    <w:p w:rsidR="007D62CB" w:rsidRDefault="00C14A2F" w:rsidP="007D62CB">
      <w:pPr>
        <w:pStyle w:val="STYLETITRENOTES"/>
        <w:keepNext/>
        <w:overflowPunct w:val="0"/>
        <w:spacing w:beforeLines="100" w:before="240" w:afterLines="100" w:after="240" w:line="340" w:lineRule="atLeast"/>
        <w:rPr>
          <w:rFonts w:ascii="Arial" w:eastAsia="SimHei" w:hAnsi="Arial"/>
          <w:b w:val="0"/>
          <w:sz w:val="21"/>
          <w:szCs w:val="22"/>
        </w:rPr>
      </w:pPr>
      <w:r w:rsidRPr="00F453AC">
        <w:rPr>
          <w:rFonts w:ascii="Arial" w:eastAsia="SimHei" w:hAnsi="Arial"/>
          <w:b w:val="0"/>
          <w:sz w:val="21"/>
        </w:rPr>
        <w:t>附注</w:t>
      </w:r>
      <w:r w:rsidRPr="00F453AC">
        <w:rPr>
          <w:rFonts w:ascii="Arial" w:eastAsia="SimHei" w:hAnsi="Arial"/>
          <w:b w:val="0"/>
          <w:sz w:val="21"/>
        </w:rPr>
        <w:t>22</w:t>
      </w:r>
      <w:r w:rsidRPr="00F453AC">
        <w:rPr>
          <w:rFonts w:ascii="Arial" w:eastAsia="SimHei" w:hAnsi="Arial"/>
          <w:b w:val="0"/>
          <w:sz w:val="21"/>
        </w:rPr>
        <w:t>：</w:t>
      </w:r>
      <w:r w:rsidRPr="00F453AC">
        <w:rPr>
          <w:rFonts w:ascii="Arial" w:eastAsia="SimHei" w:hAnsi="Arial"/>
          <w:b w:val="0"/>
          <w:sz w:val="21"/>
        </w:rPr>
        <w:tab/>
      </w:r>
      <w:r w:rsidRPr="00F453AC">
        <w:rPr>
          <w:rFonts w:ascii="Arial" w:eastAsia="SimHei" w:hAnsi="Arial"/>
          <w:b w:val="0"/>
          <w:sz w:val="21"/>
        </w:rPr>
        <w:t>预算比较表和财务执行情况表的对账情况</w:t>
      </w:r>
    </w:p>
    <w:p w:rsidR="007D62CB" w:rsidRDefault="00C14A2F" w:rsidP="003374D7">
      <w:pPr>
        <w:pStyle w:val="Style3"/>
        <w:spacing w:afterLines="50" w:line="340" w:lineRule="atLeast"/>
        <w:rPr>
          <w:rFonts w:ascii="Arial" w:hAnsi="Arial"/>
          <w:sz w:val="21"/>
        </w:rPr>
      </w:pPr>
      <w:r w:rsidRPr="003F5882">
        <w:rPr>
          <w:rFonts w:ascii="Arial" w:hAnsi="Arial"/>
          <w:sz w:val="21"/>
        </w:rPr>
        <w:t>WIPO</w:t>
      </w:r>
      <w:r w:rsidRPr="003F5882">
        <w:rPr>
          <w:rFonts w:ascii="Arial" w:hAnsi="Arial"/>
          <w:sz w:val="21"/>
        </w:rPr>
        <w:t>计划和预算是根据《财务条例与细则》在修正的权责发生制基础上编制的，并经成员国大会批准。</w:t>
      </w:r>
      <w:r w:rsidRPr="003F5882">
        <w:rPr>
          <w:rFonts w:ascii="Arial" w:hAnsi="Arial"/>
          <w:sz w:val="21"/>
        </w:rPr>
        <w:t>2014/15</w:t>
      </w:r>
      <w:r w:rsidRPr="003F5882">
        <w:rPr>
          <w:rFonts w:ascii="Arial" w:hAnsi="Arial"/>
          <w:sz w:val="21"/>
        </w:rPr>
        <w:t>两年期计划和预算为该两年期确定了</w:t>
      </w:r>
      <w:r w:rsidRPr="003F5882">
        <w:rPr>
          <w:rFonts w:ascii="Arial" w:hAnsi="Arial"/>
          <w:sz w:val="21"/>
        </w:rPr>
        <w:t>6.</w:t>
      </w:r>
      <w:r w:rsidR="005D4062" w:rsidRPr="003F5882">
        <w:rPr>
          <w:rFonts w:ascii="Arial" w:hAnsi="Arial" w:hint="eastAsia"/>
          <w:sz w:val="21"/>
        </w:rPr>
        <w:t>74</w:t>
      </w:r>
      <w:r w:rsidRPr="003F5882">
        <w:rPr>
          <w:rFonts w:ascii="Arial" w:hAnsi="Arial"/>
          <w:sz w:val="21"/>
        </w:rPr>
        <w:t>0</w:t>
      </w:r>
      <w:r w:rsidRPr="003F5882">
        <w:rPr>
          <w:rFonts w:ascii="Arial" w:hAnsi="Arial"/>
          <w:sz w:val="21"/>
        </w:rPr>
        <w:t>亿瑞郎的概算。</w:t>
      </w:r>
      <w:r w:rsidRPr="003F5882">
        <w:rPr>
          <w:rFonts w:ascii="Arial" w:hAnsi="Arial"/>
          <w:sz w:val="21"/>
        </w:rPr>
        <w:t>2014</w:t>
      </w:r>
      <w:r w:rsidRPr="003F5882">
        <w:rPr>
          <w:rFonts w:ascii="Arial" w:hAnsi="Arial"/>
          <w:sz w:val="21"/>
        </w:rPr>
        <w:t>年是本两年期的第一年，初步和最终预算的收入概算为</w:t>
      </w:r>
      <w:r w:rsidRPr="003F5882">
        <w:rPr>
          <w:rFonts w:ascii="Arial" w:hAnsi="Arial"/>
          <w:sz w:val="21"/>
        </w:rPr>
        <w:t>3.513</w:t>
      </w:r>
      <w:r w:rsidRPr="003F5882">
        <w:rPr>
          <w:rFonts w:ascii="Arial" w:hAnsi="Arial"/>
          <w:sz w:val="21"/>
        </w:rPr>
        <w:t>亿瑞郎，支出概算为</w:t>
      </w:r>
      <w:r w:rsidRPr="003F5882">
        <w:rPr>
          <w:rFonts w:ascii="Arial" w:hAnsi="Arial"/>
          <w:sz w:val="21"/>
        </w:rPr>
        <w:t>3.37</w:t>
      </w:r>
      <w:r w:rsidR="005D4062" w:rsidRPr="003F5882">
        <w:rPr>
          <w:rFonts w:ascii="Arial" w:hAnsi="Arial" w:hint="eastAsia"/>
          <w:sz w:val="21"/>
        </w:rPr>
        <w:t>0</w:t>
      </w:r>
      <w:r w:rsidRPr="003F5882">
        <w:rPr>
          <w:rFonts w:ascii="Arial" w:hAnsi="Arial"/>
          <w:sz w:val="21"/>
        </w:rPr>
        <w:t>亿瑞郎。在本两年期的第一年，采用修正</w:t>
      </w:r>
      <w:r w:rsidRPr="003F5882">
        <w:rPr>
          <w:rFonts w:ascii="Arial" w:hAnsi="Arial"/>
          <w:sz w:val="21"/>
        </w:rPr>
        <w:lastRenderedPageBreak/>
        <w:t>的权责发生制的实际收入为</w:t>
      </w:r>
      <w:r w:rsidRPr="003F5882">
        <w:rPr>
          <w:rFonts w:ascii="Arial" w:hAnsi="Arial"/>
          <w:sz w:val="21"/>
        </w:rPr>
        <w:t>3.787</w:t>
      </w:r>
      <w:r w:rsidRPr="003F5882">
        <w:rPr>
          <w:rFonts w:ascii="Arial" w:hAnsi="Arial"/>
          <w:sz w:val="21"/>
        </w:rPr>
        <w:t>亿瑞郎。在本两年期的第一年，采用修正的权责发生制的实际支出为</w:t>
      </w:r>
      <w:r w:rsidRPr="003F5882">
        <w:rPr>
          <w:rFonts w:ascii="Arial" w:hAnsi="Arial"/>
          <w:sz w:val="21"/>
        </w:rPr>
        <w:t>3.088</w:t>
      </w:r>
      <w:r w:rsidRPr="003F5882">
        <w:rPr>
          <w:rFonts w:ascii="Arial" w:hAnsi="Arial"/>
          <w:sz w:val="21"/>
        </w:rPr>
        <w:t>亿瑞郎。</w:t>
      </w:r>
    </w:p>
    <w:p w:rsidR="007D62CB" w:rsidRDefault="003D06E3" w:rsidP="003374D7">
      <w:pPr>
        <w:pStyle w:val="Style3"/>
        <w:spacing w:afterLines="50" w:line="340" w:lineRule="atLeast"/>
        <w:rPr>
          <w:rFonts w:ascii="Arial" w:hAnsi="Arial"/>
          <w:sz w:val="21"/>
        </w:rPr>
      </w:pPr>
      <w:r w:rsidRPr="003F5882">
        <w:rPr>
          <w:rFonts w:ascii="Arial" w:hAnsi="Arial" w:hint="eastAsia"/>
          <w:sz w:val="21"/>
        </w:rPr>
        <w:t>《</w:t>
      </w:r>
      <w:r w:rsidR="00C14A2F" w:rsidRPr="003F5882">
        <w:rPr>
          <w:rFonts w:ascii="Arial" w:hAnsi="Arial"/>
          <w:sz w:val="21"/>
        </w:rPr>
        <w:t>2014</w:t>
      </w:r>
      <w:r w:rsidR="00C14A2F" w:rsidRPr="003F5882">
        <w:rPr>
          <w:rFonts w:ascii="Arial" w:hAnsi="Arial"/>
          <w:sz w:val="21"/>
        </w:rPr>
        <w:t>年计划效绩报告</w:t>
      </w:r>
      <w:r w:rsidRPr="003F5882">
        <w:rPr>
          <w:rFonts w:ascii="Arial" w:hAnsi="Arial" w:hint="eastAsia"/>
          <w:sz w:val="21"/>
        </w:rPr>
        <w:t>》</w:t>
      </w:r>
      <w:r w:rsidR="00C14A2F" w:rsidRPr="003F5882">
        <w:rPr>
          <w:rFonts w:ascii="Arial" w:hAnsi="Arial"/>
          <w:sz w:val="21"/>
        </w:rPr>
        <w:t>对原预算和调剂使用后最终预算之间的变动以及预算数额和实际数额之间的实质性差异进行了解释。</w:t>
      </w:r>
      <w:r w:rsidR="00C14A2F" w:rsidRPr="003F5882">
        <w:rPr>
          <w:rFonts w:ascii="Arial" w:hAnsi="Arial"/>
          <w:sz w:val="21"/>
        </w:rPr>
        <w:t>WIPO</w:t>
      </w:r>
      <w:r w:rsidR="00C14A2F" w:rsidRPr="003F5882">
        <w:rPr>
          <w:rFonts w:ascii="Arial" w:hAnsi="Arial"/>
          <w:sz w:val="21"/>
        </w:rPr>
        <w:t>的预算和财务账目是使用两种不同基准</w:t>
      </w:r>
      <w:r w:rsidR="00C14A2F" w:rsidRPr="003374D7">
        <w:rPr>
          <w:rFonts w:ascii="Arial" w:hAnsi="Arial" w:cs="Times New Roman"/>
          <w:sz w:val="21"/>
        </w:rPr>
        <w:t>编制</w:t>
      </w:r>
      <w:r w:rsidR="00C14A2F" w:rsidRPr="003F5882">
        <w:rPr>
          <w:rFonts w:ascii="Arial" w:hAnsi="Arial"/>
          <w:sz w:val="21"/>
        </w:rPr>
        <w:t>的。财务状况表、财务执行情况表、净资产变动表和现金流量表是以完全的权责发生制编制的，而预算和实际数额对比表</w:t>
      </w:r>
      <w:r w:rsidR="00F453AC" w:rsidRPr="003F5882">
        <w:rPr>
          <w:rFonts w:ascii="Arial" w:hAnsi="Arial" w:hint="eastAsia"/>
          <w:sz w:val="21"/>
        </w:rPr>
        <w:t>（</w:t>
      </w:r>
      <w:r w:rsidR="00C14A2F" w:rsidRPr="003F5882">
        <w:rPr>
          <w:rFonts w:ascii="Arial" w:hAnsi="Arial"/>
          <w:sz w:val="21"/>
        </w:rPr>
        <w:t>报表五</w:t>
      </w:r>
      <w:r w:rsidR="00F453AC" w:rsidRPr="003F5882">
        <w:rPr>
          <w:rFonts w:ascii="Arial" w:hAnsi="Arial"/>
          <w:sz w:val="21"/>
        </w:rPr>
        <w:t>）</w:t>
      </w:r>
      <w:r w:rsidR="00C14A2F" w:rsidRPr="003F5882">
        <w:rPr>
          <w:rFonts w:ascii="Arial" w:hAnsi="Arial"/>
          <w:sz w:val="21"/>
        </w:rPr>
        <w:t>是根据修正的权责发生制编制的。</w:t>
      </w:r>
    </w:p>
    <w:p w:rsidR="007D62CB" w:rsidRDefault="00C14A2F" w:rsidP="003374D7">
      <w:pPr>
        <w:pStyle w:val="Style3"/>
        <w:spacing w:afterLines="50" w:line="340" w:lineRule="atLeast"/>
        <w:rPr>
          <w:rFonts w:ascii="Arial" w:hAnsi="Arial"/>
          <w:sz w:val="21"/>
        </w:rPr>
      </w:pPr>
      <w:r w:rsidRPr="003F5882">
        <w:rPr>
          <w:rFonts w:ascii="Arial" w:hAnsi="Arial"/>
          <w:sz w:val="21"/>
        </w:rPr>
        <w:t>根据</w:t>
      </w:r>
      <w:r w:rsidRPr="003F5882">
        <w:rPr>
          <w:rFonts w:ascii="Arial" w:hAnsi="Arial"/>
          <w:sz w:val="21"/>
        </w:rPr>
        <w:t>IPSAS-24</w:t>
      </w:r>
      <w:r w:rsidRPr="003F5882">
        <w:rPr>
          <w:rFonts w:ascii="Arial" w:hAnsi="Arial"/>
          <w:sz w:val="21"/>
        </w:rPr>
        <w:t>的要求，对报表五所载的实际可比数和财务账目上所列的实际数进行了对账，分别区分了基准、时间安排和实体差异。</w:t>
      </w:r>
      <w:r w:rsidRPr="003F5882">
        <w:rPr>
          <w:rFonts w:ascii="Arial" w:hAnsi="Arial"/>
          <w:sz w:val="21"/>
        </w:rPr>
        <w:t>WIPO</w:t>
      </w:r>
      <w:r w:rsidRPr="003F5882">
        <w:rPr>
          <w:rFonts w:ascii="Arial" w:hAnsi="Arial"/>
          <w:sz w:val="21"/>
        </w:rPr>
        <w:t>的预算是成员国大会按两年期通过的，但是为两个年度的每一年编制了单独的概算。因此，没有需要报告的时间安排差异。核定预算不按完全的权责发生制会计基准编制，因此存在基准差异。基准差异包括资产折旧、准备金的完全计入和未实现收入的递延。实体差异表现在</w:t>
      </w:r>
      <w:r w:rsidRPr="003F5882">
        <w:rPr>
          <w:rFonts w:ascii="Arial" w:hAnsi="Arial"/>
          <w:sz w:val="21"/>
        </w:rPr>
        <w:t>WIPO</w:t>
      </w:r>
      <w:r w:rsidRPr="003F5882">
        <w:rPr>
          <w:rFonts w:ascii="Arial" w:hAnsi="Arial"/>
          <w:sz w:val="21"/>
        </w:rPr>
        <w:t>的财务账目中包括特别账户和储备金供资项目，但</w:t>
      </w:r>
      <w:r w:rsidRPr="003F5882">
        <w:rPr>
          <w:rFonts w:ascii="Arial" w:hAnsi="Arial"/>
          <w:sz w:val="21"/>
        </w:rPr>
        <w:t>WIPO</w:t>
      </w:r>
      <w:r w:rsidRPr="003F5882">
        <w:rPr>
          <w:rFonts w:ascii="Arial" w:hAnsi="Arial"/>
          <w:sz w:val="21"/>
        </w:rPr>
        <w:t>已公布的计划和预算中不包括这些项目。呈报上的差异体现在投资财产收益在报表四中被作为投资活动处理。</w:t>
      </w:r>
    </w:p>
    <w:p w:rsidR="007D62CB" w:rsidRDefault="006F16A3" w:rsidP="00C14A2F">
      <w:pPr>
        <w:pStyle w:val="STYLEDUTEXTE"/>
        <w:jc w:val="center"/>
        <w:rPr>
          <w:rFonts w:ascii="Arial" w:hAnsi="Arial"/>
          <w:sz w:val="20"/>
        </w:rPr>
      </w:pPr>
      <w:r w:rsidRPr="006F16A3">
        <w:rPr>
          <w:noProof/>
          <w:lang w:val="en-US" w:bidi="ar-SA"/>
        </w:rPr>
        <w:drawing>
          <wp:inline distT="0" distB="0" distL="0" distR="0">
            <wp:extent cx="5831205" cy="3994150"/>
            <wp:effectExtent l="0" t="0" r="0" b="0"/>
            <wp:docPr id="169" name="图片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831205" cy="3994150"/>
                    </a:xfrm>
                    <a:prstGeom prst="rect">
                      <a:avLst/>
                    </a:prstGeom>
                    <a:noFill/>
                    <a:ln>
                      <a:noFill/>
                    </a:ln>
                  </pic:spPr>
                </pic:pic>
              </a:graphicData>
            </a:graphic>
          </wp:inline>
        </w:drawing>
      </w:r>
    </w:p>
    <w:p w:rsidR="007D62CB" w:rsidRDefault="00C14A2F" w:rsidP="007D62CB">
      <w:pPr>
        <w:pStyle w:val="STYLETITRENOTES"/>
        <w:keepNext/>
        <w:overflowPunct w:val="0"/>
        <w:spacing w:beforeLines="100" w:before="240" w:afterLines="100" w:after="240" w:line="340" w:lineRule="atLeast"/>
        <w:rPr>
          <w:rFonts w:ascii="Arial" w:eastAsia="SimHei" w:hAnsi="Arial"/>
          <w:b w:val="0"/>
          <w:sz w:val="21"/>
        </w:rPr>
      </w:pPr>
      <w:r w:rsidRPr="00F453AC">
        <w:rPr>
          <w:rFonts w:ascii="Arial" w:eastAsia="SimHei" w:hAnsi="Arial"/>
          <w:b w:val="0"/>
          <w:sz w:val="21"/>
        </w:rPr>
        <w:lastRenderedPageBreak/>
        <w:t>附注</w:t>
      </w:r>
      <w:r w:rsidRPr="00F453AC">
        <w:rPr>
          <w:rFonts w:ascii="Arial" w:eastAsia="SimHei" w:hAnsi="Arial"/>
          <w:b w:val="0"/>
          <w:sz w:val="21"/>
        </w:rPr>
        <w:t>23</w:t>
      </w:r>
      <w:r w:rsidRPr="00F453AC">
        <w:rPr>
          <w:rFonts w:ascii="Arial" w:eastAsia="SimHei" w:hAnsi="Arial"/>
          <w:b w:val="0"/>
          <w:sz w:val="21"/>
        </w:rPr>
        <w:t>：收入</w:t>
      </w:r>
    </w:p>
    <w:p w:rsidR="00C14A2F" w:rsidRPr="00F453AC" w:rsidRDefault="006F16A3" w:rsidP="003D06E3">
      <w:pPr>
        <w:pStyle w:val="StyleHeading211ptNotBoldNotItalicAllcaps"/>
        <w:keepNext w:val="0"/>
        <w:widowControl w:val="0"/>
        <w:spacing w:before="0" w:after="0"/>
        <w:jc w:val="center"/>
        <w:rPr>
          <w:rFonts w:ascii="Arial" w:eastAsia="SimHei" w:hAnsi="Arial"/>
          <w:b w:val="0"/>
          <w:sz w:val="21"/>
        </w:rPr>
      </w:pPr>
      <w:r w:rsidRPr="006F16A3">
        <w:rPr>
          <w:rFonts w:eastAsia="SimHei"/>
          <w:noProof/>
          <w:lang w:val="en-US" w:bidi="ar-SA"/>
        </w:rPr>
        <w:drawing>
          <wp:inline distT="0" distB="0" distL="0" distR="0" wp14:anchorId="7C475D48" wp14:editId="58D2898B">
            <wp:extent cx="5977255" cy="4166554"/>
            <wp:effectExtent l="0" t="0" r="4445" b="0"/>
            <wp:docPr id="170" name="图片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5977255" cy="4166554"/>
                    </a:xfrm>
                    <a:prstGeom prst="rect">
                      <a:avLst/>
                    </a:prstGeom>
                    <a:noFill/>
                    <a:ln>
                      <a:noFill/>
                    </a:ln>
                  </pic:spPr>
                </pic:pic>
              </a:graphicData>
            </a:graphic>
          </wp:inline>
        </w:drawing>
      </w:r>
    </w:p>
    <w:p w:rsidR="007D62CB" w:rsidRDefault="00C14A2F" w:rsidP="003374D7">
      <w:pPr>
        <w:pStyle w:val="Style3"/>
        <w:spacing w:afterLines="50" w:line="340" w:lineRule="atLeast"/>
        <w:rPr>
          <w:rFonts w:ascii="Arial" w:hAnsi="Arial"/>
          <w:sz w:val="21"/>
          <w:szCs w:val="22"/>
        </w:rPr>
      </w:pPr>
      <w:r w:rsidRPr="003F5882">
        <w:rPr>
          <w:rFonts w:ascii="Arial" w:hAnsi="Arial"/>
          <w:sz w:val="21"/>
        </w:rPr>
        <w:t>所显示的计划和预算数为所收到的实际收入，涉及大会通过的本组织的预算。自愿捐款为所收到的收入，涉及捐赠人对未包括在计划和预算内的单项计划所捐助的款项。</w:t>
      </w:r>
    </w:p>
    <w:p w:rsidR="007D62CB" w:rsidRDefault="00C14A2F" w:rsidP="003374D7">
      <w:pPr>
        <w:pStyle w:val="Style3"/>
        <w:spacing w:afterLines="50" w:line="340" w:lineRule="atLeast"/>
        <w:rPr>
          <w:rFonts w:ascii="Arial" w:hAnsi="Arial"/>
          <w:sz w:val="21"/>
          <w:szCs w:val="22"/>
        </w:rPr>
      </w:pPr>
      <w:r w:rsidRPr="003F5882">
        <w:rPr>
          <w:rFonts w:ascii="Arial" w:hAnsi="Arial"/>
          <w:sz w:val="21"/>
        </w:rPr>
        <w:t>IPSAS</w:t>
      </w:r>
      <w:r w:rsidRPr="003F5882">
        <w:rPr>
          <w:rFonts w:ascii="Arial" w:hAnsi="Arial"/>
          <w:sz w:val="21"/>
        </w:rPr>
        <w:t>调节主要与未实现收入的递延有关。源于自愿</w:t>
      </w:r>
      <w:r w:rsidRPr="003374D7">
        <w:rPr>
          <w:rFonts w:ascii="Arial" w:hAnsi="Arial" w:cs="Times New Roman"/>
          <w:sz w:val="21"/>
        </w:rPr>
        <w:t>捐助</w:t>
      </w:r>
      <w:r w:rsidRPr="003F5882">
        <w:rPr>
          <w:rFonts w:ascii="Arial" w:hAnsi="Arial"/>
          <w:sz w:val="21"/>
        </w:rPr>
        <w:t>的</w:t>
      </w:r>
      <w:proofErr w:type="gramStart"/>
      <w:r w:rsidRPr="003F5882">
        <w:rPr>
          <w:rFonts w:ascii="Arial" w:hAnsi="Arial"/>
          <w:sz w:val="21"/>
        </w:rPr>
        <w:t>收入被递延至</w:t>
      </w:r>
      <w:proofErr w:type="gramEnd"/>
      <w:r w:rsidRPr="003F5882">
        <w:rPr>
          <w:rFonts w:ascii="Arial" w:hAnsi="Arial"/>
          <w:sz w:val="21"/>
        </w:rPr>
        <w:t>通过提供与捐助方商定的工作计划中所规定的特定服务而获得实现时为止。</w:t>
      </w:r>
    </w:p>
    <w:p w:rsidR="007D62CB" w:rsidRDefault="00C14A2F" w:rsidP="003374D7">
      <w:pPr>
        <w:pStyle w:val="Style3"/>
        <w:spacing w:afterLines="50" w:line="340" w:lineRule="atLeast"/>
        <w:rPr>
          <w:rFonts w:ascii="Arial" w:hAnsi="Arial"/>
          <w:sz w:val="21"/>
          <w:szCs w:val="22"/>
        </w:rPr>
      </w:pPr>
      <w:r w:rsidRPr="003F5882">
        <w:rPr>
          <w:rFonts w:ascii="Arial" w:hAnsi="Arial"/>
          <w:sz w:val="21"/>
        </w:rPr>
        <w:t>PCT</w:t>
      </w:r>
      <w:r w:rsidRPr="003F5882">
        <w:rPr>
          <w:rFonts w:ascii="Arial" w:hAnsi="Arial"/>
          <w:sz w:val="21"/>
        </w:rPr>
        <w:t>、马德里和海牙</w:t>
      </w:r>
      <w:proofErr w:type="gramStart"/>
      <w:r w:rsidRPr="003F5882">
        <w:rPr>
          <w:rFonts w:ascii="Arial" w:hAnsi="Arial"/>
          <w:sz w:val="21"/>
        </w:rPr>
        <w:t>规</w:t>
      </w:r>
      <w:proofErr w:type="gramEnd"/>
      <w:r w:rsidRPr="003F5882">
        <w:rPr>
          <w:rFonts w:ascii="Arial" w:hAnsi="Arial"/>
          <w:sz w:val="21"/>
        </w:rPr>
        <w:t>费的</w:t>
      </w:r>
      <w:proofErr w:type="gramStart"/>
      <w:r w:rsidRPr="003F5882">
        <w:rPr>
          <w:rFonts w:ascii="Arial" w:hAnsi="Arial"/>
          <w:sz w:val="21"/>
        </w:rPr>
        <w:t>收入被递延至</w:t>
      </w:r>
      <w:proofErr w:type="gramEnd"/>
      <w:r w:rsidRPr="003F5882">
        <w:rPr>
          <w:rFonts w:ascii="Arial" w:hAnsi="Arial"/>
          <w:sz w:val="21"/>
        </w:rPr>
        <w:t>通过根据每个联盟的规则公布国际申请而实现时为止。</w:t>
      </w:r>
    </w:p>
    <w:p w:rsidR="007D62CB" w:rsidRDefault="00C14A2F" w:rsidP="007D62CB">
      <w:pPr>
        <w:pStyle w:val="STYLETITRENOTES"/>
        <w:keepNext/>
        <w:overflowPunct w:val="0"/>
        <w:spacing w:beforeLines="100" w:before="240" w:afterLines="100" w:after="240" w:line="340" w:lineRule="atLeast"/>
        <w:rPr>
          <w:rFonts w:ascii="Arial" w:eastAsia="SimHei" w:hAnsi="Arial"/>
          <w:b w:val="0"/>
          <w:sz w:val="21"/>
        </w:rPr>
      </w:pPr>
      <w:r w:rsidRPr="00F453AC">
        <w:rPr>
          <w:rFonts w:ascii="Arial" w:eastAsia="SimHei" w:hAnsi="Arial"/>
          <w:b w:val="0"/>
          <w:sz w:val="21"/>
        </w:rPr>
        <w:lastRenderedPageBreak/>
        <w:t>附注</w:t>
      </w:r>
      <w:r w:rsidRPr="00F453AC">
        <w:rPr>
          <w:rFonts w:ascii="Arial" w:eastAsia="SimHei" w:hAnsi="Arial"/>
          <w:b w:val="0"/>
          <w:sz w:val="21"/>
        </w:rPr>
        <w:t>24</w:t>
      </w:r>
      <w:r w:rsidRPr="00F453AC">
        <w:rPr>
          <w:rFonts w:ascii="Arial" w:eastAsia="SimHei" w:hAnsi="Arial"/>
          <w:b w:val="0"/>
          <w:sz w:val="21"/>
        </w:rPr>
        <w:t>：</w:t>
      </w:r>
      <w:r w:rsidRPr="007D62CB">
        <w:rPr>
          <w:rFonts w:ascii="Arial" w:eastAsia="SimHei" w:hAnsi="Arial" w:cs="Times New Roman"/>
          <w:b w:val="0"/>
          <w:sz w:val="21"/>
        </w:rPr>
        <w:t>支出</w:t>
      </w:r>
    </w:p>
    <w:p w:rsidR="00C14A2F" w:rsidRPr="003F5882" w:rsidRDefault="006F16A3" w:rsidP="00C14A2F">
      <w:pPr>
        <w:jc w:val="center"/>
        <w:rPr>
          <w:rFonts w:ascii="Arial" w:hAnsi="Arial"/>
          <w:sz w:val="21"/>
          <w:szCs w:val="22"/>
        </w:rPr>
      </w:pPr>
      <w:r w:rsidRPr="006F16A3">
        <w:rPr>
          <w:noProof/>
          <w:lang w:val="en-US" w:bidi="ar-SA"/>
        </w:rPr>
        <w:drawing>
          <wp:inline distT="0" distB="0" distL="0" distR="0" wp14:anchorId="72A9E63B" wp14:editId="7AF256F2">
            <wp:extent cx="5977255" cy="7300256"/>
            <wp:effectExtent l="0" t="0" r="4445" b="0"/>
            <wp:docPr id="171" name="图片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5977255" cy="7300256"/>
                    </a:xfrm>
                    <a:prstGeom prst="rect">
                      <a:avLst/>
                    </a:prstGeom>
                    <a:noFill/>
                    <a:ln>
                      <a:noFill/>
                    </a:ln>
                  </pic:spPr>
                </pic:pic>
              </a:graphicData>
            </a:graphic>
          </wp:inline>
        </w:drawing>
      </w:r>
    </w:p>
    <w:p w:rsidR="00C14A2F" w:rsidRPr="003F5882" w:rsidRDefault="00C14A2F" w:rsidP="003374D7">
      <w:pPr>
        <w:pStyle w:val="Style3"/>
        <w:spacing w:afterLines="50" w:line="340" w:lineRule="atLeast"/>
        <w:rPr>
          <w:rFonts w:ascii="Arial" w:hAnsi="Arial"/>
          <w:sz w:val="21"/>
          <w:szCs w:val="22"/>
        </w:rPr>
      </w:pPr>
      <w:r w:rsidRPr="003F5882">
        <w:rPr>
          <w:rFonts w:ascii="Arial" w:hAnsi="Arial"/>
          <w:sz w:val="21"/>
        </w:rPr>
        <w:t>计划和预算、特别账户和储备金资助项目中的支出是根据修正的权责发生</w:t>
      </w:r>
      <w:proofErr w:type="gramStart"/>
      <w:r w:rsidRPr="003F5882">
        <w:rPr>
          <w:rFonts w:ascii="Arial" w:hAnsi="Arial"/>
          <w:sz w:val="21"/>
        </w:rPr>
        <w:t>制报告</w:t>
      </w:r>
      <w:proofErr w:type="gramEnd"/>
      <w:r w:rsidRPr="003F5882">
        <w:rPr>
          <w:rFonts w:ascii="Arial" w:hAnsi="Arial"/>
          <w:sz w:val="21"/>
        </w:rPr>
        <w:t>的，支出的确认以收到货物和服务得到提供为准。然而，在计入</w:t>
      </w:r>
      <w:r w:rsidRPr="003F5882">
        <w:rPr>
          <w:rFonts w:ascii="Arial" w:hAnsi="Arial"/>
          <w:sz w:val="21"/>
        </w:rPr>
        <w:t>IPSAS</w:t>
      </w:r>
      <w:r w:rsidRPr="003F5882">
        <w:rPr>
          <w:rFonts w:ascii="Arial" w:hAnsi="Arial"/>
          <w:sz w:val="21"/>
        </w:rPr>
        <w:t>调整</w:t>
      </w:r>
      <w:r w:rsidRPr="003374D7">
        <w:rPr>
          <w:rFonts w:ascii="Arial" w:hAnsi="Arial" w:cs="Times New Roman"/>
          <w:sz w:val="21"/>
        </w:rPr>
        <w:t>影响</w:t>
      </w:r>
      <w:r w:rsidRPr="003F5882">
        <w:rPr>
          <w:rFonts w:ascii="Arial" w:hAnsi="Arial"/>
          <w:sz w:val="21"/>
        </w:rPr>
        <w:t>之前，设备采购费用、库存生产相关开支和建筑相关开支在支付后才记为支出，离职后福利准备金仅就到位资金予以确认。依照</w:t>
      </w:r>
      <w:r w:rsidRPr="003F5882">
        <w:rPr>
          <w:rFonts w:ascii="Arial" w:hAnsi="Arial"/>
          <w:sz w:val="21"/>
        </w:rPr>
        <w:t>WIPO</w:t>
      </w:r>
      <w:r w:rsidR="003D06E3" w:rsidRPr="003F5882">
        <w:rPr>
          <w:rFonts w:ascii="Arial" w:hAnsi="Arial" w:hint="eastAsia"/>
          <w:sz w:val="21"/>
        </w:rPr>
        <w:t>《</w:t>
      </w:r>
      <w:r w:rsidRPr="003F5882">
        <w:rPr>
          <w:rFonts w:ascii="Arial" w:hAnsi="Arial"/>
          <w:sz w:val="21"/>
        </w:rPr>
        <w:t>2014/15</w:t>
      </w:r>
      <w:r w:rsidRPr="003F5882">
        <w:rPr>
          <w:rFonts w:ascii="Arial" w:hAnsi="Arial"/>
          <w:sz w:val="21"/>
        </w:rPr>
        <w:t>两年期计划和预算</w:t>
      </w:r>
      <w:r w:rsidR="003D06E3" w:rsidRPr="003F5882">
        <w:rPr>
          <w:rFonts w:ascii="Arial" w:hAnsi="Arial" w:hint="eastAsia"/>
          <w:sz w:val="21"/>
        </w:rPr>
        <w:t>》</w:t>
      </w:r>
      <w:r w:rsidRPr="003F5882">
        <w:rPr>
          <w:rFonts w:ascii="Arial" w:hAnsi="Arial"/>
          <w:sz w:val="21"/>
        </w:rPr>
        <w:t>第</w:t>
      </w:r>
      <w:r w:rsidRPr="003F5882">
        <w:rPr>
          <w:rFonts w:ascii="Arial" w:hAnsi="Arial"/>
          <w:sz w:val="21"/>
        </w:rPr>
        <w:t>39</w:t>
      </w:r>
      <w:r w:rsidRPr="003F5882">
        <w:rPr>
          <w:rFonts w:ascii="Arial" w:hAnsi="Arial"/>
          <w:sz w:val="21"/>
        </w:rPr>
        <w:t>段，</w:t>
      </w:r>
      <w:r w:rsidRPr="003F5882">
        <w:rPr>
          <w:rFonts w:ascii="Arial" w:hAnsi="Arial"/>
          <w:sz w:val="21"/>
        </w:rPr>
        <w:t>2014</w:t>
      </w:r>
      <w:r w:rsidRPr="003F5882">
        <w:rPr>
          <w:rFonts w:ascii="Arial" w:hAnsi="Arial"/>
          <w:sz w:val="21"/>
        </w:rPr>
        <w:t>年计入了员额成本中</w:t>
      </w:r>
      <w:r w:rsidRPr="003F5882">
        <w:rPr>
          <w:rFonts w:ascii="Arial" w:hAnsi="Arial"/>
          <w:sz w:val="21"/>
        </w:rPr>
        <w:t>6%</w:t>
      </w:r>
      <w:r w:rsidRPr="003F5882">
        <w:rPr>
          <w:rFonts w:ascii="Arial" w:hAnsi="Arial"/>
          <w:sz w:val="21"/>
        </w:rPr>
        <w:t>的增加计提费用，以更好地提供离职后雇员福利。</w:t>
      </w:r>
    </w:p>
    <w:p w:rsidR="007D62CB" w:rsidRDefault="00C14A2F" w:rsidP="003374D7">
      <w:pPr>
        <w:pStyle w:val="Style3"/>
        <w:spacing w:afterLines="50" w:line="340" w:lineRule="atLeast"/>
        <w:rPr>
          <w:rFonts w:ascii="Arial" w:hAnsi="Arial"/>
          <w:sz w:val="21"/>
          <w:szCs w:val="22"/>
        </w:rPr>
      </w:pPr>
      <w:r w:rsidRPr="003F5882">
        <w:rPr>
          <w:rFonts w:ascii="Arial" w:hAnsi="Arial"/>
          <w:sz w:val="21"/>
        </w:rPr>
        <w:lastRenderedPageBreak/>
        <w:t>此外，呆账准备金的变动、设备和建筑物折旧和设备处置不被认定为采用修正的权责发生制项下的支出。这样，建筑物折旧费</w:t>
      </w:r>
      <w:r w:rsidR="00F453AC" w:rsidRPr="003F5882">
        <w:rPr>
          <w:rFonts w:ascii="Arial" w:hAnsi="Arial"/>
          <w:sz w:val="21"/>
        </w:rPr>
        <w:t>（</w:t>
      </w:r>
      <w:r w:rsidRPr="003F5882">
        <w:rPr>
          <w:rFonts w:ascii="Arial" w:hAnsi="Arial"/>
          <w:sz w:val="21"/>
        </w:rPr>
        <w:t>710</w:t>
      </w:r>
      <w:proofErr w:type="gramStart"/>
      <w:r w:rsidRPr="003F5882">
        <w:rPr>
          <w:rFonts w:ascii="Arial" w:hAnsi="Arial"/>
          <w:sz w:val="21"/>
        </w:rPr>
        <w:t>万瑞</w:t>
      </w:r>
      <w:proofErr w:type="gramEnd"/>
      <w:r w:rsidRPr="003F5882">
        <w:rPr>
          <w:rFonts w:ascii="Arial" w:hAnsi="Arial"/>
          <w:sz w:val="21"/>
        </w:rPr>
        <w:t>郎</w:t>
      </w:r>
      <w:r w:rsidR="00F453AC" w:rsidRPr="003F5882">
        <w:rPr>
          <w:rFonts w:ascii="Arial" w:hAnsi="Arial"/>
          <w:sz w:val="21"/>
        </w:rPr>
        <w:t>）</w:t>
      </w:r>
      <w:r w:rsidRPr="003F5882">
        <w:rPr>
          <w:rFonts w:ascii="Arial" w:hAnsi="Arial"/>
          <w:sz w:val="21"/>
        </w:rPr>
        <w:t>、无形资产</w:t>
      </w:r>
      <w:r w:rsidR="00F453AC" w:rsidRPr="003F5882">
        <w:rPr>
          <w:rFonts w:ascii="Arial" w:hAnsi="Arial"/>
          <w:sz w:val="21"/>
        </w:rPr>
        <w:t>（</w:t>
      </w:r>
      <w:r w:rsidRPr="003F5882">
        <w:rPr>
          <w:rFonts w:ascii="Arial" w:hAnsi="Arial"/>
          <w:sz w:val="21"/>
        </w:rPr>
        <w:t>120</w:t>
      </w:r>
      <w:proofErr w:type="gramStart"/>
      <w:r w:rsidRPr="003F5882">
        <w:rPr>
          <w:rFonts w:ascii="Arial" w:hAnsi="Arial"/>
          <w:sz w:val="21"/>
        </w:rPr>
        <w:t>万瑞</w:t>
      </w:r>
      <w:proofErr w:type="gramEnd"/>
      <w:r w:rsidRPr="003F5882">
        <w:rPr>
          <w:rFonts w:ascii="Arial" w:hAnsi="Arial"/>
          <w:sz w:val="21"/>
        </w:rPr>
        <w:t>郎</w:t>
      </w:r>
      <w:r w:rsidR="00F453AC" w:rsidRPr="003F5882">
        <w:rPr>
          <w:rFonts w:ascii="Arial" w:hAnsi="Arial"/>
          <w:sz w:val="21"/>
        </w:rPr>
        <w:t>）</w:t>
      </w:r>
      <w:r w:rsidRPr="003F5882">
        <w:rPr>
          <w:rFonts w:ascii="Arial" w:hAnsi="Arial"/>
          <w:sz w:val="21"/>
        </w:rPr>
        <w:t>和设备</w:t>
      </w:r>
      <w:r w:rsidR="00F453AC" w:rsidRPr="003F5882">
        <w:rPr>
          <w:rFonts w:ascii="Arial" w:hAnsi="Arial"/>
          <w:sz w:val="21"/>
        </w:rPr>
        <w:t>（</w:t>
      </w:r>
      <w:r w:rsidRPr="003F5882">
        <w:rPr>
          <w:rFonts w:ascii="Arial" w:hAnsi="Arial"/>
          <w:sz w:val="21"/>
        </w:rPr>
        <w:t>80</w:t>
      </w:r>
      <w:proofErr w:type="gramStart"/>
      <w:r w:rsidRPr="003F5882">
        <w:rPr>
          <w:rFonts w:ascii="Arial" w:hAnsi="Arial"/>
          <w:sz w:val="21"/>
        </w:rPr>
        <w:t>万瑞</w:t>
      </w:r>
      <w:proofErr w:type="gramEnd"/>
      <w:r w:rsidRPr="003F5882">
        <w:rPr>
          <w:rFonts w:ascii="Arial" w:hAnsi="Arial"/>
          <w:sz w:val="21"/>
        </w:rPr>
        <w:t>郎</w:t>
      </w:r>
      <w:r w:rsidR="00F453AC" w:rsidRPr="003F5882">
        <w:rPr>
          <w:rFonts w:ascii="Arial" w:hAnsi="Arial"/>
          <w:sz w:val="21"/>
        </w:rPr>
        <w:t>）</w:t>
      </w:r>
      <w:r w:rsidRPr="003F5882">
        <w:rPr>
          <w:rFonts w:ascii="Arial" w:hAnsi="Arial"/>
          <w:sz w:val="21"/>
        </w:rPr>
        <w:t>被视为</w:t>
      </w:r>
      <w:r w:rsidRPr="003F5882">
        <w:rPr>
          <w:rFonts w:ascii="Arial" w:hAnsi="Arial"/>
          <w:sz w:val="21"/>
        </w:rPr>
        <w:t>IPSAS</w:t>
      </w:r>
      <w:r w:rsidRPr="003F5882">
        <w:rPr>
          <w:rFonts w:ascii="Arial" w:hAnsi="Arial"/>
          <w:sz w:val="21"/>
        </w:rPr>
        <w:t>调整。建筑成本以及建筑附属物</w:t>
      </w:r>
      <w:r w:rsidR="00F453AC" w:rsidRPr="003F5882">
        <w:rPr>
          <w:rFonts w:ascii="Arial" w:hAnsi="Arial"/>
          <w:sz w:val="21"/>
        </w:rPr>
        <w:t>（</w:t>
      </w:r>
      <w:r w:rsidRPr="003F5882">
        <w:rPr>
          <w:rFonts w:ascii="Arial" w:hAnsi="Arial"/>
          <w:sz w:val="21"/>
        </w:rPr>
        <w:t>3,040</w:t>
      </w:r>
      <w:proofErr w:type="gramStart"/>
      <w:r w:rsidRPr="003F5882">
        <w:rPr>
          <w:rFonts w:ascii="Arial" w:hAnsi="Arial"/>
          <w:sz w:val="21"/>
        </w:rPr>
        <w:t>万瑞</w:t>
      </w:r>
      <w:proofErr w:type="gramEnd"/>
      <w:r w:rsidRPr="003F5882">
        <w:rPr>
          <w:rFonts w:ascii="Arial" w:hAnsi="Arial"/>
          <w:sz w:val="21"/>
        </w:rPr>
        <w:t>郎</w:t>
      </w:r>
      <w:r w:rsidR="00F453AC" w:rsidRPr="003F5882">
        <w:rPr>
          <w:rFonts w:ascii="Arial" w:hAnsi="Arial"/>
          <w:sz w:val="21"/>
        </w:rPr>
        <w:t>）</w:t>
      </w:r>
      <w:r w:rsidRPr="003F5882">
        <w:rPr>
          <w:rFonts w:ascii="Arial" w:hAnsi="Arial"/>
          <w:sz w:val="21"/>
        </w:rPr>
        <w:t>转入固定资产，也包括在</w:t>
      </w:r>
      <w:r w:rsidRPr="003F5882">
        <w:rPr>
          <w:rFonts w:ascii="Arial" w:hAnsi="Arial"/>
          <w:sz w:val="21"/>
        </w:rPr>
        <w:t>IPSAS</w:t>
      </w:r>
      <w:r w:rsidRPr="003F5882">
        <w:rPr>
          <w:rFonts w:ascii="Arial" w:hAnsi="Arial"/>
          <w:sz w:val="21"/>
        </w:rPr>
        <w:t>调整之内。</w:t>
      </w:r>
    </w:p>
    <w:p w:rsidR="007D62CB" w:rsidRDefault="00C14A2F" w:rsidP="007D62CB">
      <w:pPr>
        <w:pStyle w:val="STYLETITRENOTES"/>
        <w:keepNext/>
        <w:overflowPunct w:val="0"/>
        <w:spacing w:beforeLines="100" w:before="240" w:afterLines="100" w:after="240" w:line="340" w:lineRule="atLeast"/>
        <w:rPr>
          <w:rFonts w:ascii="Arial" w:eastAsia="SimHei" w:hAnsi="Arial"/>
          <w:b w:val="0"/>
          <w:sz w:val="21"/>
          <w:szCs w:val="22"/>
        </w:rPr>
      </w:pPr>
      <w:r w:rsidRPr="00F453AC">
        <w:rPr>
          <w:rFonts w:ascii="Arial" w:eastAsia="SimHei" w:hAnsi="Arial"/>
          <w:b w:val="0"/>
          <w:sz w:val="21"/>
        </w:rPr>
        <w:t>附注</w:t>
      </w:r>
      <w:r w:rsidRPr="00F453AC">
        <w:rPr>
          <w:rFonts w:ascii="Arial" w:eastAsia="SimHei" w:hAnsi="Arial"/>
          <w:b w:val="0"/>
          <w:sz w:val="21"/>
        </w:rPr>
        <w:t>25</w:t>
      </w:r>
      <w:r w:rsidRPr="00F453AC">
        <w:rPr>
          <w:rFonts w:ascii="Arial" w:eastAsia="SimHei" w:hAnsi="Arial"/>
          <w:b w:val="0"/>
          <w:sz w:val="21"/>
        </w:rPr>
        <w:t>：</w:t>
      </w:r>
      <w:r w:rsidRPr="00F453AC">
        <w:rPr>
          <w:rFonts w:ascii="Arial" w:eastAsia="SimHei" w:hAnsi="Arial"/>
          <w:b w:val="0"/>
          <w:sz w:val="21"/>
        </w:rPr>
        <w:tab/>
      </w:r>
      <w:r w:rsidRPr="00F453AC">
        <w:rPr>
          <w:rFonts w:ascii="Arial" w:eastAsia="SimHei" w:hAnsi="Arial"/>
          <w:b w:val="0"/>
          <w:sz w:val="21"/>
        </w:rPr>
        <w:t>金融工具</w:t>
      </w:r>
    </w:p>
    <w:p w:rsidR="007D62CB" w:rsidRDefault="00C14A2F" w:rsidP="003374D7">
      <w:pPr>
        <w:pStyle w:val="Style3"/>
        <w:spacing w:afterLines="50" w:line="340" w:lineRule="atLeast"/>
        <w:rPr>
          <w:rFonts w:ascii="Arial" w:hAnsi="Arial"/>
          <w:sz w:val="21"/>
          <w:szCs w:val="22"/>
        </w:rPr>
      </w:pPr>
      <w:r w:rsidRPr="003F5882">
        <w:rPr>
          <w:rFonts w:ascii="Arial" w:hAnsi="Arial"/>
          <w:sz w:val="21"/>
        </w:rPr>
        <w:t>本组织面临着在日常运营中产生的外币兑换、信用、利率和</w:t>
      </w:r>
      <w:r w:rsidRPr="003374D7">
        <w:rPr>
          <w:rFonts w:ascii="Arial" w:hAnsi="Arial" w:cs="Times New Roman"/>
          <w:sz w:val="21"/>
        </w:rPr>
        <w:t>流动性</w:t>
      </w:r>
      <w:r w:rsidRPr="003F5882">
        <w:rPr>
          <w:rFonts w:ascii="Arial" w:hAnsi="Arial"/>
          <w:sz w:val="21"/>
        </w:rPr>
        <w:t>风险。本附注提供了本组织在上述每个风险领域面临的风险情况，以及衡量和管理风险的政策和过程。</w:t>
      </w:r>
    </w:p>
    <w:p w:rsidR="007D62CB" w:rsidRPr="003374D7" w:rsidRDefault="00C14A2F" w:rsidP="003374D7">
      <w:pPr>
        <w:pStyle w:val="Style3Bold"/>
        <w:keepLines/>
        <w:spacing w:afterLines="50" w:line="340" w:lineRule="atLeast"/>
        <w:rPr>
          <w:rFonts w:eastAsia="SimSun" w:cs="Times New Roman"/>
          <w:sz w:val="21"/>
        </w:rPr>
      </w:pPr>
      <w:r w:rsidRPr="003374D7">
        <w:rPr>
          <w:rFonts w:eastAsia="SimSun" w:cs="Times New Roman"/>
          <w:sz w:val="21"/>
        </w:rPr>
        <w:t>公允价值</w:t>
      </w:r>
    </w:p>
    <w:p w:rsidR="007D62CB" w:rsidRDefault="00C14A2F" w:rsidP="003374D7">
      <w:pPr>
        <w:pStyle w:val="Style3"/>
        <w:spacing w:afterLines="50" w:line="340" w:lineRule="atLeast"/>
        <w:rPr>
          <w:rFonts w:ascii="Arial" w:hAnsi="Arial"/>
          <w:sz w:val="21"/>
          <w:szCs w:val="22"/>
        </w:rPr>
      </w:pPr>
      <w:r w:rsidRPr="003F5882">
        <w:rPr>
          <w:rFonts w:ascii="Arial" w:hAnsi="Arial"/>
          <w:sz w:val="21"/>
        </w:rPr>
        <w:t>以下所示为本组织金融工具账面数额和公允价值的分类比较。</w:t>
      </w:r>
    </w:p>
    <w:p w:rsidR="00C14A2F" w:rsidRPr="003F5882" w:rsidRDefault="006F16A3" w:rsidP="00C14A2F">
      <w:pPr>
        <w:autoSpaceDE w:val="0"/>
        <w:autoSpaceDN w:val="0"/>
        <w:adjustRightInd w:val="0"/>
        <w:jc w:val="center"/>
        <w:rPr>
          <w:rFonts w:ascii="Arial" w:hAnsi="Arial"/>
          <w:sz w:val="21"/>
          <w:szCs w:val="22"/>
        </w:rPr>
      </w:pPr>
      <w:r w:rsidRPr="006F16A3">
        <w:rPr>
          <w:noProof/>
          <w:lang w:val="en-US" w:bidi="ar-SA"/>
        </w:rPr>
        <w:drawing>
          <wp:inline distT="0" distB="0" distL="0" distR="0">
            <wp:extent cx="5581015" cy="2165350"/>
            <wp:effectExtent l="0" t="0" r="635" b="6350"/>
            <wp:docPr id="172" name="图片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5581015" cy="2165350"/>
                    </a:xfrm>
                    <a:prstGeom prst="rect">
                      <a:avLst/>
                    </a:prstGeom>
                    <a:noFill/>
                    <a:ln>
                      <a:noFill/>
                    </a:ln>
                  </pic:spPr>
                </pic:pic>
              </a:graphicData>
            </a:graphic>
          </wp:inline>
        </w:drawing>
      </w:r>
    </w:p>
    <w:p w:rsidR="00C14A2F" w:rsidRPr="003F5882" w:rsidRDefault="006F16A3" w:rsidP="00C14A2F">
      <w:pPr>
        <w:jc w:val="center"/>
        <w:rPr>
          <w:rFonts w:ascii="Arial" w:hAnsi="Arial"/>
          <w:sz w:val="21"/>
          <w:szCs w:val="22"/>
        </w:rPr>
      </w:pPr>
      <w:r w:rsidRPr="006F16A3">
        <w:rPr>
          <w:noProof/>
          <w:lang w:val="en-US" w:bidi="ar-SA"/>
        </w:rPr>
        <w:drawing>
          <wp:inline distT="0" distB="0" distL="0" distR="0">
            <wp:extent cx="5581015" cy="2458720"/>
            <wp:effectExtent l="0" t="0" r="635" b="0"/>
            <wp:docPr id="173" name="图片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5581015" cy="2458720"/>
                    </a:xfrm>
                    <a:prstGeom prst="rect">
                      <a:avLst/>
                    </a:prstGeom>
                    <a:noFill/>
                    <a:ln>
                      <a:noFill/>
                    </a:ln>
                  </pic:spPr>
                </pic:pic>
              </a:graphicData>
            </a:graphic>
          </wp:inline>
        </w:drawing>
      </w:r>
    </w:p>
    <w:p w:rsidR="007D62CB" w:rsidRDefault="00C14A2F" w:rsidP="003374D7">
      <w:pPr>
        <w:pStyle w:val="Style3"/>
        <w:spacing w:afterLines="50" w:line="340" w:lineRule="atLeast"/>
        <w:rPr>
          <w:rFonts w:ascii="Arial" w:hAnsi="Arial"/>
          <w:sz w:val="21"/>
          <w:szCs w:val="22"/>
        </w:rPr>
      </w:pPr>
      <w:r w:rsidRPr="003F5882">
        <w:rPr>
          <w:rFonts w:ascii="Arial" w:hAnsi="Arial"/>
          <w:sz w:val="21"/>
        </w:rPr>
        <w:t>金融资产和负债的公允价值是按照该项工具在自愿交易方目前的交易中可交换的数额计入的，而不是按照强制出售或清偿的情况计算。公允价值的概算利用了以下方法和假定：</w:t>
      </w:r>
    </w:p>
    <w:p w:rsidR="00C14A2F" w:rsidRPr="003F5882" w:rsidRDefault="00C14A2F" w:rsidP="003374D7">
      <w:pPr>
        <w:numPr>
          <w:ilvl w:val="0"/>
          <w:numId w:val="13"/>
        </w:numPr>
        <w:autoSpaceDE w:val="0"/>
        <w:autoSpaceDN w:val="0"/>
        <w:adjustRightInd w:val="0"/>
        <w:spacing w:afterLines="50" w:after="120" w:line="340" w:lineRule="atLeast"/>
        <w:ind w:left="714" w:hanging="357"/>
        <w:jc w:val="both"/>
        <w:rPr>
          <w:rFonts w:ascii="Arial" w:hAnsi="Arial"/>
          <w:sz w:val="21"/>
          <w:szCs w:val="22"/>
        </w:rPr>
      </w:pPr>
      <w:r w:rsidRPr="003F5882">
        <w:rPr>
          <w:rFonts w:ascii="Arial" w:hAnsi="Arial"/>
          <w:sz w:val="21"/>
        </w:rPr>
        <w:t>现金和短期存款、外汇交易应收款、应付账款和其他的流动负债大致相当于其账面数额，主要是因为这些工具短期内到期。</w:t>
      </w:r>
    </w:p>
    <w:p w:rsidR="007D62CB" w:rsidRDefault="00C14A2F" w:rsidP="003374D7">
      <w:pPr>
        <w:numPr>
          <w:ilvl w:val="0"/>
          <w:numId w:val="13"/>
        </w:numPr>
        <w:spacing w:afterLines="50" w:after="120" w:line="340" w:lineRule="atLeast"/>
        <w:ind w:left="714" w:hanging="357"/>
        <w:jc w:val="both"/>
        <w:rPr>
          <w:rFonts w:ascii="Arial" w:eastAsia="SimHei" w:hAnsi="Arial"/>
          <w:sz w:val="21"/>
          <w:szCs w:val="22"/>
        </w:rPr>
      </w:pPr>
      <w:r w:rsidRPr="003F5882">
        <w:rPr>
          <w:rFonts w:ascii="Arial" w:hAnsi="Arial"/>
          <w:sz w:val="21"/>
        </w:rPr>
        <w:t>长期贷款、应收账款和借款由本组织根据诸如利率和风险特征等参数进行评估。为非外汇交易应收账款设立的备抵金用于支付根据《</w:t>
      </w:r>
      <w:r w:rsidRPr="003F5882">
        <w:rPr>
          <w:rFonts w:ascii="Arial" w:hAnsi="Arial"/>
          <w:sz w:val="21"/>
        </w:rPr>
        <w:t>WIPO</w:t>
      </w:r>
      <w:r w:rsidRPr="003F5882">
        <w:rPr>
          <w:rFonts w:ascii="Arial" w:hAnsi="Arial"/>
          <w:sz w:val="21"/>
        </w:rPr>
        <w:t>公约》第</w:t>
      </w:r>
      <w:r w:rsidRPr="003F5882">
        <w:rPr>
          <w:rFonts w:ascii="Arial" w:hAnsi="Arial"/>
          <w:sz w:val="21"/>
        </w:rPr>
        <w:t>11</w:t>
      </w:r>
      <w:r w:rsidRPr="003F5882">
        <w:rPr>
          <w:rFonts w:ascii="Arial" w:hAnsi="Arial"/>
          <w:sz w:val="21"/>
        </w:rPr>
        <w:t>条第</w:t>
      </w:r>
      <w:r w:rsidRPr="003F5882">
        <w:rPr>
          <w:rFonts w:ascii="Arial" w:hAnsi="Arial"/>
          <w:sz w:val="21"/>
        </w:rPr>
        <w:t>5</w:t>
      </w:r>
      <w:r w:rsidR="003D06E3" w:rsidRPr="003F5882">
        <w:rPr>
          <w:rFonts w:ascii="Arial" w:hAnsi="Arial" w:hint="eastAsia"/>
          <w:sz w:val="21"/>
        </w:rPr>
        <w:t>款</w:t>
      </w:r>
      <w:r w:rsidRPr="003F5882">
        <w:rPr>
          <w:rFonts w:ascii="Arial" w:hAnsi="Arial"/>
          <w:sz w:val="21"/>
        </w:rPr>
        <w:t>已丧失投票权的成员国欠交数额和大会决定冻结的最不发达国家的会费。为</w:t>
      </w:r>
      <w:r w:rsidRPr="003F5882">
        <w:rPr>
          <w:rFonts w:ascii="Arial" w:hAnsi="Arial"/>
          <w:sz w:val="21"/>
        </w:rPr>
        <w:t>FCIG</w:t>
      </w:r>
      <w:r w:rsidRPr="003F5882">
        <w:rPr>
          <w:rFonts w:ascii="Arial" w:hAnsi="Arial"/>
          <w:sz w:val="21"/>
        </w:rPr>
        <w:t>提供的优惠贷款按照以</w:t>
      </w:r>
      <w:r w:rsidRPr="003F5882">
        <w:rPr>
          <w:rFonts w:ascii="Arial" w:hAnsi="Arial"/>
          <w:sz w:val="21"/>
        </w:rPr>
        <w:t>1.48%</w:t>
      </w:r>
      <w:r w:rsidRPr="003F5882">
        <w:rPr>
          <w:rFonts w:ascii="Arial" w:hAnsi="Arial"/>
          <w:sz w:val="21"/>
        </w:rPr>
        <w:t>的贴现率</w:t>
      </w:r>
      <w:r w:rsidRPr="003F5882">
        <w:rPr>
          <w:rFonts w:ascii="Arial" w:hAnsi="Arial"/>
          <w:sz w:val="21"/>
        </w:rPr>
        <w:lastRenderedPageBreak/>
        <w:t>贴现的现金流价值计入摊销的成本。应收美国税款按照以</w:t>
      </w:r>
      <w:r w:rsidRPr="003F5882">
        <w:rPr>
          <w:rFonts w:ascii="Arial" w:hAnsi="Arial"/>
          <w:sz w:val="21"/>
        </w:rPr>
        <w:t>1.81%</w:t>
      </w:r>
      <w:r w:rsidRPr="003F5882">
        <w:rPr>
          <w:rFonts w:ascii="Arial" w:hAnsi="Arial"/>
          <w:sz w:val="21"/>
        </w:rPr>
        <w:t>的贴现率贴现的现金</w:t>
      </w:r>
      <w:proofErr w:type="gramStart"/>
      <w:r w:rsidRPr="003F5882">
        <w:rPr>
          <w:rFonts w:ascii="Arial" w:hAnsi="Arial"/>
          <w:sz w:val="21"/>
        </w:rPr>
        <w:t>流价值</w:t>
      </w:r>
      <w:proofErr w:type="gramEnd"/>
      <w:r w:rsidRPr="003F5882">
        <w:rPr>
          <w:rFonts w:ascii="Arial" w:hAnsi="Arial"/>
          <w:sz w:val="21"/>
        </w:rPr>
        <w:t>计入摊销的成本。</w:t>
      </w:r>
    </w:p>
    <w:p w:rsidR="007D62CB" w:rsidRPr="003374D7" w:rsidRDefault="00C14A2F" w:rsidP="003374D7">
      <w:pPr>
        <w:pStyle w:val="Style3Bold"/>
        <w:keepLines/>
        <w:spacing w:afterLines="50" w:line="340" w:lineRule="atLeast"/>
        <w:rPr>
          <w:rFonts w:eastAsia="SimSun" w:cs="Times New Roman"/>
          <w:sz w:val="21"/>
        </w:rPr>
      </w:pPr>
      <w:r w:rsidRPr="003374D7">
        <w:rPr>
          <w:rFonts w:eastAsia="SimSun" w:cs="Times New Roman"/>
          <w:sz w:val="21"/>
        </w:rPr>
        <w:t>信贷风险</w:t>
      </w:r>
    </w:p>
    <w:p w:rsidR="007D62CB" w:rsidRDefault="00C14A2F" w:rsidP="003374D7">
      <w:pPr>
        <w:pStyle w:val="Style3"/>
        <w:spacing w:afterLines="50" w:line="340" w:lineRule="atLeast"/>
        <w:rPr>
          <w:rFonts w:ascii="Arial" w:hAnsi="Arial"/>
          <w:sz w:val="21"/>
          <w:szCs w:val="22"/>
        </w:rPr>
      </w:pPr>
      <w:r w:rsidRPr="003F5882">
        <w:rPr>
          <w:rFonts w:ascii="Arial" w:hAnsi="Arial"/>
          <w:sz w:val="21"/>
        </w:rPr>
        <w:t>信贷风险系指本组织在金融工具</w:t>
      </w:r>
      <w:r w:rsidRPr="003374D7">
        <w:rPr>
          <w:rFonts w:ascii="Arial" w:hAnsi="Arial" w:cs="Times New Roman"/>
          <w:sz w:val="21"/>
        </w:rPr>
        <w:t>交易</w:t>
      </w:r>
      <w:r w:rsidRPr="003F5882">
        <w:rPr>
          <w:rFonts w:ascii="Arial" w:hAnsi="Arial"/>
          <w:sz w:val="21"/>
        </w:rPr>
        <w:t>对手未能履行其合同义务的情况下面临的财务损失风险。这主要涉及本组织的贷款、应收账款、现金和现金等价物。金融资产的账面数额代表最高信贷风险。截至</w:t>
      </w:r>
      <w:r w:rsidRPr="003F5882">
        <w:rPr>
          <w:rFonts w:ascii="Arial" w:hAnsi="Arial"/>
          <w:sz w:val="21"/>
        </w:rPr>
        <w:t>2014</w:t>
      </w:r>
      <w:r w:rsidRPr="003F5882">
        <w:rPr>
          <w:rFonts w:ascii="Arial" w:hAnsi="Arial"/>
          <w:sz w:val="21"/>
        </w:rPr>
        <w:t>年</w:t>
      </w:r>
      <w:r w:rsidRPr="003F5882">
        <w:rPr>
          <w:rFonts w:ascii="Arial" w:hAnsi="Arial"/>
          <w:sz w:val="21"/>
        </w:rPr>
        <w:t>12</w:t>
      </w:r>
      <w:r w:rsidRPr="003F5882">
        <w:rPr>
          <w:rFonts w:ascii="Arial" w:hAnsi="Arial"/>
          <w:sz w:val="21"/>
        </w:rPr>
        <w:t>月</w:t>
      </w:r>
      <w:r w:rsidRPr="003F5882">
        <w:rPr>
          <w:rFonts w:ascii="Arial" w:hAnsi="Arial"/>
          <w:sz w:val="21"/>
        </w:rPr>
        <w:t>31</w:t>
      </w:r>
      <w:r w:rsidRPr="003F5882">
        <w:rPr>
          <w:rFonts w:ascii="Arial" w:hAnsi="Arial"/>
          <w:sz w:val="21"/>
        </w:rPr>
        <w:t>日，最高信贷风险敞口为：</w:t>
      </w:r>
    </w:p>
    <w:p w:rsidR="00C14A2F" w:rsidRPr="003F5882" w:rsidRDefault="006F16A3" w:rsidP="00C14A2F">
      <w:pPr>
        <w:autoSpaceDE w:val="0"/>
        <w:autoSpaceDN w:val="0"/>
        <w:adjustRightInd w:val="0"/>
        <w:jc w:val="center"/>
        <w:rPr>
          <w:rFonts w:ascii="Arial" w:hAnsi="Arial"/>
          <w:sz w:val="21"/>
          <w:szCs w:val="22"/>
        </w:rPr>
      </w:pPr>
      <w:r w:rsidRPr="006F16A3">
        <w:rPr>
          <w:noProof/>
          <w:lang w:val="en-US" w:bidi="ar-SA"/>
        </w:rPr>
        <w:drawing>
          <wp:inline distT="0" distB="0" distL="0" distR="0">
            <wp:extent cx="5736590" cy="1345565"/>
            <wp:effectExtent l="0" t="0" r="0" b="0"/>
            <wp:docPr id="174" name="图片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5736590" cy="1345565"/>
                    </a:xfrm>
                    <a:prstGeom prst="rect">
                      <a:avLst/>
                    </a:prstGeom>
                    <a:noFill/>
                    <a:ln>
                      <a:noFill/>
                    </a:ln>
                  </pic:spPr>
                </pic:pic>
              </a:graphicData>
            </a:graphic>
          </wp:inline>
        </w:drawing>
      </w:r>
    </w:p>
    <w:p w:rsidR="007D62CB" w:rsidRDefault="00C14A2F" w:rsidP="003374D7">
      <w:pPr>
        <w:pStyle w:val="Style3"/>
        <w:spacing w:afterLines="50" w:line="340" w:lineRule="atLeast"/>
        <w:rPr>
          <w:rFonts w:ascii="Arial" w:hAnsi="Arial"/>
          <w:sz w:val="21"/>
          <w:szCs w:val="22"/>
        </w:rPr>
      </w:pPr>
      <w:r w:rsidRPr="003F5882">
        <w:rPr>
          <w:rFonts w:ascii="Arial" w:hAnsi="Arial"/>
          <w:sz w:val="21"/>
        </w:rPr>
        <w:t>本组织的非外汇交易应收账款几乎全部来自代表主权政府的成员国，因此与信用相关的风险较小。对于预计在短期内得不到支付的</w:t>
      </w:r>
      <w:r w:rsidRPr="003374D7">
        <w:rPr>
          <w:rFonts w:ascii="Arial" w:hAnsi="Arial" w:cs="Times New Roman"/>
          <w:sz w:val="21"/>
        </w:rPr>
        <w:t>应收</w:t>
      </w:r>
      <w:r w:rsidRPr="003F5882">
        <w:rPr>
          <w:rFonts w:ascii="Arial" w:hAnsi="Arial"/>
          <w:sz w:val="21"/>
        </w:rPr>
        <w:t>账款，已根据应收账款的资产价值设立了</w:t>
      </w:r>
      <w:proofErr w:type="gramStart"/>
      <w:r w:rsidRPr="003F5882">
        <w:rPr>
          <w:rFonts w:ascii="Arial" w:hAnsi="Arial"/>
          <w:sz w:val="21"/>
        </w:rPr>
        <w:t>一项备抵金</w:t>
      </w:r>
      <w:proofErr w:type="gramEnd"/>
      <w:r w:rsidRPr="003F5882">
        <w:rPr>
          <w:rFonts w:ascii="Arial" w:hAnsi="Arial"/>
          <w:sz w:val="21"/>
        </w:rPr>
        <w:t>。</w:t>
      </w:r>
    </w:p>
    <w:p w:rsidR="007D62CB" w:rsidRDefault="00C14A2F" w:rsidP="003374D7">
      <w:pPr>
        <w:pStyle w:val="Style3"/>
        <w:spacing w:afterLines="50" w:line="340" w:lineRule="atLeast"/>
        <w:rPr>
          <w:rFonts w:ascii="Arial" w:hAnsi="Arial"/>
          <w:sz w:val="21"/>
          <w:szCs w:val="22"/>
        </w:rPr>
      </w:pPr>
      <w:r w:rsidRPr="003F5882">
        <w:rPr>
          <w:rFonts w:ascii="Arial" w:hAnsi="Arial"/>
          <w:sz w:val="21"/>
        </w:rPr>
        <w:t>持有的各项投资置于主权风险或信用评级为</w:t>
      </w:r>
      <w:r w:rsidRPr="003F5882">
        <w:rPr>
          <w:rFonts w:ascii="Arial" w:hAnsi="Arial"/>
          <w:sz w:val="21"/>
        </w:rPr>
        <w:t>AA-</w:t>
      </w:r>
      <w:r w:rsidRPr="003F5882">
        <w:rPr>
          <w:rFonts w:ascii="Arial" w:hAnsi="Arial"/>
          <w:sz w:val="21"/>
        </w:rPr>
        <w:t>或更高等级的银行。为将现金和现金等价物的信用风险减小到最低程度，本组织将其持有的绝大部分资金放入高或中高信用评级的银行。但是，在某些情况下，出于特殊的运作目的，会将资金交给低于中级评级的银行持有。据此，现金和现金等价物的信用评级如下：</w:t>
      </w:r>
    </w:p>
    <w:p w:rsidR="00C14A2F" w:rsidRPr="003F5882" w:rsidRDefault="006F16A3" w:rsidP="006F16A3">
      <w:pPr>
        <w:spacing w:afterLines="50" w:after="120"/>
        <w:jc w:val="center"/>
        <w:rPr>
          <w:rFonts w:ascii="Arial" w:hAnsi="Arial"/>
          <w:sz w:val="21"/>
          <w:szCs w:val="22"/>
        </w:rPr>
      </w:pPr>
      <w:r w:rsidRPr="006F16A3">
        <w:rPr>
          <w:noProof/>
          <w:lang w:val="en-US" w:bidi="ar-SA"/>
        </w:rPr>
        <w:drawing>
          <wp:inline distT="0" distB="0" distL="0" distR="0" wp14:anchorId="5337AA13" wp14:editId="19846A67">
            <wp:extent cx="5977255" cy="1470214"/>
            <wp:effectExtent l="0" t="0" r="4445" b="0"/>
            <wp:docPr id="175" name="图片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5977255" cy="1470214"/>
                    </a:xfrm>
                    <a:prstGeom prst="rect">
                      <a:avLst/>
                    </a:prstGeom>
                    <a:noFill/>
                    <a:ln>
                      <a:noFill/>
                    </a:ln>
                  </pic:spPr>
                </pic:pic>
              </a:graphicData>
            </a:graphic>
          </wp:inline>
        </w:drawing>
      </w:r>
    </w:p>
    <w:p w:rsidR="007D62CB" w:rsidRPr="003374D7" w:rsidRDefault="00C14A2F" w:rsidP="003374D7">
      <w:pPr>
        <w:pStyle w:val="Style3Bold"/>
        <w:keepLines/>
        <w:spacing w:afterLines="50" w:line="340" w:lineRule="atLeast"/>
        <w:rPr>
          <w:rFonts w:eastAsia="SimSun" w:cs="Times New Roman"/>
          <w:sz w:val="21"/>
        </w:rPr>
      </w:pPr>
      <w:r w:rsidRPr="003374D7">
        <w:rPr>
          <w:rFonts w:eastAsia="SimSun" w:cs="Times New Roman"/>
          <w:sz w:val="21"/>
        </w:rPr>
        <w:t>流动性风险</w:t>
      </w:r>
    </w:p>
    <w:p w:rsidR="00C14A2F" w:rsidRPr="003F5882" w:rsidRDefault="00D3024C" w:rsidP="003374D7">
      <w:pPr>
        <w:pStyle w:val="Style3"/>
        <w:spacing w:afterLines="50" w:line="340" w:lineRule="atLeast"/>
        <w:rPr>
          <w:rFonts w:ascii="Arial" w:hAnsi="Arial"/>
          <w:sz w:val="21"/>
          <w:szCs w:val="22"/>
        </w:rPr>
      </w:pPr>
      <w:r w:rsidRPr="003F5882">
        <w:rPr>
          <w:rFonts w:ascii="Arial" w:hAnsi="Arial" w:cs="Arial"/>
          <w:sz w:val="21"/>
          <w:szCs w:val="22"/>
          <w:lang w:val="en-GB"/>
        </w:rPr>
        <w:t>流动性风险系指本组织不能如期</w:t>
      </w:r>
      <w:r w:rsidRPr="003374D7">
        <w:rPr>
          <w:rFonts w:ascii="Arial" w:hAnsi="Arial" w:cs="Times New Roman"/>
          <w:sz w:val="21"/>
        </w:rPr>
        <w:t>偿债</w:t>
      </w:r>
      <w:r w:rsidRPr="003F5882">
        <w:rPr>
          <w:rFonts w:ascii="Arial" w:hAnsi="Arial" w:cs="Arial"/>
          <w:sz w:val="21"/>
          <w:szCs w:val="22"/>
          <w:lang w:val="en-GB"/>
        </w:rPr>
        <w:t>的风险。</w:t>
      </w:r>
    </w:p>
    <w:p w:rsidR="007D62CB" w:rsidRDefault="00D3024C" w:rsidP="003374D7">
      <w:pPr>
        <w:pStyle w:val="Style3"/>
        <w:spacing w:afterLines="50" w:line="340" w:lineRule="atLeast"/>
        <w:rPr>
          <w:rFonts w:ascii="Arial" w:hAnsi="Arial"/>
          <w:sz w:val="21"/>
          <w:szCs w:val="22"/>
        </w:rPr>
      </w:pPr>
      <w:r w:rsidRPr="003F5882">
        <w:rPr>
          <w:rFonts w:ascii="Arial" w:hAnsi="Arial" w:cs="Arial"/>
          <w:sz w:val="21"/>
          <w:szCs w:val="22"/>
        </w:rPr>
        <w:t>本组织没有面临重大流动性风险，因为本组织具有充足的不受限制的现金资源，这些现金资源通过其业务成果得到补充。本组织制定了投资</w:t>
      </w:r>
      <w:r w:rsidRPr="003374D7">
        <w:rPr>
          <w:rFonts w:ascii="Arial" w:hAnsi="Arial" w:cs="Times New Roman"/>
          <w:sz w:val="21"/>
        </w:rPr>
        <w:t>政策</w:t>
      </w:r>
      <w:r w:rsidRPr="003F5882">
        <w:rPr>
          <w:rFonts w:ascii="Arial" w:hAnsi="Arial" w:cs="Arial"/>
          <w:sz w:val="21"/>
          <w:szCs w:val="22"/>
        </w:rPr>
        <w:t>，以保证其投资首先保存为流动短期存款</w:t>
      </w:r>
      <w:r w:rsidR="00C14A2F" w:rsidRPr="003F5882">
        <w:rPr>
          <w:rFonts w:ascii="Arial" w:hAnsi="Arial"/>
          <w:sz w:val="21"/>
          <w:szCs w:val="22"/>
        </w:rPr>
        <w:t>。</w:t>
      </w:r>
      <w:r w:rsidR="00C14A2F" w:rsidRPr="003F5882">
        <w:rPr>
          <w:rFonts w:ascii="Arial" w:hAnsi="Arial"/>
          <w:sz w:val="21"/>
        </w:rPr>
        <w:t>下表为</w:t>
      </w:r>
      <w:r w:rsidR="00C14A2F" w:rsidRPr="003F5882">
        <w:rPr>
          <w:rFonts w:ascii="Arial" w:hAnsi="Arial"/>
          <w:sz w:val="21"/>
        </w:rPr>
        <w:t>WIPO</w:t>
      </w:r>
      <w:r w:rsidR="00C14A2F" w:rsidRPr="003F5882">
        <w:rPr>
          <w:rFonts w:ascii="Arial" w:hAnsi="Arial"/>
          <w:sz w:val="21"/>
        </w:rPr>
        <w:t>借款到期分析。截至</w:t>
      </w:r>
      <w:r w:rsidR="00C14A2F" w:rsidRPr="003F5882">
        <w:rPr>
          <w:rFonts w:ascii="Arial" w:hAnsi="Arial"/>
          <w:sz w:val="21"/>
        </w:rPr>
        <w:t>2014</w:t>
      </w:r>
      <w:r w:rsidR="00C14A2F" w:rsidRPr="003F5882">
        <w:rPr>
          <w:rFonts w:ascii="Arial" w:hAnsi="Arial"/>
          <w:sz w:val="21"/>
        </w:rPr>
        <w:t>年</w:t>
      </w:r>
      <w:r w:rsidR="00C14A2F" w:rsidRPr="003F5882">
        <w:rPr>
          <w:rFonts w:ascii="Arial" w:hAnsi="Arial"/>
          <w:sz w:val="21"/>
        </w:rPr>
        <w:t>12</w:t>
      </w:r>
      <w:r w:rsidR="00C14A2F" w:rsidRPr="003F5882">
        <w:rPr>
          <w:rFonts w:ascii="Arial" w:hAnsi="Arial"/>
          <w:sz w:val="21"/>
        </w:rPr>
        <w:t>月</w:t>
      </w:r>
      <w:r w:rsidR="00C14A2F" w:rsidRPr="003F5882">
        <w:rPr>
          <w:rFonts w:ascii="Arial" w:hAnsi="Arial"/>
          <w:sz w:val="21"/>
        </w:rPr>
        <w:t>31</w:t>
      </w:r>
      <w:r w:rsidR="00C14A2F" w:rsidRPr="003F5882">
        <w:rPr>
          <w:rFonts w:ascii="Arial" w:hAnsi="Arial"/>
          <w:sz w:val="21"/>
        </w:rPr>
        <w:t>日的</w:t>
      </w:r>
      <w:r w:rsidR="00C14A2F" w:rsidRPr="003F5882">
        <w:rPr>
          <w:rFonts w:ascii="Arial" w:hAnsi="Arial"/>
          <w:sz w:val="21"/>
        </w:rPr>
        <w:t>BCG/BCV</w:t>
      </w:r>
      <w:r w:rsidR="00C14A2F" w:rsidRPr="003F5882">
        <w:rPr>
          <w:rFonts w:ascii="Arial" w:hAnsi="Arial"/>
          <w:sz w:val="21"/>
        </w:rPr>
        <w:t>新办公楼贷款到期分析包括每年还款</w:t>
      </w:r>
      <w:r w:rsidR="00C14A2F" w:rsidRPr="003F5882">
        <w:rPr>
          <w:rFonts w:ascii="Arial" w:hAnsi="Arial"/>
          <w:sz w:val="21"/>
        </w:rPr>
        <w:t>390</w:t>
      </w:r>
      <w:proofErr w:type="gramStart"/>
      <w:r w:rsidR="00C14A2F" w:rsidRPr="003F5882">
        <w:rPr>
          <w:rFonts w:ascii="Arial" w:hAnsi="Arial"/>
          <w:sz w:val="21"/>
        </w:rPr>
        <w:t>万瑞</w:t>
      </w:r>
      <w:proofErr w:type="gramEnd"/>
      <w:r w:rsidR="00C14A2F" w:rsidRPr="003F5882">
        <w:rPr>
          <w:rFonts w:ascii="Arial" w:hAnsi="Arial"/>
          <w:sz w:val="21"/>
        </w:rPr>
        <w:t>郎</w:t>
      </w:r>
      <w:r w:rsidR="00F453AC" w:rsidRPr="003F5882">
        <w:rPr>
          <w:rFonts w:ascii="Arial" w:hAnsi="Arial"/>
          <w:sz w:val="21"/>
        </w:rPr>
        <w:t>（</w:t>
      </w:r>
      <w:r w:rsidR="00C14A2F" w:rsidRPr="003F5882">
        <w:rPr>
          <w:rFonts w:ascii="Arial" w:hAnsi="Arial"/>
          <w:sz w:val="21"/>
        </w:rPr>
        <w:t>占贷款总价值的</w:t>
      </w:r>
      <w:r w:rsidR="00C14A2F" w:rsidRPr="003F5882">
        <w:rPr>
          <w:rFonts w:ascii="Arial" w:hAnsi="Arial"/>
          <w:sz w:val="21"/>
        </w:rPr>
        <w:t>3.0%</w:t>
      </w:r>
      <w:r w:rsidR="00F453AC" w:rsidRPr="003F5882">
        <w:rPr>
          <w:rFonts w:ascii="Arial" w:hAnsi="Arial"/>
          <w:sz w:val="21"/>
        </w:rPr>
        <w:t>）</w:t>
      </w:r>
      <w:r w:rsidR="00C14A2F" w:rsidRPr="003F5882">
        <w:rPr>
          <w:rFonts w:ascii="Arial" w:hAnsi="Arial"/>
          <w:sz w:val="21"/>
        </w:rPr>
        <w:t>以及</w:t>
      </w:r>
      <w:r w:rsidR="00C14A2F" w:rsidRPr="003F5882">
        <w:rPr>
          <w:rFonts w:ascii="Arial" w:hAnsi="Arial"/>
          <w:sz w:val="21"/>
        </w:rPr>
        <w:t>2015</w:t>
      </w:r>
      <w:r w:rsidR="00C14A2F" w:rsidRPr="003F5882">
        <w:rPr>
          <w:rFonts w:ascii="Arial" w:hAnsi="Arial"/>
          <w:sz w:val="21"/>
        </w:rPr>
        <w:t>年</w:t>
      </w:r>
      <w:r w:rsidR="00C14A2F" w:rsidRPr="003F5882">
        <w:rPr>
          <w:rFonts w:ascii="Arial" w:hAnsi="Arial"/>
          <w:sz w:val="21"/>
        </w:rPr>
        <w:t>11</w:t>
      </w:r>
      <w:r w:rsidR="00C14A2F" w:rsidRPr="003F5882">
        <w:rPr>
          <w:rFonts w:ascii="Arial" w:hAnsi="Arial"/>
          <w:sz w:val="21"/>
        </w:rPr>
        <w:t>月和</w:t>
      </w:r>
      <w:r w:rsidR="00C14A2F" w:rsidRPr="003F5882">
        <w:rPr>
          <w:rFonts w:ascii="Arial" w:hAnsi="Arial"/>
          <w:sz w:val="21"/>
        </w:rPr>
        <w:t>2016</w:t>
      </w:r>
      <w:r w:rsidR="00C14A2F" w:rsidRPr="003F5882">
        <w:rPr>
          <w:rFonts w:ascii="Arial" w:hAnsi="Arial"/>
          <w:sz w:val="21"/>
        </w:rPr>
        <w:t>年</w:t>
      </w:r>
      <w:r w:rsidR="00C14A2F" w:rsidRPr="003F5882">
        <w:rPr>
          <w:rFonts w:ascii="Arial" w:hAnsi="Arial"/>
          <w:sz w:val="21"/>
        </w:rPr>
        <w:t>1</w:t>
      </w:r>
      <w:r w:rsidR="00C14A2F" w:rsidRPr="003F5882">
        <w:rPr>
          <w:rFonts w:ascii="Arial" w:hAnsi="Arial"/>
          <w:sz w:val="21"/>
        </w:rPr>
        <w:t>月</w:t>
      </w:r>
      <w:r w:rsidR="00267C92" w:rsidRPr="003F5882">
        <w:rPr>
          <w:rFonts w:ascii="Arial" w:hAnsi="Arial" w:hint="eastAsia"/>
          <w:sz w:val="21"/>
        </w:rPr>
        <w:t>计划</w:t>
      </w:r>
      <w:r w:rsidR="00C14A2F" w:rsidRPr="003F5882">
        <w:rPr>
          <w:rFonts w:ascii="Arial" w:hAnsi="Arial"/>
          <w:sz w:val="21"/>
        </w:rPr>
        <w:t>分别一次性还款</w:t>
      </w:r>
      <w:r w:rsidR="00C14A2F" w:rsidRPr="003F5882">
        <w:rPr>
          <w:rFonts w:ascii="Arial" w:hAnsi="Arial"/>
          <w:sz w:val="21"/>
        </w:rPr>
        <w:t>2,400</w:t>
      </w:r>
      <w:proofErr w:type="gramStart"/>
      <w:r w:rsidR="00C14A2F" w:rsidRPr="003F5882">
        <w:rPr>
          <w:rFonts w:ascii="Arial" w:hAnsi="Arial"/>
          <w:sz w:val="21"/>
        </w:rPr>
        <w:t>万瑞</w:t>
      </w:r>
      <w:proofErr w:type="gramEnd"/>
      <w:r w:rsidR="00C14A2F" w:rsidRPr="003F5882">
        <w:rPr>
          <w:rFonts w:ascii="Arial" w:hAnsi="Arial"/>
          <w:sz w:val="21"/>
        </w:rPr>
        <w:t>郎和</w:t>
      </w:r>
      <w:r w:rsidR="00C14A2F" w:rsidRPr="003F5882">
        <w:rPr>
          <w:rFonts w:ascii="Arial" w:hAnsi="Arial"/>
          <w:sz w:val="21"/>
        </w:rPr>
        <w:t>1,600</w:t>
      </w:r>
      <w:proofErr w:type="gramStart"/>
      <w:r w:rsidR="00C14A2F" w:rsidRPr="003F5882">
        <w:rPr>
          <w:rFonts w:ascii="Arial" w:hAnsi="Arial"/>
          <w:sz w:val="21"/>
        </w:rPr>
        <w:t>万瑞</w:t>
      </w:r>
      <w:proofErr w:type="gramEnd"/>
      <w:r w:rsidR="00C14A2F" w:rsidRPr="003F5882">
        <w:rPr>
          <w:rFonts w:ascii="Arial" w:hAnsi="Arial"/>
          <w:sz w:val="21"/>
        </w:rPr>
        <w:t>郎</w:t>
      </w:r>
      <w:r w:rsidR="00267C92" w:rsidRPr="003F5882">
        <w:rPr>
          <w:rFonts w:ascii="Arial" w:hAnsi="Arial" w:hint="eastAsia"/>
          <w:sz w:val="21"/>
        </w:rPr>
        <w:t>：</w:t>
      </w:r>
    </w:p>
    <w:p w:rsidR="00C14A2F" w:rsidRDefault="00FB3BEB" w:rsidP="00C14A2F">
      <w:pPr>
        <w:pStyle w:val="Style3"/>
        <w:spacing w:after="0"/>
        <w:jc w:val="center"/>
        <w:rPr>
          <w:rFonts w:ascii="Arial" w:hAnsi="Arial"/>
          <w:sz w:val="21"/>
        </w:rPr>
      </w:pPr>
      <w:r w:rsidRPr="00FB3BEB">
        <w:rPr>
          <w:noProof/>
          <w:lang w:val="en-US" w:bidi="ar-SA"/>
        </w:rPr>
        <w:drawing>
          <wp:inline distT="0" distB="0" distL="0" distR="0" wp14:anchorId="692810A3" wp14:editId="41132FA1">
            <wp:extent cx="5977255" cy="1095259"/>
            <wp:effectExtent l="0" t="0" r="4445" b="0"/>
            <wp:docPr id="177" name="图片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5977255" cy="1095259"/>
                    </a:xfrm>
                    <a:prstGeom prst="rect">
                      <a:avLst/>
                    </a:prstGeom>
                    <a:noFill/>
                    <a:ln>
                      <a:noFill/>
                    </a:ln>
                  </pic:spPr>
                </pic:pic>
              </a:graphicData>
            </a:graphic>
          </wp:inline>
        </w:drawing>
      </w:r>
    </w:p>
    <w:p w:rsidR="00FB3BEB" w:rsidRPr="003F5882" w:rsidRDefault="00FB3BEB" w:rsidP="00FB3BEB">
      <w:pPr>
        <w:pStyle w:val="Style3"/>
        <w:spacing w:afterLines="50"/>
        <w:jc w:val="center"/>
        <w:rPr>
          <w:rFonts w:ascii="Arial" w:hAnsi="Arial"/>
          <w:sz w:val="21"/>
        </w:rPr>
      </w:pPr>
      <w:r w:rsidRPr="00FB3BEB">
        <w:rPr>
          <w:noProof/>
          <w:lang w:val="en-US" w:bidi="ar-SA"/>
        </w:rPr>
        <w:lastRenderedPageBreak/>
        <w:drawing>
          <wp:inline distT="0" distB="0" distL="0" distR="0" wp14:anchorId="38208270" wp14:editId="5238E2D2">
            <wp:extent cx="5977255" cy="1078115"/>
            <wp:effectExtent l="0" t="0" r="4445" b="8255"/>
            <wp:docPr id="178" name="图片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5977255" cy="1078115"/>
                    </a:xfrm>
                    <a:prstGeom prst="rect">
                      <a:avLst/>
                    </a:prstGeom>
                    <a:noFill/>
                    <a:ln>
                      <a:noFill/>
                    </a:ln>
                  </pic:spPr>
                </pic:pic>
              </a:graphicData>
            </a:graphic>
          </wp:inline>
        </w:drawing>
      </w:r>
    </w:p>
    <w:p w:rsidR="007D62CB" w:rsidRPr="003374D7" w:rsidRDefault="00C14A2F" w:rsidP="003374D7">
      <w:pPr>
        <w:pStyle w:val="Style3Bold"/>
        <w:keepLines/>
        <w:spacing w:afterLines="50" w:line="340" w:lineRule="atLeast"/>
        <w:rPr>
          <w:rFonts w:eastAsia="SimSun" w:cs="Times New Roman"/>
          <w:sz w:val="21"/>
        </w:rPr>
      </w:pPr>
      <w:r w:rsidRPr="003374D7">
        <w:rPr>
          <w:rFonts w:eastAsia="SimSun" w:cs="Times New Roman"/>
          <w:sz w:val="21"/>
        </w:rPr>
        <w:t>货币风险</w:t>
      </w:r>
    </w:p>
    <w:p w:rsidR="007D62CB" w:rsidRDefault="00C14A2F" w:rsidP="003374D7">
      <w:pPr>
        <w:pStyle w:val="Style3"/>
        <w:spacing w:afterLines="50" w:line="340" w:lineRule="atLeast"/>
        <w:rPr>
          <w:rFonts w:ascii="Arial" w:hAnsi="Arial"/>
          <w:sz w:val="21"/>
          <w:szCs w:val="22"/>
        </w:rPr>
      </w:pPr>
      <w:r w:rsidRPr="003F5882">
        <w:rPr>
          <w:rFonts w:ascii="Arial" w:hAnsi="Arial"/>
          <w:sz w:val="21"/>
        </w:rPr>
        <w:t>本组织获取</w:t>
      </w:r>
      <w:proofErr w:type="gramStart"/>
      <w:r w:rsidRPr="003F5882">
        <w:rPr>
          <w:rFonts w:ascii="Arial" w:hAnsi="Arial"/>
          <w:sz w:val="21"/>
        </w:rPr>
        <w:t>规</w:t>
      </w:r>
      <w:proofErr w:type="gramEnd"/>
      <w:r w:rsidRPr="003F5882">
        <w:rPr>
          <w:rFonts w:ascii="Arial" w:hAnsi="Arial"/>
          <w:sz w:val="21"/>
        </w:rPr>
        <w:t>费和各币种的自愿捐款收入，并在不是其功能货币</w:t>
      </w:r>
      <w:r w:rsidR="00F453AC" w:rsidRPr="003F5882">
        <w:rPr>
          <w:rFonts w:ascii="Arial" w:hAnsi="Arial" w:hint="eastAsia"/>
          <w:sz w:val="21"/>
        </w:rPr>
        <w:t>（</w:t>
      </w:r>
      <w:r w:rsidRPr="003F5882">
        <w:rPr>
          <w:rFonts w:ascii="Arial" w:hAnsi="Arial"/>
          <w:sz w:val="21"/>
        </w:rPr>
        <w:t>即瑞士法郎</w:t>
      </w:r>
      <w:r w:rsidR="00F453AC" w:rsidRPr="003F5882">
        <w:rPr>
          <w:rFonts w:ascii="Arial" w:hAnsi="Arial" w:hint="eastAsia"/>
          <w:sz w:val="21"/>
        </w:rPr>
        <w:t>）</w:t>
      </w:r>
      <w:r w:rsidRPr="003F5882">
        <w:rPr>
          <w:rFonts w:ascii="Arial" w:hAnsi="Arial"/>
          <w:sz w:val="21"/>
        </w:rPr>
        <w:t>的其他货币方面产生费用。因此，面临着因外汇兑换率浮动而产生的外汇兑换风险。本组织还面临着根据《专利合作条约实施细则》向国际检索机构应付金额与国家专利局从国际专利申请者那里收取的国际检索</w:t>
      </w:r>
      <w:proofErr w:type="gramStart"/>
      <w:r w:rsidRPr="003F5882">
        <w:rPr>
          <w:rFonts w:ascii="Arial" w:hAnsi="Arial"/>
          <w:sz w:val="21"/>
        </w:rPr>
        <w:t>规</w:t>
      </w:r>
      <w:proofErr w:type="gramEnd"/>
      <w:r w:rsidRPr="003F5882">
        <w:rPr>
          <w:rFonts w:ascii="Arial" w:hAnsi="Arial"/>
          <w:sz w:val="21"/>
        </w:rPr>
        <w:t>费数额之间所出现的货币差异所带来的汇率风险。</w:t>
      </w:r>
    </w:p>
    <w:p w:rsidR="007D62CB" w:rsidRDefault="00C14A2F" w:rsidP="003374D7">
      <w:pPr>
        <w:pStyle w:val="Style3"/>
        <w:spacing w:afterLines="50" w:line="340" w:lineRule="atLeast"/>
        <w:rPr>
          <w:rFonts w:ascii="Arial" w:hAnsi="Arial"/>
          <w:sz w:val="21"/>
          <w:szCs w:val="22"/>
        </w:rPr>
      </w:pPr>
      <w:r w:rsidRPr="003F5882">
        <w:rPr>
          <w:rFonts w:ascii="Arial" w:hAnsi="Arial"/>
          <w:sz w:val="21"/>
        </w:rPr>
        <w:t>本组织还进一步面临着与之前加入已关闭的养恤基金而现已为联合国合办工作人员养恤基金</w:t>
      </w:r>
      <w:r w:rsidR="00F453AC" w:rsidRPr="003F5882">
        <w:rPr>
          <w:rFonts w:ascii="Arial" w:hAnsi="Arial"/>
          <w:sz w:val="21"/>
        </w:rPr>
        <w:t>（</w:t>
      </w:r>
      <w:r w:rsidRPr="003F5882">
        <w:rPr>
          <w:rFonts w:ascii="Arial" w:hAnsi="Arial"/>
          <w:sz w:val="21"/>
        </w:rPr>
        <w:t>UNJSPF</w:t>
      </w:r>
      <w:r w:rsidR="00F453AC" w:rsidRPr="003F5882">
        <w:rPr>
          <w:rFonts w:ascii="Arial" w:hAnsi="Arial"/>
          <w:sz w:val="21"/>
        </w:rPr>
        <w:t>）</w:t>
      </w:r>
      <w:r w:rsidRPr="003F5882">
        <w:rPr>
          <w:rFonts w:ascii="Arial" w:hAnsi="Arial"/>
          <w:sz w:val="21"/>
        </w:rPr>
        <w:t>成员的工作人员的养恤金费用有关的汇率风险。此外，本组织在巴西、中国、日本、俄罗斯、新加坡和美利坚合众国设有驻外办事处，保有有限的当地</w:t>
      </w:r>
      <w:r w:rsidRPr="003374D7">
        <w:rPr>
          <w:rFonts w:ascii="Arial" w:hAnsi="Arial" w:cs="Times New Roman"/>
          <w:sz w:val="21"/>
        </w:rPr>
        <w:t>货币</w:t>
      </w:r>
      <w:r w:rsidRPr="003F5882">
        <w:rPr>
          <w:rFonts w:ascii="Arial" w:hAnsi="Arial"/>
          <w:sz w:val="21"/>
        </w:rPr>
        <w:t>资产。本组织仅有限地使用金融工具对冲汇率风险，特别是针对把瑞郎兑换成欧元不超过两个月的短期投资。截至报告日，没有要履行的对冲合约。</w:t>
      </w:r>
    </w:p>
    <w:p w:rsidR="007D62CB" w:rsidRPr="003374D7" w:rsidRDefault="00C14A2F" w:rsidP="003374D7">
      <w:pPr>
        <w:pStyle w:val="Style3Bold"/>
        <w:keepLines/>
        <w:spacing w:afterLines="50" w:line="340" w:lineRule="atLeast"/>
        <w:rPr>
          <w:rFonts w:eastAsia="SimSun" w:cs="Times New Roman"/>
          <w:sz w:val="21"/>
        </w:rPr>
      </w:pPr>
      <w:r w:rsidRPr="003374D7">
        <w:rPr>
          <w:rFonts w:eastAsia="SimSun" w:cs="Times New Roman"/>
          <w:sz w:val="21"/>
        </w:rPr>
        <w:t>汇率敏感度分析</w:t>
      </w:r>
    </w:p>
    <w:p w:rsidR="007D62CB" w:rsidRDefault="00C14A2F" w:rsidP="003374D7">
      <w:pPr>
        <w:pStyle w:val="Style3"/>
        <w:spacing w:afterLines="50" w:line="340" w:lineRule="atLeast"/>
        <w:rPr>
          <w:rFonts w:ascii="Arial" w:hAnsi="Arial"/>
          <w:sz w:val="21"/>
          <w:szCs w:val="22"/>
        </w:rPr>
      </w:pPr>
      <w:r w:rsidRPr="003F5882">
        <w:rPr>
          <w:rFonts w:ascii="Arial" w:hAnsi="Arial"/>
          <w:sz w:val="21"/>
        </w:rPr>
        <w:t>汇率敏感度分析是基于汇率的合理变动。瑞士国家银行于</w:t>
      </w:r>
      <w:r w:rsidRPr="003F5882">
        <w:rPr>
          <w:rFonts w:ascii="Arial" w:hAnsi="Arial"/>
          <w:sz w:val="21"/>
        </w:rPr>
        <w:t>2015</w:t>
      </w:r>
      <w:r w:rsidRPr="003F5882">
        <w:rPr>
          <w:rFonts w:ascii="Arial" w:hAnsi="Arial"/>
          <w:sz w:val="21"/>
        </w:rPr>
        <w:t>年</w:t>
      </w:r>
      <w:r w:rsidRPr="003F5882">
        <w:rPr>
          <w:rFonts w:ascii="Arial" w:hAnsi="Arial"/>
          <w:sz w:val="21"/>
        </w:rPr>
        <w:t>1</w:t>
      </w:r>
      <w:r w:rsidRPr="003F5882">
        <w:rPr>
          <w:rFonts w:ascii="Arial" w:hAnsi="Arial"/>
          <w:sz w:val="21"/>
        </w:rPr>
        <w:t>月</w:t>
      </w:r>
      <w:r w:rsidRPr="003F5882">
        <w:rPr>
          <w:rFonts w:ascii="Arial" w:hAnsi="Arial"/>
          <w:sz w:val="21"/>
        </w:rPr>
        <w:t>15</w:t>
      </w:r>
      <w:r w:rsidRPr="003F5882">
        <w:rPr>
          <w:rFonts w:ascii="Arial" w:hAnsi="Arial"/>
          <w:sz w:val="21"/>
        </w:rPr>
        <w:t>日发布公告后的几个月间，其他货币兑瑞郎贬值</w:t>
      </w:r>
      <w:r w:rsidR="00F453AC" w:rsidRPr="003F5882">
        <w:rPr>
          <w:rFonts w:ascii="Arial" w:hAnsi="Arial"/>
          <w:sz w:val="21"/>
        </w:rPr>
        <w:t>（</w:t>
      </w:r>
      <w:r w:rsidRPr="003F5882">
        <w:rPr>
          <w:rFonts w:ascii="Arial" w:hAnsi="Arial"/>
          <w:sz w:val="21"/>
        </w:rPr>
        <w:t>见附注</w:t>
      </w:r>
      <w:r w:rsidRPr="003F5882">
        <w:rPr>
          <w:rFonts w:ascii="Arial" w:hAnsi="Arial"/>
          <w:sz w:val="21"/>
        </w:rPr>
        <w:t>27</w:t>
      </w:r>
      <w:r w:rsidRPr="003F5882">
        <w:rPr>
          <w:rFonts w:ascii="Arial" w:hAnsi="Arial"/>
          <w:sz w:val="21"/>
        </w:rPr>
        <w:t>报告日之后的活动</w:t>
      </w:r>
      <w:r w:rsidR="00F453AC" w:rsidRPr="003F5882">
        <w:rPr>
          <w:rFonts w:ascii="Arial" w:hAnsi="Arial"/>
          <w:sz w:val="21"/>
        </w:rPr>
        <w:t>）</w:t>
      </w:r>
      <w:r w:rsidRPr="003F5882">
        <w:rPr>
          <w:rFonts w:ascii="Arial" w:hAnsi="Arial"/>
          <w:sz w:val="21"/>
        </w:rPr>
        <w:t>，基于此</w:t>
      </w:r>
      <w:r w:rsidR="00847D63" w:rsidRPr="003F5882">
        <w:rPr>
          <w:rFonts w:ascii="Arial" w:hAnsi="Arial" w:hint="eastAsia"/>
          <w:sz w:val="21"/>
        </w:rPr>
        <w:t>，</w:t>
      </w:r>
      <w:r w:rsidRPr="003F5882">
        <w:rPr>
          <w:rFonts w:ascii="Arial" w:hAnsi="Arial"/>
          <w:sz w:val="21"/>
        </w:rPr>
        <w:t>本组织采用了</w:t>
      </w:r>
      <w:r w:rsidRPr="003F5882">
        <w:rPr>
          <w:rFonts w:ascii="Arial" w:hAnsi="Arial"/>
          <w:sz w:val="21"/>
        </w:rPr>
        <w:t>10.0%</w:t>
      </w:r>
      <w:r w:rsidRPr="003F5882">
        <w:rPr>
          <w:rFonts w:ascii="Arial" w:hAnsi="Arial"/>
          <w:sz w:val="21"/>
        </w:rPr>
        <w:t>的汇率。该分析适用于</w:t>
      </w:r>
      <w:proofErr w:type="gramStart"/>
      <w:r w:rsidRPr="003F5882">
        <w:rPr>
          <w:rFonts w:ascii="Arial" w:hAnsi="Arial"/>
          <w:sz w:val="21"/>
        </w:rPr>
        <w:t>以除瑞郎</w:t>
      </w:r>
      <w:proofErr w:type="gramEnd"/>
      <w:r w:rsidRPr="003F5882">
        <w:rPr>
          <w:rFonts w:ascii="Arial" w:hAnsi="Arial"/>
          <w:sz w:val="21"/>
        </w:rPr>
        <w:t>之外的货币持有的金融资产和金融负债，对盈余的影响汇总见下表：</w:t>
      </w:r>
    </w:p>
    <w:p w:rsidR="007D62CB" w:rsidRDefault="00FB3BEB" w:rsidP="00FB3BEB">
      <w:pPr>
        <w:pStyle w:val="Style3Bold"/>
        <w:spacing w:afterLines="50"/>
        <w:jc w:val="center"/>
        <w:rPr>
          <w:rFonts w:ascii="Arial" w:eastAsia="SimHei" w:hAnsi="Arial"/>
          <w:b w:val="0"/>
          <w:sz w:val="21"/>
        </w:rPr>
      </w:pPr>
      <w:r w:rsidRPr="00FB3BEB">
        <w:rPr>
          <w:noProof/>
          <w:lang w:val="en-US" w:bidi="ar-SA"/>
        </w:rPr>
        <w:drawing>
          <wp:inline distT="0" distB="0" distL="0" distR="0">
            <wp:extent cx="5607050" cy="2984500"/>
            <wp:effectExtent l="0" t="0" r="0" b="6350"/>
            <wp:docPr id="179" name="图片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5607050" cy="2984500"/>
                    </a:xfrm>
                    <a:prstGeom prst="rect">
                      <a:avLst/>
                    </a:prstGeom>
                    <a:noFill/>
                    <a:ln>
                      <a:noFill/>
                    </a:ln>
                  </pic:spPr>
                </pic:pic>
              </a:graphicData>
            </a:graphic>
          </wp:inline>
        </w:drawing>
      </w:r>
    </w:p>
    <w:p w:rsidR="007D62CB" w:rsidRPr="003374D7" w:rsidRDefault="00C14A2F" w:rsidP="003374D7">
      <w:pPr>
        <w:pStyle w:val="Style3Bold"/>
        <w:keepLines/>
        <w:spacing w:afterLines="50" w:line="340" w:lineRule="atLeast"/>
        <w:rPr>
          <w:rFonts w:eastAsia="SimSun" w:cs="Times New Roman"/>
          <w:sz w:val="21"/>
        </w:rPr>
      </w:pPr>
      <w:r w:rsidRPr="003374D7">
        <w:rPr>
          <w:rFonts w:eastAsia="SimSun" w:cs="Times New Roman"/>
          <w:sz w:val="21"/>
        </w:rPr>
        <w:t>市场风险</w:t>
      </w:r>
    </w:p>
    <w:p w:rsidR="007D62CB" w:rsidRDefault="00C14A2F" w:rsidP="003374D7">
      <w:pPr>
        <w:pStyle w:val="Style3"/>
        <w:spacing w:afterLines="50" w:line="340" w:lineRule="atLeast"/>
        <w:rPr>
          <w:rFonts w:ascii="Arial" w:hAnsi="Arial"/>
          <w:sz w:val="21"/>
          <w:szCs w:val="22"/>
        </w:rPr>
      </w:pPr>
      <w:r w:rsidRPr="003F5882">
        <w:rPr>
          <w:rFonts w:ascii="Arial" w:hAnsi="Arial"/>
          <w:sz w:val="21"/>
        </w:rPr>
        <w:t>市场风险是市场价格变化的风险，如利率，对本组织的收入或持有的金融工具的价值产生影响。本组织在有限的程度上面临利率下降的风险，因为</w:t>
      </w:r>
      <w:r w:rsidRPr="003374D7">
        <w:rPr>
          <w:rFonts w:ascii="Arial" w:hAnsi="Arial" w:cs="Times New Roman"/>
          <w:sz w:val="21"/>
        </w:rPr>
        <w:t>仅仅</w:t>
      </w:r>
      <w:r w:rsidRPr="003F5882">
        <w:rPr>
          <w:rFonts w:ascii="Arial" w:hAnsi="Arial"/>
          <w:sz w:val="21"/>
        </w:rPr>
        <w:t>0.22%</w:t>
      </w:r>
      <w:r w:rsidRPr="003F5882">
        <w:rPr>
          <w:rFonts w:ascii="Arial" w:hAnsi="Arial"/>
          <w:sz w:val="21"/>
        </w:rPr>
        <w:t>的运营预算是由投资收入产生的收益供资。适用于</w:t>
      </w:r>
      <w:r w:rsidRPr="003F5882">
        <w:rPr>
          <w:rFonts w:ascii="Arial" w:hAnsi="Arial"/>
          <w:sz w:val="21"/>
        </w:rPr>
        <w:t>BCG/BCV</w:t>
      </w:r>
      <w:r w:rsidRPr="003F5882">
        <w:rPr>
          <w:rFonts w:ascii="Arial" w:hAnsi="Arial"/>
          <w:sz w:val="21"/>
        </w:rPr>
        <w:t>新办公楼贷款的利率在贷款提取期间保持固定不变。本组织不使用金融工具对冲利率风险。截至</w:t>
      </w:r>
      <w:r w:rsidRPr="003F5882">
        <w:rPr>
          <w:rFonts w:ascii="Arial" w:hAnsi="Arial"/>
          <w:sz w:val="21"/>
        </w:rPr>
        <w:t>2014</w:t>
      </w:r>
      <w:r w:rsidRPr="003F5882">
        <w:rPr>
          <w:rFonts w:ascii="Arial" w:hAnsi="Arial"/>
          <w:sz w:val="21"/>
        </w:rPr>
        <w:t>年</w:t>
      </w:r>
      <w:r w:rsidRPr="003F5882">
        <w:rPr>
          <w:rFonts w:ascii="Arial" w:hAnsi="Arial"/>
          <w:sz w:val="21"/>
        </w:rPr>
        <w:t>12</w:t>
      </w:r>
      <w:r w:rsidRPr="003F5882">
        <w:rPr>
          <w:rFonts w:ascii="Arial" w:hAnsi="Arial"/>
          <w:sz w:val="21"/>
        </w:rPr>
        <w:t>月</w:t>
      </w:r>
      <w:r w:rsidRPr="003F5882">
        <w:rPr>
          <w:rFonts w:ascii="Arial" w:hAnsi="Arial"/>
          <w:sz w:val="21"/>
        </w:rPr>
        <w:t>31</w:t>
      </w:r>
      <w:r w:rsidRPr="003F5882">
        <w:rPr>
          <w:rFonts w:ascii="Arial" w:hAnsi="Arial"/>
          <w:sz w:val="21"/>
        </w:rPr>
        <w:t>日和</w:t>
      </w:r>
      <w:r w:rsidRPr="003F5882">
        <w:rPr>
          <w:rFonts w:ascii="Arial" w:hAnsi="Arial"/>
          <w:sz w:val="21"/>
        </w:rPr>
        <w:t>2013</w:t>
      </w:r>
      <w:r w:rsidRPr="003F5882">
        <w:rPr>
          <w:rFonts w:ascii="Arial" w:hAnsi="Arial"/>
          <w:sz w:val="21"/>
        </w:rPr>
        <w:t>年</w:t>
      </w:r>
      <w:r w:rsidRPr="003F5882">
        <w:rPr>
          <w:rFonts w:ascii="Arial" w:hAnsi="Arial"/>
          <w:sz w:val="21"/>
        </w:rPr>
        <w:t>12</w:t>
      </w:r>
      <w:r w:rsidRPr="003F5882">
        <w:rPr>
          <w:rFonts w:ascii="Arial" w:hAnsi="Arial"/>
          <w:sz w:val="21"/>
        </w:rPr>
        <w:t>月</w:t>
      </w:r>
      <w:r w:rsidRPr="003F5882">
        <w:rPr>
          <w:rFonts w:ascii="Arial" w:hAnsi="Arial"/>
          <w:sz w:val="21"/>
        </w:rPr>
        <w:t>31</w:t>
      </w:r>
      <w:r w:rsidRPr="003F5882">
        <w:rPr>
          <w:rFonts w:ascii="Arial" w:hAnsi="Arial"/>
          <w:sz w:val="21"/>
        </w:rPr>
        <w:t>日</w:t>
      </w:r>
      <w:r w:rsidR="003D06E3" w:rsidRPr="003F5882">
        <w:rPr>
          <w:rFonts w:ascii="Arial" w:hAnsi="Arial" w:hint="eastAsia"/>
          <w:sz w:val="21"/>
        </w:rPr>
        <w:t>，</w:t>
      </w:r>
      <w:r w:rsidRPr="003F5882">
        <w:rPr>
          <w:rFonts w:ascii="Arial" w:hAnsi="Arial"/>
          <w:sz w:val="21"/>
        </w:rPr>
        <w:t>金融工具的利率和到期情况如下：</w:t>
      </w:r>
    </w:p>
    <w:p w:rsidR="00C14A2F" w:rsidRPr="003F5882" w:rsidRDefault="00FB3BEB" w:rsidP="00C14A2F">
      <w:pPr>
        <w:pStyle w:val="Style3"/>
        <w:spacing w:after="0"/>
        <w:jc w:val="center"/>
        <w:rPr>
          <w:rFonts w:ascii="Arial" w:hAnsi="Arial"/>
          <w:sz w:val="21"/>
        </w:rPr>
      </w:pPr>
      <w:r w:rsidRPr="00FB3BEB">
        <w:rPr>
          <w:noProof/>
          <w:lang w:val="en-US" w:bidi="ar-SA"/>
        </w:rPr>
        <w:lastRenderedPageBreak/>
        <w:drawing>
          <wp:inline distT="0" distB="0" distL="0" distR="0">
            <wp:extent cx="5503545" cy="1682115"/>
            <wp:effectExtent l="0" t="0" r="1905" b="0"/>
            <wp:docPr id="180" name="图片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5503545" cy="1682115"/>
                    </a:xfrm>
                    <a:prstGeom prst="rect">
                      <a:avLst/>
                    </a:prstGeom>
                    <a:noFill/>
                    <a:ln>
                      <a:noFill/>
                    </a:ln>
                  </pic:spPr>
                </pic:pic>
              </a:graphicData>
            </a:graphic>
          </wp:inline>
        </w:drawing>
      </w:r>
    </w:p>
    <w:p w:rsidR="007D62CB" w:rsidRDefault="00FB3BEB" w:rsidP="00FB3BEB">
      <w:pPr>
        <w:pStyle w:val="Style3"/>
        <w:spacing w:afterLines="50"/>
        <w:jc w:val="center"/>
        <w:rPr>
          <w:rFonts w:ascii="Arial" w:hAnsi="Arial"/>
          <w:sz w:val="21"/>
        </w:rPr>
      </w:pPr>
      <w:r w:rsidRPr="00FB3BEB">
        <w:rPr>
          <w:noProof/>
          <w:lang w:val="en-US" w:bidi="ar-SA"/>
        </w:rPr>
        <w:drawing>
          <wp:inline distT="0" distB="0" distL="0" distR="0">
            <wp:extent cx="5503545" cy="1682115"/>
            <wp:effectExtent l="0" t="0" r="1905" b="0"/>
            <wp:docPr id="181" name="图片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5503545" cy="1682115"/>
                    </a:xfrm>
                    <a:prstGeom prst="rect">
                      <a:avLst/>
                    </a:prstGeom>
                    <a:noFill/>
                    <a:ln>
                      <a:noFill/>
                    </a:ln>
                  </pic:spPr>
                </pic:pic>
              </a:graphicData>
            </a:graphic>
          </wp:inline>
        </w:drawing>
      </w:r>
    </w:p>
    <w:p w:rsidR="007D62CB" w:rsidRPr="003374D7" w:rsidRDefault="00C14A2F" w:rsidP="003374D7">
      <w:pPr>
        <w:pStyle w:val="Style3Bold"/>
        <w:keepLines/>
        <w:spacing w:afterLines="50" w:line="340" w:lineRule="atLeast"/>
        <w:rPr>
          <w:rFonts w:eastAsia="SimSun" w:cs="Times New Roman"/>
          <w:sz w:val="21"/>
        </w:rPr>
      </w:pPr>
      <w:r w:rsidRPr="003374D7">
        <w:rPr>
          <w:rFonts w:eastAsia="SimSun" w:cs="Times New Roman"/>
          <w:sz w:val="21"/>
        </w:rPr>
        <w:t>利率敏感度分析</w:t>
      </w:r>
    </w:p>
    <w:p w:rsidR="007D62CB" w:rsidRDefault="00C14A2F" w:rsidP="003374D7">
      <w:pPr>
        <w:pStyle w:val="Style3"/>
        <w:spacing w:afterLines="50" w:line="340" w:lineRule="atLeast"/>
        <w:rPr>
          <w:rFonts w:ascii="Arial" w:hAnsi="Arial"/>
          <w:sz w:val="21"/>
          <w:szCs w:val="22"/>
        </w:rPr>
      </w:pPr>
      <w:r w:rsidRPr="003F5882">
        <w:rPr>
          <w:rFonts w:ascii="Arial" w:hAnsi="Arial"/>
          <w:sz w:val="21"/>
        </w:rPr>
        <w:t>如果本年度平均利率比现实水平高或低</w:t>
      </w:r>
      <w:r w:rsidRPr="003F5882">
        <w:rPr>
          <w:rFonts w:ascii="Arial" w:hAnsi="Arial"/>
          <w:sz w:val="21"/>
        </w:rPr>
        <w:t>50</w:t>
      </w:r>
      <w:r w:rsidRPr="003F5882">
        <w:rPr>
          <w:rFonts w:ascii="Arial" w:hAnsi="Arial"/>
          <w:sz w:val="21"/>
        </w:rPr>
        <w:t>个基点</w:t>
      </w:r>
      <w:r w:rsidR="003D06E3" w:rsidRPr="003F5882">
        <w:rPr>
          <w:rFonts w:ascii="Arial" w:hAnsi="Arial" w:hint="eastAsia"/>
          <w:sz w:val="21"/>
        </w:rPr>
        <w:t>，</w:t>
      </w:r>
      <w:r w:rsidRPr="003F5882">
        <w:rPr>
          <w:rFonts w:ascii="Arial" w:hAnsi="Arial"/>
          <w:sz w:val="21"/>
        </w:rPr>
        <w:t>则利息收入或利息支出将受到如下影响</w:t>
      </w:r>
      <w:r w:rsidRPr="003F5882">
        <w:rPr>
          <w:rFonts w:ascii="Arial" w:hAnsi="Arial"/>
          <w:sz w:val="21"/>
        </w:rPr>
        <w:t>:</w:t>
      </w:r>
    </w:p>
    <w:p w:rsidR="00C14A2F" w:rsidRPr="003F5882" w:rsidRDefault="00FB3BEB" w:rsidP="00C14A2F">
      <w:pPr>
        <w:pStyle w:val="Style3"/>
        <w:spacing w:after="0"/>
        <w:jc w:val="center"/>
        <w:rPr>
          <w:rFonts w:ascii="Arial" w:hAnsi="Arial"/>
          <w:sz w:val="21"/>
          <w:szCs w:val="22"/>
        </w:rPr>
      </w:pPr>
      <w:r w:rsidRPr="00FB3BEB">
        <w:rPr>
          <w:noProof/>
          <w:lang w:val="en-US" w:bidi="ar-SA"/>
        </w:rPr>
        <w:drawing>
          <wp:inline distT="0" distB="0" distL="0" distR="0">
            <wp:extent cx="4951730" cy="1819910"/>
            <wp:effectExtent l="0" t="0" r="1270" b="8890"/>
            <wp:docPr id="182" name="图片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4951730" cy="1819910"/>
                    </a:xfrm>
                    <a:prstGeom prst="rect">
                      <a:avLst/>
                    </a:prstGeom>
                    <a:noFill/>
                    <a:ln>
                      <a:noFill/>
                    </a:ln>
                  </pic:spPr>
                </pic:pic>
              </a:graphicData>
            </a:graphic>
          </wp:inline>
        </w:drawing>
      </w:r>
    </w:p>
    <w:p w:rsidR="00C14A2F" w:rsidRPr="00F453AC" w:rsidRDefault="00C14A2F" w:rsidP="007D62CB">
      <w:pPr>
        <w:pStyle w:val="STYLETITRENOTES"/>
        <w:keepNext/>
        <w:overflowPunct w:val="0"/>
        <w:spacing w:beforeLines="100" w:before="240" w:afterLines="100" w:after="240" w:line="340" w:lineRule="atLeast"/>
        <w:rPr>
          <w:rFonts w:ascii="Arial" w:eastAsia="SimHei" w:hAnsi="Arial"/>
          <w:b w:val="0"/>
          <w:sz w:val="21"/>
          <w:szCs w:val="22"/>
        </w:rPr>
      </w:pPr>
      <w:r w:rsidRPr="00F453AC">
        <w:rPr>
          <w:rFonts w:ascii="Arial" w:eastAsia="SimHei" w:hAnsi="Arial"/>
          <w:b w:val="0"/>
          <w:sz w:val="21"/>
        </w:rPr>
        <w:lastRenderedPageBreak/>
        <w:t>附注</w:t>
      </w:r>
      <w:r w:rsidRPr="00F453AC">
        <w:rPr>
          <w:rFonts w:ascii="Arial" w:eastAsia="SimHei" w:hAnsi="Arial"/>
          <w:b w:val="0"/>
          <w:sz w:val="21"/>
        </w:rPr>
        <w:t>26</w:t>
      </w:r>
      <w:r w:rsidRPr="00F453AC">
        <w:rPr>
          <w:rFonts w:ascii="Arial" w:eastAsia="SimHei" w:hAnsi="Arial"/>
          <w:b w:val="0"/>
          <w:sz w:val="21"/>
        </w:rPr>
        <w:t>：</w:t>
      </w:r>
      <w:r w:rsidRPr="00F453AC">
        <w:rPr>
          <w:rFonts w:ascii="Arial" w:eastAsia="SimHei" w:hAnsi="Arial"/>
          <w:b w:val="0"/>
          <w:sz w:val="21"/>
        </w:rPr>
        <w:tab/>
      </w:r>
      <w:r w:rsidRPr="00F453AC">
        <w:rPr>
          <w:rFonts w:ascii="Arial" w:eastAsia="SimHei" w:hAnsi="Arial"/>
          <w:b w:val="0"/>
          <w:sz w:val="21"/>
        </w:rPr>
        <w:t>汇兑</w:t>
      </w:r>
      <w:r w:rsidRPr="007D62CB">
        <w:rPr>
          <w:rFonts w:ascii="Arial" w:eastAsia="SimHei" w:hAnsi="Arial" w:cs="Times New Roman"/>
          <w:b w:val="0"/>
          <w:sz w:val="21"/>
        </w:rPr>
        <w:t>损益</w:t>
      </w:r>
    </w:p>
    <w:p w:rsidR="00DA4636" w:rsidRDefault="00FB3BEB" w:rsidP="00FB3BEB">
      <w:pPr>
        <w:pStyle w:val="StyleHeading211ptNotBoldNotItalicAllcaps"/>
        <w:keepNext w:val="0"/>
        <w:spacing w:before="0" w:after="0"/>
        <w:jc w:val="center"/>
        <w:rPr>
          <w:rFonts w:eastAsia="SimSun"/>
          <w:sz w:val="21"/>
        </w:rPr>
      </w:pPr>
      <w:r w:rsidRPr="00FB3BEB">
        <w:rPr>
          <w:rFonts w:eastAsia="SimSun" w:hint="eastAsia"/>
          <w:noProof/>
          <w:lang w:val="en-US" w:bidi="ar-SA"/>
        </w:rPr>
        <w:drawing>
          <wp:inline distT="0" distB="0" distL="0" distR="0" wp14:anchorId="04C1DA02" wp14:editId="1BD53CC5">
            <wp:extent cx="5977255" cy="5140870"/>
            <wp:effectExtent l="0" t="0" r="4445" b="3175"/>
            <wp:docPr id="183" name="图片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5977255" cy="5140870"/>
                    </a:xfrm>
                    <a:prstGeom prst="rect">
                      <a:avLst/>
                    </a:prstGeom>
                    <a:noFill/>
                    <a:ln>
                      <a:noFill/>
                    </a:ln>
                  </pic:spPr>
                </pic:pic>
              </a:graphicData>
            </a:graphic>
          </wp:inline>
        </w:drawing>
      </w:r>
    </w:p>
    <w:p w:rsidR="007D62CB" w:rsidRPr="00DA4636" w:rsidRDefault="00C14A2F" w:rsidP="00DA4636">
      <w:pPr>
        <w:pStyle w:val="Style3"/>
        <w:spacing w:afterLines="50" w:line="340" w:lineRule="atLeast"/>
        <w:rPr>
          <w:rFonts w:ascii="Arial" w:hAnsi="Arial"/>
          <w:sz w:val="21"/>
        </w:rPr>
      </w:pPr>
      <w:r w:rsidRPr="00DA4636">
        <w:rPr>
          <w:rFonts w:eastAsia="SimSun" w:hint="eastAsia"/>
          <w:sz w:val="21"/>
        </w:rPr>
        <w:t>根据交易日有效的汇率，本组织在应付账款和应收账款上实现以瑞郎以外的货币进行交易时产生的汇兑损益。在本组织以瑞郎以外的货币收到根据《专利合作条约》提交的国际申请费和</w:t>
      </w:r>
      <w:r w:rsidR="00507F46" w:rsidRPr="00DA4636">
        <w:rPr>
          <w:rFonts w:eastAsia="SimSun" w:hint="eastAsia"/>
          <w:sz w:val="21"/>
        </w:rPr>
        <w:t>手续</w:t>
      </w:r>
      <w:r w:rsidRPr="00DA4636">
        <w:rPr>
          <w:rFonts w:eastAsia="SimSun" w:hint="eastAsia"/>
          <w:sz w:val="21"/>
        </w:rPr>
        <w:t>费时，以及在根据《专利合作条约》对国际检索单位</w:t>
      </w:r>
      <w:r w:rsidR="00F453AC" w:rsidRPr="00DA4636">
        <w:rPr>
          <w:rFonts w:eastAsia="SimSun" w:hint="eastAsia"/>
          <w:sz w:val="21"/>
        </w:rPr>
        <w:t>（</w:t>
      </w:r>
      <w:r w:rsidRPr="00DA4636">
        <w:rPr>
          <w:rFonts w:ascii="Arial" w:hAnsi="Arial"/>
          <w:sz w:val="21"/>
        </w:rPr>
        <w:t>ISA</w:t>
      </w:r>
      <w:r w:rsidR="00F453AC" w:rsidRPr="00DA4636">
        <w:rPr>
          <w:rFonts w:eastAsia="SimSun" w:hint="eastAsia"/>
          <w:sz w:val="21"/>
        </w:rPr>
        <w:t>）</w:t>
      </w:r>
      <w:r w:rsidRPr="00DA4636">
        <w:rPr>
          <w:rFonts w:eastAsia="SimSun" w:hint="eastAsia"/>
          <w:sz w:val="21"/>
        </w:rPr>
        <w:t>做出支付</w:t>
      </w:r>
      <w:r w:rsidR="00F453AC" w:rsidRPr="00DA4636">
        <w:rPr>
          <w:rFonts w:eastAsia="SimSun" w:hint="eastAsia"/>
          <w:sz w:val="21"/>
        </w:rPr>
        <w:t>（</w:t>
      </w:r>
      <w:r w:rsidRPr="00DA4636">
        <w:rPr>
          <w:rFonts w:eastAsia="SimSun" w:hint="eastAsia"/>
          <w:sz w:val="21"/>
        </w:rPr>
        <w:t>此种支付以国际检索单位的货币估价，但是由</w:t>
      </w:r>
      <w:r w:rsidRPr="00DA4636">
        <w:rPr>
          <w:rFonts w:ascii="Arial" w:hAnsi="Arial"/>
          <w:sz w:val="21"/>
        </w:rPr>
        <w:t>WIPO</w:t>
      </w:r>
      <w:r w:rsidRPr="00DA4636">
        <w:rPr>
          <w:rFonts w:eastAsia="SimSun" w:hint="eastAsia"/>
          <w:sz w:val="21"/>
        </w:rPr>
        <w:t>以瑞郎或国家</w:t>
      </w:r>
      <w:proofErr w:type="gramStart"/>
      <w:r w:rsidRPr="00DA4636">
        <w:rPr>
          <w:rFonts w:eastAsia="SimSun" w:hint="eastAsia"/>
          <w:sz w:val="21"/>
        </w:rPr>
        <w:t>接收局</w:t>
      </w:r>
      <w:proofErr w:type="gramEnd"/>
      <w:r w:rsidRPr="00DA4636">
        <w:rPr>
          <w:rFonts w:eastAsia="SimSun" w:hint="eastAsia"/>
          <w:sz w:val="21"/>
        </w:rPr>
        <w:t>以当地货币收取</w:t>
      </w:r>
      <w:r w:rsidR="00F453AC" w:rsidRPr="00DA4636">
        <w:rPr>
          <w:rFonts w:eastAsia="SimSun" w:hint="eastAsia"/>
          <w:sz w:val="21"/>
        </w:rPr>
        <w:t>）</w:t>
      </w:r>
      <w:r w:rsidRPr="00DA4636">
        <w:rPr>
          <w:rFonts w:eastAsia="SimSun" w:hint="eastAsia"/>
          <w:sz w:val="21"/>
        </w:rPr>
        <w:t>时，产生汇兑损益。此外，涉及以报告日有效的瑞郎汇率重新估价的银行账目和其他货币性资产和负债的未实现</w:t>
      </w:r>
      <w:r w:rsidRPr="00DA4636">
        <w:rPr>
          <w:rFonts w:ascii="Arial" w:hAnsi="Arial" w:hint="eastAsia"/>
          <w:sz w:val="21"/>
        </w:rPr>
        <w:t>汇兑</w:t>
      </w:r>
      <w:r w:rsidRPr="00DA4636">
        <w:rPr>
          <w:rFonts w:eastAsia="SimSun" w:hint="eastAsia"/>
          <w:sz w:val="21"/>
        </w:rPr>
        <w:t>损益，也在财务报表中得到确认。在财务执行情况表中，</w:t>
      </w:r>
      <w:r w:rsidRPr="00DA4636">
        <w:rPr>
          <w:rFonts w:ascii="Arial" w:hAnsi="Arial"/>
          <w:sz w:val="21"/>
        </w:rPr>
        <w:t>90</w:t>
      </w:r>
      <w:proofErr w:type="gramStart"/>
      <w:r w:rsidRPr="00DA4636">
        <w:rPr>
          <w:rFonts w:eastAsia="SimSun" w:hint="eastAsia"/>
          <w:sz w:val="21"/>
        </w:rPr>
        <w:t>万瑞</w:t>
      </w:r>
      <w:proofErr w:type="gramEnd"/>
      <w:r w:rsidRPr="00DA4636">
        <w:rPr>
          <w:rFonts w:eastAsia="SimSun" w:hint="eastAsia"/>
          <w:sz w:val="21"/>
        </w:rPr>
        <w:t>郎的全部汇兑损益影响净额计为收入的一部分，主要计入</w:t>
      </w:r>
      <w:r w:rsidRPr="00DA4636">
        <w:rPr>
          <w:rFonts w:ascii="Arial" w:hAnsi="Arial"/>
          <w:sz w:val="21"/>
        </w:rPr>
        <w:t>PCT</w:t>
      </w:r>
      <w:r w:rsidRPr="00DA4636">
        <w:rPr>
          <w:rFonts w:eastAsia="SimSun" w:hint="eastAsia"/>
          <w:sz w:val="21"/>
        </w:rPr>
        <w:t>体系</w:t>
      </w:r>
      <w:proofErr w:type="gramStart"/>
      <w:r w:rsidRPr="00DA4636">
        <w:rPr>
          <w:rFonts w:eastAsia="SimSun" w:hint="eastAsia"/>
          <w:sz w:val="21"/>
        </w:rPr>
        <w:t>规</w:t>
      </w:r>
      <w:proofErr w:type="gramEnd"/>
      <w:r w:rsidRPr="00DA4636">
        <w:rPr>
          <w:rFonts w:eastAsia="SimSun" w:hint="eastAsia"/>
          <w:sz w:val="21"/>
        </w:rPr>
        <w:t>费</w:t>
      </w:r>
      <w:r w:rsidR="00507F46" w:rsidRPr="00DA4636">
        <w:rPr>
          <w:rFonts w:eastAsia="SimSun" w:hint="eastAsia"/>
          <w:sz w:val="21"/>
        </w:rPr>
        <w:t>项</w:t>
      </w:r>
      <w:r w:rsidRPr="00DA4636">
        <w:rPr>
          <w:rFonts w:eastAsia="SimSun" w:hint="eastAsia"/>
          <w:sz w:val="21"/>
        </w:rPr>
        <w:t>。</w:t>
      </w:r>
    </w:p>
    <w:p w:rsidR="007D62CB" w:rsidRDefault="00C14A2F" w:rsidP="007D62CB">
      <w:pPr>
        <w:pStyle w:val="STYLETITRENOTES"/>
        <w:keepNext/>
        <w:overflowPunct w:val="0"/>
        <w:spacing w:beforeLines="100" w:before="240" w:afterLines="100" w:after="240" w:line="340" w:lineRule="atLeast"/>
        <w:rPr>
          <w:rFonts w:ascii="Arial" w:eastAsia="SimHei" w:hAnsi="Arial"/>
          <w:b w:val="0"/>
          <w:sz w:val="21"/>
        </w:rPr>
      </w:pPr>
      <w:r w:rsidRPr="00F453AC">
        <w:rPr>
          <w:rFonts w:ascii="Arial" w:eastAsia="SimHei" w:hAnsi="Arial"/>
          <w:b w:val="0"/>
          <w:sz w:val="21"/>
        </w:rPr>
        <w:t>附注</w:t>
      </w:r>
      <w:r w:rsidRPr="00F453AC">
        <w:rPr>
          <w:rFonts w:ascii="Arial" w:eastAsia="SimHei" w:hAnsi="Arial"/>
          <w:b w:val="0"/>
          <w:sz w:val="21"/>
        </w:rPr>
        <w:t>27</w:t>
      </w:r>
      <w:r w:rsidRPr="00F453AC">
        <w:rPr>
          <w:rFonts w:ascii="Arial" w:eastAsia="SimHei" w:hAnsi="Arial"/>
          <w:b w:val="0"/>
          <w:sz w:val="21"/>
        </w:rPr>
        <w:t>：</w:t>
      </w:r>
      <w:r w:rsidRPr="00F453AC">
        <w:rPr>
          <w:rFonts w:ascii="Arial" w:eastAsia="SimHei" w:hAnsi="Arial"/>
          <w:b w:val="0"/>
          <w:sz w:val="21"/>
        </w:rPr>
        <w:tab/>
      </w:r>
      <w:r w:rsidRPr="00F453AC">
        <w:rPr>
          <w:rFonts w:ascii="Arial" w:eastAsia="SimHei" w:hAnsi="Arial"/>
          <w:b w:val="0"/>
          <w:sz w:val="21"/>
        </w:rPr>
        <w:t>报告日之后的活动</w:t>
      </w:r>
    </w:p>
    <w:p w:rsidR="007D62CB" w:rsidRDefault="00C14A2F" w:rsidP="003374D7">
      <w:pPr>
        <w:pStyle w:val="Style3"/>
        <w:spacing w:afterLines="50" w:line="340" w:lineRule="atLeast"/>
        <w:rPr>
          <w:rFonts w:ascii="Arial" w:hAnsi="Arial"/>
          <w:sz w:val="21"/>
        </w:rPr>
      </w:pPr>
      <w:r w:rsidRPr="003F5882">
        <w:rPr>
          <w:rFonts w:ascii="Arial" w:hAnsi="Arial"/>
          <w:sz w:val="21"/>
        </w:rPr>
        <w:t>WIPO</w:t>
      </w:r>
      <w:r w:rsidRPr="003F5882">
        <w:rPr>
          <w:rFonts w:ascii="Arial" w:hAnsi="Arial"/>
          <w:sz w:val="21"/>
        </w:rPr>
        <w:t>的报告日是</w:t>
      </w:r>
      <w:r w:rsidRPr="003F5882">
        <w:rPr>
          <w:rFonts w:ascii="Arial" w:hAnsi="Arial"/>
          <w:sz w:val="21"/>
        </w:rPr>
        <w:t>2014</w:t>
      </w:r>
      <w:r w:rsidRPr="003F5882">
        <w:rPr>
          <w:rFonts w:ascii="Arial" w:hAnsi="Arial"/>
          <w:sz w:val="21"/>
        </w:rPr>
        <w:t>年</w:t>
      </w:r>
      <w:r w:rsidRPr="003F5882">
        <w:rPr>
          <w:rFonts w:ascii="Arial" w:hAnsi="Arial"/>
          <w:sz w:val="21"/>
        </w:rPr>
        <w:t>12</w:t>
      </w:r>
      <w:r w:rsidRPr="003F5882">
        <w:rPr>
          <w:rFonts w:ascii="Arial" w:hAnsi="Arial"/>
          <w:sz w:val="21"/>
        </w:rPr>
        <w:t>月</w:t>
      </w:r>
      <w:r w:rsidRPr="003F5882">
        <w:rPr>
          <w:rFonts w:ascii="Arial" w:hAnsi="Arial"/>
          <w:sz w:val="21"/>
        </w:rPr>
        <w:t>31</w:t>
      </w:r>
      <w:r w:rsidRPr="003F5882">
        <w:rPr>
          <w:rFonts w:ascii="Arial" w:hAnsi="Arial"/>
          <w:sz w:val="21"/>
        </w:rPr>
        <w:t>日，其财务报表是</w:t>
      </w:r>
      <w:r w:rsidRPr="003F5882">
        <w:rPr>
          <w:rFonts w:ascii="Arial" w:hAnsi="Arial"/>
          <w:sz w:val="21"/>
        </w:rPr>
        <w:t>2015</w:t>
      </w:r>
      <w:r w:rsidRPr="003F5882">
        <w:rPr>
          <w:rFonts w:ascii="Arial" w:hAnsi="Arial"/>
          <w:sz w:val="21"/>
        </w:rPr>
        <w:t>年</w:t>
      </w:r>
      <w:r w:rsidRPr="003F5882">
        <w:rPr>
          <w:rFonts w:ascii="Arial" w:hAnsi="Arial"/>
          <w:sz w:val="21"/>
        </w:rPr>
        <w:t>5</w:t>
      </w:r>
      <w:r w:rsidRPr="003F5882">
        <w:rPr>
          <w:rFonts w:ascii="Arial" w:hAnsi="Arial"/>
          <w:sz w:val="21"/>
        </w:rPr>
        <w:t>月</w:t>
      </w:r>
      <w:r w:rsidRPr="003F5882">
        <w:rPr>
          <w:rFonts w:ascii="Arial" w:hAnsi="Arial"/>
          <w:sz w:val="21"/>
        </w:rPr>
        <w:t>1</w:t>
      </w:r>
      <w:r w:rsidRPr="003F5882">
        <w:rPr>
          <w:rFonts w:ascii="Arial" w:hAnsi="Arial"/>
          <w:sz w:val="21"/>
        </w:rPr>
        <w:t>日授权发布。</w:t>
      </w:r>
    </w:p>
    <w:p w:rsidR="007D62CB" w:rsidRDefault="00C14A2F" w:rsidP="003374D7">
      <w:pPr>
        <w:pStyle w:val="Style3"/>
        <w:spacing w:afterLines="50" w:line="340" w:lineRule="atLeast"/>
        <w:rPr>
          <w:rFonts w:ascii="Arial" w:hAnsi="Arial"/>
          <w:sz w:val="21"/>
          <w:szCs w:val="22"/>
        </w:rPr>
      </w:pPr>
      <w:r w:rsidRPr="003F5882">
        <w:rPr>
          <w:rFonts w:ascii="Arial" w:hAnsi="Arial"/>
          <w:sz w:val="21"/>
        </w:rPr>
        <w:t>2015</w:t>
      </w:r>
      <w:r w:rsidRPr="003F5882">
        <w:rPr>
          <w:rFonts w:ascii="Arial" w:hAnsi="Arial"/>
          <w:sz w:val="21"/>
        </w:rPr>
        <w:t>年</w:t>
      </w:r>
      <w:r w:rsidRPr="003F5882">
        <w:rPr>
          <w:rFonts w:ascii="Arial" w:hAnsi="Arial"/>
          <w:sz w:val="21"/>
        </w:rPr>
        <w:t>1</w:t>
      </w:r>
      <w:r w:rsidRPr="003F5882">
        <w:rPr>
          <w:rFonts w:ascii="Arial" w:hAnsi="Arial"/>
          <w:sz w:val="21"/>
        </w:rPr>
        <w:t>月</w:t>
      </w:r>
      <w:r w:rsidRPr="003F5882">
        <w:rPr>
          <w:rFonts w:ascii="Arial" w:hAnsi="Arial"/>
          <w:sz w:val="21"/>
        </w:rPr>
        <w:t>15</w:t>
      </w:r>
      <w:r w:rsidRPr="003F5882">
        <w:rPr>
          <w:rFonts w:ascii="Arial" w:hAnsi="Arial"/>
          <w:sz w:val="21"/>
        </w:rPr>
        <w:t>日</w:t>
      </w:r>
      <w:r w:rsidR="00F2666B" w:rsidRPr="003F5882">
        <w:rPr>
          <w:rFonts w:ascii="Arial" w:hAnsi="Arial" w:hint="eastAsia"/>
          <w:sz w:val="21"/>
        </w:rPr>
        <w:t>，</w:t>
      </w:r>
      <w:r w:rsidRPr="003F5882">
        <w:rPr>
          <w:rFonts w:ascii="Arial" w:hAnsi="Arial"/>
          <w:sz w:val="21"/>
        </w:rPr>
        <w:t>瑞士国家银行</w:t>
      </w:r>
      <w:r w:rsidR="00F453AC" w:rsidRPr="003F5882">
        <w:rPr>
          <w:rFonts w:ascii="Arial" w:hAnsi="Arial"/>
          <w:sz w:val="21"/>
        </w:rPr>
        <w:t>（</w:t>
      </w:r>
      <w:r w:rsidRPr="003F5882">
        <w:rPr>
          <w:rFonts w:ascii="Arial" w:hAnsi="Arial"/>
          <w:sz w:val="21"/>
        </w:rPr>
        <w:t>SNB</w:t>
      </w:r>
      <w:r w:rsidR="00F453AC" w:rsidRPr="003F5882">
        <w:rPr>
          <w:rFonts w:ascii="Arial" w:hAnsi="Arial"/>
          <w:sz w:val="21"/>
        </w:rPr>
        <w:t>）</w:t>
      </w:r>
      <w:r w:rsidRPr="003F5882">
        <w:rPr>
          <w:rFonts w:ascii="Arial" w:hAnsi="Arial"/>
          <w:sz w:val="21"/>
        </w:rPr>
        <w:t>宣布中止保持欧元兑瑞郎的最低汇率为</w:t>
      </w:r>
      <w:r w:rsidRPr="003F5882">
        <w:rPr>
          <w:rFonts w:ascii="Arial" w:hAnsi="Arial"/>
          <w:sz w:val="21"/>
        </w:rPr>
        <w:t>1</w:t>
      </w:r>
      <w:r w:rsidRPr="003F5882">
        <w:rPr>
          <w:rFonts w:ascii="Arial" w:hAnsi="Arial"/>
          <w:sz w:val="21"/>
        </w:rPr>
        <w:t>欧元兑</w:t>
      </w:r>
      <w:r w:rsidRPr="003F5882">
        <w:rPr>
          <w:rFonts w:ascii="Arial" w:hAnsi="Arial"/>
          <w:sz w:val="21"/>
        </w:rPr>
        <w:t>1.2</w:t>
      </w:r>
      <w:r w:rsidRPr="003F5882">
        <w:rPr>
          <w:rFonts w:ascii="Arial" w:hAnsi="Arial"/>
          <w:sz w:val="21"/>
        </w:rPr>
        <w:t>瑞郎的政策。这项政策于</w:t>
      </w:r>
      <w:r w:rsidRPr="003F5882">
        <w:rPr>
          <w:rFonts w:ascii="Arial" w:hAnsi="Arial"/>
          <w:sz w:val="21"/>
        </w:rPr>
        <w:t>2011</w:t>
      </w:r>
      <w:r w:rsidRPr="003F5882">
        <w:rPr>
          <w:rFonts w:ascii="Arial" w:hAnsi="Arial"/>
          <w:sz w:val="21"/>
        </w:rPr>
        <w:t>年</w:t>
      </w:r>
      <w:r w:rsidRPr="003F5882">
        <w:rPr>
          <w:rFonts w:ascii="Arial" w:hAnsi="Arial"/>
          <w:sz w:val="21"/>
        </w:rPr>
        <w:t>9</w:t>
      </w:r>
      <w:r w:rsidRPr="003F5882">
        <w:rPr>
          <w:rFonts w:ascii="Arial" w:hAnsi="Arial"/>
          <w:sz w:val="21"/>
        </w:rPr>
        <w:t>月</w:t>
      </w:r>
      <w:r w:rsidRPr="003F5882">
        <w:rPr>
          <w:rFonts w:ascii="Arial" w:hAnsi="Arial"/>
          <w:sz w:val="21"/>
        </w:rPr>
        <w:t>6</w:t>
      </w:r>
      <w:r w:rsidRPr="003F5882">
        <w:rPr>
          <w:rFonts w:ascii="Arial" w:hAnsi="Arial"/>
          <w:sz w:val="21"/>
        </w:rPr>
        <w:t>日开始实施。公告发布后，瑞郎大幅升值，货币市场上</w:t>
      </w:r>
      <w:r w:rsidR="00E37ABC" w:rsidRPr="003F5882">
        <w:rPr>
          <w:rFonts w:ascii="Arial" w:hAnsi="Arial" w:hint="eastAsia"/>
          <w:sz w:val="21"/>
        </w:rPr>
        <w:t>所有</w:t>
      </w:r>
      <w:r w:rsidRPr="003F5882">
        <w:rPr>
          <w:rFonts w:ascii="Arial" w:hAnsi="Arial"/>
          <w:sz w:val="21"/>
        </w:rPr>
        <w:t>其他货币兑瑞郎平均贬值</w:t>
      </w:r>
      <w:r w:rsidRPr="003F5882">
        <w:rPr>
          <w:rFonts w:ascii="Arial" w:hAnsi="Arial"/>
          <w:sz w:val="21"/>
        </w:rPr>
        <w:t>15.0%</w:t>
      </w:r>
      <w:r w:rsidRPr="003F5882">
        <w:rPr>
          <w:rFonts w:ascii="Arial" w:hAnsi="Arial"/>
          <w:sz w:val="21"/>
        </w:rPr>
        <w:t>。</w:t>
      </w:r>
      <w:r w:rsidRPr="003F5882">
        <w:rPr>
          <w:rFonts w:ascii="Arial" w:hAnsi="Arial"/>
          <w:sz w:val="21"/>
        </w:rPr>
        <w:t>2015</w:t>
      </w:r>
      <w:r w:rsidRPr="003F5882">
        <w:rPr>
          <w:rFonts w:ascii="Arial" w:hAnsi="Arial"/>
          <w:sz w:val="21"/>
        </w:rPr>
        <w:t>年</w:t>
      </w:r>
      <w:r w:rsidRPr="003F5882">
        <w:rPr>
          <w:rFonts w:ascii="Arial" w:hAnsi="Arial"/>
          <w:sz w:val="21"/>
        </w:rPr>
        <w:t>1</w:t>
      </w:r>
      <w:r w:rsidRPr="003F5882">
        <w:rPr>
          <w:rFonts w:ascii="Arial" w:hAnsi="Arial"/>
          <w:sz w:val="21"/>
        </w:rPr>
        <w:t>月</w:t>
      </w:r>
      <w:r w:rsidRPr="003F5882">
        <w:rPr>
          <w:rFonts w:ascii="Arial" w:hAnsi="Arial"/>
          <w:sz w:val="21"/>
        </w:rPr>
        <w:t>15</w:t>
      </w:r>
      <w:r w:rsidRPr="003F5882">
        <w:rPr>
          <w:rFonts w:ascii="Arial" w:hAnsi="Arial"/>
          <w:sz w:val="21"/>
        </w:rPr>
        <w:t>日起生效的联合国业务汇率</w:t>
      </w:r>
      <w:r w:rsidR="00F453AC" w:rsidRPr="003F5882">
        <w:rPr>
          <w:rFonts w:ascii="Arial" w:hAnsi="Arial"/>
          <w:sz w:val="21"/>
        </w:rPr>
        <w:t>（</w:t>
      </w:r>
      <w:r w:rsidRPr="003F5882">
        <w:rPr>
          <w:rFonts w:ascii="Arial" w:hAnsi="Arial"/>
          <w:sz w:val="21"/>
        </w:rPr>
        <w:t>UNORE</w:t>
      </w:r>
      <w:r w:rsidR="00F453AC" w:rsidRPr="003F5882">
        <w:rPr>
          <w:rFonts w:ascii="Arial" w:hAnsi="Arial"/>
          <w:sz w:val="21"/>
        </w:rPr>
        <w:t>）</w:t>
      </w:r>
      <w:r w:rsidRPr="003F5882">
        <w:rPr>
          <w:rFonts w:ascii="Arial" w:hAnsi="Arial"/>
          <w:sz w:val="21"/>
        </w:rPr>
        <w:t>已经在两天前公布，因此</w:t>
      </w:r>
      <w:r w:rsidR="00E37ABC" w:rsidRPr="003F5882">
        <w:rPr>
          <w:rFonts w:ascii="Arial" w:hAnsi="Arial" w:hint="eastAsia"/>
          <w:sz w:val="21"/>
        </w:rPr>
        <w:t>没有将</w:t>
      </w:r>
      <w:r w:rsidRPr="003F5882">
        <w:rPr>
          <w:rFonts w:ascii="Arial" w:hAnsi="Arial"/>
          <w:sz w:val="21"/>
        </w:rPr>
        <w:t>SNB</w:t>
      </w:r>
      <w:r w:rsidRPr="003F5882">
        <w:rPr>
          <w:rFonts w:ascii="Arial" w:hAnsi="Arial"/>
          <w:sz w:val="21"/>
        </w:rPr>
        <w:t>公告的影响考虑在内。但是，随后在</w:t>
      </w:r>
      <w:r w:rsidRPr="003F5882">
        <w:rPr>
          <w:rFonts w:ascii="Arial" w:hAnsi="Arial"/>
          <w:sz w:val="21"/>
        </w:rPr>
        <w:t>2015</w:t>
      </w:r>
      <w:r w:rsidRPr="003F5882">
        <w:rPr>
          <w:rFonts w:ascii="Arial" w:hAnsi="Arial"/>
          <w:sz w:val="21"/>
        </w:rPr>
        <w:t>年</w:t>
      </w:r>
      <w:r w:rsidRPr="003F5882">
        <w:rPr>
          <w:rFonts w:ascii="Arial" w:hAnsi="Arial"/>
          <w:sz w:val="21"/>
        </w:rPr>
        <w:t>1</w:t>
      </w:r>
      <w:r w:rsidRPr="003F5882">
        <w:rPr>
          <w:rFonts w:ascii="Arial" w:hAnsi="Arial"/>
          <w:sz w:val="21"/>
        </w:rPr>
        <w:t>月</w:t>
      </w:r>
      <w:r w:rsidRPr="003F5882">
        <w:rPr>
          <w:rFonts w:ascii="Arial" w:hAnsi="Arial"/>
          <w:sz w:val="21"/>
        </w:rPr>
        <w:t>29</w:t>
      </w:r>
      <w:r w:rsidRPr="003F5882">
        <w:rPr>
          <w:rFonts w:ascii="Arial" w:hAnsi="Arial"/>
          <w:sz w:val="21"/>
        </w:rPr>
        <w:t>日、</w:t>
      </w:r>
      <w:r w:rsidRPr="003F5882">
        <w:rPr>
          <w:rFonts w:ascii="Arial" w:hAnsi="Arial"/>
          <w:sz w:val="21"/>
        </w:rPr>
        <w:t>2</w:t>
      </w:r>
      <w:r w:rsidRPr="003F5882">
        <w:rPr>
          <w:rFonts w:ascii="Arial" w:hAnsi="Arial"/>
          <w:sz w:val="21"/>
        </w:rPr>
        <w:t>月</w:t>
      </w:r>
      <w:r w:rsidRPr="003F5882">
        <w:rPr>
          <w:rFonts w:ascii="Arial" w:hAnsi="Arial"/>
          <w:sz w:val="21"/>
        </w:rPr>
        <w:t>26</w:t>
      </w:r>
      <w:r w:rsidRPr="003F5882">
        <w:rPr>
          <w:rFonts w:ascii="Arial" w:hAnsi="Arial"/>
          <w:sz w:val="21"/>
        </w:rPr>
        <w:t>日和</w:t>
      </w:r>
      <w:r w:rsidRPr="003F5882">
        <w:rPr>
          <w:rFonts w:ascii="Arial" w:hAnsi="Arial"/>
          <w:sz w:val="21"/>
        </w:rPr>
        <w:t>3</w:t>
      </w:r>
      <w:r w:rsidRPr="003F5882">
        <w:rPr>
          <w:rFonts w:ascii="Arial" w:hAnsi="Arial"/>
          <w:sz w:val="21"/>
        </w:rPr>
        <w:t>月</w:t>
      </w:r>
      <w:r w:rsidRPr="003F5882">
        <w:rPr>
          <w:rFonts w:ascii="Arial" w:hAnsi="Arial"/>
          <w:sz w:val="21"/>
        </w:rPr>
        <w:t>11</w:t>
      </w:r>
      <w:r w:rsidRPr="003F5882">
        <w:rPr>
          <w:rFonts w:ascii="Arial" w:hAnsi="Arial"/>
          <w:sz w:val="21"/>
        </w:rPr>
        <w:t>日分别</w:t>
      </w:r>
      <w:r w:rsidRPr="003F5882">
        <w:rPr>
          <w:rFonts w:ascii="Arial" w:hAnsi="Arial"/>
          <w:sz w:val="21"/>
        </w:rPr>
        <w:lastRenderedPageBreak/>
        <w:t>公布了新的</w:t>
      </w:r>
      <w:r w:rsidRPr="003F5882">
        <w:rPr>
          <w:rFonts w:ascii="Arial" w:hAnsi="Arial"/>
          <w:sz w:val="21"/>
        </w:rPr>
        <w:t>UNORE</w:t>
      </w:r>
      <w:r w:rsidRPr="003F5882">
        <w:rPr>
          <w:rFonts w:ascii="Arial" w:hAnsi="Arial"/>
          <w:sz w:val="21"/>
        </w:rPr>
        <w:t>。本组织收取费用中最大的一部分</w:t>
      </w:r>
      <w:proofErr w:type="gramStart"/>
      <w:r w:rsidRPr="003F5882">
        <w:rPr>
          <w:rFonts w:ascii="Arial" w:hAnsi="Arial"/>
          <w:sz w:val="21"/>
        </w:rPr>
        <w:t>以除瑞郎</w:t>
      </w:r>
      <w:proofErr w:type="gramEnd"/>
      <w:r w:rsidRPr="003F5882">
        <w:rPr>
          <w:rFonts w:ascii="Arial" w:hAnsi="Arial"/>
          <w:sz w:val="21"/>
        </w:rPr>
        <w:t>以外的三种货币计价，下表显示采用</w:t>
      </w:r>
      <w:r w:rsidRPr="003F5882">
        <w:rPr>
          <w:rFonts w:ascii="Arial" w:hAnsi="Arial"/>
          <w:sz w:val="21"/>
        </w:rPr>
        <w:t>SNB</w:t>
      </w:r>
      <w:r w:rsidRPr="003F5882">
        <w:rPr>
          <w:rFonts w:ascii="Arial" w:hAnsi="Arial"/>
          <w:sz w:val="21"/>
        </w:rPr>
        <w:t>公告发布之前以及之后公布的</w:t>
      </w:r>
      <w:r w:rsidRPr="003F5882">
        <w:rPr>
          <w:rFonts w:ascii="Arial" w:hAnsi="Arial"/>
          <w:sz w:val="21"/>
        </w:rPr>
        <w:t>UNORE</w:t>
      </w:r>
      <w:r w:rsidRPr="003F5882">
        <w:rPr>
          <w:rFonts w:ascii="Arial" w:hAnsi="Arial"/>
          <w:sz w:val="21"/>
        </w:rPr>
        <w:t>，这些货币兑瑞郎贬值的百分比</w:t>
      </w:r>
      <w:r w:rsidR="00E37ABC" w:rsidRPr="003F5882">
        <w:rPr>
          <w:rFonts w:ascii="Arial" w:hAnsi="Arial" w:hint="eastAsia"/>
          <w:sz w:val="21"/>
        </w:rPr>
        <w:t>：</w:t>
      </w:r>
    </w:p>
    <w:p w:rsidR="00C14A2F" w:rsidRPr="003F5882" w:rsidRDefault="00FB3BEB" w:rsidP="00C14A2F">
      <w:pPr>
        <w:pStyle w:val="Styletexte"/>
        <w:spacing w:after="0"/>
        <w:jc w:val="center"/>
        <w:rPr>
          <w:rFonts w:ascii="Arial" w:hAnsi="Arial"/>
          <w:sz w:val="21"/>
          <w:szCs w:val="22"/>
        </w:rPr>
      </w:pPr>
      <w:r w:rsidRPr="00FB3BEB">
        <w:rPr>
          <w:noProof/>
          <w:lang w:val="en-US" w:bidi="ar-SA"/>
        </w:rPr>
        <w:drawing>
          <wp:inline distT="0" distB="0" distL="0" distR="0" wp14:anchorId="0D7AA79B" wp14:editId="357C9710">
            <wp:extent cx="5977255" cy="1336776"/>
            <wp:effectExtent l="0" t="0" r="4445" b="0"/>
            <wp:docPr id="184" name="图片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5977255" cy="1336776"/>
                    </a:xfrm>
                    <a:prstGeom prst="rect">
                      <a:avLst/>
                    </a:prstGeom>
                    <a:noFill/>
                    <a:ln>
                      <a:noFill/>
                    </a:ln>
                  </pic:spPr>
                </pic:pic>
              </a:graphicData>
            </a:graphic>
          </wp:inline>
        </w:drawing>
      </w:r>
    </w:p>
    <w:p w:rsidR="007D62CB" w:rsidRDefault="00C14A2F" w:rsidP="003374D7">
      <w:pPr>
        <w:pStyle w:val="Style3"/>
        <w:spacing w:afterLines="50" w:line="340" w:lineRule="atLeast"/>
        <w:rPr>
          <w:rFonts w:ascii="Arial" w:hAnsi="Arial"/>
          <w:sz w:val="21"/>
          <w:szCs w:val="22"/>
        </w:rPr>
      </w:pPr>
      <w:r w:rsidRPr="003F5882">
        <w:rPr>
          <w:rFonts w:ascii="Arial" w:hAnsi="Arial"/>
          <w:sz w:val="21"/>
        </w:rPr>
        <w:t>如</w:t>
      </w:r>
      <w:r w:rsidR="00EE35D7" w:rsidRPr="003F5882">
        <w:rPr>
          <w:rFonts w:ascii="Arial" w:hAnsi="Arial" w:hint="eastAsia"/>
          <w:sz w:val="21"/>
        </w:rPr>
        <w:t>上</w:t>
      </w:r>
      <w:r w:rsidRPr="003F5882">
        <w:rPr>
          <w:rFonts w:ascii="Arial" w:hAnsi="Arial"/>
          <w:sz w:val="21"/>
        </w:rPr>
        <w:t>表所示，在经过最初平均贬值</w:t>
      </w:r>
      <w:r w:rsidRPr="003F5882">
        <w:rPr>
          <w:rFonts w:ascii="Arial" w:hAnsi="Arial"/>
          <w:sz w:val="21"/>
        </w:rPr>
        <w:t>15.0%</w:t>
      </w:r>
      <w:r w:rsidRPr="003F5882">
        <w:rPr>
          <w:rFonts w:ascii="Arial" w:hAnsi="Arial"/>
          <w:sz w:val="21"/>
        </w:rPr>
        <w:t>后，这三种货币在接下来的两个月均有不同程度的复苏</w:t>
      </w:r>
      <w:r w:rsidRPr="003F5882">
        <w:rPr>
          <w:rFonts w:ascii="Arial" w:hAnsi="Arial"/>
          <w:sz w:val="21"/>
        </w:rPr>
        <w:t>,</w:t>
      </w:r>
      <w:r w:rsidRPr="003F5882">
        <w:rPr>
          <w:rFonts w:ascii="Arial" w:hAnsi="Arial"/>
          <w:sz w:val="21"/>
        </w:rPr>
        <w:t>但是欧元仍然停留在</w:t>
      </w:r>
      <w:r w:rsidRPr="003F5882">
        <w:rPr>
          <w:rFonts w:ascii="Arial" w:hAnsi="Arial"/>
          <w:sz w:val="21"/>
        </w:rPr>
        <w:t>SNB</w:t>
      </w:r>
      <w:r w:rsidRPr="003F5882">
        <w:rPr>
          <w:rFonts w:ascii="Arial" w:hAnsi="Arial"/>
          <w:sz w:val="21"/>
        </w:rPr>
        <w:t>公告前贬值</w:t>
      </w:r>
      <w:r w:rsidRPr="003F5882">
        <w:rPr>
          <w:rFonts w:ascii="Arial" w:hAnsi="Arial"/>
          <w:sz w:val="21"/>
        </w:rPr>
        <w:t>11.4%</w:t>
      </w:r>
      <w:r w:rsidRPr="003F5882">
        <w:rPr>
          <w:rFonts w:ascii="Arial" w:hAnsi="Arial"/>
          <w:sz w:val="21"/>
        </w:rPr>
        <w:t>的水平。尽管很难完整地估算</w:t>
      </w:r>
      <w:r w:rsidRPr="003F5882">
        <w:rPr>
          <w:rFonts w:ascii="Arial" w:hAnsi="Arial"/>
          <w:sz w:val="21"/>
        </w:rPr>
        <w:t>2015</w:t>
      </w:r>
      <w:r w:rsidRPr="003F5882">
        <w:rPr>
          <w:rFonts w:ascii="Arial" w:hAnsi="Arial"/>
          <w:sz w:val="21"/>
        </w:rPr>
        <w:t>年瑞郎升值对</w:t>
      </w:r>
      <w:r w:rsidRPr="003F5882">
        <w:rPr>
          <w:rFonts w:ascii="Arial" w:hAnsi="Arial"/>
          <w:sz w:val="21"/>
        </w:rPr>
        <w:t>WIPO</w:t>
      </w:r>
      <w:r w:rsidRPr="003F5882">
        <w:rPr>
          <w:rFonts w:ascii="Arial" w:hAnsi="Arial"/>
          <w:sz w:val="21"/>
        </w:rPr>
        <w:t>产生的财务影响，但是瑞郎升值显然至少会对</w:t>
      </w:r>
      <w:r w:rsidRPr="003F5882">
        <w:rPr>
          <w:rFonts w:ascii="Arial" w:hAnsi="Arial"/>
          <w:sz w:val="21"/>
        </w:rPr>
        <w:t>WIPO</w:t>
      </w:r>
      <w:r w:rsidRPr="003F5882">
        <w:rPr>
          <w:rFonts w:ascii="Arial" w:hAnsi="Arial"/>
          <w:sz w:val="21"/>
        </w:rPr>
        <w:t>在本年度第一个季度收取的以除瑞郎以外货币支付的</w:t>
      </w:r>
      <w:r w:rsidRPr="003F5882">
        <w:rPr>
          <w:rFonts w:ascii="Arial" w:hAnsi="Arial"/>
          <w:sz w:val="21"/>
        </w:rPr>
        <w:t>PCT</w:t>
      </w:r>
      <w:r w:rsidRPr="003F5882">
        <w:rPr>
          <w:rFonts w:ascii="Arial" w:hAnsi="Arial"/>
          <w:sz w:val="21"/>
        </w:rPr>
        <w:t>申请费用产生负面影响。由于瑞郎升值，</w:t>
      </w:r>
      <w:r w:rsidR="00EE35D7" w:rsidRPr="003F5882">
        <w:rPr>
          <w:rFonts w:ascii="Arial" w:hAnsi="Arial" w:hint="eastAsia"/>
          <w:sz w:val="21"/>
        </w:rPr>
        <w:t>针对若干货币公布了</w:t>
      </w:r>
      <w:r w:rsidRPr="003F5882">
        <w:rPr>
          <w:rFonts w:ascii="Arial" w:hAnsi="Arial"/>
          <w:sz w:val="21"/>
        </w:rPr>
        <w:t>PCT</w:t>
      </w:r>
      <w:r w:rsidRPr="003F5882">
        <w:rPr>
          <w:rFonts w:ascii="Arial" w:hAnsi="Arial"/>
          <w:sz w:val="21"/>
        </w:rPr>
        <w:t>国际申请费用和</w:t>
      </w:r>
      <w:r w:rsidR="00EE35D7" w:rsidRPr="003F5882">
        <w:rPr>
          <w:rFonts w:ascii="Arial" w:hAnsi="Arial" w:hint="eastAsia"/>
          <w:sz w:val="21"/>
        </w:rPr>
        <w:t>手续</w:t>
      </w:r>
      <w:r w:rsidRPr="003F5882">
        <w:rPr>
          <w:rFonts w:ascii="Arial" w:hAnsi="Arial"/>
          <w:sz w:val="21"/>
        </w:rPr>
        <w:t>费用的新的等值金额</w:t>
      </w:r>
      <w:r w:rsidR="00EE35D7" w:rsidRPr="003F5882">
        <w:rPr>
          <w:rFonts w:ascii="Arial" w:hAnsi="Arial" w:hint="eastAsia"/>
          <w:sz w:val="21"/>
        </w:rPr>
        <w:t>，</w:t>
      </w:r>
      <w:r w:rsidR="00EE35D7" w:rsidRPr="003F5882">
        <w:rPr>
          <w:rFonts w:ascii="Arial" w:hAnsi="Arial"/>
          <w:sz w:val="21"/>
        </w:rPr>
        <w:t>自</w:t>
      </w:r>
      <w:r w:rsidR="00EE35D7" w:rsidRPr="003F5882">
        <w:rPr>
          <w:rFonts w:ascii="Arial" w:hAnsi="Arial"/>
          <w:sz w:val="21"/>
        </w:rPr>
        <w:t>2015</w:t>
      </w:r>
      <w:r w:rsidR="00EE35D7" w:rsidRPr="003F5882">
        <w:rPr>
          <w:rFonts w:ascii="Arial" w:hAnsi="Arial"/>
          <w:sz w:val="21"/>
        </w:rPr>
        <w:t>年</w:t>
      </w:r>
      <w:r w:rsidR="00EE35D7" w:rsidRPr="003F5882">
        <w:rPr>
          <w:rFonts w:ascii="Arial" w:hAnsi="Arial"/>
          <w:sz w:val="21"/>
        </w:rPr>
        <w:t>4</w:t>
      </w:r>
      <w:r w:rsidR="00EE35D7" w:rsidRPr="003F5882">
        <w:rPr>
          <w:rFonts w:ascii="Arial" w:hAnsi="Arial"/>
          <w:sz w:val="21"/>
        </w:rPr>
        <w:t>月</w:t>
      </w:r>
      <w:r w:rsidR="00EE35D7" w:rsidRPr="003F5882">
        <w:rPr>
          <w:rFonts w:ascii="Arial" w:hAnsi="Arial"/>
          <w:sz w:val="21"/>
        </w:rPr>
        <w:t>1</w:t>
      </w:r>
      <w:r w:rsidR="00EE35D7" w:rsidRPr="003F5882">
        <w:rPr>
          <w:rFonts w:ascii="Arial" w:hAnsi="Arial"/>
          <w:sz w:val="21"/>
        </w:rPr>
        <w:t>日起</w:t>
      </w:r>
      <w:r w:rsidR="00EE35D7" w:rsidRPr="003F5882">
        <w:rPr>
          <w:rFonts w:ascii="Arial" w:hAnsi="Arial" w:hint="eastAsia"/>
          <w:sz w:val="21"/>
        </w:rPr>
        <w:t>生效</w:t>
      </w:r>
      <w:r w:rsidRPr="003F5882">
        <w:rPr>
          <w:rFonts w:ascii="Arial" w:hAnsi="Arial"/>
          <w:sz w:val="21"/>
        </w:rPr>
        <w:t>。这包括欧元，但不包括美元和日元</w:t>
      </w:r>
      <w:r w:rsidR="00EE35D7" w:rsidRPr="003F5882">
        <w:rPr>
          <w:rFonts w:ascii="Arial" w:hAnsi="Arial" w:hint="eastAsia"/>
          <w:sz w:val="21"/>
        </w:rPr>
        <w:t>，因为美元和日元的</w:t>
      </w:r>
      <w:r w:rsidRPr="003F5882">
        <w:rPr>
          <w:rFonts w:ascii="Arial" w:hAnsi="Arial"/>
          <w:sz w:val="21"/>
        </w:rPr>
        <w:t>价值相对于瑞郎而言已大部分复苏，不满足设定新等值金额的条件。根据对</w:t>
      </w:r>
      <w:r w:rsidRPr="003F5882">
        <w:rPr>
          <w:rFonts w:ascii="Arial" w:hAnsi="Arial"/>
          <w:sz w:val="21"/>
        </w:rPr>
        <w:t>2014</w:t>
      </w:r>
      <w:r w:rsidRPr="003F5882">
        <w:rPr>
          <w:rFonts w:ascii="Arial" w:hAnsi="Arial"/>
          <w:sz w:val="21"/>
        </w:rPr>
        <w:t>年和</w:t>
      </w:r>
      <w:r w:rsidRPr="003F5882">
        <w:rPr>
          <w:rFonts w:ascii="Arial" w:hAnsi="Arial"/>
          <w:sz w:val="21"/>
        </w:rPr>
        <w:t>2015</w:t>
      </w:r>
      <w:r w:rsidRPr="003F5882">
        <w:rPr>
          <w:rFonts w:ascii="Arial" w:hAnsi="Arial"/>
          <w:sz w:val="21"/>
        </w:rPr>
        <w:t>年申请的等值金额的分析以及</w:t>
      </w:r>
      <w:r w:rsidRPr="003F5882">
        <w:rPr>
          <w:rFonts w:ascii="Arial" w:hAnsi="Arial"/>
          <w:sz w:val="21"/>
        </w:rPr>
        <w:t>SNB</w:t>
      </w:r>
      <w:r w:rsidRPr="003F5882">
        <w:rPr>
          <w:rFonts w:ascii="Arial" w:hAnsi="Arial"/>
          <w:sz w:val="21"/>
        </w:rPr>
        <w:t>公告后的</w:t>
      </w:r>
      <w:r w:rsidRPr="003F5882">
        <w:rPr>
          <w:rFonts w:ascii="Arial" w:hAnsi="Arial"/>
          <w:sz w:val="21"/>
        </w:rPr>
        <w:t>UNORE</w:t>
      </w:r>
      <w:r w:rsidRPr="003F5882">
        <w:rPr>
          <w:rFonts w:ascii="Arial" w:hAnsi="Arial"/>
          <w:sz w:val="21"/>
        </w:rPr>
        <w:t>，收取</w:t>
      </w:r>
      <w:r w:rsidRPr="003F5882">
        <w:rPr>
          <w:rFonts w:ascii="Arial" w:hAnsi="Arial"/>
          <w:sz w:val="21"/>
        </w:rPr>
        <w:t>PCT</w:t>
      </w:r>
      <w:r w:rsidR="00EE35D7" w:rsidRPr="003F5882">
        <w:rPr>
          <w:rFonts w:ascii="Arial" w:hAnsi="Arial" w:hint="eastAsia"/>
          <w:sz w:val="21"/>
        </w:rPr>
        <w:t>申请的</w:t>
      </w:r>
      <w:r w:rsidRPr="003F5882">
        <w:rPr>
          <w:rFonts w:ascii="Arial" w:hAnsi="Arial"/>
          <w:sz w:val="21"/>
        </w:rPr>
        <w:t>国际申请费用时的预估汇兑损失在</w:t>
      </w:r>
      <w:r w:rsidRPr="003F5882">
        <w:rPr>
          <w:rFonts w:ascii="Arial" w:hAnsi="Arial"/>
          <w:sz w:val="21"/>
        </w:rPr>
        <w:t>200</w:t>
      </w:r>
      <w:proofErr w:type="gramStart"/>
      <w:r w:rsidRPr="003F5882">
        <w:rPr>
          <w:rFonts w:ascii="Arial" w:hAnsi="Arial"/>
          <w:sz w:val="21"/>
        </w:rPr>
        <w:t>万瑞郎至</w:t>
      </w:r>
      <w:proofErr w:type="gramEnd"/>
      <w:r w:rsidRPr="003F5882">
        <w:rPr>
          <w:rFonts w:ascii="Arial" w:hAnsi="Arial"/>
          <w:sz w:val="21"/>
        </w:rPr>
        <w:t>500</w:t>
      </w:r>
      <w:proofErr w:type="gramStart"/>
      <w:r w:rsidRPr="003F5882">
        <w:rPr>
          <w:rFonts w:ascii="Arial" w:hAnsi="Arial"/>
          <w:sz w:val="21"/>
        </w:rPr>
        <w:t>万瑞</w:t>
      </w:r>
      <w:proofErr w:type="gramEnd"/>
      <w:r w:rsidRPr="003F5882">
        <w:rPr>
          <w:rFonts w:ascii="Arial" w:hAnsi="Arial"/>
          <w:sz w:val="21"/>
        </w:rPr>
        <w:t>郎</w:t>
      </w:r>
      <w:r w:rsidR="00EE35D7" w:rsidRPr="003F5882">
        <w:rPr>
          <w:rFonts w:ascii="Arial" w:hAnsi="Arial" w:hint="eastAsia"/>
          <w:sz w:val="21"/>
        </w:rPr>
        <w:t>之间</w:t>
      </w:r>
      <w:r w:rsidR="00F453AC" w:rsidRPr="003F5882">
        <w:rPr>
          <w:rFonts w:ascii="Arial" w:hAnsi="Arial"/>
          <w:sz w:val="21"/>
        </w:rPr>
        <w:t>（</w:t>
      </w:r>
      <w:r w:rsidRPr="003F5882">
        <w:rPr>
          <w:rFonts w:ascii="Arial" w:hAnsi="Arial"/>
          <w:sz w:val="21"/>
        </w:rPr>
        <w:t>见财务报表讨论与分析第</w:t>
      </w:r>
      <w:r w:rsidR="00CA45E3" w:rsidRPr="003F5882">
        <w:rPr>
          <w:rFonts w:ascii="Arial" w:hAnsi="Arial" w:hint="eastAsia"/>
          <w:sz w:val="21"/>
        </w:rPr>
        <w:t>11</w:t>
      </w:r>
      <w:r w:rsidRPr="003F5882">
        <w:rPr>
          <w:rFonts w:ascii="Arial" w:hAnsi="Arial"/>
          <w:sz w:val="21"/>
        </w:rPr>
        <w:t>页</w:t>
      </w:r>
      <w:r w:rsidR="00F453AC" w:rsidRPr="003F5882">
        <w:rPr>
          <w:rFonts w:ascii="Arial" w:hAnsi="Arial"/>
          <w:sz w:val="21"/>
        </w:rPr>
        <w:t>）</w:t>
      </w:r>
      <w:r w:rsidRPr="003F5882">
        <w:rPr>
          <w:rFonts w:ascii="Arial" w:hAnsi="Arial"/>
          <w:sz w:val="21"/>
        </w:rPr>
        <w:t>。该估算取决于</w:t>
      </w:r>
      <w:r w:rsidRPr="003F5882">
        <w:rPr>
          <w:rFonts w:ascii="Arial" w:hAnsi="Arial"/>
          <w:sz w:val="21"/>
        </w:rPr>
        <w:t>PCT</w:t>
      </w:r>
      <w:r w:rsidRPr="003F5882">
        <w:rPr>
          <w:rFonts w:ascii="Arial" w:hAnsi="Arial"/>
          <w:sz w:val="21"/>
        </w:rPr>
        <w:t>国际申请费用的未来现金流入模式，以及</w:t>
      </w:r>
      <w:r w:rsidRPr="003F5882">
        <w:rPr>
          <w:rFonts w:ascii="Arial" w:hAnsi="Arial"/>
          <w:sz w:val="21"/>
        </w:rPr>
        <w:t>2015</w:t>
      </w:r>
      <w:r w:rsidRPr="003F5882">
        <w:rPr>
          <w:rFonts w:ascii="Arial" w:hAnsi="Arial"/>
          <w:sz w:val="21"/>
        </w:rPr>
        <w:t>年</w:t>
      </w:r>
      <w:r w:rsidRPr="003F5882">
        <w:rPr>
          <w:rFonts w:ascii="Arial" w:hAnsi="Arial"/>
          <w:sz w:val="21"/>
        </w:rPr>
        <w:t>3</w:t>
      </w:r>
      <w:r w:rsidRPr="003F5882">
        <w:rPr>
          <w:rFonts w:ascii="Arial" w:hAnsi="Arial"/>
          <w:sz w:val="21"/>
        </w:rPr>
        <w:t>月</w:t>
      </w:r>
      <w:r w:rsidRPr="003F5882">
        <w:rPr>
          <w:rFonts w:ascii="Arial" w:hAnsi="Arial"/>
          <w:sz w:val="21"/>
        </w:rPr>
        <w:t>11</w:t>
      </w:r>
      <w:r w:rsidRPr="003F5882">
        <w:rPr>
          <w:rFonts w:ascii="Arial" w:hAnsi="Arial"/>
          <w:sz w:val="21"/>
        </w:rPr>
        <w:t>日公布</w:t>
      </w:r>
      <w:r w:rsidRPr="003F5882">
        <w:rPr>
          <w:rFonts w:ascii="Arial" w:hAnsi="Arial"/>
          <w:sz w:val="21"/>
        </w:rPr>
        <w:t>UNORE</w:t>
      </w:r>
      <w:r w:rsidRPr="003F5882">
        <w:rPr>
          <w:rFonts w:ascii="Arial" w:hAnsi="Arial"/>
          <w:sz w:val="21"/>
        </w:rPr>
        <w:t>之后汇率的变化情况。</w:t>
      </w:r>
    </w:p>
    <w:p w:rsidR="007D62CB" w:rsidRDefault="00C14A2F" w:rsidP="007D62CB">
      <w:pPr>
        <w:pStyle w:val="STYLETITRENOTES"/>
        <w:keepNext/>
        <w:overflowPunct w:val="0"/>
        <w:spacing w:beforeLines="100" w:before="240" w:afterLines="100" w:after="240" w:line="340" w:lineRule="atLeast"/>
        <w:rPr>
          <w:rFonts w:ascii="Arial" w:eastAsia="SimHei" w:hAnsi="Arial"/>
          <w:b w:val="0"/>
          <w:sz w:val="21"/>
        </w:rPr>
      </w:pPr>
      <w:r w:rsidRPr="00F453AC">
        <w:rPr>
          <w:rFonts w:ascii="Arial" w:eastAsia="SimHei" w:hAnsi="Arial"/>
          <w:b w:val="0"/>
          <w:sz w:val="21"/>
        </w:rPr>
        <w:t>附注</w:t>
      </w:r>
      <w:r w:rsidRPr="00F453AC">
        <w:rPr>
          <w:rFonts w:ascii="Arial" w:eastAsia="SimHei" w:hAnsi="Arial"/>
          <w:b w:val="0"/>
          <w:sz w:val="21"/>
        </w:rPr>
        <w:t>28</w:t>
      </w:r>
      <w:r w:rsidRPr="00F453AC">
        <w:rPr>
          <w:rFonts w:ascii="Arial" w:eastAsia="SimHei" w:hAnsi="Arial"/>
          <w:b w:val="0"/>
          <w:sz w:val="21"/>
        </w:rPr>
        <w:t>：</w:t>
      </w:r>
      <w:r w:rsidRPr="00F453AC">
        <w:rPr>
          <w:rFonts w:ascii="Arial" w:eastAsia="SimHei" w:hAnsi="Arial"/>
          <w:b w:val="0"/>
          <w:sz w:val="21"/>
        </w:rPr>
        <w:tab/>
      </w:r>
      <w:r w:rsidRPr="00F453AC">
        <w:rPr>
          <w:rFonts w:ascii="Arial" w:eastAsia="SimHei" w:hAnsi="Arial"/>
          <w:b w:val="0"/>
          <w:sz w:val="21"/>
        </w:rPr>
        <w:t>分部报告</w:t>
      </w:r>
    </w:p>
    <w:p w:rsidR="007D62CB" w:rsidRDefault="00C14A2F" w:rsidP="00C14A2F">
      <w:pPr>
        <w:pStyle w:val="Styletexte"/>
        <w:spacing w:after="0"/>
        <w:rPr>
          <w:rFonts w:ascii="Arial" w:hAnsi="Arial"/>
          <w:sz w:val="21"/>
        </w:rPr>
      </w:pPr>
      <w:r w:rsidRPr="003F5882">
        <w:rPr>
          <w:rFonts w:ascii="Arial" w:hAnsi="Arial"/>
          <w:sz w:val="21"/>
        </w:rPr>
        <w:t>分部报告以代表世界知识产权组织各部分的各联盟的形式呈报。联盟由</w:t>
      </w:r>
      <w:r w:rsidRPr="003F5882">
        <w:rPr>
          <w:rFonts w:ascii="Arial" w:hAnsi="Arial"/>
          <w:sz w:val="21"/>
        </w:rPr>
        <w:t>WIPO</w:t>
      </w:r>
      <w:r w:rsidRPr="003F5882">
        <w:rPr>
          <w:rFonts w:ascii="Arial" w:hAnsi="Arial"/>
          <w:sz w:val="21"/>
        </w:rPr>
        <w:t>管辖的各种条约创立。</w:t>
      </w:r>
    </w:p>
    <w:p w:rsidR="007D62CB" w:rsidRDefault="00C14A2F" w:rsidP="003374D7">
      <w:pPr>
        <w:pStyle w:val="Style3"/>
        <w:spacing w:afterLines="50" w:line="340" w:lineRule="atLeast"/>
        <w:rPr>
          <w:rFonts w:ascii="Arial" w:hAnsi="Arial"/>
          <w:sz w:val="21"/>
        </w:rPr>
      </w:pPr>
      <w:r w:rsidRPr="003F5882">
        <w:rPr>
          <w:rFonts w:ascii="Arial" w:hAnsi="Arial"/>
          <w:sz w:val="21"/>
        </w:rPr>
        <w:t>为呈报目的，合并了</w:t>
      </w:r>
      <w:r w:rsidRPr="003F5882">
        <w:rPr>
          <w:rFonts w:ascii="Arial" w:hAnsi="Arial"/>
          <w:sz w:val="21"/>
        </w:rPr>
        <w:t>WIPO</w:t>
      </w:r>
      <w:r w:rsidRPr="003F5882">
        <w:rPr>
          <w:rFonts w:ascii="Arial" w:hAnsi="Arial"/>
          <w:sz w:val="21"/>
        </w:rPr>
        <w:t>的各个会费供资联盟。这些联盟包括巴黎、伯尔尼、洛迦诺、尼斯、越南和</w:t>
      </w:r>
      <w:r w:rsidRPr="003F5882">
        <w:rPr>
          <w:rFonts w:ascii="Arial" w:hAnsi="Arial"/>
          <w:sz w:val="21"/>
        </w:rPr>
        <w:t>IPC</w:t>
      </w:r>
      <w:r w:rsidRPr="003F5882">
        <w:rPr>
          <w:rFonts w:ascii="Arial" w:hAnsi="Arial"/>
          <w:sz w:val="21"/>
        </w:rPr>
        <w:t>联盟以及由</w:t>
      </w:r>
      <w:r w:rsidR="00E808BC" w:rsidRPr="003F5882">
        <w:rPr>
          <w:rFonts w:ascii="Arial" w:hAnsi="Arial" w:hint="eastAsia"/>
          <w:sz w:val="21"/>
        </w:rPr>
        <w:t>《</w:t>
      </w:r>
      <w:r w:rsidRPr="003F5882">
        <w:rPr>
          <w:rFonts w:ascii="Arial" w:hAnsi="Arial"/>
          <w:sz w:val="21"/>
        </w:rPr>
        <w:t>WIPO</w:t>
      </w:r>
      <w:r w:rsidRPr="003F5882">
        <w:rPr>
          <w:rFonts w:ascii="Arial" w:hAnsi="Arial"/>
          <w:sz w:val="21"/>
        </w:rPr>
        <w:t>公约</w:t>
      </w:r>
      <w:r w:rsidR="00E808BC" w:rsidRPr="003F5882">
        <w:rPr>
          <w:rFonts w:ascii="Arial" w:hAnsi="Arial" w:hint="eastAsia"/>
          <w:sz w:val="21"/>
        </w:rPr>
        <w:t>》</w:t>
      </w:r>
      <w:r w:rsidRPr="003F5882">
        <w:rPr>
          <w:rFonts w:ascii="Arial" w:hAnsi="Arial"/>
          <w:sz w:val="21"/>
        </w:rPr>
        <w:t>规定的职能。《专利合作条约》</w:t>
      </w:r>
      <w:r w:rsidR="00F453AC" w:rsidRPr="003F5882">
        <w:rPr>
          <w:rFonts w:ascii="Arial" w:hAnsi="Arial"/>
          <w:sz w:val="21"/>
        </w:rPr>
        <w:t>（</w:t>
      </w:r>
      <w:r w:rsidRPr="003374D7">
        <w:rPr>
          <w:rFonts w:ascii="Arial" w:hAnsi="Arial" w:cs="Times New Roman"/>
          <w:sz w:val="21"/>
        </w:rPr>
        <w:t>PCT</w:t>
      </w:r>
      <w:r w:rsidR="00F453AC" w:rsidRPr="003F5882">
        <w:rPr>
          <w:rFonts w:ascii="Arial" w:hAnsi="Arial"/>
          <w:sz w:val="21"/>
        </w:rPr>
        <w:t>）</w:t>
      </w:r>
      <w:r w:rsidRPr="003F5882">
        <w:rPr>
          <w:rFonts w:ascii="Arial" w:hAnsi="Arial"/>
          <w:sz w:val="21"/>
        </w:rPr>
        <w:t>联盟、马德里联盟</w:t>
      </w:r>
      <w:r w:rsidR="00F453AC" w:rsidRPr="003F5882">
        <w:rPr>
          <w:rFonts w:ascii="Arial" w:hAnsi="Arial"/>
          <w:sz w:val="21"/>
        </w:rPr>
        <w:t>（</w:t>
      </w:r>
      <w:r w:rsidRPr="003F5882">
        <w:rPr>
          <w:rFonts w:ascii="Arial" w:hAnsi="Arial"/>
          <w:sz w:val="21"/>
        </w:rPr>
        <w:t>商标</w:t>
      </w:r>
      <w:r w:rsidR="00F453AC" w:rsidRPr="003F5882">
        <w:rPr>
          <w:rFonts w:ascii="Arial" w:hAnsi="Arial"/>
          <w:sz w:val="21"/>
        </w:rPr>
        <w:t>）</w:t>
      </w:r>
      <w:r w:rsidRPr="003F5882">
        <w:rPr>
          <w:rFonts w:ascii="Arial" w:hAnsi="Arial"/>
          <w:sz w:val="21"/>
        </w:rPr>
        <w:t>、海牙联盟</w:t>
      </w:r>
      <w:r w:rsidR="00F453AC" w:rsidRPr="003F5882">
        <w:rPr>
          <w:rFonts w:ascii="Arial" w:hAnsi="Arial"/>
          <w:sz w:val="21"/>
        </w:rPr>
        <w:t>（</w:t>
      </w:r>
      <w:r w:rsidRPr="003F5882">
        <w:rPr>
          <w:rFonts w:ascii="Arial" w:hAnsi="Arial"/>
          <w:sz w:val="21"/>
        </w:rPr>
        <w:t>工业</w:t>
      </w:r>
      <w:r w:rsidR="00E808BC" w:rsidRPr="003F5882">
        <w:rPr>
          <w:rFonts w:ascii="Arial" w:hAnsi="Arial" w:hint="eastAsia"/>
          <w:sz w:val="21"/>
        </w:rPr>
        <w:t>品</w:t>
      </w:r>
      <w:r w:rsidRPr="003F5882">
        <w:rPr>
          <w:rFonts w:ascii="Arial" w:hAnsi="Arial"/>
          <w:sz w:val="21"/>
        </w:rPr>
        <w:t>外观设计</w:t>
      </w:r>
      <w:r w:rsidR="00F453AC" w:rsidRPr="003F5882">
        <w:rPr>
          <w:rFonts w:ascii="Arial" w:hAnsi="Arial"/>
          <w:sz w:val="21"/>
        </w:rPr>
        <w:t>）</w:t>
      </w:r>
      <w:r w:rsidRPr="003F5882">
        <w:rPr>
          <w:rFonts w:ascii="Arial" w:hAnsi="Arial"/>
          <w:sz w:val="21"/>
        </w:rPr>
        <w:t>和里斯本联盟</w:t>
      </w:r>
      <w:r w:rsidR="00F453AC" w:rsidRPr="003F5882">
        <w:rPr>
          <w:rFonts w:ascii="Arial" w:hAnsi="Arial"/>
          <w:sz w:val="21"/>
        </w:rPr>
        <w:t>（</w:t>
      </w:r>
      <w:r w:rsidRPr="003F5882">
        <w:rPr>
          <w:rFonts w:ascii="Arial" w:hAnsi="Arial"/>
          <w:sz w:val="21"/>
        </w:rPr>
        <w:t>原产地名称</w:t>
      </w:r>
      <w:r w:rsidR="00F453AC" w:rsidRPr="003F5882">
        <w:rPr>
          <w:rFonts w:ascii="Arial" w:hAnsi="Arial"/>
          <w:sz w:val="21"/>
        </w:rPr>
        <w:t>）</w:t>
      </w:r>
      <w:r w:rsidRPr="003F5882">
        <w:rPr>
          <w:rFonts w:ascii="Arial" w:hAnsi="Arial"/>
          <w:sz w:val="21"/>
        </w:rPr>
        <w:t>均由大会管理，大会一年召开一次</w:t>
      </w:r>
      <w:r w:rsidR="00E808BC" w:rsidRPr="003F5882">
        <w:rPr>
          <w:rFonts w:ascii="Arial" w:hAnsi="Arial" w:hint="eastAsia"/>
          <w:sz w:val="21"/>
        </w:rPr>
        <w:t>会议</w:t>
      </w:r>
      <w:r w:rsidRPr="003F5882">
        <w:rPr>
          <w:rFonts w:ascii="Arial" w:hAnsi="Arial"/>
          <w:sz w:val="21"/>
        </w:rPr>
        <w:t>，旨在通过预算，并根据有关条约采取此类其他恰当行动。</w:t>
      </w:r>
    </w:p>
    <w:p w:rsidR="007D62CB" w:rsidRDefault="00C14A2F" w:rsidP="003374D7">
      <w:pPr>
        <w:pStyle w:val="Style3"/>
        <w:spacing w:afterLines="50" w:line="340" w:lineRule="atLeast"/>
        <w:rPr>
          <w:rFonts w:ascii="Arial" w:hAnsi="Arial"/>
          <w:sz w:val="21"/>
        </w:rPr>
      </w:pPr>
      <w:r w:rsidRPr="003F5882">
        <w:rPr>
          <w:rFonts w:ascii="Arial" w:hAnsi="Arial"/>
          <w:sz w:val="21"/>
        </w:rPr>
        <w:t>除作为净资产的储备金以外，</w:t>
      </w:r>
      <w:r w:rsidRPr="003F5882">
        <w:rPr>
          <w:rFonts w:ascii="Arial" w:hAnsi="Arial"/>
          <w:sz w:val="21"/>
        </w:rPr>
        <w:t>WIPO</w:t>
      </w:r>
      <w:r w:rsidRPr="003F5882">
        <w:rPr>
          <w:rFonts w:ascii="Arial" w:hAnsi="Arial"/>
          <w:sz w:val="21"/>
        </w:rPr>
        <w:t>资产与负债归整个组织所有，由整个组织负责，而不是单一联盟或部门的资产或负债。资产与负债一般支持为多个联盟</w:t>
      </w:r>
      <w:r w:rsidR="00F453AC" w:rsidRPr="003F5882">
        <w:rPr>
          <w:rFonts w:ascii="Arial" w:hAnsi="Arial"/>
          <w:sz w:val="21"/>
        </w:rPr>
        <w:t>（</w:t>
      </w:r>
      <w:r w:rsidRPr="003F5882">
        <w:rPr>
          <w:rFonts w:ascii="Arial" w:hAnsi="Arial"/>
          <w:sz w:val="21"/>
        </w:rPr>
        <w:t>部门</w:t>
      </w:r>
      <w:r w:rsidR="00F453AC" w:rsidRPr="003F5882">
        <w:rPr>
          <w:rFonts w:ascii="Arial" w:hAnsi="Arial"/>
          <w:sz w:val="21"/>
        </w:rPr>
        <w:t>）</w:t>
      </w:r>
      <w:r w:rsidRPr="003F5882">
        <w:rPr>
          <w:rFonts w:ascii="Arial" w:hAnsi="Arial"/>
          <w:sz w:val="21"/>
        </w:rPr>
        <w:t>提供的种类繁多的服务活动。唯一的例外是在</w:t>
      </w:r>
      <w:r w:rsidRPr="003F5882">
        <w:rPr>
          <w:rFonts w:ascii="Arial" w:hAnsi="Arial"/>
          <w:sz w:val="21"/>
        </w:rPr>
        <w:t>Meyrin</w:t>
      </w:r>
      <w:r w:rsidRPr="003F5882">
        <w:rPr>
          <w:rFonts w:ascii="Arial" w:hAnsi="Arial"/>
          <w:sz w:val="21"/>
        </w:rPr>
        <w:t>的房地产投资归马德里联盟所有。因此，单项资产与负债不会反映在单一部门或联盟的信息披露中。仅有包括周转基金和储备金在内的净资产</w:t>
      </w:r>
      <w:r w:rsidRPr="003F5882">
        <w:rPr>
          <w:rFonts w:ascii="Arial" w:hAnsi="Arial"/>
          <w:sz w:val="21"/>
        </w:rPr>
        <w:t>/</w:t>
      </w:r>
      <w:r w:rsidRPr="003F5882">
        <w:rPr>
          <w:rFonts w:ascii="Arial" w:hAnsi="Arial"/>
          <w:sz w:val="21"/>
        </w:rPr>
        <w:t>权益按单一部门显示。</w:t>
      </w:r>
    </w:p>
    <w:p w:rsidR="007D62CB" w:rsidRDefault="00C14A2F" w:rsidP="003374D7">
      <w:pPr>
        <w:pStyle w:val="Style3"/>
        <w:spacing w:afterLines="50" w:line="340" w:lineRule="atLeast"/>
        <w:rPr>
          <w:rFonts w:ascii="Arial" w:hAnsi="Arial"/>
          <w:sz w:val="21"/>
        </w:rPr>
      </w:pPr>
      <w:r w:rsidRPr="003F5882">
        <w:rPr>
          <w:rFonts w:ascii="Arial" w:hAnsi="Arial"/>
          <w:sz w:val="21"/>
        </w:rPr>
        <w:t>大多数收入按联盟记入</w:t>
      </w:r>
      <w:r w:rsidRPr="003F5882">
        <w:rPr>
          <w:rFonts w:ascii="Arial" w:hAnsi="Arial"/>
          <w:sz w:val="21"/>
        </w:rPr>
        <w:t>WIPO</w:t>
      </w:r>
      <w:r w:rsidRPr="003F5882">
        <w:rPr>
          <w:rFonts w:ascii="Arial" w:hAnsi="Arial"/>
          <w:sz w:val="21"/>
        </w:rPr>
        <w:t>的账目。利息所得收入基于</w:t>
      </w:r>
      <w:r w:rsidRPr="003374D7">
        <w:rPr>
          <w:rFonts w:ascii="Arial" w:hAnsi="Arial" w:cs="Times New Roman"/>
          <w:sz w:val="21"/>
        </w:rPr>
        <w:t>2014</w:t>
      </w:r>
      <w:r w:rsidRPr="003374D7">
        <w:rPr>
          <w:rFonts w:ascii="Arial" w:hAnsi="Arial" w:cs="Times New Roman"/>
          <w:sz w:val="21"/>
        </w:rPr>
        <w:t>年</w:t>
      </w:r>
      <w:r w:rsidRPr="003F5882">
        <w:rPr>
          <w:rFonts w:ascii="Arial" w:hAnsi="Arial"/>
          <w:sz w:val="21"/>
        </w:rPr>
        <w:t>的总现金储备和当期收入在联盟之间分配。支出按计划结算，然后基于</w:t>
      </w:r>
      <w:r w:rsidRPr="003F5882">
        <w:rPr>
          <w:rFonts w:ascii="Arial" w:hAnsi="Arial"/>
          <w:sz w:val="21"/>
        </w:rPr>
        <w:t>WIPO</w:t>
      </w:r>
      <w:r w:rsidRPr="003F5882">
        <w:rPr>
          <w:rFonts w:ascii="Arial" w:hAnsi="Arial"/>
          <w:sz w:val="21"/>
        </w:rPr>
        <w:t>大会在通过</w:t>
      </w:r>
      <w:r w:rsidRPr="003F5882">
        <w:rPr>
          <w:rFonts w:ascii="Arial" w:hAnsi="Arial"/>
          <w:sz w:val="21"/>
        </w:rPr>
        <w:t>WIPO</w:t>
      </w:r>
      <w:r w:rsidRPr="003F5882">
        <w:rPr>
          <w:rFonts w:ascii="Arial" w:hAnsi="Arial"/>
          <w:sz w:val="21"/>
        </w:rPr>
        <w:t>的</w:t>
      </w:r>
      <w:r w:rsidR="00181706" w:rsidRPr="003F5882">
        <w:rPr>
          <w:rFonts w:ascii="Arial" w:hAnsi="Arial" w:hint="eastAsia"/>
          <w:sz w:val="21"/>
        </w:rPr>
        <w:t>《</w:t>
      </w:r>
      <w:r w:rsidRPr="003F5882">
        <w:rPr>
          <w:rFonts w:ascii="Arial" w:hAnsi="Arial"/>
          <w:sz w:val="21"/>
        </w:rPr>
        <w:t>2014/15</w:t>
      </w:r>
      <w:r w:rsidRPr="003F5882">
        <w:rPr>
          <w:rFonts w:ascii="Arial" w:hAnsi="Arial"/>
          <w:sz w:val="21"/>
        </w:rPr>
        <w:t>年计划和预算</w:t>
      </w:r>
      <w:r w:rsidR="00181706" w:rsidRPr="003F5882">
        <w:rPr>
          <w:rFonts w:ascii="Arial" w:hAnsi="Arial" w:hint="eastAsia"/>
          <w:sz w:val="21"/>
        </w:rPr>
        <w:t>》</w:t>
      </w:r>
      <w:r w:rsidRPr="003F5882">
        <w:rPr>
          <w:rFonts w:ascii="Arial" w:hAnsi="Arial"/>
          <w:sz w:val="21"/>
        </w:rPr>
        <w:t>时所采纳的方法，被重新分配给各个联盟。</w:t>
      </w:r>
    </w:p>
    <w:p w:rsidR="007D62CB" w:rsidRDefault="00C14A2F" w:rsidP="003374D7">
      <w:pPr>
        <w:pStyle w:val="Style3"/>
        <w:spacing w:afterLines="50" w:line="340" w:lineRule="atLeast"/>
        <w:rPr>
          <w:rFonts w:ascii="Arial" w:hAnsi="Arial"/>
          <w:sz w:val="21"/>
        </w:rPr>
      </w:pPr>
      <w:r w:rsidRPr="003F5882">
        <w:rPr>
          <w:rFonts w:ascii="Arial" w:hAnsi="Arial"/>
          <w:sz w:val="21"/>
        </w:rPr>
        <w:t>为自愿捐款设立了一个单独的部分，以显示</w:t>
      </w:r>
      <w:r w:rsidRPr="003F5882">
        <w:rPr>
          <w:rFonts w:ascii="Arial" w:hAnsi="Arial"/>
          <w:sz w:val="21"/>
        </w:rPr>
        <w:t>WIPO</w:t>
      </w:r>
      <w:r w:rsidRPr="003F5882">
        <w:rPr>
          <w:rFonts w:ascii="Arial" w:hAnsi="Arial"/>
          <w:sz w:val="21"/>
        </w:rPr>
        <w:t>代表</w:t>
      </w:r>
      <w:r w:rsidRPr="003374D7">
        <w:rPr>
          <w:rFonts w:ascii="Arial" w:hAnsi="Arial" w:cs="Times New Roman"/>
          <w:sz w:val="21"/>
        </w:rPr>
        <w:t>单个</w:t>
      </w:r>
      <w:r w:rsidRPr="003F5882">
        <w:rPr>
          <w:rFonts w:ascii="Arial" w:hAnsi="Arial"/>
          <w:sz w:val="21"/>
        </w:rPr>
        <w:t>捐助</w:t>
      </w:r>
      <w:proofErr w:type="gramStart"/>
      <w:r w:rsidRPr="003F5882">
        <w:rPr>
          <w:rFonts w:ascii="Arial" w:hAnsi="Arial"/>
          <w:sz w:val="21"/>
        </w:rPr>
        <w:t>方执行</w:t>
      </w:r>
      <w:proofErr w:type="gramEnd"/>
      <w:r w:rsidRPr="003F5882">
        <w:rPr>
          <w:rFonts w:ascii="Arial" w:hAnsi="Arial"/>
          <w:sz w:val="21"/>
        </w:rPr>
        <w:t>与</w:t>
      </w:r>
      <w:r w:rsidRPr="003F5882">
        <w:rPr>
          <w:rFonts w:ascii="Arial" w:hAnsi="Arial"/>
          <w:sz w:val="21"/>
        </w:rPr>
        <w:t>WIPO</w:t>
      </w:r>
      <w:r w:rsidRPr="003F5882">
        <w:rPr>
          <w:rFonts w:ascii="Arial" w:hAnsi="Arial"/>
          <w:sz w:val="21"/>
        </w:rPr>
        <w:t>任务相关计划所管理的数额。与自愿捐款</w:t>
      </w:r>
      <w:r w:rsidR="00F453AC" w:rsidRPr="003F5882">
        <w:rPr>
          <w:rFonts w:ascii="Arial" w:hAnsi="Arial"/>
          <w:sz w:val="21"/>
        </w:rPr>
        <w:t>（</w:t>
      </w:r>
      <w:r w:rsidRPr="003F5882">
        <w:rPr>
          <w:rFonts w:ascii="Arial" w:hAnsi="Arial"/>
          <w:sz w:val="21"/>
        </w:rPr>
        <w:t>特别账户</w:t>
      </w:r>
      <w:r w:rsidR="00F453AC" w:rsidRPr="003F5882">
        <w:rPr>
          <w:rFonts w:ascii="Arial" w:hAnsi="Arial"/>
          <w:sz w:val="21"/>
        </w:rPr>
        <w:t>）</w:t>
      </w:r>
      <w:r w:rsidRPr="003F5882">
        <w:rPr>
          <w:rFonts w:ascii="Arial" w:hAnsi="Arial"/>
          <w:sz w:val="21"/>
        </w:rPr>
        <w:t>相关的收入和开支在财会系统中分别结算。</w:t>
      </w:r>
    </w:p>
    <w:p w:rsidR="00C14A2F" w:rsidRPr="003F5882" w:rsidRDefault="00C14A2F" w:rsidP="003374D7">
      <w:pPr>
        <w:pStyle w:val="Style3"/>
        <w:spacing w:afterLines="50" w:line="340" w:lineRule="atLeast"/>
        <w:rPr>
          <w:rFonts w:ascii="Arial" w:hAnsi="Arial"/>
          <w:sz w:val="21"/>
        </w:rPr>
      </w:pPr>
      <w:r w:rsidRPr="003F5882">
        <w:rPr>
          <w:rFonts w:ascii="Arial" w:hAnsi="Arial"/>
          <w:sz w:val="21"/>
        </w:rPr>
        <w:t>所有费用基于经批准的分配方法在组成各部门的联盟之间进行分配。与本组织接收的自愿捐助有关的特别账户部分开支按实际成本记账。仅有的一笔部门间</w:t>
      </w:r>
      <w:r w:rsidRPr="003374D7">
        <w:rPr>
          <w:rFonts w:ascii="Arial" w:hAnsi="Arial" w:cs="Times New Roman"/>
          <w:sz w:val="21"/>
        </w:rPr>
        <w:t>费用</w:t>
      </w:r>
      <w:r w:rsidRPr="003F5882">
        <w:rPr>
          <w:rFonts w:ascii="Arial" w:hAnsi="Arial"/>
          <w:sz w:val="21"/>
        </w:rPr>
        <w:t>为各联盟支持特别账户所发生的计划支助费用。根据与提供自愿捐助的捐助方签订的协议所规定的直接开支总额的百分数，计划支助费用被记入特别账户。</w:t>
      </w:r>
    </w:p>
    <w:p w:rsidR="007D62CB" w:rsidRDefault="00C14A2F" w:rsidP="00C14A2F">
      <w:pPr>
        <w:pStyle w:val="Styletexte"/>
        <w:spacing w:after="0"/>
        <w:rPr>
          <w:rFonts w:ascii="Arial" w:eastAsia="SimHei" w:hAnsi="Arial"/>
          <w:sz w:val="21"/>
        </w:rPr>
      </w:pPr>
      <w:r w:rsidRPr="003F5882">
        <w:rPr>
          <w:rFonts w:ascii="Arial" w:hAnsi="Arial"/>
          <w:sz w:val="21"/>
        </w:rPr>
        <w:br w:type="page"/>
      </w:r>
      <w:r w:rsidRPr="00F453AC">
        <w:rPr>
          <w:rFonts w:ascii="Arial" w:eastAsia="SimHei" w:hAnsi="Arial"/>
          <w:sz w:val="21"/>
        </w:rPr>
        <w:lastRenderedPageBreak/>
        <w:t>按分部开列的收入、支出和储备金</w:t>
      </w:r>
    </w:p>
    <w:p w:rsidR="00C14A2F" w:rsidRPr="003F5882" w:rsidRDefault="00FB3BEB" w:rsidP="00C14A2F">
      <w:pPr>
        <w:pStyle w:val="Styletexte"/>
        <w:spacing w:after="0"/>
        <w:jc w:val="center"/>
        <w:rPr>
          <w:rFonts w:ascii="Arial" w:hAnsi="Arial"/>
          <w:sz w:val="21"/>
        </w:rPr>
      </w:pPr>
      <w:r w:rsidRPr="00FB3BEB">
        <w:rPr>
          <w:noProof/>
          <w:lang w:val="en-US" w:bidi="ar-SA"/>
        </w:rPr>
        <w:drawing>
          <wp:inline distT="0" distB="0" distL="0" distR="0" wp14:anchorId="05528DFD" wp14:editId="4B1DE79E">
            <wp:extent cx="5977255" cy="7510147"/>
            <wp:effectExtent l="0" t="0" r="4445" b="0"/>
            <wp:docPr id="185" name="图片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5977255" cy="7510147"/>
                    </a:xfrm>
                    <a:prstGeom prst="rect">
                      <a:avLst/>
                    </a:prstGeom>
                    <a:noFill/>
                    <a:ln>
                      <a:noFill/>
                    </a:ln>
                  </pic:spPr>
                </pic:pic>
              </a:graphicData>
            </a:graphic>
          </wp:inline>
        </w:drawing>
      </w:r>
    </w:p>
    <w:p w:rsidR="00C14A2F" w:rsidRPr="003F5882" w:rsidRDefault="00C14A2F" w:rsidP="00C14A2F">
      <w:pPr>
        <w:pStyle w:val="Styletexte"/>
        <w:spacing w:after="0"/>
        <w:rPr>
          <w:rFonts w:ascii="Arial" w:hAnsi="Arial"/>
          <w:sz w:val="21"/>
        </w:rPr>
      </w:pPr>
      <w:r w:rsidRPr="003F5882">
        <w:rPr>
          <w:rFonts w:ascii="Arial" w:hAnsi="Arial"/>
          <w:sz w:val="18"/>
        </w:rPr>
        <w:t>注：马德里联盟承担了海牙联盟对马德里和海牙国际注册系统信息技术现代化项目</w:t>
      </w:r>
      <w:r w:rsidRPr="003F5882">
        <w:rPr>
          <w:rFonts w:ascii="Arial" w:hAnsi="Arial"/>
          <w:sz w:val="18"/>
        </w:rPr>
        <w:t>300</w:t>
      </w:r>
      <w:proofErr w:type="gramStart"/>
      <w:r w:rsidRPr="003F5882">
        <w:rPr>
          <w:rFonts w:ascii="Arial" w:hAnsi="Arial"/>
          <w:sz w:val="18"/>
        </w:rPr>
        <w:t>万瑞郎捐款</w:t>
      </w:r>
      <w:proofErr w:type="gramEnd"/>
      <w:r w:rsidRPr="003F5882">
        <w:rPr>
          <w:rFonts w:ascii="Arial" w:hAnsi="Arial"/>
          <w:sz w:val="18"/>
        </w:rPr>
        <w:t>的融资。在海牙联盟储备基金的储备金水平达到能够偿付这一金额的水平时，海牙联盟将立即向马德里联盟偿付这一金额。</w:t>
      </w:r>
    </w:p>
    <w:p w:rsidR="00C14A2F" w:rsidRPr="003F5882" w:rsidRDefault="00C14A2F" w:rsidP="00C14A2F">
      <w:pPr>
        <w:pStyle w:val="Styletexte"/>
        <w:spacing w:after="0"/>
        <w:rPr>
          <w:rFonts w:ascii="Arial" w:hAnsi="Arial"/>
          <w:sz w:val="21"/>
        </w:rPr>
        <w:sectPr w:rsidR="00C14A2F" w:rsidRPr="003F5882" w:rsidSect="0074278E">
          <w:footerReference w:type="default" r:id="rId114"/>
          <w:pgSz w:w="11907" w:h="16840" w:code="9"/>
          <w:pgMar w:top="851" w:right="1247" w:bottom="1531" w:left="1247" w:header="709" w:footer="709" w:gutter="0"/>
          <w:cols w:space="708"/>
          <w:docGrid w:linePitch="360"/>
        </w:sectPr>
      </w:pPr>
    </w:p>
    <w:p w:rsidR="00C14A2F" w:rsidRPr="00F453AC" w:rsidRDefault="00C14A2F" w:rsidP="00C14A2F">
      <w:pPr>
        <w:pStyle w:val="STYLE2LASTONE"/>
        <w:ind w:left="0" w:firstLine="0"/>
        <w:jc w:val="center"/>
        <w:rPr>
          <w:rFonts w:ascii="Arial" w:eastAsia="SimHei" w:hAnsi="Arial"/>
          <w:b w:val="0"/>
          <w:bCs w:val="0"/>
          <w:caps/>
          <w:color w:val="auto"/>
          <w:kern w:val="32"/>
          <w:sz w:val="21"/>
          <w:szCs w:val="32"/>
        </w:rPr>
      </w:pPr>
      <w:bookmarkStart w:id="10" w:name="_Toc301187119"/>
      <w:r w:rsidRPr="00F453AC">
        <w:rPr>
          <w:rFonts w:ascii="Arial" w:eastAsia="SimHei" w:hAnsi="Arial"/>
          <w:b w:val="0"/>
          <w:sz w:val="21"/>
        </w:rPr>
        <w:lastRenderedPageBreak/>
        <w:t>nor</w:t>
      </w:r>
      <w:bookmarkEnd w:id="10"/>
      <w:r w:rsidRPr="00F453AC">
        <w:rPr>
          <w:rFonts w:ascii="Arial" w:eastAsia="SimHei" w:hAnsi="Arial"/>
          <w:b w:val="0"/>
          <w:caps/>
          <w:color w:val="auto"/>
          <w:kern w:val="32"/>
          <w:sz w:val="21"/>
        </w:rPr>
        <w:t>附件一</w:t>
      </w:r>
      <w:r w:rsidRPr="00F453AC">
        <w:rPr>
          <w:rFonts w:ascii="Arial" w:eastAsia="SimHei" w:hAnsi="Arial" w:cs="Arial"/>
          <w:b w:val="0"/>
          <w:bCs w:val="0"/>
          <w:caps/>
          <w:color w:val="auto"/>
          <w:kern w:val="32"/>
          <w:sz w:val="21"/>
          <w:szCs w:val="32"/>
        </w:rPr>
        <w:br/>
      </w:r>
      <w:r w:rsidRPr="00F453AC">
        <w:rPr>
          <w:rFonts w:ascii="Arial" w:eastAsia="SimHei" w:hAnsi="Arial"/>
          <w:b w:val="0"/>
          <w:caps/>
          <w:color w:val="auto"/>
          <w:kern w:val="32"/>
          <w:sz w:val="21"/>
        </w:rPr>
        <w:t>按资金来源开</w:t>
      </w:r>
      <w:r w:rsidR="009B1CAD" w:rsidRPr="00F453AC">
        <w:rPr>
          <w:rFonts w:ascii="Arial" w:eastAsia="SimHei" w:hAnsi="Arial" w:hint="eastAsia"/>
          <w:b w:val="0"/>
          <w:caps/>
          <w:color w:val="auto"/>
          <w:kern w:val="32"/>
          <w:sz w:val="21"/>
        </w:rPr>
        <w:t>列</w:t>
      </w:r>
      <w:r w:rsidRPr="00F453AC">
        <w:rPr>
          <w:rFonts w:ascii="Arial" w:eastAsia="SimHei" w:hAnsi="Arial"/>
          <w:b w:val="0"/>
          <w:caps/>
          <w:color w:val="auto"/>
          <w:kern w:val="32"/>
          <w:sz w:val="21"/>
        </w:rPr>
        <w:t>的财务状况表</w:t>
      </w:r>
      <w:r w:rsidR="00F453AC">
        <w:rPr>
          <w:rFonts w:ascii="Arial" w:eastAsia="SimHei" w:hAnsi="Arial"/>
          <w:b w:val="0"/>
          <w:caps/>
          <w:color w:val="auto"/>
          <w:kern w:val="32"/>
          <w:sz w:val="21"/>
        </w:rPr>
        <w:t>［</w:t>
      </w:r>
      <w:r w:rsidRPr="00F453AC">
        <w:rPr>
          <w:rFonts w:ascii="Arial" w:eastAsia="SimHei" w:hAnsi="Arial"/>
          <w:b w:val="0"/>
          <w:caps/>
          <w:color w:val="auto"/>
          <w:kern w:val="32"/>
          <w:sz w:val="21"/>
        </w:rPr>
        <w:t>未经审计</w:t>
      </w:r>
      <w:r w:rsidR="00F453AC">
        <w:rPr>
          <w:rFonts w:ascii="Arial" w:eastAsia="SimHei" w:hAnsi="Arial"/>
          <w:b w:val="0"/>
          <w:caps/>
          <w:color w:val="auto"/>
          <w:kern w:val="32"/>
          <w:sz w:val="21"/>
        </w:rPr>
        <w:t>］</w:t>
      </w:r>
    </w:p>
    <w:p w:rsidR="00C14A2F" w:rsidRPr="00F453AC" w:rsidRDefault="00C14A2F" w:rsidP="00C14A2F">
      <w:pPr>
        <w:jc w:val="center"/>
        <w:rPr>
          <w:rFonts w:ascii="Arial" w:eastAsia="SimHei" w:hAnsi="Arial"/>
          <w:sz w:val="20"/>
          <w:szCs w:val="20"/>
        </w:rPr>
      </w:pPr>
      <w:r w:rsidRPr="00F453AC">
        <w:rPr>
          <w:rFonts w:ascii="Arial" w:eastAsia="SimHei" w:hAnsi="Arial"/>
          <w:sz w:val="20"/>
        </w:rPr>
        <w:t>截至</w:t>
      </w:r>
      <w:r w:rsidRPr="00F453AC">
        <w:rPr>
          <w:rFonts w:ascii="Arial" w:eastAsia="SimHei" w:hAnsi="Arial"/>
          <w:sz w:val="20"/>
        </w:rPr>
        <w:t>2014</w:t>
      </w:r>
      <w:r w:rsidRPr="00F453AC">
        <w:rPr>
          <w:rFonts w:ascii="Arial" w:eastAsia="SimHei" w:hAnsi="Arial"/>
          <w:sz w:val="20"/>
        </w:rPr>
        <w:t>年</w:t>
      </w:r>
      <w:r w:rsidRPr="00F453AC">
        <w:rPr>
          <w:rFonts w:ascii="Arial" w:eastAsia="SimHei" w:hAnsi="Arial"/>
          <w:sz w:val="20"/>
        </w:rPr>
        <w:t>12</w:t>
      </w:r>
      <w:r w:rsidRPr="00F453AC">
        <w:rPr>
          <w:rFonts w:ascii="Arial" w:eastAsia="SimHei" w:hAnsi="Arial"/>
          <w:sz w:val="20"/>
        </w:rPr>
        <w:t>月</w:t>
      </w:r>
      <w:r w:rsidRPr="00F453AC">
        <w:rPr>
          <w:rFonts w:ascii="Arial" w:eastAsia="SimHei" w:hAnsi="Arial"/>
          <w:sz w:val="20"/>
        </w:rPr>
        <w:t>31</w:t>
      </w:r>
      <w:r w:rsidRPr="00F453AC">
        <w:rPr>
          <w:rFonts w:ascii="Arial" w:eastAsia="SimHei" w:hAnsi="Arial"/>
          <w:sz w:val="20"/>
        </w:rPr>
        <w:t>日</w:t>
      </w:r>
    </w:p>
    <w:p w:rsidR="007D62CB" w:rsidRPr="00DA4636" w:rsidRDefault="00F453AC" w:rsidP="00C14A2F">
      <w:pPr>
        <w:jc w:val="center"/>
        <w:rPr>
          <w:rFonts w:ascii="Arial" w:eastAsia="KaiTi" w:hAnsi="Arial"/>
          <w:i/>
          <w:sz w:val="20"/>
          <w:szCs w:val="20"/>
        </w:rPr>
      </w:pPr>
      <w:r w:rsidRPr="00DA4636">
        <w:rPr>
          <w:rFonts w:ascii="Arial" w:eastAsia="KaiTi" w:hAnsi="Arial"/>
          <w:i/>
          <w:sz w:val="20"/>
        </w:rPr>
        <w:t>（</w:t>
      </w:r>
      <w:r w:rsidR="00C14A2F" w:rsidRPr="00DA4636">
        <w:rPr>
          <w:rFonts w:ascii="Arial" w:eastAsia="KaiTi" w:hAnsi="Arial"/>
          <w:i/>
          <w:sz w:val="20"/>
        </w:rPr>
        <w:t>单位：</w:t>
      </w:r>
      <w:proofErr w:type="gramStart"/>
      <w:r w:rsidR="00C14A2F" w:rsidRPr="00DA4636">
        <w:rPr>
          <w:rFonts w:ascii="Arial" w:eastAsia="KaiTi" w:hAnsi="Arial"/>
          <w:i/>
          <w:sz w:val="20"/>
        </w:rPr>
        <w:t>千瑞郎</w:t>
      </w:r>
      <w:proofErr w:type="gramEnd"/>
      <w:r w:rsidRPr="00DA4636">
        <w:rPr>
          <w:rFonts w:ascii="Arial" w:eastAsia="KaiTi" w:hAnsi="Arial"/>
          <w:i/>
          <w:sz w:val="20"/>
        </w:rPr>
        <w:t>）</w:t>
      </w:r>
    </w:p>
    <w:p w:rsidR="00C14A2F" w:rsidRPr="003F5882" w:rsidRDefault="00FB3BEB" w:rsidP="00C14A2F">
      <w:pPr>
        <w:pStyle w:val="Styletexte"/>
        <w:spacing w:after="0"/>
        <w:jc w:val="center"/>
        <w:rPr>
          <w:rFonts w:ascii="Arial" w:hAnsi="Arial"/>
          <w:sz w:val="21"/>
        </w:rPr>
      </w:pPr>
      <w:r w:rsidRPr="00FB3BEB">
        <w:rPr>
          <w:noProof/>
          <w:lang w:val="en-US" w:bidi="ar-SA"/>
        </w:rPr>
        <w:drawing>
          <wp:inline distT="0" distB="0" distL="0" distR="0" wp14:anchorId="50058E54" wp14:editId="00320024">
            <wp:extent cx="7912800" cy="5101200"/>
            <wp:effectExtent l="0" t="0" r="0" b="4445"/>
            <wp:docPr id="186" name="图片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7912800" cy="5101200"/>
                    </a:xfrm>
                    <a:prstGeom prst="rect">
                      <a:avLst/>
                    </a:prstGeom>
                    <a:noFill/>
                    <a:ln>
                      <a:noFill/>
                    </a:ln>
                  </pic:spPr>
                </pic:pic>
              </a:graphicData>
            </a:graphic>
          </wp:inline>
        </w:drawing>
      </w:r>
    </w:p>
    <w:p w:rsidR="00C14A2F" w:rsidRPr="00F453AC" w:rsidRDefault="00C14A2F" w:rsidP="00FB3BEB">
      <w:pPr>
        <w:pStyle w:val="1"/>
        <w:spacing w:after="0"/>
        <w:ind w:left="0" w:firstLine="0"/>
        <w:jc w:val="center"/>
        <w:rPr>
          <w:rFonts w:ascii="Arial" w:eastAsia="SimHei" w:hAnsi="Arial"/>
          <w:b w:val="0"/>
          <w:bCs/>
          <w:caps/>
          <w:color w:val="auto"/>
          <w:kern w:val="32"/>
          <w:sz w:val="21"/>
          <w:szCs w:val="32"/>
        </w:rPr>
      </w:pPr>
      <w:r w:rsidRPr="00FB3BEB">
        <w:rPr>
          <w:rFonts w:ascii="Arial" w:eastAsia="SimHei" w:hAnsi="Arial"/>
          <w:b w:val="0"/>
          <w:sz w:val="20"/>
        </w:rPr>
        <w:br w:type="page"/>
      </w:r>
      <w:r w:rsidRPr="00F453AC">
        <w:rPr>
          <w:rFonts w:ascii="Arial" w:eastAsia="SimHei" w:hAnsi="Arial"/>
          <w:b w:val="0"/>
          <w:caps/>
          <w:color w:val="auto"/>
          <w:kern w:val="32"/>
          <w:sz w:val="21"/>
        </w:rPr>
        <w:lastRenderedPageBreak/>
        <w:t>附件二</w:t>
      </w:r>
      <w:r w:rsidRPr="00F453AC">
        <w:rPr>
          <w:rFonts w:ascii="Arial" w:eastAsia="SimHei" w:hAnsi="Arial" w:cs="Arial"/>
          <w:b w:val="0"/>
          <w:bCs/>
          <w:caps/>
          <w:color w:val="auto"/>
          <w:kern w:val="32"/>
          <w:sz w:val="21"/>
          <w:szCs w:val="32"/>
        </w:rPr>
        <w:br/>
      </w:r>
      <w:r w:rsidRPr="00F453AC">
        <w:rPr>
          <w:rFonts w:ascii="Arial" w:eastAsia="SimHei" w:hAnsi="Arial"/>
          <w:b w:val="0"/>
          <w:caps/>
          <w:color w:val="auto"/>
          <w:kern w:val="32"/>
          <w:sz w:val="21"/>
        </w:rPr>
        <w:t>按资金来源开列的财务执行情况表</w:t>
      </w:r>
      <w:r w:rsidR="00F453AC">
        <w:rPr>
          <w:rFonts w:ascii="Arial" w:eastAsia="SimHei" w:hAnsi="Arial"/>
          <w:b w:val="0"/>
          <w:caps/>
          <w:color w:val="auto"/>
          <w:kern w:val="32"/>
          <w:sz w:val="21"/>
        </w:rPr>
        <w:t>［</w:t>
      </w:r>
      <w:r w:rsidRPr="00F453AC">
        <w:rPr>
          <w:rFonts w:ascii="Arial" w:eastAsia="SimHei" w:hAnsi="Arial"/>
          <w:b w:val="0"/>
          <w:caps/>
          <w:color w:val="auto"/>
          <w:kern w:val="32"/>
          <w:sz w:val="21"/>
        </w:rPr>
        <w:t>未经审计</w:t>
      </w:r>
      <w:r w:rsidR="00F453AC">
        <w:rPr>
          <w:rFonts w:ascii="Arial" w:eastAsia="SimHei" w:hAnsi="Arial"/>
          <w:b w:val="0"/>
          <w:caps/>
          <w:color w:val="auto"/>
          <w:kern w:val="32"/>
          <w:sz w:val="21"/>
        </w:rPr>
        <w:t>］</w:t>
      </w:r>
    </w:p>
    <w:p w:rsidR="00C14A2F" w:rsidRPr="00F453AC" w:rsidRDefault="00C14A2F" w:rsidP="00C14A2F">
      <w:pPr>
        <w:jc w:val="center"/>
        <w:rPr>
          <w:rFonts w:ascii="Arial" w:eastAsia="SimHei" w:hAnsi="Arial"/>
          <w:sz w:val="20"/>
          <w:szCs w:val="20"/>
        </w:rPr>
      </w:pPr>
      <w:r w:rsidRPr="00F453AC">
        <w:rPr>
          <w:rFonts w:ascii="Arial" w:eastAsia="SimHei" w:hAnsi="Arial"/>
          <w:sz w:val="20"/>
        </w:rPr>
        <w:t>2014</w:t>
      </w:r>
      <w:r w:rsidRPr="00F453AC">
        <w:rPr>
          <w:rFonts w:ascii="Arial" w:eastAsia="SimHei" w:hAnsi="Arial"/>
          <w:sz w:val="20"/>
        </w:rPr>
        <w:t>年</w:t>
      </w:r>
      <w:r w:rsidRPr="00F453AC">
        <w:rPr>
          <w:rFonts w:ascii="Arial" w:eastAsia="SimHei" w:hAnsi="Arial"/>
          <w:sz w:val="20"/>
        </w:rPr>
        <w:t>12</w:t>
      </w:r>
      <w:r w:rsidRPr="00F453AC">
        <w:rPr>
          <w:rFonts w:ascii="Arial" w:eastAsia="SimHei" w:hAnsi="Arial"/>
          <w:sz w:val="20"/>
        </w:rPr>
        <w:t>月</w:t>
      </w:r>
      <w:r w:rsidRPr="00F453AC">
        <w:rPr>
          <w:rFonts w:ascii="Arial" w:eastAsia="SimHei" w:hAnsi="Arial"/>
          <w:sz w:val="20"/>
        </w:rPr>
        <w:t>31</w:t>
      </w:r>
      <w:r w:rsidRPr="00F453AC">
        <w:rPr>
          <w:rFonts w:ascii="Arial" w:eastAsia="SimHei" w:hAnsi="Arial"/>
          <w:sz w:val="20"/>
        </w:rPr>
        <w:t>日截止的年度</w:t>
      </w:r>
    </w:p>
    <w:p w:rsidR="007D62CB" w:rsidRPr="00DA4636" w:rsidRDefault="00F453AC" w:rsidP="00C14A2F">
      <w:pPr>
        <w:pStyle w:val="Styletexte"/>
        <w:spacing w:after="0"/>
        <w:jc w:val="center"/>
        <w:rPr>
          <w:rFonts w:ascii="Arial" w:eastAsia="KaiTi" w:hAnsi="Arial"/>
          <w:i/>
          <w:sz w:val="20"/>
        </w:rPr>
      </w:pPr>
      <w:r w:rsidRPr="00DA4636">
        <w:rPr>
          <w:rFonts w:ascii="Arial" w:eastAsia="KaiTi" w:hAnsi="Arial"/>
          <w:i/>
          <w:sz w:val="20"/>
        </w:rPr>
        <w:t>（</w:t>
      </w:r>
      <w:r w:rsidR="00C14A2F" w:rsidRPr="00DA4636">
        <w:rPr>
          <w:rFonts w:ascii="Arial" w:eastAsia="KaiTi" w:hAnsi="Arial"/>
          <w:i/>
          <w:sz w:val="20"/>
        </w:rPr>
        <w:t>单位：</w:t>
      </w:r>
      <w:proofErr w:type="gramStart"/>
      <w:r w:rsidR="00C14A2F" w:rsidRPr="00DA4636">
        <w:rPr>
          <w:rFonts w:ascii="Arial" w:eastAsia="KaiTi" w:hAnsi="Arial"/>
          <w:i/>
          <w:sz w:val="20"/>
        </w:rPr>
        <w:t>千瑞郎</w:t>
      </w:r>
      <w:proofErr w:type="gramEnd"/>
      <w:r w:rsidRPr="00DA4636">
        <w:rPr>
          <w:rFonts w:ascii="Arial" w:eastAsia="KaiTi" w:hAnsi="Arial"/>
          <w:i/>
          <w:sz w:val="20"/>
        </w:rPr>
        <w:t>）</w:t>
      </w:r>
    </w:p>
    <w:p w:rsidR="00C14A2F" w:rsidRPr="003F5882" w:rsidRDefault="00FB3BEB" w:rsidP="00C14A2F">
      <w:pPr>
        <w:jc w:val="center"/>
        <w:rPr>
          <w:rFonts w:ascii="Arial" w:hAnsi="Arial"/>
        </w:rPr>
      </w:pPr>
      <w:r w:rsidRPr="00FB3BEB">
        <w:rPr>
          <w:noProof/>
          <w:lang w:val="en-US" w:bidi="ar-SA"/>
        </w:rPr>
        <w:drawing>
          <wp:inline distT="0" distB="0" distL="0" distR="0" wp14:anchorId="7431AC2E" wp14:editId="30A74C16">
            <wp:extent cx="8215200" cy="5058000"/>
            <wp:effectExtent l="0" t="0" r="0" b="9525"/>
            <wp:docPr id="187" name="图片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8215200" cy="5058000"/>
                    </a:xfrm>
                    <a:prstGeom prst="rect">
                      <a:avLst/>
                    </a:prstGeom>
                    <a:noFill/>
                    <a:ln>
                      <a:noFill/>
                    </a:ln>
                  </pic:spPr>
                </pic:pic>
              </a:graphicData>
            </a:graphic>
          </wp:inline>
        </w:drawing>
      </w:r>
    </w:p>
    <w:p w:rsidR="00C14A2F" w:rsidRPr="003F5882" w:rsidRDefault="00C14A2F" w:rsidP="00C14A2F">
      <w:pPr>
        <w:rPr>
          <w:rFonts w:ascii="Arial" w:hAnsi="Arial"/>
        </w:rPr>
        <w:sectPr w:rsidR="00C14A2F" w:rsidRPr="003F5882" w:rsidSect="0074278E">
          <w:footerReference w:type="even" r:id="rId117"/>
          <w:pgSz w:w="16840" w:h="11907" w:orient="landscape" w:code="9"/>
          <w:pgMar w:top="851" w:right="1247" w:bottom="1079" w:left="1247" w:header="709" w:footer="188" w:gutter="0"/>
          <w:cols w:space="708"/>
          <w:docGrid w:linePitch="360"/>
        </w:sectPr>
      </w:pPr>
    </w:p>
    <w:p w:rsidR="00C14A2F" w:rsidRPr="00F453AC" w:rsidRDefault="00C14A2F" w:rsidP="00C14A2F">
      <w:pPr>
        <w:pStyle w:val="1"/>
        <w:keepNext/>
        <w:spacing w:after="0"/>
        <w:ind w:left="0" w:firstLine="0"/>
        <w:jc w:val="center"/>
        <w:rPr>
          <w:rFonts w:ascii="Arial" w:eastAsia="SimHei" w:hAnsi="Arial"/>
          <w:b w:val="0"/>
          <w:bCs/>
          <w:caps/>
          <w:color w:val="auto"/>
          <w:kern w:val="32"/>
          <w:sz w:val="21"/>
          <w:szCs w:val="32"/>
        </w:rPr>
      </w:pPr>
      <w:r w:rsidRPr="00F453AC">
        <w:rPr>
          <w:rFonts w:ascii="Arial" w:eastAsia="SimHei" w:hAnsi="Arial"/>
          <w:b w:val="0"/>
          <w:caps/>
          <w:color w:val="auto"/>
          <w:kern w:val="32"/>
          <w:sz w:val="21"/>
        </w:rPr>
        <w:lastRenderedPageBreak/>
        <w:t>附件三</w:t>
      </w:r>
      <w:r w:rsidRPr="00F453AC">
        <w:rPr>
          <w:rFonts w:ascii="Arial" w:eastAsia="SimHei" w:hAnsi="Arial" w:cs="Arial"/>
          <w:b w:val="0"/>
          <w:bCs/>
          <w:caps/>
          <w:color w:val="auto"/>
          <w:kern w:val="32"/>
          <w:sz w:val="21"/>
          <w:szCs w:val="32"/>
        </w:rPr>
        <w:br/>
      </w:r>
      <w:r w:rsidRPr="00F453AC">
        <w:rPr>
          <w:rFonts w:ascii="Arial" w:eastAsia="SimHei" w:hAnsi="Arial"/>
          <w:b w:val="0"/>
          <w:caps/>
          <w:color w:val="auto"/>
          <w:kern w:val="32"/>
          <w:sz w:val="21"/>
        </w:rPr>
        <w:t>捐助方捐助特别账户</w:t>
      </w:r>
    </w:p>
    <w:p w:rsidR="007D62CB" w:rsidRDefault="00F453AC" w:rsidP="00C14A2F">
      <w:pPr>
        <w:jc w:val="center"/>
        <w:rPr>
          <w:rFonts w:ascii="Arial" w:eastAsia="SimHei" w:hAnsi="Arial"/>
          <w:sz w:val="20"/>
          <w:szCs w:val="20"/>
        </w:rPr>
      </w:pPr>
      <w:r>
        <w:rPr>
          <w:rFonts w:ascii="Arial" w:eastAsia="SimHei" w:hAnsi="Arial"/>
          <w:sz w:val="20"/>
        </w:rPr>
        <w:t>（</w:t>
      </w:r>
      <w:r w:rsidR="00C14A2F" w:rsidRPr="00F453AC">
        <w:rPr>
          <w:rFonts w:ascii="Arial" w:eastAsia="SimHei" w:hAnsi="Arial"/>
          <w:sz w:val="20"/>
        </w:rPr>
        <w:t>单位：瑞郎</w:t>
      </w:r>
      <w:r>
        <w:rPr>
          <w:rFonts w:ascii="Arial" w:eastAsia="SimHei" w:hAnsi="Arial"/>
          <w:sz w:val="20"/>
        </w:rPr>
        <w:t>）</w:t>
      </w:r>
    </w:p>
    <w:p w:rsidR="00C14A2F" w:rsidRPr="00F453AC" w:rsidRDefault="00FB3BEB" w:rsidP="00C14A2F">
      <w:pPr>
        <w:jc w:val="center"/>
        <w:rPr>
          <w:rFonts w:ascii="Arial" w:eastAsia="SimSun" w:hAnsi="Arial"/>
        </w:rPr>
      </w:pPr>
      <w:r w:rsidRPr="00FB3BEB">
        <w:rPr>
          <w:noProof/>
          <w:lang w:val="en-US" w:bidi="ar-SA"/>
        </w:rPr>
        <w:drawing>
          <wp:inline distT="0" distB="0" distL="0" distR="0" wp14:anchorId="43F7BA69" wp14:editId="11B72B5C">
            <wp:extent cx="9109710" cy="4029503"/>
            <wp:effectExtent l="0" t="0" r="0" b="9525"/>
            <wp:docPr id="188" name="图片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9109710" cy="4029503"/>
                    </a:xfrm>
                    <a:prstGeom prst="rect">
                      <a:avLst/>
                    </a:prstGeom>
                    <a:noFill/>
                    <a:ln>
                      <a:noFill/>
                    </a:ln>
                  </pic:spPr>
                </pic:pic>
              </a:graphicData>
            </a:graphic>
          </wp:inline>
        </w:drawing>
      </w:r>
    </w:p>
    <w:p w:rsidR="00C14A2F" w:rsidRPr="003F5882" w:rsidRDefault="00C14A2F" w:rsidP="00C14A2F">
      <w:pPr>
        <w:autoSpaceDE w:val="0"/>
        <w:autoSpaceDN w:val="0"/>
        <w:adjustRightInd w:val="0"/>
        <w:jc w:val="both"/>
        <w:rPr>
          <w:rFonts w:ascii="Arial" w:hAnsi="Arial"/>
          <w:sz w:val="18"/>
          <w:szCs w:val="18"/>
        </w:rPr>
        <w:sectPr w:rsidR="00C14A2F" w:rsidRPr="003F5882" w:rsidSect="0074278E">
          <w:pgSz w:w="16840" w:h="11907" w:orient="landscape" w:code="9"/>
          <w:pgMar w:top="851" w:right="1247" w:bottom="1079" w:left="1247" w:header="709" w:footer="188" w:gutter="0"/>
          <w:cols w:space="708"/>
          <w:docGrid w:linePitch="360"/>
        </w:sectPr>
      </w:pPr>
      <w:r w:rsidRPr="003F5882">
        <w:rPr>
          <w:rFonts w:ascii="Arial" w:hAnsi="Arial"/>
          <w:sz w:val="18"/>
        </w:rPr>
        <w:t>该表根据捐助方报告要求按</w:t>
      </w:r>
      <w:r w:rsidR="00181706" w:rsidRPr="003F5882">
        <w:rPr>
          <w:rFonts w:ascii="Arial" w:hAnsi="Arial" w:hint="eastAsia"/>
          <w:sz w:val="18"/>
        </w:rPr>
        <w:t>《</w:t>
      </w:r>
      <w:r w:rsidRPr="003F5882">
        <w:rPr>
          <w:rFonts w:ascii="Arial" w:hAnsi="Arial"/>
          <w:sz w:val="18"/>
        </w:rPr>
        <w:t>联合国系统会计标准</w:t>
      </w:r>
      <w:r w:rsidR="00181706" w:rsidRPr="003F5882">
        <w:rPr>
          <w:rFonts w:ascii="Arial" w:hAnsi="Arial" w:hint="eastAsia"/>
          <w:sz w:val="18"/>
        </w:rPr>
        <w:t>》</w:t>
      </w:r>
      <w:r w:rsidRPr="003F5882">
        <w:rPr>
          <w:rFonts w:ascii="Arial" w:hAnsi="Arial"/>
          <w:sz w:val="18"/>
        </w:rPr>
        <w:t>编制，表中未包括应计开支。对期末余额</w:t>
      </w:r>
      <w:r w:rsidR="00F453AC" w:rsidRPr="003F5882">
        <w:rPr>
          <w:rFonts w:ascii="Arial" w:hAnsi="Arial"/>
          <w:sz w:val="18"/>
        </w:rPr>
        <w:t>（</w:t>
      </w:r>
      <w:r w:rsidRPr="003F5882">
        <w:rPr>
          <w:rFonts w:ascii="Arial" w:hAnsi="Arial"/>
          <w:sz w:val="18"/>
        </w:rPr>
        <w:t>2014</w:t>
      </w:r>
      <w:r w:rsidRPr="003F5882">
        <w:rPr>
          <w:rFonts w:ascii="Arial" w:hAnsi="Arial"/>
          <w:sz w:val="18"/>
        </w:rPr>
        <w:t>年</w:t>
      </w:r>
      <w:r w:rsidRPr="003F5882">
        <w:rPr>
          <w:rFonts w:ascii="Arial" w:hAnsi="Arial"/>
          <w:sz w:val="18"/>
        </w:rPr>
        <w:t>12</w:t>
      </w:r>
      <w:r w:rsidRPr="003F5882">
        <w:rPr>
          <w:rFonts w:ascii="Arial" w:hAnsi="Arial"/>
          <w:sz w:val="18"/>
        </w:rPr>
        <w:t>月</w:t>
      </w:r>
      <w:r w:rsidRPr="003F5882">
        <w:rPr>
          <w:rFonts w:ascii="Arial" w:hAnsi="Arial"/>
          <w:sz w:val="18"/>
        </w:rPr>
        <w:t>31</w:t>
      </w:r>
      <w:r w:rsidRPr="003F5882">
        <w:rPr>
          <w:rFonts w:ascii="Arial" w:hAnsi="Arial"/>
          <w:sz w:val="18"/>
        </w:rPr>
        <w:t>日</w:t>
      </w:r>
      <w:r w:rsidR="00F453AC" w:rsidRPr="003F5882">
        <w:rPr>
          <w:rFonts w:ascii="Arial" w:hAnsi="Arial"/>
          <w:sz w:val="18"/>
        </w:rPr>
        <w:t>）</w:t>
      </w:r>
      <w:r w:rsidRPr="003F5882">
        <w:rPr>
          <w:rFonts w:ascii="Arial" w:hAnsi="Arial"/>
          <w:sz w:val="18"/>
        </w:rPr>
        <w:t>进行的</w:t>
      </w:r>
      <w:r w:rsidRPr="003F5882">
        <w:rPr>
          <w:rFonts w:ascii="Arial" w:hAnsi="Arial"/>
          <w:sz w:val="18"/>
        </w:rPr>
        <w:t>IPSAS</w:t>
      </w:r>
      <w:r w:rsidRPr="003F5882">
        <w:rPr>
          <w:rFonts w:ascii="Arial" w:hAnsi="Arial"/>
          <w:sz w:val="18"/>
        </w:rPr>
        <w:t>调整没有纳入该表，但计入附注</w:t>
      </w:r>
      <w:r w:rsidRPr="003F5882">
        <w:rPr>
          <w:rFonts w:ascii="Arial" w:hAnsi="Arial"/>
          <w:sz w:val="18"/>
        </w:rPr>
        <w:t>14</w:t>
      </w:r>
      <w:r w:rsidR="00181706" w:rsidRPr="003F5882">
        <w:rPr>
          <w:rFonts w:ascii="Arial" w:hAnsi="Arial" w:hint="eastAsia"/>
          <w:sz w:val="18"/>
        </w:rPr>
        <w:t>“</w:t>
      </w:r>
      <w:r w:rsidRPr="003F5882">
        <w:rPr>
          <w:rFonts w:ascii="Arial" w:hAnsi="Arial"/>
          <w:sz w:val="18"/>
        </w:rPr>
        <w:t>预收款</w:t>
      </w:r>
      <w:r w:rsidR="00181706" w:rsidRPr="003F5882">
        <w:rPr>
          <w:rFonts w:ascii="Arial" w:hAnsi="Arial" w:hint="eastAsia"/>
          <w:sz w:val="18"/>
        </w:rPr>
        <w:t>”</w:t>
      </w:r>
      <w:r w:rsidRPr="003F5882">
        <w:rPr>
          <w:rFonts w:ascii="Arial" w:hAnsi="Arial"/>
          <w:sz w:val="18"/>
        </w:rPr>
        <w:t>所涉数额中</w:t>
      </w:r>
      <w:r w:rsidR="00F453AC" w:rsidRPr="003F5882">
        <w:rPr>
          <w:rFonts w:ascii="Arial" w:hAnsi="Arial"/>
          <w:sz w:val="18"/>
        </w:rPr>
        <w:t>（</w:t>
      </w:r>
      <w:r w:rsidRPr="003F5882">
        <w:rPr>
          <w:rFonts w:ascii="Arial" w:hAnsi="Arial"/>
          <w:sz w:val="18"/>
        </w:rPr>
        <w:t>见</w:t>
      </w:r>
      <w:r w:rsidR="00181706" w:rsidRPr="003F5882">
        <w:rPr>
          <w:rFonts w:ascii="Arial" w:hAnsi="Arial" w:hint="eastAsia"/>
          <w:sz w:val="18"/>
        </w:rPr>
        <w:t>“</w:t>
      </w:r>
      <w:r w:rsidRPr="003F5882">
        <w:rPr>
          <w:rFonts w:ascii="Arial" w:hAnsi="Arial"/>
          <w:sz w:val="18"/>
        </w:rPr>
        <w:t>递延非交换收入</w:t>
      </w:r>
      <w:r w:rsidR="00181706" w:rsidRPr="003F5882">
        <w:rPr>
          <w:rFonts w:ascii="Arial" w:hAnsi="Arial" w:hint="eastAsia"/>
          <w:sz w:val="18"/>
        </w:rPr>
        <w:t>”</w:t>
      </w:r>
      <w:r w:rsidRPr="003F5882">
        <w:rPr>
          <w:rFonts w:ascii="Arial" w:hAnsi="Arial"/>
          <w:sz w:val="18"/>
        </w:rPr>
        <w:t>项</w:t>
      </w:r>
      <w:r w:rsidR="00F453AC" w:rsidRPr="003F5882">
        <w:rPr>
          <w:rFonts w:ascii="Arial" w:hAnsi="Arial"/>
          <w:sz w:val="18"/>
        </w:rPr>
        <w:t>）</w:t>
      </w:r>
      <w:r w:rsidRPr="003F5882">
        <w:rPr>
          <w:rFonts w:ascii="Arial" w:hAnsi="Arial"/>
          <w:sz w:val="18"/>
        </w:rPr>
        <w:t>。</w:t>
      </w:r>
    </w:p>
    <w:p w:rsidR="007D62CB" w:rsidRDefault="00C14A2F" w:rsidP="00C14A2F">
      <w:pPr>
        <w:pStyle w:val="1"/>
        <w:keepNext/>
        <w:spacing w:after="0"/>
        <w:ind w:left="0" w:firstLine="0"/>
        <w:jc w:val="center"/>
        <w:rPr>
          <w:rFonts w:ascii="Arial" w:eastAsia="SimHei" w:hAnsi="Arial"/>
          <w:b w:val="0"/>
          <w:caps/>
          <w:color w:val="auto"/>
          <w:kern w:val="32"/>
          <w:sz w:val="21"/>
        </w:rPr>
      </w:pPr>
      <w:r w:rsidRPr="00F453AC">
        <w:rPr>
          <w:rFonts w:ascii="Arial" w:eastAsia="SimHei" w:hAnsi="Arial"/>
          <w:b w:val="0"/>
          <w:caps/>
          <w:color w:val="auto"/>
          <w:kern w:val="32"/>
          <w:sz w:val="21"/>
        </w:rPr>
        <w:lastRenderedPageBreak/>
        <w:t>附件四</w:t>
      </w:r>
      <w:r w:rsidRPr="00F453AC">
        <w:rPr>
          <w:rFonts w:ascii="Arial" w:eastAsia="SimHei" w:hAnsi="Arial" w:cs="Arial"/>
          <w:b w:val="0"/>
          <w:bCs/>
          <w:caps/>
          <w:color w:val="auto"/>
          <w:kern w:val="32"/>
          <w:sz w:val="21"/>
          <w:szCs w:val="32"/>
        </w:rPr>
        <w:br/>
      </w:r>
      <w:r w:rsidRPr="00F453AC">
        <w:rPr>
          <w:rFonts w:ascii="Arial" w:eastAsia="SimHei" w:hAnsi="Arial"/>
          <w:b w:val="0"/>
          <w:caps/>
          <w:color w:val="auto"/>
          <w:kern w:val="32"/>
          <w:sz w:val="21"/>
        </w:rPr>
        <w:t>WIPO</w:t>
      </w:r>
      <w:proofErr w:type="gramStart"/>
      <w:r w:rsidRPr="00F453AC">
        <w:rPr>
          <w:rFonts w:ascii="Arial" w:eastAsia="SimHei" w:hAnsi="Arial"/>
          <w:b w:val="0"/>
          <w:caps/>
          <w:color w:val="auto"/>
          <w:kern w:val="32"/>
          <w:sz w:val="21"/>
        </w:rPr>
        <w:t>惠给金</w:t>
      </w:r>
      <w:proofErr w:type="gramEnd"/>
      <w:r w:rsidRPr="00F453AC">
        <w:rPr>
          <w:rFonts w:ascii="Arial" w:eastAsia="SimHei" w:hAnsi="Arial"/>
          <w:b w:val="0"/>
          <w:caps/>
          <w:color w:val="auto"/>
          <w:kern w:val="32"/>
          <w:sz w:val="21"/>
        </w:rPr>
        <w:t>支付</w:t>
      </w:r>
    </w:p>
    <w:p w:rsidR="00FB3BEB" w:rsidRPr="00FB3BEB" w:rsidRDefault="00FB3BEB" w:rsidP="00FB3BEB"/>
    <w:p w:rsidR="007D62CB" w:rsidRDefault="00C14A2F" w:rsidP="00DA4636">
      <w:pPr>
        <w:pStyle w:val="Style3"/>
        <w:spacing w:afterLines="50" w:line="340" w:lineRule="atLeast"/>
        <w:rPr>
          <w:rFonts w:ascii="Arial" w:hAnsi="Arial"/>
          <w:sz w:val="21"/>
          <w:szCs w:val="22"/>
        </w:rPr>
      </w:pPr>
      <w:r w:rsidRPr="003F5882">
        <w:rPr>
          <w:rFonts w:ascii="Arial" w:hAnsi="Arial"/>
          <w:sz w:val="21"/>
        </w:rPr>
        <w:t>财务条例</w:t>
      </w:r>
      <w:r w:rsidRPr="003F5882">
        <w:rPr>
          <w:rFonts w:ascii="Arial" w:hAnsi="Arial"/>
          <w:sz w:val="21"/>
        </w:rPr>
        <w:t>5.10</w:t>
      </w:r>
      <w:r w:rsidRPr="003F5882">
        <w:rPr>
          <w:rFonts w:ascii="Arial" w:hAnsi="Arial"/>
          <w:sz w:val="21"/>
        </w:rPr>
        <w:t>规定，应在本</w:t>
      </w:r>
      <w:r w:rsidRPr="003374D7">
        <w:rPr>
          <w:rFonts w:ascii="Arial" w:hAnsi="Arial" w:cs="Times New Roman"/>
          <w:sz w:val="21"/>
        </w:rPr>
        <w:t>组织</w:t>
      </w:r>
      <w:r w:rsidRPr="003F5882">
        <w:rPr>
          <w:rFonts w:ascii="Arial" w:hAnsi="Arial"/>
          <w:sz w:val="21"/>
        </w:rPr>
        <w:t>财务报表中加入所涉日历年</w:t>
      </w:r>
      <w:proofErr w:type="gramStart"/>
      <w:r w:rsidRPr="003F5882">
        <w:rPr>
          <w:rFonts w:ascii="Arial" w:hAnsi="Arial"/>
          <w:sz w:val="21"/>
        </w:rPr>
        <w:t>中惠给金</w:t>
      </w:r>
      <w:proofErr w:type="gramEnd"/>
      <w:r w:rsidRPr="003F5882">
        <w:rPr>
          <w:rFonts w:ascii="Arial" w:hAnsi="Arial"/>
          <w:sz w:val="21"/>
        </w:rPr>
        <w:t>的简要说明。</w:t>
      </w:r>
    </w:p>
    <w:p w:rsidR="007D62CB" w:rsidRDefault="00C14A2F" w:rsidP="00DA4636">
      <w:pPr>
        <w:pStyle w:val="Style3"/>
        <w:spacing w:afterLines="50" w:line="340" w:lineRule="atLeast"/>
        <w:rPr>
          <w:rFonts w:ascii="Arial" w:hAnsi="Arial"/>
          <w:sz w:val="21"/>
          <w:szCs w:val="22"/>
        </w:rPr>
      </w:pPr>
      <w:r w:rsidRPr="003F5882">
        <w:rPr>
          <w:rFonts w:ascii="Arial" w:hAnsi="Arial"/>
          <w:sz w:val="21"/>
        </w:rPr>
        <w:t>在</w:t>
      </w:r>
      <w:r w:rsidRPr="003F5882">
        <w:rPr>
          <w:rFonts w:ascii="Arial" w:hAnsi="Arial"/>
          <w:sz w:val="21"/>
        </w:rPr>
        <w:t>2014</w:t>
      </w:r>
      <w:r w:rsidRPr="003F5882">
        <w:rPr>
          <w:rFonts w:ascii="Arial" w:hAnsi="Arial"/>
          <w:sz w:val="21"/>
        </w:rPr>
        <w:t>年</w:t>
      </w:r>
      <w:r w:rsidRPr="003F5882">
        <w:rPr>
          <w:rFonts w:ascii="Arial" w:hAnsi="Arial"/>
          <w:sz w:val="21"/>
        </w:rPr>
        <w:t>12</w:t>
      </w:r>
      <w:r w:rsidRPr="003F5882">
        <w:rPr>
          <w:rFonts w:ascii="Arial" w:hAnsi="Arial"/>
          <w:sz w:val="21"/>
        </w:rPr>
        <w:t>月</w:t>
      </w:r>
      <w:r w:rsidRPr="003F5882">
        <w:rPr>
          <w:rFonts w:ascii="Arial" w:hAnsi="Arial"/>
          <w:sz w:val="21"/>
        </w:rPr>
        <w:t>31</w:t>
      </w:r>
      <w:r w:rsidRPr="003F5882">
        <w:rPr>
          <w:rFonts w:ascii="Arial" w:hAnsi="Arial"/>
          <w:sz w:val="21"/>
        </w:rPr>
        <w:t>日截止的年度期间，本组织确认了</w:t>
      </w:r>
      <w:proofErr w:type="gramStart"/>
      <w:r w:rsidRPr="003F5882">
        <w:rPr>
          <w:rFonts w:ascii="Arial" w:hAnsi="Arial"/>
          <w:sz w:val="21"/>
        </w:rPr>
        <w:t>一笔惠给金</w:t>
      </w:r>
      <w:proofErr w:type="gramEnd"/>
      <w:r w:rsidRPr="003F5882">
        <w:rPr>
          <w:rFonts w:ascii="Arial" w:hAnsi="Arial"/>
          <w:sz w:val="21"/>
        </w:rPr>
        <w:t>支出。</w:t>
      </w:r>
      <w:proofErr w:type="gramStart"/>
      <w:r w:rsidRPr="003F5882">
        <w:rPr>
          <w:rFonts w:ascii="Arial" w:hAnsi="Arial"/>
          <w:sz w:val="21"/>
        </w:rPr>
        <w:t>该项惠给金</w:t>
      </w:r>
      <w:proofErr w:type="gramEnd"/>
      <w:r w:rsidRPr="003F5882">
        <w:rPr>
          <w:rFonts w:ascii="Arial" w:hAnsi="Arial"/>
          <w:sz w:val="21"/>
        </w:rPr>
        <w:t>数额为</w:t>
      </w:r>
      <w:r w:rsidRPr="003F5882">
        <w:rPr>
          <w:rFonts w:ascii="Arial" w:hAnsi="Arial"/>
          <w:sz w:val="21"/>
        </w:rPr>
        <w:t>12,500</w:t>
      </w:r>
      <w:r w:rsidRPr="003F5882">
        <w:rPr>
          <w:rFonts w:ascii="Arial" w:hAnsi="Arial"/>
          <w:sz w:val="21"/>
        </w:rPr>
        <w:t>瑞郎，在</w:t>
      </w:r>
      <w:r w:rsidRPr="003F5882">
        <w:rPr>
          <w:rFonts w:ascii="Arial" w:hAnsi="Arial"/>
          <w:sz w:val="21"/>
        </w:rPr>
        <w:t>2015</w:t>
      </w:r>
      <w:r w:rsidRPr="003F5882">
        <w:rPr>
          <w:rFonts w:ascii="Arial" w:hAnsi="Arial"/>
          <w:sz w:val="21"/>
        </w:rPr>
        <w:t>年初支付给了本组织的一位前任副总</w:t>
      </w:r>
      <w:r w:rsidRPr="003374D7">
        <w:rPr>
          <w:rFonts w:ascii="Arial" w:hAnsi="Arial" w:cs="Times New Roman"/>
          <w:sz w:val="21"/>
        </w:rPr>
        <w:t>干事</w:t>
      </w:r>
      <w:r w:rsidRPr="003F5882">
        <w:rPr>
          <w:rFonts w:ascii="Arial" w:hAnsi="Arial"/>
          <w:sz w:val="21"/>
        </w:rPr>
        <w:t>作为其任务期满后产生的两个月租金费用的补偿。</w:t>
      </w:r>
    </w:p>
    <w:p w:rsidR="007D62CB" w:rsidRDefault="007D62CB" w:rsidP="00C14A2F">
      <w:pPr>
        <w:pStyle w:val="Styletexte"/>
        <w:spacing w:after="0"/>
        <w:rPr>
          <w:rFonts w:ascii="Arial" w:hAnsi="Arial"/>
          <w:sz w:val="21"/>
          <w:szCs w:val="22"/>
        </w:rPr>
      </w:pPr>
    </w:p>
    <w:p w:rsidR="00C14A2F" w:rsidRPr="00DA4636" w:rsidRDefault="00DA4636" w:rsidP="00DA4636">
      <w:pPr>
        <w:autoSpaceDE w:val="0"/>
        <w:autoSpaceDN w:val="0"/>
        <w:adjustRightInd w:val="0"/>
        <w:spacing w:afterLines="50" w:after="120" w:line="340" w:lineRule="atLeast"/>
        <w:ind w:left="5534"/>
        <w:jc w:val="both"/>
        <w:rPr>
          <w:rFonts w:ascii="KaiTi" w:eastAsia="KaiTi" w:hAnsi="KaiTi" w:cs="Times New Roman"/>
          <w:sz w:val="21"/>
        </w:rPr>
      </w:pPr>
      <w:r>
        <w:rPr>
          <w:rFonts w:ascii="KaiTi" w:eastAsia="KaiTi" w:hAnsi="KaiTi" w:cs="Arial" w:hint="eastAsia"/>
          <w:sz w:val="21"/>
          <w:szCs w:val="22"/>
        </w:rPr>
        <w:t>[</w:t>
      </w:r>
      <w:r w:rsidR="00C14A2F" w:rsidRPr="00DA4636">
        <w:rPr>
          <w:rFonts w:ascii="KaiTi" w:eastAsia="KaiTi" w:hAnsi="KaiTi"/>
          <w:sz w:val="21"/>
        </w:rPr>
        <w:t>文件完</w:t>
      </w:r>
      <w:r w:rsidR="00C14A2F" w:rsidRPr="00DA4636">
        <w:rPr>
          <w:rFonts w:ascii="KaiTi" w:eastAsia="KaiTi" w:hAnsi="KaiTi" w:cs="Arial"/>
          <w:sz w:val="21"/>
          <w:szCs w:val="22"/>
        </w:rPr>
        <w:sym w:font="Symbol" w:char="F05D"/>
      </w:r>
    </w:p>
    <w:sectPr w:rsidR="00C14A2F" w:rsidRPr="00DA4636" w:rsidSect="00C822EE">
      <w:pgSz w:w="11907" w:h="16840" w:code="9"/>
      <w:pgMar w:top="851" w:right="1247" w:bottom="1531" w:left="1247" w:header="720" w:footer="720" w:gutter="0"/>
      <w:cols w:space="720"/>
      <w:docGrid w:linePitch="4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882" w:rsidRPr="003F5882" w:rsidRDefault="003F5882">
      <w:r w:rsidRPr="003F5882">
        <w:separator/>
      </w:r>
    </w:p>
  </w:endnote>
  <w:endnote w:type="continuationSeparator" w:id="0">
    <w:p w:rsidR="003F5882" w:rsidRPr="003F5882" w:rsidRDefault="003F5882">
      <w:r w:rsidRPr="003F58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Arial Unicode MS"/>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882" w:rsidRPr="003F5882" w:rsidRDefault="003F5882" w:rsidP="00F04843">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882" w:rsidRPr="003F5882" w:rsidRDefault="003F5882" w:rsidP="003312C4">
    <w:pPr>
      <w:pStyle w:val="a3"/>
      <w:jc w:val="center"/>
      <w:rPr>
        <w:rFonts w:ascii="Arial" w:hAnsi="Arial" w:cs="Arial"/>
      </w:rPr>
    </w:pPr>
  </w:p>
  <w:p w:rsidR="003F5882" w:rsidRPr="003F5882" w:rsidRDefault="003F5882">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882" w:rsidRPr="003F5882" w:rsidRDefault="003F5882" w:rsidP="003312C4">
    <w:pPr>
      <w:pStyle w:val="a3"/>
      <w:jc w:val="center"/>
      <w:rPr>
        <w:rFonts w:ascii="Arial" w:hAnsi="Arial" w:cs="Arial"/>
      </w:rPr>
    </w:pPr>
  </w:p>
  <w:p w:rsidR="003F5882" w:rsidRPr="003F5882" w:rsidRDefault="003F5882" w:rsidP="003312C4">
    <w:pPr>
      <w:pStyle w:val="a3"/>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882" w:rsidRPr="003F5882" w:rsidRDefault="003F5882" w:rsidP="00F04843">
    <w:pPr>
      <w:pStyle w:val="a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882" w:rsidRPr="003F5882" w:rsidRDefault="003F5882">
    <w:pPr>
      <w:pStyle w:val="a3"/>
      <w:rPr>
        <w:rFonts w:ascii="Arial Narrow" w:hAnsi="Arial Narrow"/>
        <w:sz w:val="16"/>
        <w:szCs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882" w:rsidRPr="003F5882" w:rsidRDefault="003F5882" w:rsidP="00F04843">
    <w:pPr>
      <w:pStyle w:val="a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882" w:rsidRPr="003F5882" w:rsidRDefault="003F5882" w:rsidP="00F04843">
    <w:pPr>
      <w:pStyle w:val="a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882" w:rsidRPr="003F5882" w:rsidRDefault="003F5882" w:rsidP="00F0484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882" w:rsidRPr="003F5882" w:rsidRDefault="003F5882">
      <w:r w:rsidRPr="003F5882">
        <w:separator/>
      </w:r>
    </w:p>
  </w:footnote>
  <w:footnote w:type="continuationSeparator" w:id="0">
    <w:p w:rsidR="003F5882" w:rsidRPr="003F5882" w:rsidRDefault="003F5882">
      <w:r w:rsidRPr="003F5882">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882" w:rsidRPr="003F5882" w:rsidRDefault="003F5882" w:rsidP="003312C4">
    <w:pPr>
      <w:jc w:val="right"/>
    </w:pPr>
    <w:r w:rsidRPr="003F5882">
      <w:t>WO/PBC/24/8</w:t>
    </w:r>
  </w:p>
  <w:p w:rsidR="003F5882" w:rsidRPr="003F5882" w:rsidRDefault="003F5882" w:rsidP="003312C4">
    <w:pPr>
      <w:jc w:val="right"/>
    </w:pPr>
    <w:r w:rsidRPr="003F5882">
      <w:t xml:space="preserve">page </w:t>
    </w:r>
    <w:r w:rsidRPr="003F5882">
      <w:fldChar w:fldCharType="begin"/>
    </w:r>
    <w:r w:rsidRPr="003F5882">
      <w:instrText xml:space="preserve"> PAGE  \* MERGEFORMAT </w:instrText>
    </w:r>
    <w:r w:rsidRPr="003F5882">
      <w:fldChar w:fldCharType="separate"/>
    </w:r>
    <w:r w:rsidR="00B31204">
      <w:rPr>
        <w:noProof/>
      </w:rPr>
      <w:t>70</w:t>
    </w:r>
    <w:r w:rsidRPr="003F5882">
      <w:rPr>
        <w:noProof/>
      </w:rPr>
      <w:fldChar w:fldCharType="end"/>
    </w:r>
  </w:p>
  <w:p w:rsidR="003F5882" w:rsidRPr="003F5882" w:rsidRDefault="003F5882" w:rsidP="003312C4">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882" w:rsidRPr="003F5882" w:rsidRDefault="003F5882" w:rsidP="003312C4">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882" w:rsidRPr="003F5882" w:rsidRDefault="003F5882">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882" w:rsidRPr="003F5882" w:rsidRDefault="003F5882" w:rsidP="003312C4">
    <w:pPr>
      <w:pStyle w:val="a5"/>
      <w:rPr>
        <w:b/>
        <w:sz w:val="18"/>
        <w:szCs w:val="18"/>
      </w:rPr>
    </w:pPr>
    <w:r w:rsidRPr="003F5882">
      <w:rPr>
        <w:b/>
        <w:sz w:val="18"/>
      </w:rPr>
      <w:t>2010年财务报表</w:t>
    </w:r>
  </w:p>
  <w:p w:rsidR="003F5882" w:rsidRPr="003F5882" w:rsidRDefault="003F5882" w:rsidP="003312C4">
    <w:pPr>
      <w:pStyle w:val="a5"/>
      <w:rPr>
        <w:rFonts w:ascii="Arial" w:hAnsi="Arial" w:cs="Arial"/>
        <w:b/>
        <w:sz w:val="18"/>
        <w:szCs w:val="18"/>
      </w:rPr>
    </w:pPr>
  </w:p>
  <w:p w:rsidR="003F5882" w:rsidRPr="003F5882" w:rsidRDefault="003F5882" w:rsidP="003312C4">
    <w:pPr>
      <w:pStyle w:val="a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882" w:rsidRPr="00F453AC" w:rsidRDefault="003F5882" w:rsidP="003312C4">
    <w:pPr>
      <w:pStyle w:val="a5"/>
      <w:jc w:val="right"/>
      <w:rPr>
        <w:rStyle w:val="a4"/>
        <w:rFonts w:ascii="Arial" w:eastAsia="SimHei" w:hAnsi="Arial" w:cs="Times New Roman"/>
        <w:sz w:val="18"/>
        <w:szCs w:val="18"/>
      </w:rPr>
    </w:pPr>
    <w:r w:rsidRPr="00F453AC">
      <w:rPr>
        <w:rStyle w:val="a4"/>
        <w:rFonts w:ascii="Arial" w:eastAsia="SimHei" w:hAnsi="Arial" w:cs="Times New Roman"/>
        <w:sz w:val="18"/>
      </w:rPr>
      <w:t>2014</w:t>
    </w:r>
    <w:r w:rsidRPr="00F453AC">
      <w:rPr>
        <w:rStyle w:val="a4"/>
        <w:rFonts w:ascii="Arial" w:eastAsia="SimHei" w:hAnsi="Arial" w:cs="Times New Roman"/>
        <w:sz w:val="18"/>
      </w:rPr>
      <w:t>年年度财务报告和财务报表</w:t>
    </w:r>
  </w:p>
  <w:p w:rsidR="003F5882" w:rsidRDefault="003F5882" w:rsidP="00CA4DB8">
    <w:pPr>
      <w:pStyle w:val="a5"/>
      <w:jc w:val="right"/>
      <w:rPr>
        <w:rFonts w:ascii="Arial" w:eastAsia="SimHei" w:hAnsi="Arial" w:cs="Times New Roman"/>
        <w:noProof/>
        <w:sz w:val="18"/>
        <w:szCs w:val="18"/>
      </w:rPr>
    </w:pPr>
    <w:r w:rsidRPr="00F453AC">
      <w:rPr>
        <w:rStyle w:val="a4"/>
        <w:rFonts w:ascii="Arial" w:eastAsia="SimHei" w:hAnsi="Arial" w:cs="Times New Roman"/>
        <w:sz w:val="18"/>
      </w:rPr>
      <w:t>第</w:t>
    </w:r>
    <w:r w:rsidRPr="00F453AC">
      <w:rPr>
        <w:rFonts w:ascii="Arial" w:eastAsia="SimHei" w:hAnsi="Arial" w:cs="Times New Roman"/>
        <w:sz w:val="18"/>
        <w:szCs w:val="18"/>
      </w:rPr>
      <w:fldChar w:fldCharType="begin"/>
    </w:r>
    <w:r w:rsidRPr="00F453AC">
      <w:rPr>
        <w:rFonts w:ascii="Arial" w:eastAsia="SimHei" w:hAnsi="Arial" w:cs="Times New Roman"/>
        <w:sz w:val="18"/>
        <w:szCs w:val="18"/>
      </w:rPr>
      <w:instrText xml:space="preserve"> PAGE   \* MERGEFORMAT </w:instrText>
    </w:r>
    <w:r w:rsidRPr="00F453AC">
      <w:rPr>
        <w:rFonts w:ascii="Arial" w:eastAsia="SimHei" w:hAnsi="Arial" w:cs="Times New Roman"/>
        <w:sz w:val="18"/>
        <w:szCs w:val="18"/>
      </w:rPr>
      <w:fldChar w:fldCharType="separate"/>
    </w:r>
    <w:r w:rsidR="00C822EE">
      <w:rPr>
        <w:rFonts w:ascii="Arial" w:eastAsia="SimHei" w:hAnsi="Arial" w:cs="Times New Roman"/>
        <w:noProof/>
        <w:sz w:val="18"/>
        <w:szCs w:val="18"/>
      </w:rPr>
      <w:t>21</w:t>
    </w:r>
    <w:r w:rsidRPr="00F453AC">
      <w:rPr>
        <w:rFonts w:ascii="Arial" w:eastAsia="SimHei" w:hAnsi="Arial" w:cs="Times New Roman"/>
        <w:noProof/>
        <w:sz w:val="18"/>
        <w:szCs w:val="18"/>
      </w:rPr>
      <w:fldChar w:fldCharType="end"/>
    </w:r>
    <w:r w:rsidRPr="00F453AC">
      <w:rPr>
        <w:rFonts w:ascii="Arial" w:eastAsia="SimHei" w:hAnsi="Arial" w:cs="Times New Roman"/>
        <w:noProof/>
        <w:sz w:val="18"/>
        <w:szCs w:val="18"/>
      </w:rPr>
      <w:t>页</w:t>
    </w:r>
  </w:p>
  <w:p w:rsidR="003F5882" w:rsidRPr="003F5882" w:rsidRDefault="003F5882" w:rsidP="00CA4DB8">
    <w:pPr>
      <w:pStyle w:val="a5"/>
      <w:jc w:val="right"/>
      <w:rPr>
        <w:rFonts w:ascii="Arial" w:hAnsi="Arial" w:cs="Arial"/>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882" w:rsidRPr="003F5882" w:rsidRDefault="003F5882" w:rsidP="003312C4">
    <w:pPr>
      <w:pStyle w:val="a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882" w:rsidRPr="00F453AC" w:rsidRDefault="003F5882" w:rsidP="00737FA8">
    <w:pPr>
      <w:pStyle w:val="a5"/>
      <w:rPr>
        <w:rStyle w:val="a4"/>
        <w:rFonts w:ascii="Arial" w:eastAsia="SimHei" w:hAnsi="Arial" w:cs="Times New Roman"/>
        <w:sz w:val="18"/>
      </w:rPr>
    </w:pPr>
    <w:r w:rsidRPr="00F453AC">
      <w:rPr>
        <w:rStyle w:val="a4"/>
        <w:rFonts w:ascii="Arial" w:eastAsia="SimHei" w:hAnsi="Arial" w:cs="Times New Roman"/>
        <w:sz w:val="18"/>
      </w:rPr>
      <w:t>2014</w:t>
    </w:r>
    <w:r w:rsidRPr="00F453AC">
      <w:rPr>
        <w:rStyle w:val="a4"/>
        <w:rFonts w:ascii="Arial" w:eastAsia="SimHei" w:hAnsi="Arial" w:cs="Times New Roman"/>
        <w:sz w:val="18"/>
      </w:rPr>
      <w:t>年年度财务报告和财务</w:t>
    </w:r>
    <w:r>
      <w:rPr>
        <w:rStyle w:val="a4"/>
        <w:rFonts w:ascii="Arial" w:eastAsia="SimHei" w:hAnsi="Arial" w:cs="Times New Roman" w:hint="eastAsia"/>
        <w:sz w:val="18"/>
      </w:rPr>
      <w:t>报</w:t>
    </w:r>
    <w:r w:rsidRPr="00F453AC">
      <w:rPr>
        <w:rStyle w:val="a4"/>
        <w:rFonts w:ascii="Arial" w:eastAsia="SimHei" w:hAnsi="Arial" w:cs="Times New Roman"/>
        <w:sz w:val="18"/>
      </w:rPr>
      <w:t>表</w:t>
    </w:r>
  </w:p>
  <w:p w:rsidR="003F5882" w:rsidRPr="00F453AC" w:rsidRDefault="003F5882" w:rsidP="00737FA8">
    <w:pPr>
      <w:pStyle w:val="a5"/>
      <w:rPr>
        <w:rStyle w:val="a4"/>
        <w:rFonts w:ascii="Arial" w:eastAsia="SimHei" w:hAnsi="Arial" w:cs="Times New Roman"/>
      </w:rPr>
    </w:pPr>
    <w:r w:rsidRPr="00F453AC">
      <w:rPr>
        <w:rStyle w:val="a4"/>
        <w:rFonts w:ascii="Arial" w:eastAsia="SimHei" w:hAnsi="Arial" w:cs="Times New Roman" w:hint="eastAsia"/>
        <w:sz w:val="18"/>
      </w:rPr>
      <w:t>第</w:t>
    </w:r>
    <w:r w:rsidRPr="00F453AC">
      <w:rPr>
        <w:rStyle w:val="a4"/>
        <w:rFonts w:ascii="Arial" w:eastAsia="SimHei" w:hAnsi="Arial" w:cs="Times New Roman"/>
        <w:sz w:val="18"/>
      </w:rPr>
      <w:fldChar w:fldCharType="begin"/>
    </w:r>
    <w:r w:rsidRPr="00F453AC">
      <w:rPr>
        <w:rStyle w:val="a4"/>
        <w:rFonts w:ascii="Arial" w:eastAsia="SimHei" w:hAnsi="Arial" w:cs="Times New Roman"/>
        <w:sz w:val="18"/>
      </w:rPr>
      <w:instrText xml:space="preserve"> PAGE   \* MERGEFORMAT </w:instrText>
    </w:r>
    <w:r w:rsidRPr="00F453AC">
      <w:rPr>
        <w:rStyle w:val="a4"/>
        <w:rFonts w:ascii="Arial" w:eastAsia="SimHei" w:hAnsi="Arial" w:cs="Times New Roman"/>
        <w:sz w:val="18"/>
      </w:rPr>
      <w:fldChar w:fldCharType="separate"/>
    </w:r>
    <w:r w:rsidR="00C822EE">
      <w:rPr>
        <w:rStyle w:val="a4"/>
        <w:rFonts w:ascii="Arial" w:eastAsia="SimHei" w:hAnsi="Arial" w:cs="Times New Roman"/>
        <w:noProof/>
        <w:sz w:val="18"/>
      </w:rPr>
      <w:t>70</w:t>
    </w:r>
    <w:r w:rsidRPr="00F453AC">
      <w:rPr>
        <w:rStyle w:val="a4"/>
        <w:rFonts w:ascii="Arial" w:eastAsia="SimHei" w:hAnsi="Arial" w:cs="Times New Roman"/>
        <w:sz w:val="18"/>
      </w:rPr>
      <w:fldChar w:fldCharType="end"/>
    </w:r>
    <w:r w:rsidRPr="00F453AC">
      <w:rPr>
        <w:rStyle w:val="a4"/>
        <w:rFonts w:ascii="Arial" w:eastAsia="SimHei" w:hAnsi="Arial" w:cs="Times New Roman" w:hint="eastAsia"/>
        <w:sz w:val="18"/>
      </w:rPr>
      <w:t>页</w:t>
    </w:r>
  </w:p>
  <w:p w:rsidR="003F5882" w:rsidRPr="003F5882" w:rsidRDefault="003F5882" w:rsidP="000E71F4">
    <w:pPr>
      <w:pStyle w:val="a5"/>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882" w:rsidRPr="00F453AC" w:rsidRDefault="003F5882" w:rsidP="00E04F07">
    <w:pPr>
      <w:pStyle w:val="a5"/>
      <w:jc w:val="right"/>
      <w:rPr>
        <w:rStyle w:val="a4"/>
        <w:rFonts w:ascii="Arial" w:eastAsia="SimHei" w:hAnsi="Arial" w:cs="Times New Roman"/>
        <w:sz w:val="18"/>
      </w:rPr>
    </w:pPr>
    <w:r w:rsidRPr="00F453AC">
      <w:rPr>
        <w:rStyle w:val="a4"/>
        <w:rFonts w:ascii="Arial" w:eastAsia="SimHei" w:hAnsi="Arial" w:cs="Times New Roman"/>
        <w:sz w:val="18"/>
      </w:rPr>
      <w:t>2014</w:t>
    </w:r>
    <w:r w:rsidRPr="00F453AC">
      <w:rPr>
        <w:rStyle w:val="a4"/>
        <w:rFonts w:ascii="Arial" w:eastAsia="SimHei" w:hAnsi="Arial" w:cs="Times New Roman"/>
        <w:sz w:val="18"/>
      </w:rPr>
      <w:t>年年度财务报告和财务</w:t>
    </w:r>
    <w:r>
      <w:rPr>
        <w:rStyle w:val="a4"/>
        <w:rFonts w:ascii="Arial" w:eastAsia="SimHei" w:hAnsi="Arial" w:cs="Times New Roman" w:hint="eastAsia"/>
        <w:sz w:val="18"/>
      </w:rPr>
      <w:t>报</w:t>
    </w:r>
    <w:r w:rsidRPr="00F453AC">
      <w:rPr>
        <w:rStyle w:val="a4"/>
        <w:rFonts w:ascii="Arial" w:eastAsia="SimHei" w:hAnsi="Arial" w:cs="Times New Roman"/>
        <w:sz w:val="18"/>
      </w:rPr>
      <w:t>表</w:t>
    </w:r>
  </w:p>
  <w:p w:rsidR="003F5882" w:rsidRDefault="003F5882" w:rsidP="00CA4DB8">
    <w:pPr>
      <w:pStyle w:val="a5"/>
      <w:jc w:val="right"/>
      <w:rPr>
        <w:rStyle w:val="a4"/>
        <w:rFonts w:ascii="Arial" w:eastAsia="SimHei" w:hAnsi="Arial" w:cs="Times New Roman"/>
        <w:sz w:val="18"/>
      </w:rPr>
    </w:pPr>
    <w:r w:rsidRPr="00F453AC">
      <w:rPr>
        <w:rStyle w:val="a4"/>
        <w:rFonts w:ascii="Arial" w:eastAsia="SimHei" w:hAnsi="Arial" w:cs="Times New Roman" w:hint="eastAsia"/>
        <w:sz w:val="18"/>
      </w:rPr>
      <w:t>第</w:t>
    </w:r>
    <w:r w:rsidRPr="00F453AC">
      <w:rPr>
        <w:rStyle w:val="a4"/>
        <w:rFonts w:ascii="Arial" w:eastAsia="SimHei" w:hAnsi="Arial" w:cs="Times New Roman"/>
        <w:sz w:val="18"/>
      </w:rPr>
      <w:fldChar w:fldCharType="begin"/>
    </w:r>
    <w:r w:rsidRPr="00F453AC">
      <w:rPr>
        <w:rStyle w:val="a4"/>
        <w:rFonts w:ascii="Arial" w:eastAsia="SimHei" w:hAnsi="Arial" w:cs="Times New Roman"/>
        <w:sz w:val="18"/>
      </w:rPr>
      <w:instrText xml:space="preserve"> PAGE   \* MERGEFORMAT </w:instrText>
    </w:r>
    <w:r w:rsidRPr="00F453AC">
      <w:rPr>
        <w:rStyle w:val="a4"/>
        <w:rFonts w:ascii="Arial" w:eastAsia="SimHei" w:hAnsi="Arial" w:cs="Times New Roman"/>
        <w:sz w:val="18"/>
      </w:rPr>
      <w:fldChar w:fldCharType="separate"/>
    </w:r>
    <w:r w:rsidR="00C822EE">
      <w:rPr>
        <w:rStyle w:val="a4"/>
        <w:rFonts w:ascii="Arial" w:eastAsia="SimHei" w:hAnsi="Arial" w:cs="Times New Roman"/>
        <w:noProof/>
        <w:sz w:val="18"/>
      </w:rPr>
      <w:t>27</w:t>
    </w:r>
    <w:r w:rsidRPr="00F453AC">
      <w:rPr>
        <w:rStyle w:val="a4"/>
        <w:rFonts w:ascii="Arial" w:eastAsia="SimHei" w:hAnsi="Arial" w:cs="Times New Roman"/>
        <w:sz w:val="18"/>
      </w:rPr>
      <w:fldChar w:fldCharType="end"/>
    </w:r>
    <w:r w:rsidRPr="00F453AC">
      <w:rPr>
        <w:rStyle w:val="a4"/>
        <w:rFonts w:ascii="Arial" w:eastAsia="SimHei" w:hAnsi="Arial" w:cs="Times New Roman" w:hint="eastAsia"/>
        <w:sz w:val="18"/>
      </w:rPr>
      <w:t>页</w:t>
    </w:r>
  </w:p>
  <w:p w:rsidR="003F5882" w:rsidRPr="003F5882" w:rsidRDefault="003F5882" w:rsidP="00CA4DB8">
    <w:pPr>
      <w:pStyle w:val="a5"/>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882" w:rsidRPr="00F453AC" w:rsidRDefault="003F5882" w:rsidP="000E71F4">
    <w:pPr>
      <w:pStyle w:val="a5"/>
      <w:jc w:val="right"/>
      <w:rPr>
        <w:rFonts w:ascii="Arial" w:eastAsia="SimHei" w:hAnsi="Arial" w:cs="Times New Roman"/>
        <w:sz w:val="18"/>
        <w:szCs w:val="18"/>
      </w:rPr>
    </w:pPr>
    <w:r w:rsidRPr="00F453AC">
      <w:rPr>
        <w:rFonts w:ascii="Arial" w:eastAsia="SimHei" w:hAnsi="Arial" w:cs="Times New Roman"/>
        <w:sz w:val="18"/>
      </w:rPr>
      <w:t>2014</w:t>
    </w:r>
    <w:r w:rsidRPr="00F453AC">
      <w:rPr>
        <w:rFonts w:ascii="Arial" w:eastAsia="SimHei" w:hAnsi="Arial" w:cs="Times New Roman"/>
        <w:sz w:val="18"/>
      </w:rPr>
      <w:t>年年度财务报告和财务</w:t>
    </w:r>
    <w:r>
      <w:rPr>
        <w:rFonts w:ascii="Arial" w:eastAsia="SimHei" w:hAnsi="Arial" w:cs="Times New Roman" w:hint="eastAsia"/>
        <w:sz w:val="18"/>
      </w:rPr>
      <w:t>报</w:t>
    </w:r>
    <w:r w:rsidRPr="00F453AC">
      <w:rPr>
        <w:rFonts w:ascii="Arial" w:eastAsia="SimHei" w:hAnsi="Arial" w:cs="Times New Roman"/>
        <w:sz w:val="18"/>
      </w:rPr>
      <w:t>表</w:t>
    </w:r>
  </w:p>
  <w:p w:rsidR="003F5882" w:rsidRDefault="003F5882" w:rsidP="00CA4DB8">
    <w:pPr>
      <w:pStyle w:val="a5"/>
      <w:jc w:val="right"/>
      <w:rPr>
        <w:rStyle w:val="a4"/>
        <w:rFonts w:ascii="Arial" w:eastAsia="SimHei" w:hAnsi="Arial" w:cs="Times New Roman"/>
        <w:sz w:val="18"/>
        <w:szCs w:val="18"/>
      </w:rPr>
    </w:pPr>
    <w:r w:rsidRPr="00F453AC">
      <w:rPr>
        <w:rStyle w:val="a4"/>
        <w:rFonts w:ascii="Arial" w:eastAsia="SimHei" w:hAnsi="Arial" w:cs="Times New Roman" w:hint="eastAsia"/>
        <w:sz w:val="18"/>
      </w:rPr>
      <w:t>第</w:t>
    </w:r>
    <w:r w:rsidRPr="00F453AC">
      <w:rPr>
        <w:rStyle w:val="a4"/>
        <w:rFonts w:ascii="Arial" w:eastAsia="SimHei" w:hAnsi="Arial" w:cs="Times New Roman"/>
        <w:sz w:val="18"/>
        <w:szCs w:val="18"/>
      </w:rPr>
      <w:fldChar w:fldCharType="begin"/>
    </w:r>
    <w:r w:rsidRPr="00F453AC">
      <w:rPr>
        <w:rStyle w:val="a4"/>
        <w:rFonts w:ascii="Arial" w:eastAsia="SimHei" w:hAnsi="Arial" w:cs="Times New Roman"/>
        <w:sz w:val="18"/>
        <w:szCs w:val="18"/>
      </w:rPr>
      <w:instrText xml:space="preserve"> PAGE </w:instrText>
    </w:r>
    <w:r w:rsidRPr="00F453AC">
      <w:rPr>
        <w:rStyle w:val="a4"/>
        <w:rFonts w:ascii="Arial" w:eastAsia="SimHei" w:hAnsi="Arial" w:cs="Times New Roman"/>
        <w:sz w:val="18"/>
        <w:szCs w:val="18"/>
      </w:rPr>
      <w:fldChar w:fldCharType="separate"/>
    </w:r>
    <w:r w:rsidR="00C822EE">
      <w:rPr>
        <w:rStyle w:val="a4"/>
        <w:rFonts w:ascii="Arial" w:eastAsia="SimHei" w:hAnsi="Arial" w:cs="Times New Roman"/>
        <w:noProof/>
        <w:sz w:val="18"/>
        <w:szCs w:val="18"/>
      </w:rPr>
      <w:t>69</w:t>
    </w:r>
    <w:r w:rsidRPr="00F453AC">
      <w:rPr>
        <w:rStyle w:val="a4"/>
        <w:rFonts w:ascii="Arial" w:eastAsia="SimHei" w:hAnsi="Arial" w:cs="Times New Roman"/>
        <w:sz w:val="18"/>
        <w:szCs w:val="18"/>
      </w:rPr>
      <w:fldChar w:fldCharType="end"/>
    </w:r>
    <w:r w:rsidRPr="00F453AC">
      <w:rPr>
        <w:rStyle w:val="a4"/>
        <w:rFonts w:ascii="Arial" w:eastAsia="SimHei" w:hAnsi="Arial" w:cs="Times New Roman" w:hint="eastAsia"/>
        <w:sz w:val="18"/>
        <w:szCs w:val="18"/>
      </w:rPr>
      <w:t>页</w:t>
    </w:r>
  </w:p>
  <w:p w:rsidR="003F5882" w:rsidRPr="003F5882" w:rsidRDefault="003F5882" w:rsidP="00CA4DB8">
    <w:pPr>
      <w:pStyle w:val="a5"/>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BA6097C"/>
    <w:lvl w:ilvl="0">
      <w:start w:val="1"/>
      <w:numFmt w:val="decimal"/>
      <w:lvlRestart w:val="0"/>
      <w:pStyle w:val="ONUME"/>
      <w:lvlText w:val="%1."/>
      <w:lvlJc w:val="left"/>
      <w:pPr>
        <w:tabs>
          <w:tab w:val="num" w:pos="567"/>
        </w:tabs>
        <w:ind w:left="0" w:firstLine="0"/>
      </w:pPr>
      <w:rPr>
        <w:rFonts w:hint="default"/>
        <w:i w:val="0"/>
        <w:color w:val="auto"/>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8EF4EA7"/>
    <w:multiLevelType w:val="hybridMultilevel"/>
    <w:tmpl w:val="4636F804"/>
    <w:lvl w:ilvl="0" w:tplc="A5B480FC">
      <w:start w:val="1"/>
      <w:numFmt w:val="bullet"/>
      <w:lvlText w:val=""/>
      <w:lvlJc w:val="left"/>
      <w:pPr>
        <w:tabs>
          <w:tab w:val="num" w:pos="1021"/>
        </w:tabs>
        <w:ind w:left="1021"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E3503B6"/>
    <w:multiLevelType w:val="multilevel"/>
    <w:tmpl w:val="3D36B7CC"/>
    <w:lvl w:ilvl="0">
      <w:start w:val="1"/>
      <w:numFmt w:val="bullet"/>
      <w:lvlText w:val=""/>
      <w:lvlJc w:val="left"/>
      <w:pPr>
        <w:tabs>
          <w:tab w:val="num" w:pos="1174"/>
        </w:tabs>
        <w:ind w:left="1174" w:hanging="454"/>
      </w:pPr>
      <w:rPr>
        <w:rFonts w:ascii="Symbol" w:hAnsi="Symbol" w:hint="default"/>
      </w:rPr>
    </w:lvl>
    <w:lvl w:ilvl="1">
      <w:start w:val="1"/>
      <w:numFmt w:val="lowerLetter"/>
      <w:lvlText w:val="(%2)"/>
      <w:lvlJc w:val="left"/>
      <w:pPr>
        <w:tabs>
          <w:tab w:val="num" w:pos="1854"/>
        </w:tabs>
        <w:ind w:left="1287" w:firstLine="0"/>
      </w:pPr>
      <w:rPr>
        <w:rFonts w:hint="default"/>
      </w:rPr>
    </w:lvl>
    <w:lvl w:ilvl="2">
      <w:start w:val="1"/>
      <w:numFmt w:val="lowerRoman"/>
      <w:lvlText w:val="(%3)"/>
      <w:lvlJc w:val="left"/>
      <w:pPr>
        <w:tabs>
          <w:tab w:val="num" w:pos="2421"/>
        </w:tabs>
        <w:ind w:left="1854" w:firstLine="0"/>
      </w:pPr>
      <w:rPr>
        <w:rFonts w:hint="default"/>
      </w:rPr>
    </w:lvl>
    <w:lvl w:ilvl="3">
      <w:start w:val="1"/>
      <w:numFmt w:val="bullet"/>
      <w:lvlText w:val=""/>
      <w:lvlJc w:val="left"/>
      <w:pPr>
        <w:tabs>
          <w:tab w:val="num" w:pos="2988"/>
        </w:tabs>
        <w:ind w:left="2421" w:firstLine="0"/>
      </w:pPr>
      <w:rPr>
        <w:rFonts w:hint="default"/>
      </w:rPr>
    </w:lvl>
    <w:lvl w:ilvl="4">
      <w:start w:val="1"/>
      <w:numFmt w:val="bullet"/>
      <w:lvlText w:val=""/>
      <w:lvlJc w:val="left"/>
      <w:pPr>
        <w:tabs>
          <w:tab w:val="num" w:pos="3555"/>
        </w:tabs>
        <w:ind w:left="2988" w:firstLine="0"/>
      </w:pPr>
      <w:rPr>
        <w:rFonts w:hint="default"/>
      </w:rPr>
    </w:lvl>
    <w:lvl w:ilvl="5">
      <w:start w:val="1"/>
      <w:numFmt w:val="bullet"/>
      <w:lvlText w:val=""/>
      <w:lvlJc w:val="left"/>
      <w:pPr>
        <w:tabs>
          <w:tab w:val="num" w:pos="4122"/>
        </w:tabs>
        <w:ind w:left="3555" w:firstLine="0"/>
      </w:pPr>
      <w:rPr>
        <w:rFonts w:hint="default"/>
      </w:rPr>
    </w:lvl>
    <w:lvl w:ilvl="6">
      <w:start w:val="1"/>
      <w:numFmt w:val="bullet"/>
      <w:lvlText w:val=""/>
      <w:lvlJc w:val="left"/>
      <w:pPr>
        <w:tabs>
          <w:tab w:val="num" w:pos="4689"/>
        </w:tabs>
        <w:ind w:left="4122" w:firstLine="0"/>
      </w:pPr>
      <w:rPr>
        <w:rFonts w:hint="default"/>
      </w:rPr>
    </w:lvl>
    <w:lvl w:ilvl="7">
      <w:start w:val="1"/>
      <w:numFmt w:val="bullet"/>
      <w:lvlText w:val=""/>
      <w:lvlJc w:val="left"/>
      <w:pPr>
        <w:tabs>
          <w:tab w:val="num" w:pos="5255"/>
        </w:tabs>
        <w:ind w:left="4689" w:firstLine="0"/>
      </w:pPr>
      <w:rPr>
        <w:rFonts w:hint="default"/>
      </w:rPr>
    </w:lvl>
    <w:lvl w:ilvl="8">
      <w:start w:val="1"/>
      <w:numFmt w:val="bullet"/>
      <w:lvlText w:val=""/>
      <w:lvlJc w:val="left"/>
      <w:pPr>
        <w:tabs>
          <w:tab w:val="num" w:pos="5822"/>
        </w:tabs>
        <w:ind w:left="5255" w:firstLine="0"/>
      </w:pPr>
      <w:rPr>
        <w:rFonts w:hint="default"/>
      </w:rPr>
    </w:lvl>
  </w:abstractNum>
  <w:abstractNum w:abstractNumId="3">
    <w:nsid w:val="38A13F76"/>
    <w:multiLevelType w:val="hybridMultilevel"/>
    <w:tmpl w:val="BDAA92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40332B0A"/>
    <w:multiLevelType w:val="hybridMultilevel"/>
    <w:tmpl w:val="297E2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316939"/>
    <w:multiLevelType w:val="multilevel"/>
    <w:tmpl w:val="095200DC"/>
    <w:lvl w:ilvl="0">
      <w:start w:val="1"/>
      <w:numFmt w:val="bullet"/>
      <w:lvlText w:val=""/>
      <w:lvlJc w:val="left"/>
      <w:pPr>
        <w:tabs>
          <w:tab w:val="num" w:pos="1174"/>
        </w:tabs>
        <w:ind w:left="1174" w:hanging="454"/>
      </w:pPr>
      <w:rPr>
        <w:rFonts w:ascii="Symbol" w:hAnsi="Symbol" w:hint="default"/>
      </w:rPr>
    </w:lvl>
    <w:lvl w:ilvl="1">
      <w:start w:val="1"/>
      <w:numFmt w:val="lowerLetter"/>
      <w:lvlText w:val="(%2)"/>
      <w:lvlJc w:val="left"/>
      <w:pPr>
        <w:tabs>
          <w:tab w:val="num" w:pos="1854"/>
        </w:tabs>
        <w:ind w:left="1287" w:firstLine="0"/>
      </w:pPr>
      <w:rPr>
        <w:rFonts w:hint="default"/>
      </w:rPr>
    </w:lvl>
    <w:lvl w:ilvl="2">
      <w:start w:val="1"/>
      <w:numFmt w:val="lowerRoman"/>
      <w:lvlText w:val="(%3)"/>
      <w:lvlJc w:val="left"/>
      <w:pPr>
        <w:tabs>
          <w:tab w:val="num" w:pos="2421"/>
        </w:tabs>
        <w:ind w:left="1854" w:firstLine="0"/>
      </w:pPr>
      <w:rPr>
        <w:rFonts w:hint="default"/>
      </w:rPr>
    </w:lvl>
    <w:lvl w:ilvl="3">
      <w:start w:val="1"/>
      <w:numFmt w:val="bullet"/>
      <w:lvlText w:val=""/>
      <w:lvlJc w:val="left"/>
      <w:pPr>
        <w:tabs>
          <w:tab w:val="num" w:pos="2988"/>
        </w:tabs>
        <w:ind w:left="2421" w:firstLine="0"/>
      </w:pPr>
      <w:rPr>
        <w:rFonts w:hint="default"/>
      </w:rPr>
    </w:lvl>
    <w:lvl w:ilvl="4">
      <w:start w:val="1"/>
      <w:numFmt w:val="bullet"/>
      <w:lvlText w:val=""/>
      <w:lvlJc w:val="left"/>
      <w:pPr>
        <w:tabs>
          <w:tab w:val="num" w:pos="3555"/>
        </w:tabs>
        <w:ind w:left="2988" w:firstLine="0"/>
      </w:pPr>
      <w:rPr>
        <w:rFonts w:hint="default"/>
      </w:rPr>
    </w:lvl>
    <w:lvl w:ilvl="5">
      <w:start w:val="1"/>
      <w:numFmt w:val="bullet"/>
      <w:lvlText w:val=""/>
      <w:lvlJc w:val="left"/>
      <w:pPr>
        <w:tabs>
          <w:tab w:val="num" w:pos="4122"/>
        </w:tabs>
        <w:ind w:left="3555" w:firstLine="0"/>
      </w:pPr>
      <w:rPr>
        <w:rFonts w:hint="default"/>
      </w:rPr>
    </w:lvl>
    <w:lvl w:ilvl="6">
      <w:start w:val="1"/>
      <w:numFmt w:val="bullet"/>
      <w:lvlText w:val=""/>
      <w:lvlJc w:val="left"/>
      <w:pPr>
        <w:tabs>
          <w:tab w:val="num" w:pos="4689"/>
        </w:tabs>
        <w:ind w:left="4122" w:firstLine="0"/>
      </w:pPr>
      <w:rPr>
        <w:rFonts w:hint="default"/>
      </w:rPr>
    </w:lvl>
    <w:lvl w:ilvl="7">
      <w:start w:val="1"/>
      <w:numFmt w:val="bullet"/>
      <w:lvlText w:val=""/>
      <w:lvlJc w:val="left"/>
      <w:pPr>
        <w:tabs>
          <w:tab w:val="num" w:pos="5255"/>
        </w:tabs>
        <w:ind w:left="4689" w:firstLine="0"/>
      </w:pPr>
      <w:rPr>
        <w:rFonts w:hint="default"/>
      </w:rPr>
    </w:lvl>
    <w:lvl w:ilvl="8">
      <w:start w:val="1"/>
      <w:numFmt w:val="bullet"/>
      <w:lvlText w:val=""/>
      <w:lvlJc w:val="left"/>
      <w:pPr>
        <w:tabs>
          <w:tab w:val="num" w:pos="5822"/>
        </w:tabs>
        <w:ind w:left="5255" w:firstLine="0"/>
      </w:pPr>
      <w:rPr>
        <w:rFonts w:hint="default"/>
      </w:rPr>
    </w:lvl>
  </w:abstractNum>
  <w:abstractNum w:abstractNumId="6">
    <w:nsid w:val="4B681E54"/>
    <w:multiLevelType w:val="hybridMultilevel"/>
    <w:tmpl w:val="7AD8343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4C2974AE"/>
    <w:multiLevelType w:val="multilevel"/>
    <w:tmpl w:val="1A8A6602"/>
    <w:lvl w:ilvl="0">
      <w:start w:val="1"/>
      <w:numFmt w:val="bullet"/>
      <w:lvlText w:val=""/>
      <w:lvlJc w:val="left"/>
      <w:pPr>
        <w:tabs>
          <w:tab w:val="num" w:pos="1174"/>
        </w:tabs>
        <w:ind w:left="1174" w:hanging="454"/>
      </w:pPr>
      <w:rPr>
        <w:rFonts w:ascii="Symbol" w:hAnsi="Symbol" w:hint="default"/>
      </w:rPr>
    </w:lvl>
    <w:lvl w:ilvl="1">
      <w:start w:val="1"/>
      <w:numFmt w:val="lowerLetter"/>
      <w:lvlText w:val="(%2)"/>
      <w:lvlJc w:val="left"/>
      <w:pPr>
        <w:tabs>
          <w:tab w:val="num" w:pos="1854"/>
        </w:tabs>
        <w:ind w:left="1287" w:firstLine="0"/>
      </w:pPr>
      <w:rPr>
        <w:rFonts w:hint="default"/>
      </w:rPr>
    </w:lvl>
    <w:lvl w:ilvl="2">
      <w:start w:val="1"/>
      <w:numFmt w:val="lowerRoman"/>
      <w:lvlText w:val="(%3)"/>
      <w:lvlJc w:val="left"/>
      <w:pPr>
        <w:tabs>
          <w:tab w:val="num" w:pos="2421"/>
        </w:tabs>
        <w:ind w:left="1854" w:firstLine="0"/>
      </w:pPr>
      <w:rPr>
        <w:rFonts w:hint="default"/>
      </w:rPr>
    </w:lvl>
    <w:lvl w:ilvl="3">
      <w:start w:val="1"/>
      <w:numFmt w:val="bullet"/>
      <w:lvlText w:val=""/>
      <w:lvlJc w:val="left"/>
      <w:pPr>
        <w:tabs>
          <w:tab w:val="num" w:pos="2988"/>
        </w:tabs>
        <w:ind w:left="2421" w:firstLine="0"/>
      </w:pPr>
      <w:rPr>
        <w:rFonts w:hint="default"/>
      </w:rPr>
    </w:lvl>
    <w:lvl w:ilvl="4">
      <w:start w:val="1"/>
      <w:numFmt w:val="bullet"/>
      <w:lvlText w:val=""/>
      <w:lvlJc w:val="left"/>
      <w:pPr>
        <w:tabs>
          <w:tab w:val="num" w:pos="3555"/>
        </w:tabs>
        <w:ind w:left="2988" w:firstLine="0"/>
      </w:pPr>
      <w:rPr>
        <w:rFonts w:hint="default"/>
      </w:rPr>
    </w:lvl>
    <w:lvl w:ilvl="5">
      <w:start w:val="1"/>
      <w:numFmt w:val="bullet"/>
      <w:lvlText w:val=""/>
      <w:lvlJc w:val="left"/>
      <w:pPr>
        <w:tabs>
          <w:tab w:val="num" w:pos="4122"/>
        </w:tabs>
        <w:ind w:left="3555" w:firstLine="0"/>
      </w:pPr>
      <w:rPr>
        <w:rFonts w:hint="default"/>
      </w:rPr>
    </w:lvl>
    <w:lvl w:ilvl="6">
      <w:start w:val="1"/>
      <w:numFmt w:val="bullet"/>
      <w:lvlText w:val=""/>
      <w:lvlJc w:val="left"/>
      <w:pPr>
        <w:tabs>
          <w:tab w:val="num" w:pos="4689"/>
        </w:tabs>
        <w:ind w:left="4122" w:firstLine="0"/>
      </w:pPr>
      <w:rPr>
        <w:rFonts w:hint="default"/>
      </w:rPr>
    </w:lvl>
    <w:lvl w:ilvl="7">
      <w:start w:val="1"/>
      <w:numFmt w:val="bullet"/>
      <w:lvlText w:val=""/>
      <w:lvlJc w:val="left"/>
      <w:pPr>
        <w:tabs>
          <w:tab w:val="num" w:pos="5255"/>
        </w:tabs>
        <w:ind w:left="4689" w:firstLine="0"/>
      </w:pPr>
      <w:rPr>
        <w:rFonts w:hint="default"/>
      </w:rPr>
    </w:lvl>
    <w:lvl w:ilvl="8">
      <w:start w:val="1"/>
      <w:numFmt w:val="bullet"/>
      <w:lvlText w:val=""/>
      <w:lvlJc w:val="left"/>
      <w:pPr>
        <w:tabs>
          <w:tab w:val="num" w:pos="5822"/>
        </w:tabs>
        <w:ind w:left="5255" w:firstLine="0"/>
      </w:pPr>
      <w:rPr>
        <w:rFonts w:hint="default"/>
      </w:rPr>
    </w:lvl>
  </w:abstractNum>
  <w:abstractNum w:abstractNumId="8">
    <w:nsid w:val="55224321"/>
    <w:multiLevelType w:val="hybridMultilevel"/>
    <w:tmpl w:val="251E6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673A46"/>
    <w:multiLevelType w:val="hybridMultilevel"/>
    <w:tmpl w:val="94A4F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A676EAC"/>
    <w:multiLevelType w:val="multilevel"/>
    <w:tmpl w:val="FA90ECCA"/>
    <w:lvl w:ilvl="0">
      <w:start w:val="1"/>
      <w:numFmt w:val="bullet"/>
      <w:lvlText w:val=""/>
      <w:lvlJc w:val="left"/>
      <w:pPr>
        <w:tabs>
          <w:tab w:val="num" w:pos="1174"/>
        </w:tabs>
        <w:ind w:left="1174" w:hanging="454"/>
      </w:pPr>
      <w:rPr>
        <w:rFonts w:ascii="Symbol" w:hAnsi="Symbol" w:hint="default"/>
      </w:rPr>
    </w:lvl>
    <w:lvl w:ilvl="1">
      <w:start w:val="1"/>
      <w:numFmt w:val="lowerLetter"/>
      <w:lvlText w:val="(%2)"/>
      <w:lvlJc w:val="left"/>
      <w:pPr>
        <w:tabs>
          <w:tab w:val="num" w:pos="1854"/>
        </w:tabs>
        <w:ind w:left="1287" w:firstLine="0"/>
      </w:pPr>
      <w:rPr>
        <w:rFonts w:hint="default"/>
      </w:rPr>
    </w:lvl>
    <w:lvl w:ilvl="2">
      <w:start w:val="1"/>
      <w:numFmt w:val="lowerRoman"/>
      <w:lvlText w:val="(%3)"/>
      <w:lvlJc w:val="left"/>
      <w:pPr>
        <w:tabs>
          <w:tab w:val="num" w:pos="2421"/>
        </w:tabs>
        <w:ind w:left="1854" w:firstLine="0"/>
      </w:pPr>
      <w:rPr>
        <w:rFonts w:hint="default"/>
      </w:rPr>
    </w:lvl>
    <w:lvl w:ilvl="3">
      <w:start w:val="1"/>
      <w:numFmt w:val="bullet"/>
      <w:lvlText w:val=""/>
      <w:lvlJc w:val="left"/>
      <w:pPr>
        <w:tabs>
          <w:tab w:val="num" w:pos="2988"/>
        </w:tabs>
        <w:ind w:left="2421" w:firstLine="0"/>
      </w:pPr>
      <w:rPr>
        <w:rFonts w:hint="default"/>
      </w:rPr>
    </w:lvl>
    <w:lvl w:ilvl="4">
      <w:start w:val="1"/>
      <w:numFmt w:val="bullet"/>
      <w:lvlText w:val=""/>
      <w:lvlJc w:val="left"/>
      <w:pPr>
        <w:tabs>
          <w:tab w:val="num" w:pos="3555"/>
        </w:tabs>
        <w:ind w:left="2988" w:firstLine="0"/>
      </w:pPr>
      <w:rPr>
        <w:rFonts w:hint="default"/>
      </w:rPr>
    </w:lvl>
    <w:lvl w:ilvl="5">
      <w:start w:val="1"/>
      <w:numFmt w:val="bullet"/>
      <w:lvlText w:val=""/>
      <w:lvlJc w:val="left"/>
      <w:pPr>
        <w:tabs>
          <w:tab w:val="num" w:pos="4122"/>
        </w:tabs>
        <w:ind w:left="3555" w:firstLine="0"/>
      </w:pPr>
      <w:rPr>
        <w:rFonts w:hint="default"/>
      </w:rPr>
    </w:lvl>
    <w:lvl w:ilvl="6">
      <w:start w:val="1"/>
      <w:numFmt w:val="bullet"/>
      <w:lvlText w:val=""/>
      <w:lvlJc w:val="left"/>
      <w:pPr>
        <w:tabs>
          <w:tab w:val="num" w:pos="4689"/>
        </w:tabs>
        <w:ind w:left="4122" w:firstLine="0"/>
      </w:pPr>
      <w:rPr>
        <w:rFonts w:hint="default"/>
      </w:rPr>
    </w:lvl>
    <w:lvl w:ilvl="7">
      <w:start w:val="1"/>
      <w:numFmt w:val="bullet"/>
      <w:lvlText w:val=""/>
      <w:lvlJc w:val="left"/>
      <w:pPr>
        <w:tabs>
          <w:tab w:val="num" w:pos="5255"/>
        </w:tabs>
        <w:ind w:left="4689" w:firstLine="0"/>
      </w:pPr>
      <w:rPr>
        <w:rFonts w:hint="default"/>
      </w:rPr>
    </w:lvl>
    <w:lvl w:ilvl="8">
      <w:start w:val="1"/>
      <w:numFmt w:val="bullet"/>
      <w:lvlText w:val=""/>
      <w:lvlJc w:val="left"/>
      <w:pPr>
        <w:tabs>
          <w:tab w:val="num" w:pos="5822"/>
        </w:tabs>
        <w:ind w:left="5255" w:firstLine="0"/>
      </w:pPr>
      <w:rPr>
        <w:rFonts w:hint="default"/>
      </w:rPr>
    </w:lvl>
  </w:abstractNum>
  <w:abstractNum w:abstractNumId="11">
    <w:nsid w:val="6A576666"/>
    <w:multiLevelType w:val="hybridMultilevel"/>
    <w:tmpl w:val="3426E8F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8454A5F"/>
    <w:multiLevelType w:val="multilevel"/>
    <w:tmpl w:val="CD84E4F6"/>
    <w:lvl w:ilvl="0">
      <w:start w:val="1"/>
      <w:numFmt w:val="bullet"/>
      <w:lvlText w:val=""/>
      <w:lvlJc w:val="left"/>
      <w:pPr>
        <w:tabs>
          <w:tab w:val="num" w:pos="1174"/>
        </w:tabs>
        <w:ind w:left="1174" w:hanging="454"/>
      </w:pPr>
      <w:rPr>
        <w:rFonts w:ascii="Symbol" w:hAnsi="Symbol" w:hint="default"/>
      </w:rPr>
    </w:lvl>
    <w:lvl w:ilvl="1">
      <w:start w:val="1"/>
      <w:numFmt w:val="lowerLetter"/>
      <w:lvlText w:val="(%2)"/>
      <w:lvlJc w:val="left"/>
      <w:pPr>
        <w:tabs>
          <w:tab w:val="num" w:pos="1854"/>
        </w:tabs>
        <w:ind w:left="1287" w:firstLine="0"/>
      </w:pPr>
      <w:rPr>
        <w:rFonts w:hint="default"/>
      </w:rPr>
    </w:lvl>
    <w:lvl w:ilvl="2">
      <w:start w:val="1"/>
      <w:numFmt w:val="lowerRoman"/>
      <w:lvlText w:val="(%3)"/>
      <w:lvlJc w:val="left"/>
      <w:pPr>
        <w:tabs>
          <w:tab w:val="num" w:pos="2421"/>
        </w:tabs>
        <w:ind w:left="1854" w:firstLine="0"/>
      </w:pPr>
      <w:rPr>
        <w:rFonts w:hint="default"/>
      </w:rPr>
    </w:lvl>
    <w:lvl w:ilvl="3">
      <w:start w:val="1"/>
      <w:numFmt w:val="bullet"/>
      <w:lvlText w:val=""/>
      <w:lvlJc w:val="left"/>
      <w:pPr>
        <w:tabs>
          <w:tab w:val="num" w:pos="2988"/>
        </w:tabs>
        <w:ind w:left="2421" w:firstLine="0"/>
      </w:pPr>
      <w:rPr>
        <w:rFonts w:hint="default"/>
      </w:rPr>
    </w:lvl>
    <w:lvl w:ilvl="4">
      <w:start w:val="1"/>
      <w:numFmt w:val="bullet"/>
      <w:lvlText w:val=""/>
      <w:lvlJc w:val="left"/>
      <w:pPr>
        <w:tabs>
          <w:tab w:val="num" w:pos="3555"/>
        </w:tabs>
        <w:ind w:left="2988" w:firstLine="0"/>
      </w:pPr>
      <w:rPr>
        <w:rFonts w:hint="default"/>
      </w:rPr>
    </w:lvl>
    <w:lvl w:ilvl="5">
      <w:start w:val="1"/>
      <w:numFmt w:val="bullet"/>
      <w:lvlText w:val=""/>
      <w:lvlJc w:val="left"/>
      <w:pPr>
        <w:tabs>
          <w:tab w:val="num" w:pos="4122"/>
        </w:tabs>
        <w:ind w:left="3555" w:firstLine="0"/>
      </w:pPr>
      <w:rPr>
        <w:rFonts w:hint="default"/>
      </w:rPr>
    </w:lvl>
    <w:lvl w:ilvl="6">
      <w:start w:val="1"/>
      <w:numFmt w:val="bullet"/>
      <w:lvlText w:val=""/>
      <w:lvlJc w:val="left"/>
      <w:pPr>
        <w:tabs>
          <w:tab w:val="num" w:pos="4689"/>
        </w:tabs>
        <w:ind w:left="4122" w:firstLine="0"/>
      </w:pPr>
      <w:rPr>
        <w:rFonts w:hint="default"/>
      </w:rPr>
    </w:lvl>
    <w:lvl w:ilvl="7">
      <w:start w:val="1"/>
      <w:numFmt w:val="bullet"/>
      <w:lvlText w:val=""/>
      <w:lvlJc w:val="left"/>
      <w:pPr>
        <w:tabs>
          <w:tab w:val="num" w:pos="5255"/>
        </w:tabs>
        <w:ind w:left="4689" w:firstLine="0"/>
      </w:pPr>
      <w:rPr>
        <w:rFonts w:hint="default"/>
      </w:rPr>
    </w:lvl>
    <w:lvl w:ilvl="8">
      <w:start w:val="1"/>
      <w:numFmt w:val="bullet"/>
      <w:lvlText w:val=""/>
      <w:lvlJc w:val="left"/>
      <w:pPr>
        <w:tabs>
          <w:tab w:val="num" w:pos="5822"/>
        </w:tabs>
        <w:ind w:left="5255" w:firstLine="0"/>
      </w:pPr>
      <w:rPr>
        <w:rFonts w:hint="default"/>
      </w:rPr>
    </w:lvl>
  </w:abstractNum>
  <w:num w:numId="1">
    <w:abstractNumId w:val="0"/>
  </w:num>
  <w:num w:numId="2">
    <w:abstractNumId w:val="1"/>
  </w:num>
  <w:num w:numId="3">
    <w:abstractNumId w:val="10"/>
  </w:num>
  <w:num w:numId="4">
    <w:abstractNumId w:val="7"/>
  </w:num>
  <w:num w:numId="5">
    <w:abstractNumId w:val="12"/>
  </w:num>
  <w:num w:numId="6">
    <w:abstractNumId w:val="2"/>
  </w:num>
  <w:num w:numId="7">
    <w:abstractNumId w:val="5"/>
  </w:num>
  <w:num w:numId="8">
    <w:abstractNumId w:val="8"/>
  </w:num>
  <w:num w:numId="9">
    <w:abstractNumId w:val="9"/>
  </w:num>
  <w:num w:numId="10">
    <w:abstractNumId w:val="4"/>
  </w:num>
  <w:num w:numId="11">
    <w:abstractNumId w:val="6"/>
  </w:num>
  <w:num w:numId="12">
    <w:abstractNumId w:val="11"/>
  </w:num>
  <w:num w:numId="13">
    <w:abstractNumId w:val="3"/>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567"/>
  <w:evenAndOddHeaders/>
  <w:drawingGridHorizontalSpacing w:val="120"/>
  <w:drawingGridVerticalSpacing w:val="200"/>
  <w:displayHorizontalDrawingGridEvery w:val="0"/>
  <w:displayVerticalDrawingGridEvery w:val="2"/>
  <w:characterSpacingControl w:val="compressPunctuation"/>
  <w:hdrShapeDefaults>
    <o:shapedefaults v:ext="edit" spidmax="23553"/>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FAF"/>
    <w:rsid w:val="00002E6A"/>
    <w:rsid w:val="00015333"/>
    <w:rsid w:val="00016113"/>
    <w:rsid w:val="00040C60"/>
    <w:rsid w:val="0004367C"/>
    <w:rsid w:val="00043A60"/>
    <w:rsid w:val="00051289"/>
    <w:rsid w:val="00060D99"/>
    <w:rsid w:val="00061502"/>
    <w:rsid w:val="000668D1"/>
    <w:rsid w:val="00074192"/>
    <w:rsid w:val="000903EB"/>
    <w:rsid w:val="00090C60"/>
    <w:rsid w:val="000B17C9"/>
    <w:rsid w:val="000B25F1"/>
    <w:rsid w:val="000B4427"/>
    <w:rsid w:val="000B5928"/>
    <w:rsid w:val="000C1F8F"/>
    <w:rsid w:val="000C712F"/>
    <w:rsid w:val="000E71F4"/>
    <w:rsid w:val="000F19EB"/>
    <w:rsid w:val="0010307E"/>
    <w:rsid w:val="00147D0B"/>
    <w:rsid w:val="00154D37"/>
    <w:rsid w:val="001551C5"/>
    <w:rsid w:val="001562FA"/>
    <w:rsid w:val="00156D1C"/>
    <w:rsid w:val="001626A9"/>
    <w:rsid w:val="00167580"/>
    <w:rsid w:val="00172565"/>
    <w:rsid w:val="001756F8"/>
    <w:rsid w:val="00180F28"/>
    <w:rsid w:val="00181706"/>
    <w:rsid w:val="00182DD3"/>
    <w:rsid w:val="001852D6"/>
    <w:rsid w:val="00197394"/>
    <w:rsid w:val="001A0441"/>
    <w:rsid w:val="001C002D"/>
    <w:rsid w:val="001D182D"/>
    <w:rsid w:val="001D4FAE"/>
    <w:rsid w:val="001E0C61"/>
    <w:rsid w:val="001E3836"/>
    <w:rsid w:val="001E38DA"/>
    <w:rsid w:val="001F344E"/>
    <w:rsid w:val="001F5553"/>
    <w:rsid w:val="001F6BD3"/>
    <w:rsid w:val="001F702E"/>
    <w:rsid w:val="002157BD"/>
    <w:rsid w:val="00224322"/>
    <w:rsid w:val="00227EC4"/>
    <w:rsid w:val="002311C9"/>
    <w:rsid w:val="002319B5"/>
    <w:rsid w:val="00232119"/>
    <w:rsid w:val="00235C78"/>
    <w:rsid w:val="002569A2"/>
    <w:rsid w:val="00256E0A"/>
    <w:rsid w:val="00262868"/>
    <w:rsid w:val="00263AAA"/>
    <w:rsid w:val="00267468"/>
    <w:rsid w:val="00267C92"/>
    <w:rsid w:val="00291B82"/>
    <w:rsid w:val="00293B04"/>
    <w:rsid w:val="00293E42"/>
    <w:rsid w:val="002A46D2"/>
    <w:rsid w:val="002B5151"/>
    <w:rsid w:val="002B5228"/>
    <w:rsid w:val="002B5921"/>
    <w:rsid w:val="002C0646"/>
    <w:rsid w:val="002C1A71"/>
    <w:rsid w:val="002C41FE"/>
    <w:rsid w:val="002C790A"/>
    <w:rsid w:val="002C7CB0"/>
    <w:rsid w:val="002E1CCE"/>
    <w:rsid w:val="002E7744"/>
    <w:rsid w:val="00330F27"/>
    <w:rsid w:val="003310BD"/>
    <w:rsid w:val="003312C4"/>
    <w:rsid w:val="003374D7"/>
    <w:rsid w:val="00337550"/>
    <w:rsid w:val="00343D11"/>
    <w:rsid w:val="0034571D"/>
    <w:rsid w:val="00345CDB"/>
    <w:rsid w:val="0035169C"/>
    <w:rsid w:val="00353659"/>
    <w:rsid w:val="003607F7"/>
    <w:rsid w:val="00362309"/>
    <w:rsid w:val="00364017"/>
    <w:rsid w:val="00375393"/>
    <w:rsid w:val="00380B3D"/>
    <w:rsid w:val="00380F24"/>
    <w:rsid w:val="00382D64"/>
    <w:rsid w:val="00383E7F"/>
    <w:rsid w:val="003867EE"/>
    <w:rsid w:val="003A221D"/>
    <w:rsid w:val="003A3368"/>
    <w:rsid w:val="003A4316"/>
    <w:rsid w:val="003A760D"/>
    <w:rsid w:val="003D06E3"/>
    <w:rsid w:val="003D34C9"/>
    <w:rsid w:val="003F5882"/>
    <w:rsid w:val="00414186"/>
    <w:rsid w:val="00416115"/>
    <w:rsid w:val="004628EC"/>
    <w:rsid w:val="0046395C"/>
    <w:rsid w:val="00466C8D"/>
    <w:rsid w:val="00467D0E"/>
    <w:rsid w:val="00471850"/>
    <w:rsid w:val="00471F02"/>
    <w:rsid w:val="00477034"/>
    <w:rsid w:val="00477C6B"/>
    <w:rsid w:val="004813DC"/>
    <w:rsid w:val="0049079D"/>
    <w:rsid w:val="00492B34"/>
    <w:rsid w:val="004A3DCB"/>
    <w:rsid w:val="004A6EA6"/>
    <w:rsid w:val="004A754C"/>
    <w:rsid w:val="004C2A4E"/>
    <w:rsid w:val="004D3DB5"/>
    <w:rsid w:val="004D3E79"/>
    <w:rsid w:val="00507F46"/>
    <w:rsid w:val="005124A1"/>
    <w:rsid w:val="00512FC5"/>
    <w:rsid w:val="00513111"/>
    <w:rsid w:val="005273FB"/>
    <w:rsid w:val="00537B0E"/>
    <w:rsid w:val="0055211E"/>
    <w:rsid w:val="00590211"/>
    <w:rsid w:val="005A1605"/>
    <w:rsid w:val="005A3711"/>
    <w:rsid w:val="005A383E"/>
    <w:rsid w:val="005B3B2F"/>
    <w:rsid w:val="005B7C1B"/>
    <w:rsid w:val="005C201C"/>
    <w:rsid w:val="005C4FAF"/>
    <w:rsid w:val="005D2147"/>
    <w:rsid w:val="005D3ED9"/>
    <w:rsid w:val="005D4062"/>
    <w:rsid w:val="005D406D"/>
    <w:rsid w:val="005E0B89"/>
    <w:rsid w:val="005E25B7"/>
    <w:rsid w:val="005F14E0"/>
    <w:rsid w:val="005F55CA"/>
    <w:rsid w:val="005F7738"/>
    <w:rsid w:val="00600D47"/>
    <w:rsid w:val="0060785A"/>
    <w:rsid w:val="0061101B"/>
    <w:rsid w:val="00611D86"/>
    <w:rsid w:val="00614A71"/>
    <w:rsid w:val="006208DD"/>
    <w:rsid w:val="00621366"/>
    <w:rsid w:val="00626523"/>
    <w:rsid w:val="0062686F"/>
    <w:rsid w:val="00637B23"/>
    <w:rsid w:val="00640C72"/>
    <w:rsid w:val="00643AAB"/>
    <w:rsid w:val="00650B87"/>
    <w:rsid w:val="00662C7A"/>
    <w:rsid w:val="00667D28"/>
    <w:rsid w:val="00676755"/>
    <w:rsid w:val="006800C6"/>
    <w:rsid w:val="006804F0"/>
    <w:rsid w:val="00690AF5"/>
    <w:rsid w:val="006936B7"/>
    <w:rsid w:val="00693EB3"/>
    <w:rsid w:val="00694522"/>
    <w:rsid w:val="00695D01"/>
    <w:rsid w:val="006B22C6"/>
    <w:rsid w:val="006B388F"/>
    <w:rsid w:val="006C0099"/>
    <w:rsid w:val="006D0602"/>
    <w:rsid w:val="006E1873"/>
    <w:rsid w:val="006E2576"/>
    <w:rsid w:val="006E6F50"/>
    <w:rsid w:val="006F16A3"/>
    <w:rsid w:val="006F274B"/>
    <w:rsid w:val="006F45CF"/>
    <w:rsid w:val="00704CA6"/>
    <w:rsid w:val="00715D9C"/>
    <w:rsid w:val="00737FA8"/>
    <w:rsid w:val="0074278E"/>
    <w:rsid w:val="007474BF"/>
    <w:rsid w:val="007475C1"/>
    <w:rsid w:val="00750D97"/>
    <w:rsid w:val="007568E0"/>
    <w:rsid w:val="00757EF5"/>
    <w:rsid w:val="007606A8"/>
    <w:rsid w:val="00761A36"/>
    <w:rsid w:val="00762732"/>
    <w:rsid w:val="00762C26"/>
    <w:rsid w:val="007656B8"/>
    <w:rsid w:val="007710D4"/>
    <w:rsid w:val="00780FB8"/>
    <w:rsid w:val="00782EE3"/>
    <w:rsid w:val="00792D8B"/>
    <w:rsid w:val="007958AA"/>
    <w:rsid w:val="007B1C92"/>
    <w:rsid w:val="007B516A"/>
    <w:rsid w:val="007B51AD"/>
    <w:rsid w:val="007C0F20"/>
    <w:rsid w:val="007C383E"/>
    <w:rsid w:val="007C7570"/>
    <w:rsid w:val="007D03BB"/>
    <w:rsid w:val="007D2159"/>
    <w:rsid w:val="007D590A"/>
    <w:rsid w:val="007D62CB"/>
    <w:rsid w:val="007E074E"/>
    <w:rsid w:val="007E1D46"/>
    <w:rsid w:val="007E2741"/>
    <w:rsid w:val="007E5E03"/>
    <w:rsid w:val="007E60D3"/>
    <w:rsid w:val="007F07E4"/>
    <w:rsid w:val="007F25D6"/>
    <w:rsid w:val="007F3925"/>
    <w:rsid w:val="00811D36"/>
    <w:rsid w:val="00817E19"/>
    <w:rsid w:val="00821F3A"/>
    <w:rsid w:val="0083060A"/>
    <w:rsid w:val="00836F15"/>
    <w:rsid w:val="0084216B"/>
    <w:rsid w:val="00842F05"/>
    <w:rsid w:val="00844EA1"/>
    <w:rsid w:val="0084670D"/>
    <w:rsid w:val="00847D63"/>
    <w:rsid w:val="00850567"/>
    <w:rsid w:val="0085112C"/>
    <w:rsid w:val="00867E7C"/>
    <w:rsid w:val="00872A6B"/>
    <w:rsid w:val="008736CD"/>
    <w:rsid w:val="008753BF"/>
    <w:rsid w:val="00884C79"/>
    <w:rsid w:val="00884E92"/>
    <w:rsid w:val="00885AC6"/>
    <w:rsid w:val="008870B9"/>
    <w:rsid w:val="00895A93"/>
    <w:rsid w:val="008A06FA"/>
    <w:rsid w:val="008B4B0B"/>
    <w:rsid w:val="008B7B1D"/>
    <w:rsid w:val="008D4D04"/>
    <w:rsid w:val="008F15ED"/>
    <w:rsid w:val="008F4CC3"/>
    <w:rsid w:val="00907170"/>
    <w:rsid w:val="0093544E"/>
    <w:rsid w:val="0094391D"/>
    <w:rsid w:val="009534EC"/>
    <w:rsid w:val="00954694"/>
    <w:rsid w:val="00957E5D"/>
    <w:rsid w:val="00961838"/>
    <w:rsid w:val="00963AC8"/>
    <w:rsid w:val="00967D64"/>
    <w:rsid w:val="00982BE3"/>
    <w:rsid w:val="00986E9F"/>
    <w:rsid w:val="009B1044"/>
    <w:rsid w:val="009B1432"/>
    <w:rsid w:val="009B1CAD"/>
    <w:rsid w:val="009F2BBA"/>
    <w:rsid w:val="009F5D8E"/>
    <w:rsid w:val="00A0016C"/>
    <w:rsid w:val="00A0386B"/>
    <w:rsid w:val="00A34DF1"/>
    <w:rsid w:val="00A41241"/>
    <w:rsid w:val="00A53669"/>
    <w:rsid w:val="00A61802"/>
    <w:rsid w:val="00A714C5"/>
    <w:rsid w:val="00A71BFE"/>
    <w:rsid w:val="00A729D7"/>
    <w:rsid w:val="00A838A5"/>
    <w:rsid w:val="00A9327B"/>
    <w:rsid w:val="00AA048B"/>
    <w:rsid w:val="00AA180B"/>
    <w:rsid w:val="00AA7885"/>
    <w:rsid w:val="00AC0413"/>
    <w:rsid w:val="00AC6731"/>
    <w:rsid w:val="00AD7009"/>
    <w:rsid w:val="00AE4EBB"/>
    <w:rsid w:val="00AF51BD"/>
    <w:rsid w:val="00AF7E89"/>
    <w:rsid w:val="00B04DC8"/>
    <w:rsid w:val="00B072EB"/>
    <w:rsid w:val="00B1086F"/>
    <w:rsid w:val="00B12580"/>
    <w:rsid w:val="00B15343"/>
    <w:rsid w:val="00B22ED9"/>
    <w:rsid w:val="00B301A7"/>
    <w:rsid w:val="00B31204"/>
    <w:rsid w:val="00B31D61"/>
    <w:rsid w:val="00B33124"/>
    <w:rsid w:val="00B377CC"/>
    <w:rsid w:val="00B420D8"/>
    <w:rsid w:val="00B508F5"/>
    <w:rsid w:val="00B638D5"/>
    <w:rsid w:val="00B77B78"/>
    <w:rsid w:val="00B83BD2"/>
    <w:rsid w:val="00B85169"/>
    <w:rsid w:val="00B95BF6"/>
    <w:rsid w:val="00B97946"/>
    <w:rsid w:val="00BA2AAC"/>
    <w:rsid w:val="00BA526B"/>
    <w:rsid w:val="00BA6CEA"/>
    <w:rsid w:val="00BC092F"/>
    <w:rsid w:val="00BC4623"/>
    <w:rsid w:val="00BE10B8"/>
    <w:rsid w:val="00BE2288"/>
    <w:rsid w:val="00BF026B"/>
    <w:rsid w:val="00BF2C42"/>
    <w:rsid w:val="00BF6EC2"/>
    <w:rsid w:val="00C053BA"/>
    <w:rsid w:val="00C118DF"/>
    <w:rsid w:val="00C14A2F"/>
    <w:rsid w:val="00C14F98"/>
    <w:rsid w:val="00C274D1"/>
    <w:rsid w:val="00C274FA"/>
    <w:rsid w:val="00C40A56"/>
    <w:rsid w:val="00C42D2A"/>
    <w:rsid w:val="00C4609B"/>
    <w:rsid w:val="00C56674"/>
    <w:rsid w:val="00C5721D"/>
    <w:rsid w:val="00C57683"/>
    <w:rsid w:val="00C60132"/>
    <w:rsid w:val="00C6578D"/>
    <w:rsid w:val="00C66D53"/>
    <w:rsid w:val="00C80CF8"/>
    <w:rsid w:val="00C8125B"/>
    <w:rsid w:val="00C822EE"/>
    <w:rsid w:val="00C82FE1"/>
    <w:rsid w:val="00C91F1C"/>
    <w:rsid w:val="00CA321F"/>
    <w:rsid w:val="00CA45E3"/>
    <w:rsid w:val="00CA4DB8"/>
    <w:rsid w:val="00CD0651"/>
    <w:rsid w:val="00CD5819"/>
    <w:rsid w:val="00CD5D7B"/>
    <w:rsid w:val="00CE65FB"/>
    <w:rsid w:val="00CE6755"/>
    <w:rsid w:val="00CF7798"/>
    <w:rsid w:val="00D01893"/>
    <w:rsid w:val="00D02669"/>
    <w:rsid w:val="00D0312D"/>
    <w:rsid w:val="00D176A7"/>
    <w:rsid w:val="00D20BAD"/>
    <w:rsid w:val="00D300F6"/>
    <w:rsid w:val="00D3024C"/>
    <w:rsid w:val="00D36BCD"/>
    <w:rsid w:val="00D36FA1"/>
    <w:rsid w:val="00D47C16"/>
    <w:rsid w:val="00D50C4F"/>
    <w:rsid w:val="00D518EB"/>
    <w:rsid w:val="00D52655"/>
    <w:rsid w:val="00D71275"/>
    <w:rsid w:val="00D73A44"/>
    <w:rsid w:val="00D765A0"/>
    <w:rsid w:val="00D80801"/>
    <w:rsid w:val="00D84912"/>
    <w:rsid w:val="00D84B47"/>
    <w:rsid w:val="00D85315"/>
    <w:rsid w:val="00DA4636"/>
    <w:rsid w:val="00DB7C3B"/>
    <w:rsid w:val="00DC3A3F"/>
    <w:rsid w:val="00DE6C6A"/>
    <w:rsid w:val="00E010EA"/>
    <w:rsid w:val="00E01750"/>
    <w:rsid w:val="00E04F07"/>
    <w:rsid w:val="00E1711C"/>
    <w:rsid w:val="00E2416B"/>
    <w:rsid w:val="00E34444"/>
    <w:rsid w:val="00E362AF"/>
    <w:rsid w:val="00E37ABC"/>
    <w:rsid w:val="00E4149A"/>
    <w:rsid w:val="00E50D0E"/>
    <w:rsid w:val="00E5772C"/>
    <w:rsid w:val="00E614B6"/>
    <w:rsid w:val="00E70772"/>
    <w:rsid w:val="00E7458E"/>
    <w:rsid w:val="00E77665"/>
    <w:rsid w:val="00E808BC"/>
    <w:rsid w:val="00E82A23"/>
    <w:rsid w:val="00E83775"/>
    <w:rsid w:val="00E8494E"/>
    <w:rsid w:val="00E93C63"/>
    <w:rsid w:val="00E96AAE"/>
    <w:rsid w:val="00EC45F5"/>
    <w:rsid w:val="00EC5A89"/>
    <w:rsid w:val="00ED723C"/>
    <w:rsid w:val="00EE03D2"/>
    <w:rsid w:val="00EE1B94"/>
    <w:rsid w:val="00EE35D7"/>
    <w:rsid w:val="00EE7A78"/>
    <w:rsid w:val="00F04843"/>
    <w:rsid w:val="00F10AD5"/>
    <w:rsid w:val="00F2198B"/>
    <w:rsid w:val="00F2666B"/>
    <w:rsid w:val="00F34386"/>
    <w:rsid w:val="00F35C80"/>
    <w:rsid w:val="00F4070F"/>
    <w:rsid w:val="00F4341B"/>
    <w:rsid w:val="00F453AC"/>
    <w:rsid w:val="00F46055"/>
    <w:rsid w:val="00F50283"/>
    <w:rsid w:val="00F659A8"/>
    <w:rsid w:val="00F672BE"/>
    <w:rsid w:val="00F70C99"/>
    <w:rsid w:val="00F73C3F"/>
    <w:rsid w:val="00F76015"/>
    <w:rsid w:val="00F77F5D"/>
    <w:rsid w:val="00F85FF0"/>
    <w:rsid w:val="00F86392"/>
    <w:rsid w:val="00F87FBE"/>
    <w:rsid w:val="00F94C09"/>
    <w:rsid w:val="00F96989"/>
    <w:rsid w:val="00FA52DE"/>
    <w:rsid w:val="00FB3BEB"/>
    <w:rsid w:val="00FC3643"/>
    <w:rsid w:val="00FD0477"/>
    <w:rsid w:val="00FD26C9"/>
    <w:rsid w:val="00FE0F2D"/>
    <w:rsid w:val="00FE2109"/>
    <w:rsid w:val="00FE3CAB"/>
    <w:rsid w:val="00FF1B8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zh-CN" w:eastAsia="zh-CN" w:bidi="zh-C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FAF"/>
    <w:rPr>
      <w:rFonts w:ascii="SimSun" w:hAnsi="SimSun" w:cs="SimSun"/>
      <w:kern w:val="0"/>
    </w:rPr>
  </w:style>
  <w:style w:type="paragraph" w:styleId="1">
    <w:name w:val="heading 1"/>
    <w:aliases w:val="Level 1"/>
    <w:basedOn w:val="a"/>
    <w:next w:val="a"/>
    <w:link w:val="1Char"/>
    <w:qFormat/>
    <w:rsid w:val="006C0099"/>
    <w:pPr>
      <w:spacing w:after="360"/>
      <w:ind w:left="284" w:hanging="284"/>
      <w:jc w:val="right"/>
      <w:outlineLvl w:val="0"/>
    </w:pPr>
    <w:rPr>
      <w:b/>
      <w:color w:val="FF0000"/>
      <w:kern w:val="40"/>
      <w:sz w:val="72"/>
    </w:rPr>
  </w:style>
  <w:style w:type="paragraph" w:styleId="2">
    <w:name w:val="heading 2"/>
    <w:basedOn w:val="a"/>
    <w:next w:val="a"/>
    <w:link w:val="2Char"/>
    <w:uiPriority w:val="9"/>
    <w:semiHidden/>
    <w:unhideWhenUsed/>
    <w:qFormat/>
    <w:rsid w:val="006C0099"/>
    <w:pPr>
      <w:keepNext/>
      <w:keepLines/>
      <w:spacing w:before="260" w:after="260" w:line="416" w:lineRule="auto"/>
      <w:outlineLvl w:val="1"/>
    </w:pPr>
    <w:rPr>
      <w:rFonts w:ascii="Times New Roman" w:eastAsia="Times New Roman"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C4FAF"/>
    <w:pPr>
      <w:tabs>
        <w:tab w:val="center" w:pos="4320"/>
        <w:tab w:val="right" w:pos="8640"/>
      </w:tabs>
    </w:pPr>
  </w:style>
  <w:style w:type="character" w:customStyle="1" w:styleId="Char">
    <w:name w:val="页脚 Char"/>
    <w:basedOn w:val="a0"/>
    <w:link w:val="a3"/>
    <w:uiPriority w:val="99"/>
    <w:rsid w:val="005C4FAF"/>
    <w:rPr>
      <w:rFonts w:ascii="SimSun" w:hAnsi="SimSun" w:cs="SimSun"/>
      <w:kern w:val="0"/>
      <w:lang w:eastAsia="zh-CN"/>
    </w:rPr>
  </w:style>
  <w:style w:type="character" w:styleId="a4">
    <w:name w:val="page number"/>
    <w:basedOn w:val="a0"/>
    <w:rsid w:val="005C4FAF"/>
  </w:style>
  <w:style w:type="paragraph" w:styleId="a5">
    <w:name w:val="header"/>
    <w:basedOn w:val="a"/>
    <w:link w:val="Char0"/>
    <w:uiPriority w:val="99"/>
    <w:rsid w:val="005C4FAF"/>
    <w:pPr>
      <w:tabs>
        <w:tab w:val="center" w:pos="4320"/>
        <w:tab w:val="right" w:pos="8640"/>
      </w:tabs>
    </w:pPr>
  </w:style>
  <w:style w:type="character" w:customStyle="1" w:styleId="Char0">
    <w:name w:val="页眉 Char"/>
    <w:basedOn w:val="a0"/>
    <w:link w:val="a5"/>
    <w:uiPriority w:val="99"/>
    <w:rsid w:val="005C4FAF"/>
    <w:rPr>
      <w:rFonts w:ascii="SimSun" w:hAnsi="SimSun" w:cs="SimSun"/>
      <w:kern w:val="0"/>
      <w:lang w:eastAsia="zh-CN"/>
    </w:rPr>
  </w:style>
  <w:style w:type="paragraph" w:customStyle="1" w:styleId="StyleHeading1">
    <w:name w:val="Style Heading 1"/>
    <w:aliases w:val="Level 1 + Arial Auto Centered Left:  0 cm First..."/>
    <w:rsid w:val="005C4FAF"/>
    <w:pPr>
      <w:jc w:val="center"/>
    </w:pPr>
    <w:rPr>
      <w:rFonts w:ascii="SimSun" w:hAnsi="SimSun" w:cs="SimSun"/>
      <w:b/>
      <w:bCs/>
      <w:kern w:val="40"/>
      <w:sz w:val="72"/>
      <w:szCs w:val="20"/>
    </w:rPr>
  </w:style>
  <w:style w:type="paragraph" w:customStyle="1" w:styleId="ONUME">
    <w:name w:val="ONUM E"/>
    <w:basedOn w:val="a6"/>
    <w:rsid w:val="005C4FAF"/>
    <w:pPr>
      <w:numPr>
        <w:numId w:val="1"/>
      </w:numPr>
      <w:spacing w:after="220"/>
    </w:pPr>
    <w:rPr>
      <w:rFonts w:eastAsia="SimSun"/>
      <w:sz w:val="22"/>
      <w:szCs w:val="20"/>
    </w:rPr>
  </w:style>
  <w:style w:type="paragraph" w:styleId="a7">
    <w:name w:val="List Paragraph"/>
    <w:basedOn w:val="a"/>
    <w:uiPriority w:val="34"/>
    <w:qFormat/>
    <w:rsid w:val="005C4FAF"/>
    <w:pPr>
      <w:ind w:left="720"/>
    </w:pPr>
  </w:style>
  <w:style w:type="paragraph" w:styleId="a6">
    <w:name w:val="Body Text"/>
    <w:basedOn w:val="a"/>
    <w:link w:val="Char1"/>
    <w:uiPriority w:val="99"/>
    <w:semiHidden/>
    <w:unhideWhenUsed/>
    <w:rsid w:val="005C4FAF"/>
    <w:pPr>
      <w:spacing w:after="120"/>
    </w:pPr>
  </w:style>
  <w:style w:type="character" w:customStyle="1" w:styleId="Char1">
    <w:name w:val="正文文本 Char"/>
    <w:basedOn w:val="a0"/>
    <w:link w:val="a6"/>
    <w:uiPriority w:val="99"/>
    <w:semiHidden/>
    <w:rsid w:val="005C4FAF"/>
    <w:rPr>
      <w:rFonts w:ascii="SimSun" w:hAnsi="SimSun" w:cs="SimSun"/>
      <w:kern w:val="0"/>
      <w:lang w:eastAsia="zh-CN"/>
    </w:rPr>
  </w:style>
  <w:style w:type="paragraph" w:styleId="a8">
    <w:name w:val="Balloon Text"/>
    <w:basedOn w:val="a"/>
    <w:link w:val="Char2"/>
    <w:uiPriority w:val="99"/>
    <w:semiHidden/>
    <w:unhideWhenUsed/>
    <w:rsid w:val="005C4FAF"/>
    <w:rPr>
      <w:sz w:val="18"/>
      <w:szCs w:val="18"/>
    </w:rPr>
  </w:style>
  <w:style w:type="character" w:customStyle="1" w:styleId="Char2">
    <w:name w:val="批注框文本 Char"/>
    <w:basedOn w:val="a0"/>
    <w:link w:val="a8"/>
    <w:uiPriority w:val="99"/>
    <w:semiHidden/>
    <w:rsid w:val="005C4FAF"/>
    <w:rPr>
      <w:rFonts w:ascii="SimSun" w:hAnsi="SimSun" w:cs="SimSun"/>
      <w:kern w:val="0"/>
      <w:sz w:val="18"/>
      <w:szCs w:val="18"/>
      <w:lang w:eastAsia="zh-CN"/>
    </w:rPr>
  </w:style>
  <w:style w:type="paragraph" w:styleId="a9">
    <w:name w:val="annotation text"/>
    <w:basedOn w:val="a"/>
    <w:link w:val="Char3"/>
    <w:uiPriority w:val="99"/>
    <w:semiHidden/>
    <w:unhideWhenUsed/>
  </w:style>
  <w:style w:type="character" w:customStyle="1" w:styleId="Char3">
    <w:name w:val="批注文字 Char"/>
    <w:basedOn w:val="a0"/>
    <w:link w:val="a9"/>
    <w:uiPriority w:val="99"/>
    <w:semiHidden/>
    <w:rPr>
      <w:rFonts w:ascii="SimSun" w:hAnsi="SimSun" w:cs="SimSun"/>
      <w:kern w:val="0"/>
    </w:rPr>
  </w:style>
  <w:style w:type="character" w:styleId="aa">
    <w:name w:val="annotation reference"/>
    <w:basedOn w:val="a0"/>
    <w:uiPriority w:val="99"/>
    <w:semiHidden/>
    <w:unhideWhenUsed/>
    <w:rPr>
      <w:sz w:val="21"/>
      <w:szCs w:val="21"/>
    </w:rPr>
  </w:style>
  <w:style w:type="paragraph" w:styleId="ab">
    <w:name w:val="annotation subject"/>
    <w:basedOn w:val="a9"/>
    <w:next w:val="a9"/>
    <w:link w:val="Char4"/>
    <w:uiPriority w:val="99"/>
    <w:semiHidden/>
    <w:unhideWhenUsed/>
    <w:rsid w:val="004A3DCB"/>
    <w:rPr>
      <w:b/>
      <w:bCs/>
    </w:rPr>
  </w:style>
  <w:style w:type="character" w:customStyle="1" w:styleId="Char4">
    <w:name w:val="批注主题 Char"/>
    <w:basedOn w:val="Char3"/>
    <w:link w:val="ab"/>
    <w:uiPriority w:val="99"/>
    <w:semiHidden/>
    <w:rsid w:val="004A3DCB"/>
    <w:rPr>
      <w:rFonts w:ascii="SimSun" w:hAnsi="SimSun" w:cs="SimSun"/>
      <w:b/>
      <w:bCs/>
      <w:kern w:val="0"/>
    </w:rPr>
  </w:style>
  <w:style w:type="character" w:customStyle="1" w:styleId="1Char">
    <w:name w:val="标题 1 Char"/>
    <w:aliases w:val="Level 1 Char"/>
    <w:basedOn w:val="a0"/>
    <w:link w:val="1"/>
    <w:rsid w:val="006C0099"/>
    <w:rPr>
      <w:rFonts w:ascii="SimSun" w:hAnsi="SimSun" w:cs="SimSun"/>
      <w:b/>
      <w:color w:val="FF0000"/>
      <w:kern w:val="40"/>
      <w:sz w:val="72"/>
    </w:rPr>
  </w:style>
  <w:style w:type="paragraph" w:customStyle="1" w:styleId="Style1">
    <w:name w:val="Style1"/>
    <w:basedOn w:val="a"/>
    <w:link w:val="Style1Char"/>
    <w:rsid w:val="006C0099"/>
    <w:pPr>
      <w:tabs>
        <w:tab w:val="left" w:pos="8640"/>
      </w:tabs>
    </w:pPr>
    <w:rPr>
      <w:b/>
      <w:color w:val="333399"/>
      <w:sz w:val="52"/>
      <w:szCs w:val="52"/>
    </w:rPr>
  </w:style>
  <w:style w:type="character" w:customStyle="1" w:styleId="Style1Char">
    <w:name w:val="Style1 Char"/>
    <w:link w:val="Style1"/>
    <w:rsid w:val="006C0099"/>
    <w:rPr>
      <w:rFonts w:ascii="SimSun" w:hAnsi="SimSun" w:cs="SimSun"/>
      <w:b/>
      <w:color w:val="333399"/>
      <w:kern w:val="0"/>
      <w:sz w:val="52"/>
      <w:szCs w:val="52"/>
    </w:rPr>
  </w:style>
  <w:style w:type="paragraph" w:customStyle="1" w:styleId="StyleArial10pt">
    <w:name w:val="Style Arial 10 pt"/>
    <w:basedOn w:val="a"/>
    <w:link w:val="StyleArial10ptChar"/>
    <w:rsid w:val="006C0099"/>
    <w:pPr>
      <w:ind w:firstLineChars="100" w:firstLine="200"/>
    </w:pPr>
    <w:rPr>
      <w:sz w:val="20"/>
      <w:szCs w:val="20"/>
    </w:rPr>
  </w:style>
  <w:style w:type="paragraph" w:customStyle="1" w:styleId="Style3">
    <w:name w:val="Style3"/>
    <w:basedOn w:val="a"/>
    <w:link w:val="Style3Char"/>
    <w:rsid w:val="006C0099"/>
    <w:pPr>
      <w:spacing w:after="120"/>
      <w:jc w:val="both"/>
    </w:pPr>
    <w:rPr>
      <w:sz w:val="22"/>
      <w:szCs w:val="20"/>
    </w:rPr>
  </w:style>
  <w:style w:type="paragraph" w:customStyle="1" w:styleId="Style3Bold">
    <w:name w:val="Style3 + Bold"/>
    <w:basedOn w:val="Style3"/>
    <w:rsid w:val="006C0099"/>
    <w:rPr>
      <w:b/>
      <w:bCs/>
    </w:rPr>
  </w:style>
  <w:style w:type="character" w:customStyle="1" w:styleId="Style3Char">
    <w:name w:val="Style3 Char"/>
    <w:link w:val="Style3"/>
    <w:rsid w:val="006C0099"/>
    <w:rPr>
      <w:rFonts w:ascii="SimSun" w:hAnsi="SimSun" w:cs="SimSun"/>
      <w:kern w:val="0"/>
      <w:sz w:val="22"/>
      <w:szCs w:val="20"/>
    </w:rPr>
  </w:style>
  <w:style w:type="paragraph" w:customStyle="1" w:styleId="STYLETITRENOTES">
    <w:name w:val="STYLE TITRE NOTES"/>
    <w:basedOn w:val="a"/>
    <w:rsid w:val="006C0099"/>
    <w:pPr>
      <w:jc w:val="both"/>
    </w:pPr>
    <w:rPr>
      <w:b/>
      <w:bCs/>
      <w:smallCaps/>
      <w:sz w:val="22"/>
      <w:szCs w:val="20"/>
    </w:rPr>
  </w:style>
  <w:style w:type="paragraph" w:customStyle="1" w:styleId="STYLE1LASTONE">
    <w:name w:val="STYLE 1 LAST ONE"/>
    <w:basedOn w:val="a"/>
    <w:next w:val="a"/>
    <w:link w:val="STYLE1LASTONEChar"/>
    <w:rsid w:val="006C0099"/>
    <w:pPr>
      <w:spacing w:after="360"/>
      <w:ind w:left="284" w:hanging="284"/>
      <w:jc w:val="center"/>
      <w:outlineLvl w:val="0"/>
    </w:pPr>
    <w:rPr>
      <w:b/>
      <w:bCs/>
      <w:kern w:val="40"/>
      <w:sz w:val="28"/>
      <w:szCs w:val="28"/>
    </w:rPr>
  </w:style>
  <w:style w:type="paragraph" w:customStyle="1" w:styleId="STYLE2LASTONE">
    <w:name w:val="STYLE 2 LAST ONE"/>
    <w:basedOn w:val="STYLE1LASTONE"/>
    <w:link w:val="STYLE2LASTONEChar"/>
    <w:rsid w:val="006C0099"/>
    <w:pPr>
      <w:spacing w:after="0"/>
      <w:jc w:val="left"/>
    </w:pPr>
    <w:rPr>
      <w:color w:val="FFFFFF"/>
      <w:sz w:val="16"/>
    </w:rPr>
  </w:style>
  <w:style w:type="paragraph" w:customStyle="1" w:styleId="STYLEDUTEXTE">
    <w:name w:val="STYLE DU TEXTE"/>
    <w:basedOn w:val="a"/>
    <w:link w:val="STYLEDUTEXTEChar"/>
    <w:rsid w:val="006C0099"/>
    <w:pPr>
      <w:jc w:val="both"/>
    </w:pPr>
    <w:rPr>
      <w:sz w:val="22"/>
      <w:szCs w:val="20"/>
    </w:rPr>
  </w:style>
  <w:style w:type="character" w:customStyle="1" w:styleId="STYLE1LASTONEChar">
    <w:name w:val="STYLE 1 LAST ONE Char"/>
    <w:link w:val="STYLE1LASTONE"/>
    <w:rsid w:val="006C0099"/>
    <w:rPr>
      <w:rFonts w:ascii="SimSun" w:hAnsi="SimSun" w:cs="SimSun"/>
      <w:b/>
      <w:bCs/>
      <w:kern w:val="40"/>
      <w:sz w:val="28"/>
      <w:szCs w:val="28"/>
    </w:rPr>
  </w:style>
  <w:style w:type="character" w:customStyle="1" w:styleId="STYLEDUTEXTEChar">
    <w:name w:val="STYLE DU TEXTE Char"/>
    <w:link w:val="STYLEDUTEXTE"/>
    <w:rsid w:val="006C0099"/>
    <w:rPr>
      <w:rFonts w:ascii="SimSun" w:hAnsi="SimSun" w:cs="SimSun"/>
      <w:kern w:val="0"/>
      <w:sz w:val="22"/>
      <w:szCs w:val="20"/>
    </w:rPr>
  </w:style>
  <w:style w:type="character" w:customStyle="1" w:styleId="STYLE2LASTONEChar">
    <w:name w:val="STYLE 2 LAST ONE Char"/>
    <w:link w:val="STYLE2LASTONE"/>
    <w:rsid w:val="006C0099"/>
    <w:rPr>
      <w:rFonts w:ascii="SimSun" w:hAnsi="SimSun" w:cs="SimSun"/>
      <w:b/>
      <w:bCs/>
      <w:color w:val="FFFFFF"/>
      <w:kern w:val="40"/>
      <w:sz w:val="16"/>
      <w:szCs w:val="28"/>
    </w:rPr>
  </w:style>
  <w:style w:type="character" w:customStyle="1" w:styleId="StyleArial10ptChar">
    <w:name w:val="Style Arial 10 pt Char"/>
    <w:link w:val="StyleArial10pt"/>
    <w:rsid w:val="006C0099"/>
    <w:rPr>
      <w:rFonts w:ascii="SimSun" w:hAnsi="SimSun" w:cs="SimSun"/>
      <w:kern w:val="0"/>
      <w:sz w:val="20"/>
      <w:szCs w:val="20"/>
    </w:rPr>
  </w:style>
  <w:style w:type="paragraph" w:customStyle="1" w:styleId="StyleHeading211ptNotBoldNotItalicAllcaps">
    <w:name w:val="Style Heading 2 + 11 pt Not Bold Not Italic All caps"/>
    <w:basedOn w:val="2"/>
    <w:rsid w:val="006C0099"/>
    <w:pPr>
      <w:keepLines w:val="0"/>
      <w:spacing w:before="240" w:after="60" w:line="240" w:lineRule="auto"/>
    </w:pPr>
    <w:rPr>
      <w:rFonts w:ascii="SimSun" w:hAnsi="SimSun" w:cs="SimSun"/>
      <w:bCs w:val="0"/>
      <w:caps/>
      <w:sz w:val="22"/>
      <w:szCs w:val="28"/>
    </w:rPr>
  </w:style>
  <w:style w:type="character" w:styleId="ac">
    <w:name w:val="Hyperlink"/>
    <w:rsid w:val="006C0099"/>
    <w:rPr>
      <w:color w:val="000099"/>
      <w:u w:val="single"/>
    </w:rPr>
  </w:style>
  <w:style w:type="paragraph" w:customStyle="1" w:styleId="style30">
    <w:name w:val="style3"/>
    <w:basedOn w:val="a"/>
    <w:rsid w:val="006C0099"/>
    <w:pPr>
      <w:spacing w:after="120"/>
      <w:jc w:val="both"/>
    </w:pPr>
    <w:rPr>
      <w:sz w:val="22"/>
      <w:szCs w:val="22"/>
    </w:rPr>
  </w:style>
  <w:style w:type="character" w:customStyle="1" w:styleId="2Char">
    <w:name w:val="标题 2 Char"/>
    <w:basedOn w:val="a0"/>
    <w:link w:val="2"/>
    <w:uiPriority w:val="9"/>
    <w:semiHidden/>
    <w:rsid w:val="006C0099"/>
    <w:rPr>
      <w:rFonts w:ascii="Times New Roman" w:eastAsia="Times New Roman" w:hAnsi="Times New Roman" w:cs="Times New Roman"/>
      <w:b/>
      <w:bCs/>
      <w:kern w:val="0"/>
      <w:sz w:val="32"/>
      <w:szCs w:val="32"/>
    </w:rPr>
  </w:style>
  <w:style w:type="paragraph" w:customStyle="1" w:styleId="Styletexte">
    <w:name w:val="Style texte"/>
    <w:basedOn w:val="a"/>
    <w:link w:val="StyletexteChar"/>
    <w:rsid w:val="00C14A2F"/>
    <w:pPr>
      <w:spacing w:after="120"/>
      <w:jc w:val="both"/>
    </w:pPr>
    <w:rPr>
      <w:sz w:val="22"/>
      <w:szCs w:val="20"/>
    </w:rPr>
  </w:style>
  <w:style w:type="character" w:customStyle="1" w:styleId="StyletexteChar">
    <w:name w:val="Style texte Char"/>
    <w:link w:val="Styletexte"/>
    <w:rsid w:val="00C14A2F"/>
    <w:rPr>
      <w:rFonts w:ascii="SimSun" w:hAnsi="SimSun" w:cs="SimSun"/>
      <w:kern w:val="0"/>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zh-CN" w:eastAsia="zh-CN" w:bidi="zh-C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FAF"/>
    <w:rPr>
      <w:rFonts w:ascii="SimSun" w:hAnsi="SimSun" w:cs="SimSun"/>
      <w:kern w:val="0"/>
    </w:rPr>
  </w:style>
  <w:style w:type="paragraph" w:styleId="1">
    <w:name w:val="heading 1"/>
    <w:aliases w:val="Level 1"/>
    <w:basedOn w:val="a"/>
    <w:next w:val="a"/>
    <w:link w:val="1Char"/>
    <w:qFormat/>
    <w:rsid w:val="006C0099"/>
    <w:pPr>
      <w:spacing w:after="360"/>
      <w:ind w:left="284" w:hanging="284"/>
      <w:jc w:val="right"/>
      <w:outlineLvl w:val="0"/>
    </w:pPr>
    <w:rPr>
      <w:b/>
      <w:color w:val="FF0000"/>
      <w:kern w:val="40"/>
      <w:sz w:val="72"/>
    </w:rPr>
  </w:style>
  <w:style w:type="paragraph" w:styleId="2">
    <w:name w:val="heading 2"/>
    <w:basedOn w:val="a"/>
    <w:next w:val="a"/>
    <w:link w:val="2Char"/>
    <w:uiPriority w:val="9"/>
    <w:semiHidden/>
    <w:unhideWhenUsed/>
    <w:qFormat/>
    <w:rsid w:val="006C0099"/>
    <w:pPr>
      <w:keepNext/>
      <w:keepLines/>
      <w:spacing w:before="260" w:after="260" w:line="416" w:lineRule="auto"/>
      <w:outlineLvl w:val="1"/>
    </w:pPr>
    <w:rPr>
      <w:rFonts w:ascii="Times New Roman" w:eastAsia="Times New Roman"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C4FAF"/>
    <w:pPr>
      <w:tabs>
        <w:tab w:val="center" w:pos="4320"/>
        <w:tab w:val="right" w:pos="8640"/>
      </w:tabs>
    </w:pPr>
  </w:style>
  <w:style w:type="character" w:customStyle="1" w:styleId="Char">
    <w:name w:val="页脚 Char"/>
    <w:basedOn w:val="a0"/>
    <w:link w:val="a3"/>
    <w:uiPriority w:val="99"/>
    <w:rsid w:val="005C4FAF"/>
    <w:rPr>
      <w:rFonts w:ascii="SimSun" w:hAnsi="SimSun" w:cs="SimSun"/>
      <w:kern w:val="0"/>
      <w:lang w:eastAsia="zh-CN"/>
    </w:rPr>
  </w:style>
  <w:style w:type="character" w:styleId="a4">
    <w:name w:val="page number"/>
    <w:basedOn w:val="a0"/>
    <w:rsid w:val="005C4FAF"/>
  </w:style>
  <w:style w:type="paragraph" w:styleId="a5">
    <w:name w:val="header"/>
    <w:basedOn w:val="a"/>
    <w:link w:val="Char0"/>
    <w:uiPriority w:val="99"/>
    <w:rsid w:val="005C4FAF"/>
    <w:pPr>
      <w:tabs>
        <w:tab w:val="center" w:pos="4320"/>
        <w:tab w:val="right" w:pos="8640"/>
      </w:tabs>
    </w:pPr>
  </w:style>
  <w:style w:type="character" w:customStyle="1" w:styleId="Char0">
    <w:name w:val="页眉 Char"/>
    <w:basedOn w:val="a0"/>
    <w:link w:val="a5"/>
    <w:uiPriority w:val="99"/>
    <w:rsid w:val="005C4FAF"/>
    <w:rPr>
      <w:rFonts w:ascii="SimSun" w:hAnsi="SimSun" w:cs="SimSun"/>
      <w:kern w:val="0"/>
      <w:lang w:eastAsia="zh-CN"/>
    </w:rPr>
  </w:style>
  <w:style w:type="paragraph" w:customStyle="1" w:styleId="StyleHeading1">
    <w:name w:val="Style Heading 1"/>
    <w:aliases w:val="Level 1 + Arial Auto Centered Left:  0 cm First..."/>
    <w:rsid w:val="005C4FAF"/>
    <w:pPr>
      <w:jc w:val="center"/>
    </w:pPr>
    <w:rPr>
      <w:rFonts w:ascii="SimSun" w:hAnsi="SimSun" w:cs="SimSun"/>
      <w:b/>
      <w:bCs/>
      <w:kern w:val="40"/>
      <w:sz w:val="72"/>
      <w:szCs w:val="20"/>
    </w:rPr>
  </w:style>
  <w:style w:type="paragraph" w:customStyle="1" w:styleId="ONUME">
    <w:name w:val="ONUM E"/>
    <w:basedOn w:val="a6"/>
    <w:rsid w:val="005C4FAF"/>
    <w:pPr>
      <w:numPr>
        <w:numId w:val="1"/>
      </w:numPr>
      <w:spacing w:after="220"/>
    </w:pPr>
    <w:rPr>
      <w:rFonts w:eastAsia="SimSun"/>
      <w:sz w:val="22"/>
      <w:szCs w:val="20"/>
    </w:rPr>
  </w:style>
  <w:style w:type="paragraph" w:styleId="a7">
    <w:name w:val="List Paragraph"/>
    <w:basedOn w:val="a"/>
    <w:uiPriority w:val="34"/>
    <w:qFormat/>
    <w:rsid w:val="005C4FAF"/>
    <w:pPr>
      <w:ind w:left="720"/>
    </w:pPr>
  </w:style>
  <w:style w:type="paragraph" w:styleId="a6">
    <w:name w:val="Body Text"/>
    <w:basedOn w:val="a"/>
    <w:link w:val="Char1"/>
    <w:uiPriority w:val="99"/>
    <w:semiHidden/>
    <w:unhideWhenUsed/>
    <w:rsid w:val="005C4FAF"/>
    <w:pPr>
      <w:spacing w:after="120"/>
    </w:pPr>
  </w:style>
  <w:style w:type="character" w:customStyle="1" w:styleId="Char1">
    <w:name w:val="正文文本 Char"/>
    <w:basedOn w:val="a0"/>
    <w:link w:val="a6"/>
    <w:uiPriority w:val="99"/>
    <w:semiHidden/>
    <w:rsid w:val="005C4FAF"/>
    <w:rPr>
      <w:rFonts w:ascii="SimSun" w:hAnsi="SimSun" w:cs="SimSun"/>
      <w:kern w:val="0"/>
      <w:lang w:eastAsia="zh-CN"/>
    </w:rPr>
  </w:style>
  <w:style w:type="paragraph" w:styleId="a8">
    <w:name w:val="Balloon Text"/>
    <w:basedOn w:val="a"/>
    <w:link w:val="Char2"/>
    <w:uiPriority w:val="99"/>
    <w:semiHidden/>
    <w:unhideWhenUsed/>
    <w:rsid w:val="005C4FAF"/>
    <w:rPr>
      <w:sz w:val="18"/>
      <w:szCs w:val="18"/>
    </w:rPr>
  </w:style>
  <w:style w:type="character" w:customStyle="1" w:styleId="Char2">
    <w:name w:val="批注框文本 Char"/>
    <w:basedOn w:val="a0"/>
    <w:link w:val="a8"/>
    <w:uiPriority w:val="99"/>
    <w:semiHidden/>
    <w:rsid w:val="005C4FAF"/>
    <w:rPr>
      <w:rFonts w:ascii="SimSun" w:hAnsi="SimSun" w:cs="SimSun"/>
      <w:kern w:val="0"/>
      <w:sz w:val="18"/>
      <w:szCs w:val="18"/>
      <w:lang w:eastAsia="zh-CN"/>
    </w:rPr>
  </w:style>
  <w:style w:type="paragraph" w:styleId="a9">
    <w:name w:val="annotation text"/>
    <w:basedOn w:val="a"/>
    <w:link w:val="Char3"/>
    <w:uiPriority w:val="99"/>
    <w:semiHidden/>
    <w:unhideWhenUsed/>
  </w:style>
  <w:style w:type="character" w:customStyle="1" w:styleId="Char3">
    <w:name w:val="批注文字 Char"/>
    <w:basedOn w:val="a0"/>
    <w:link w:val="a9"/>
    <w:uiPriority w:val="99"/>
    <w:semiHidden/>
    <w:rPr>
      <w:rFonts w:ascii="SimSun" w:hAnsi="SimSun" w:cs="SimSun"/>
      <w:kern w:val="0"/>
    </w:rPr>
  </w:style>
  <w:style w:type="character" w:styleId="aa">
    <w:name w:val="annotation reference"/>
    <w:basedOn w:val="a0"/>
    <w:uiPriority w:val="99"/>
    <w:semiHidden/>
    <w:unhideWhenUsed/>
    <w:rPr>
      <w:sz w:val="21"/>
      <w:szCs w:val="21"/>
    </w:rPr>
  </w:style>
  <w:style w:type="paragraph" w:styleId="ab">
    <w:name w:val="annotation subject"/>
    <w:basedOn w:val="a9"/>
    <w:next w:val="a9"/>
    <w:link w:val="Char4"/>
    <w:uiPriority w:val="99"/>
    <w:semiHidden/>
    <w:unhideWhenUsed/>
    <w:rsid w:val="004A3DCB"/>
    <w:rPr>
      <w:b/>
      <w:bCs/>
    </w:rPr>
  </w:style>
  <w:style w:type="character" w:customStyle="1" w:styleId="Char4">
    <w:name w:val="批注主题 Char"/>
    <w:basedOn w:val="Char3"/>
    <w:link w:val="ab"/>
    <w:uiPriority w:val="99"/>
    <w:semiHidden/>
    <w:rsid w:val="004A3DCB"/>
    <w:rPr>
      <w:rFonts w:ascii="SimSun" w:hAnsi="SimSun" w:cs="SimSun"/>
      <w:b/>
      <w:bCs/>
      <w:kern w:val="0"/>
    </w:rPr>
  </w:style>
  <w:style w:type="character" w:customStyle="1" w:styleId="1Char">
    <w:name w:val="标题 1 Char"/>
    <w:aliases w:val="Level 1 Char"/>
    <w:basedOn w:val="a0"/>
    <w:link w:val="1"/>
    <w:rsid w:val="006C0099"/>
    <w:rPr>
      <w:rFonts w:ascii="SimSun" w:hAnsi="SimSun" w:cs="SimSun"/>
      <w:b/>
      <w:color w:val="FF0000"/>
      <w:kern w:val="40"/>
      <w:sz w:val="72"/>
    </w:rPr>
  </w:style>
  <w:style w:type="paragraph" w:customStyle="1" w:styleId="Style1">
    <w:name w:val="Style1"/>
    <w:basedOn w:val="a"/>
    <w:link w:val="Style1Char"/>
    <w:rsid w:val="006C0099"/>
    <w:pPr>
      <w:tabs>
        <w:tab w:val="left" w:pos="8640"/>
      </w:tabs>
    </w:pPr>
    <w:rPr>
      <w:b/>
      <w:color w:val="333399"/>
      <w:sz w:val="52"/>
      <w:szCs w:val="52"/>
    </w:rPr>
  </w:style>
  <w:style w:type="character" w:customStyle="1" w:styleId="Style1Char">
    <w:name w:val="Style1 Char"/>
    <w:link w:val="Style1"/>
    <w:rsid w:val="006C0099"/>
    <w:rPr>
      <w:rFonts w:ascii="SimSun" w:hAnsi="SimSun" w:cs="SimSun"/>
      <w:b/>
      <w:color w:val="333399"/>
      <w:kern w:val="0"/>
      <w:sz w:val="52"/>
      <w:szCs w:val="52"/>
    </w:rPr>
  </w:style>
  <w:style w:type="paragraph" w:customStyle="1" w:styleId="StyleArial10pt">
    <w:name w:val="Style Arial 10 pt"/>
    <w:basedOn w:val="a"/>
    <w:link w:val="StyleArial10ptChar"/>
    <w:rsid w:val="006C0099"/>
    <w:pPr>
      <w:ind w:firstLineChars="100" w:firstLine="200"/>
    </w:pPr>
    <w:rPr>
      <w:sz w:val="20"/>
      <w:szCs w:val="20"/>
    </w:rPr>
  </w:style>
  <w:style w:type="paragraph" w:customStyle="1" w:styleId="Style3">
    <w:name w:val="Style3"/>
    <w:basedOn w:val="a"/>
    <w:link w:val="Style3Char"/>
    <w:rsid w:val="006C0099"/>
    <w:pPr>
      <w:spacing w:after="120"/>
      <w:jc w:val="both"/>
    </w:pPr>
    <w:rPr>
      <w:sz w:val="22"/>
      <w:szCs w:val="20"/>
    </w:rPr>
  </w:style>
  <w:style w:type="paragraph" w:customStyle="1" w:styleId="Style3Bold">
    <w:name w:val="Style3 + Bold"/>
    <w:basedOn w:val="Style3"/>
    <w:rsid w:val="006C0099"/>
    <w:rPr>
      <w:b/>
      <w:bCs/>
    </w:rPr>
  </w:style>
  <w:style w:type="character" w:customStyle="1" w:styleId="Style3Char">
    <w:name w:val="Style3 Char"/>
    <w:link w:val="Style3"/>
    <w:rsid w:val="006C0099"/>
    <w:rPr>
      <w:rFonts w:ascii="SimSun" w:hAnsi="SimSun" w:cs="SimSun"/>
      <w:kern w:val="0"/>
      <w:sz w:val="22"/>
      <w:szCs w:val="20"/>
    </w:rPr>
  </w:style>
  <w:style w:type="paragraph" w:customStyle="1" w:styleId="STYLETITRENOTES">
    <w:name w:val="STYLE TITRE NOTES"/>
    <w:basedOn w:val="a"/>
    <w:rsid w:val="006C0099"/>
    <w:pPr>
      <w:jc w:val="both"/>
    </w:pPr>
    <w:rPr>
      <w:b/>
      <w:bCs/>
      <w:smallCaps/>
      <w:sz w:val="22"/>
      <w:szCs w:val="20"/>
    </w:rPr>
  </w:style>
  <w:style w:type="paragraph" w:customStyle="1" w:styleId="STYLE1LASTONE">
    <w:name w:val="STYLE 1 LAST ONE"/>
    <w:basedOn w:val="a"/>
    <w:next w:val="a"/>
    <w:link w:val="STYLE1LASTONEChar"/>
    <w:rsid w:val="006C0099"/>
    <w:pPr>
      <w:spacing w:after="360"/>
      <w:ind w:left="284" w:hanging="284"/>
      <w:jc w:val="center"/>
      <w:outlineLvl w:val="0"/>
    </w:pPr>
    <w:rPr>
      <w:b/>
      <w:bCs/>
      <w:kern w:val="40"/>
      <w:sz w:val="28"/>
      <w:szCs w:val="28"/>
    </w:rPr>
  </w:style>
  <w:style w:type="paragraph" w:customStyle="1" w:styleId="STYLE2LASTONE">
    <w:name w:val="STYLE 2 LAST ONE"/>
    <w:basedOn w:val="STYLE1LASTONE"/>
    <w:link w:val="STYLE2LASTONEChar"/>
    <w:rsid w:val="006C0099"/>
    <w:pPr>
      <w:spacing w:after="0"/>
      <w:jc w:val="left"/>
    </w:pPr>
    <w:rPr>
      <w:color w:val="FFFFFF"/>
      <w:sz w:val="16"/>
    </w:rPr>
  </w:style>
  <w:style w:type="paragraph" w:customStyle="1" w:styleId="STYLEDUTEXTE">
    <w:name w:val="STYLE DU TEXTE"/>
    <w:basedOn w:val="a"/>
    <w:link w:val="STYLEDUTEXTEChar"/>
    <w:rsid w:val="006C0099"/>
    <w:pPr>
      <w:jc w:val="both"/>
    </w:pPr>
    <w:rPr>
      <w:sz w:val="22"/>
      <w:szCs w:val="20"/>
    </w:rPr>
  </w:style>
  <w:style w:type="character" w:customStyle="1" w:styleId="STYLE1LASTONEChar">
    <w:name w:val="STYLE 1 LAST ONE Char"/>
    <w:link w:val="STYLE1LASTONE"/>
    <w:rsid w:val="006C0099"/>
    <w:rPr>
      <w:rFonts w:ascii="SimSun" w:hAnsi="SimSun" w:cs="SimSun"/>
      <w:b/>
      <w:bCs/>
      <w:kern w:val="40"/>
      <w:sz w:val="28"/>
      <w:szCs w:val="28"/>
    </w:rPr>
  </w:style>
  <w:style w:type="character" w:customStyle="1" w:styleId="STYLEDUTEXTEChar">
    <w:name w:val="STYLE DU TEXTE Char"/>
    <w:link w:val="STYLEDUTEXTE"/>
    <w:rsid w:val="006C0099"/>
    <w:rPr>
      <w:rFonts w:ascii="SimSun" w:hAnsi="SimSun" w:cs="SimSun"/>
      <w:kern w:val="0"/>
      <w:sz w:val="22"/>
      <w:szCs w:val="20"/>
    </w:rPr>
  </w:style>
  <w:style w:type="character" w:customStyle="1" w:styleId="STYLE2LASTONEChar">
    <w:name w:val="STYLE 2 LAST ONE Char"/>
    <w:link w:val="STYLE2LASTONE"/>
    <w:rsid w:val="006C0099"/>
    <w:rPr>
      <w:rFonts w:ascii="SimSun" w:hAnsi="SimSun" w:cs="SimSun"/>
      <w:b/>
      <w:bCs/>
      <w:color w:val="FFFFFF"/>
      <w:kern w:val="40"/>
      <w:sz w:val="16"/>
      <w:szCs w:val="28"/>
    </w:rPr>
  </w:style>
  <w:style w:type="character" w:customStyle="1" w:styleId="StyleArial10ptChar">
    <w:name w:val="Style Arial 10 pt Char"/>
    <w:link w:val="StyleArial10pt"/>
    <w:rsid w:val="006C0099"/>
    <w:rPr>
      <w:rFonts w:ascii="SimSun" w:hAnsi="SimSun" w:cs="SimSun"/>
      <w:kern w:val="0"/>
      <w:sz w:val="20"/>
      <w:szCs w:val="20"/>
    </w:rPr>
  </w:style>
  <w:style w:type="paragraph" w:customStyle="1" w:styleId="StyleHeading211ptNotBoldNotItalicAllcaps">
    <w:name w:val="Style Heading 2 + 11 pt Not Bold Not Italic All caps"/>
    <w:basedOn w:val="2"/>
    <w:rsid w:val="006C0099"/>
    <w:pPr>
      <w:keepLines w:val="0"/>
      <w:spacing w:before="240" w:after="60" w:line="240" w:lineRule="auto"/>
    </w:pPr>
    <w:rPr>
      <w:rFonts w:ascii="SimSun" w:hAnsi="SimSun" w:cs="SimSun"/>
      <w:bCs w:val="0"/>
      <w:caps/>
      <w:sz w:val="22"/>
      <w:szCs w:val="28"/>
    </w:rPr>
  </w:style>
  <w:style w:type="character" w:styleId="ac">
    <w:name w:val="Hyperlink"/>
    <w:rsid w:val="006C0099"/>
    <w:rPr>
      <w:color w:val="000099"/>
      <w:u w:val="single"/>
    </w:rPr>
  </w:style>
  <w:style w:type="paragraph" w:customStyle="1" w:styleId="style30">
    <w:name w:val="style3"/>
    <w:basedOn w:val="a"/>
    <w:rsid w:val="006C0099"/>
    <w:pPr>
      <w:spacing w:after="120"/>
      <w:jc w:val="both"/>
    </w:pPr>
    <w:rPr>
      <w:sz w:val="22"/>
      <w:szCs w:val="22"/>
    </w:rPr>
  </w:style>
  <w:style w:type="character" w:customStyle="1" w:styleId="2Char">
    <w:name w:val="标题 2 Char"/>
    <w:basedOn w:val="a0"/>
    <w:link w:val="2"/>
    <w:uiPriority w:val="9"/>
    <w:semiHidden/>
    <w:rsid w:val="006C0099"/>
    <w:rPr>
      <w:rFonts w:ascii="Times New Roman" w:eastAsia="Times New Roman" w:hAnsi="Times New Roman" w:cs="Times New Roman"/>
      <w:b/>
      <w:bCs/>
      <w:kern w:val="0"/>
      <w:sz w:val="32"/>
      <w:szCs w:val="32"/>
    </w:rPr>
  </w:style>
  <w:style w:type="paragraph" w:customStyle="1" w:styleId="Styletexte">
    <w:name w:val="Style texte"/>
    <w:basedOn w:val="a"/>
    <w:link w:val="StyletexteChar"/>
    <w:rsid w:val="00C14A2F"/>
    <w:pPr>
      <w:spacing w:after="120"/>
      <w:jc w:val="both"/>
    </w:pPr>
    <w:rPr>
      <w:sz w:val="22"/>
      <w:szCs w:val="20"/>
    </w:rPr>
  </w:style>
  <w:style w:type="character" w:customStyle="1" w:styleId="StyletexteChar">
    <w:name w:val="Style texte Char"/>
    <w:link w:val="Styletexte"/>
    <w:rsid w:val="00C14A2F"/>
    <w:rPr>
      <w:rFonts w:ascii="SimSun" w:hAnsi="SimSun" w:cs="SimSun"/>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3404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emf"/><Relationship Id="rId117" Type="http://schemas.openxmlformats.org/officeDocument/2006/relationships/footer" Target="footer8.xml"/><Relationship Id="rId21" Type="http://schemas.openxmlformats.org/officeDocument/2006/relationships/image" Target="media/image3.emf"/><Relationship Id="rId42" Type="http://schemas.openxmlformats.org/officeDocument/2006/relationships/image" Target="media/image24.emf"/><Relationship Id="rId47" Type="http://schemas.openxmlformats.org/officeDocument/2006/relationships/image" Target="media/image29.emf"/><Relationship Id="rId63" Type="http://schemas.openxmlformats.org/officeDocument/2006/relationships/image" Target="media/image42.emf"/><Relationship Id="rId68" Type="http://schemas.openxmlformats.org/officeDocument/2006/relationships/header" Target="header9.xml"/><Relationship Id="rId84" Type="http://schemas.openxmlformats.org/officeDocument/2006/relationships/image" Target="media/image61.emf"/><Relationship Id="rId89" Type="http://schemas.openxmlformats.org/officeDocument/2006/relationships/image" Target="media/image65.emf"/><Relationship Id="rId112" Type="http://schemas.openxmlformats.org/officeDocument/2006/relationships/image" Target="media/image88.emf"/><Relationship Id="rId16" Type="http://schemas.openxmlformats.org/officeDocument/2006/relationships/footer" Target="footer3.xml"/><Relationship Id="rId107" Type="http://schemas.openxmlformats.org/officeDocument/2006/relationships/image" Target="media/image83.emf"/><Relationship Id="rId11" Type="http://schemas.openxmlformats.org/officeDocument/2006/relationships/header" Target="header2.xml"/><Relationship Id="rId24" Type="http://schemas.openxmlformats.org/officeDocument/2006/relationships/image" Target="media/image6.emf"/><Relationship Id="rId32" Type="http://schemas.openxmlformats.org/officeDocument/2006/relationships/image" Target="media/image14.emf"/><Relationship Id="rId37" Type="http://schemas.openxmlformats.org/officeDocument/2006/relationships/image" Target="media/image19.emf"/><Relationship Id="rId40" Type="http://schemas.openxmlformats.org/officeDocument/2006/relationships/image" Target="media/image22.emf"/><Relationship Id="rId45" Type="http://schemas.openxmlformats.org/officeDocument/2006/relationships/image" Target="media/image27.emf"/><Relationship Id="rId53" Type="http://schemas.openxmlformats.org/officeDocument/2006/relationships/image" Target="media/image34.emf"/><Relationship Id="rId58" Type="http://schemas.openxmlformats.org/officeDocument/2006/relationships/footer" Target="footer5.xml"/><Relationship Id="rId66" Type="http://schemas.openxmlformats.org/officeDocument/2006/relationships/image" Target="media/image45.emf"/><Relationship Id="rId74" Type="http://schemas.openxmlformats.org/officeDocument/2006/relationships/image" Target="media/image51.emf"/><Relationship Id="rId79" Type="http://schemas.openxmlformats.org/officeDocument/2006/relationships/image" Target="media/image56.emf"/><Relationship Id="rId87" Type="http://schemas.openxmlformats.org/officeDocument/2006/relationships/hyperlink" Target="http://www.unjspf.org/" TargetMode="External"/><Relationship Id="rId102" Type="http://schemas.openxmlformats.org/officeDocument/2006/relationships/image" Target="media/image78.emf"/><Relationship Id="rId110" Type="http://schemas.openxmlformats.org/officeDocument/2006/relationships/image" Target="media/image86.emf"/><Relationship Id="rId115" Type="http://schemas.openxmlformats.org/officeDocument/2006/relationships/image" Target="media/image90.emf"/><Relationship Id="rId5" Type="http://schemas.openxmlformats.org/officeDocument/2006/relationships/settings" Target="settings.xml"/><Relationship Id="rId61" Type="http://schemas.openxmlformats.org/officeDocument/2006/relationships/image" Target="media/image40.emf"/><Relationship Id="rId82" Type="http://schemas.openxmlformats.org/officeDocument/2006/relationships/image" Target="media/image59.emf"/><Relationship Id="rId90" Type="http://schemas.openxmlformats.org/officeDocument/2006/relationships/image" Target="media/image66.emf"/><Relationship Id="rId95" Type="http://schemas.openxmlformats.org/officeDocument/2006/relationships/image" Target="media/image71.emf"/><Relationship Id="rId19" Type="http://schemas.openxmlformats.org/officeDocument/2006/relationships/header" Target="header6.xml"/><Relationship Id="rId14" Type="http://schemas.openxmlformats.org/officeDocument/2006/relationships/footer" Target="footer2.xml"/><Relationship Id="rId22" Type="http://schemas.openxmlformats.org/officeDocument/2006/relationships/image" Target="media/image4.emf"/><Relationship Id="rId27" Type="http://schemas.openxmlformats.org/officeDocument/2006/relationships/image" Target="media/image9.emf"/><Relationship Id="rId30" Type="http://schemas.openxmlformats.org/officeDocument/2006/relationships/image" Target="media/image12.emf"/><Relationship Id="rId35" Type="http://schemas.openxmlformats.org/officeDocument/2006/relationships/image" Target="media/image17.emf"/><Relationship Id="rId43" Type="http://schemas.openxmlformats.org/officeDocument/2006/relationships/image" Target="media/image25.emf"/><Relationship Id="rId48" Type="http://schemas.openxmlformats.org/officeDocument/2006/relationships/image" Target="media/image30.emf"/><Relationship Id="rId56" Type="http://schemas.openxmlformats.org/officeDocument/2006/relationships/image" Target="media/image37.emf"/><Relationship Id="rId64" Type="http://schemas.openxmlformats.org/officeDocument/2006/relationships/image" Target="media/image43.emf"/><Relationship Id="rId69" Type="http://schemas.openxmlformats.org/officeDocument/2006/relationships/footer" Target="footer6.xml"/><Relationship Id="rId77" Type="http://schemas.openxmlformats.org/officeDocument/2006/relationships/image" Target="media/image54.emf"/><Relationship Id="rId100" Type="http://schemas.openxmlformats.org/officeDocument/2006/relationships/image" Target="media/image76.emf"/><Relationship Id="rId105" Type="http://schemas.openxmlformats.org/officeDocument/2006/relationships/image" Target="media/image81.emf"/><Relationship Id="rId113" Type="http://schemas.openxmlformats.org/officeDocument/2006/relationships/image" Target="media/image89.emf"/><Relationship Id="rId118" Type="http://schemas.openxmlformats.org/officeDocument/2006/relationships/image" Target="media/image92.emf"/><Relationship Id="rId8" Type="http://schemas.openxmlformats.org/officeDocument/2006/relationships/endnotes" Target="endnotes.xml"/><Relationship Id="rId51" Type="http://schemas.openxmlformats.org/officeDocument/2006/relationships/header" Target="header7.xml"/><Relationship Id="rId72" Type="http://schemas.openxmlformats.org/officeDocument/2006/relationships/image" Target="media/image49.emf"/><Relationship Id="rId80" Type="http://schemas.openxmlformats.org/officeDocument/2006/relationships/image" Target="media/image57.emf"/><Relationship Id="rId85" Type="http://schemas.openxmlformats.org/officeDocument/2006/relationships/image" Target="media/image62.emf"/><Relationship Id="rId93" Type="http://schemas.openxmlformats.org/officeDocument/2006/relationships/image" Target="media/image69.emf"/><Relationship Id="rId98" Type="http://schemas.openxmlformats.org/officeDocument/2006/relationships/image" Target="media/image74.emf"/><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image" Target="media/image7.emf"/><Relationship Id="rId33" Type="http://schemas.openxmlformats.org/officeDocument/2006/relationships/image" Target="media/image15.emf"/><Relationship Id="rId38" Type="http://schemas.openxmlformats.org/officeDocument/2006/relationships/image" Target="media/image20.emf"/><Relationship Id="rId46" Type="http://schemas.openxmlformats.org/officeDocument/2006/relationships/image" Target="media/image28.emf"/><Relationship Id="rId59" Type="http://schemas.openxmlformats.org/officeDocument/2006/relationships/image" Target="media/image38.emf"/><Relationship Id="rId67" Type="http://schemas.openxmlformats.org/officeDocument/2006/relationships/image" Target="media/image46.emf"/><Relationship Id="rId103" Type="http://schemas.openxmlformats.org/officeDocument/2006/relationships/image" Target="media/image79.emf"/><Relationship Id="rId108" Type="http://schemas.openxmlformats.org/officeDocument/2006/relationships/image" Target="media/image84.emf"/><Relationship Id="rId116" Type="http://schemas.openxmlformats.org/officeDocument/2006/relationships/image" Target="media/image91.emf"/><Relationship Id="rId20" Type="http://schemas.openxmlformats.org/officeDocument/2006/relationships/image" Target="media/image2.emf"/><Relationship Id="rId41" Type="http://schemas.openxmlformats.org/officeDocument/2006/relationships/image" Target="media/image23.emf"/><Relationship Id="rId54" Type="http://schemas.openxmlformats.org/officeDocument/2006/relationships/image" Target="media/image35.emf"/><Relationship Id="rId62" Type="http://schemas.openxmlformats.org/officeDocument/2006/relationships/image" Target="media/image41.emf"/><Relationship Id="rId70" Type="http://schemas.openxmlformats.org/officeDocument/2006/relationships/image" Target="media/image47.emf"/><Relationship Id="rId75" Type="http://schemas.openxmlformats.org/officeDocument/2006/relationships/image" Target="media/image52.emf"/><Relationship Id="rId83" Type="http://schemas.openxmlformats.org/officeDocument/2006/relationships/image" Target="media/image60.emf"/><Relationship Id="rId88" Type="http://schemas.openxmlformats.org/officeDocument/2006/relationships/image" Target="media/image64.emf"/><Relationship Id="rId91" Type="http://schemas.openxmlformats.org/officeDocument/2006/relationships/image" Target="media/image67.emf"/><Relationship Id="rId96" Type="http://schemas.openxmlformats.org/officeDocument/2006/relationships/image" Target="media/image72.emf"/><Relationship Id="rId111" Type="http://schemas.openxmlformats.org/officeDocument/2006/relationships/image" Target="media/image87.e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5.emf"/><Relationship Id="rId28" Type="http://schemas.openxmlformats.org/officeDocument/2006/relationships/image" Target="media/image10.emf"/><Relationship Id="rId36" Type="http://schemas.openxmlformats.org/officeDocument/2006/relationships/image" Target="media/image18.emf"/><Relationship Id="rId49" Type="http://schemas.openxmlformats.org/officeDocument/2006/relationships/image" Target="media/image31.emf"/><Relationship Id="rId57" Type="http://schemas.openxmlformats.org/officeDocument/2006/relationships/header" Target="header8.xml"/><Relationship Id="rId106" Type="http://schemas.openxmlformats.org/officeDocument/2006/relationships/image" Target="media/image82.emf"/><Relationship Id="rId114" Type="http://schemas.openxmlformats.org/officeDocument/2006/relationships/footer" Target="footer7.xml"/><Relationship Id="rId119" Type="http://schemas.openxmlformats.org/officeDocument/2006/relationships/fontTable" Target="fontTable.xml"/><Relationship Id="rId10" Type="http://schemas.openxmlformats.org/officeDocument/2006/relationships/header" Target="header1.xml"/><Relationship Id="rId31" Type="http://schemas.openxmlformats.org/officeDocument/2006/relationships/image" Target="media/image13.emf"/><Relationship Id="rId44" Type="http://schemas.openxmlformats.org/officeDocument/2006/relationships/image" Target="media/image26.emf"/><Relationship Id="rId52" Type="http://schemas.openxmlformats.org/officeDocument/2006/relationships/image" Target="media/image33.emf"/><Relationship Id="rId60" Type="http://schemas.openxmlformats.org/officeDocument/2006/relationships/image" Target="media/image39.emf"/><Relationship Id="rId65" Type="http://schemas.openxmlformats.org/officeDocument/2006/relationships/image" Target="media/image44.emf"/><Relationship Id="rId73" Type="http://schemas.openxmlformats.org/officeDocument/2006/relationships/image" Target="media/image50.emf"/><Relationship Id="rId78" Type="http://schemas.openxmlformats.org/officeDocument/2006/relationships/image" Target="media/image55.emf"/><Relationship Id="rId81" Type="http://schemas.openxmlformats.org/officeDocument/2006/relationships/image" Target="media/image58.emf"/><Relationship Id="rId86" Type="http://schemas.openxmlformats.org/officeDocument/2006/relationships/image" Target="media/image63.emf"/><Relationship Id="rId94" Type="http://schemas.openxmlformats.org/officeDocument/2006/relationships/image" Target="media/image70.emf"/><Relationship Id="rId99" Type="http://schemas.openxmlformats.org/officeDocument/2006/relationships/image" Target="media/image75.emf"/><Relationship Id="rId101" Type="http://schemas.openxmlformats.org/officeDocument/2006/relationships/image" Target="media/image77.emf"/><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oter" Target="footer4.xml"/><Relationship Id="rId39" Type="http://schemas.openxmlformats.org/officeDocument/2006/relationships/image" Target="media/image21.emf"/><Relationship Id="rId109" Type="http://schemas.openxmlformats.org/officeDocument/2006/relationships/image" Target="media/image85.emf"/><Relationship Id="rId34" Type="http://schemas.openxmlformats.org/officeDocument/2006/relationships/image" Target="media/image16.emf"/><Relationship Id="rId50" Type="http://schemas.openxmlformats.org/officeDocument/2006/relationships/image" Target="media/image32.emf"/><Relationship Id="rId55" Type="http://schemas.openxmlformats.org/officeDocument/2006/relationships/image" Target="media/image36.emf"/><Relationship Id="rId76" Type="http://schemas.openxmlformats.org/officeDocument/2006/relationships/image" Target="media/image53.emf"/><Relationship Id="rId97" Type="http://schemas.openxmlformats.org/officeDocument/2006/relationships/image" Target="media/image73.emf"/><Relationship Id="rId104" Type="http://schemas.openxmlformats.org/officeDocument/2006/relationships/image" Target="media/image80.emf"/><Relationship Id="rId120"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image" Target="media/image48.emf"/><Relationship Id="rId92" Type="http://schemas.openxmlformats.org/officeDocument/2006/relationships/image" Target="media/image68.emf"/><Relationship Id="rId2" Type="http://schemas.openxmlformats.org/officeDocument/2006/relationships/numbering" Target="numbering.xml"/><Relationship Id="rId29" Type="http://schemas.openxmlformats.org/officeDocument/2006/relationships/image" Target="media/image11.emf"/></Relationships>
</file>

<file path=word/theme/theme1.xml><?xml version="1.0" encoding="utf-8"?>
<a:theme xmlns:a="http://schemas.openxmlformats.org/drawingml/2006/main">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SimSun"/>
        <a:ea typeface="黑体"/>
        <a:cs typeface="SimSun"/>
      </a:majorFont>
      <a:minorFont>
        <a:latin typeface="SimSun"/>
        <a:ea typeface="宋体"/>
        <a:cs typeface="SimSu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1D962-2FE8-4497-9C64-6302409FD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74</Pages>
  <Words>18835</Words>
  <Characters>21096</Characters>
  <Application>Microsoft Office Word</Application>
  <DocSecurity>0</DocSecurity>
  <Lines>781</Lines>
  <Paragraphs>578</Paragraphs>
  <ScaleCrop>false</ScaleCrop>
  <Company>World Intellectual Property Organization</Company>
  <LinksUpToDate>false</LinksUpToDate>
  <CharactersWithSpaces>39353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A/55/7</dc:title>
  <dc:subject>2014年年度财务报告和财务报表</dc:subject>
  <dc:creator/>
  <cp:lastModifiedBy>MA Weihai</cp:lastModifiedBy>
  <cp:revision>4</cp:revision>
  <cp:lastPrinted>2015-08-02T13:59:00Z</cp:lastPrinted>
  <dcterms:created xsi:type="dcterms:W3CDTF">2015-08-02T14:09:00Z</dcterms:created>
  <dcterms:modified xsi:type="dcterms:W3CDTF">2015-08-04T07:59:00Z</dcterms:modified>
</cp:coreProperties>
</file>