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7D" w:rsidRPr="00F966B4" w:rsidRDefault="0091687D" w:rsidP="0091687D">
      <w:pPr>
        <w:spacing w:afterLines="100" w:after="240" w:line="360" w:lineRule="auto"/>
        <w:jc w:val="center"/>
        <w:rPr>
          <w:rFonts w:ascii="SimHei" w:eastAsia="SimHei" w:hAnsi="SimHei"/>
          <w:sz w:val="21"/>
          <w:szCs w:val="28"/>
          <w:lang w:eastAsia="zh-CN"/>
        </w:rPr>
      </w:pPr>
      <w:bookmarkStart w:id="0" w:name="_GoBack"/>
      <w:bookmarkEnd w:id="0"/>
      <w:r w:rsidRPr="00F966B4">
        <w:rPr>
          <w:rFonts w:ascii="SimHei" w:eastAsia="SimHei" w:hAnsi="SimHei" w:hint="eastAsia"/>
          <w:sz w:val="21"/>
          <w:szCs w:val="28"/>
          <w:lang w:eastAsia="zh-CN"/>
        </w:rPr>
        <w:t>总干事提交</w:t>
      </w:r>
      <w:r w:rsidR="00F966B4" w:rsidRPr="00F966B4">
        <w:rPr>
          <w:rFonts w:ascii="SimHei" w:eastAsia="SimHei" w:hAnsi="SimHei"/>
          <w:sz w:val="21"/>
          <w:szCs w:val="28"/>
          <w:lang w:eastAsia="zh-CN"/>
        </w:rPr>
        <w:br/>
      </w:r>
      <w:r w:rsidRPr="00F966B4">
        <w:rPr>
          <w:rFonts w:ascii="SimHei" w:eastAsia="SimHei" w:hAnsi="SimHei" w:hint="eastAsia"/>
          <w:sz w:val="21"/>
          <w:szCs w:val="28"/>
          <w:lang w:eastAsia="zh-CN"/>
        </w:rPr>
        <w:t>2016年WIPO成员国大会的报告</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第</w:t>
      </w:r>
      <w:r w:rsidRPr="0074148F">
        <w:rPr>
          <w:rFonts w:ascii="SimSun" w:hAnsi="SimSun" w:hint="eastAsia"/>
          <w:b/>
          <w:sz w:val="21"/>
          <w:szCs w:val="28"/>
          <w:lang w:eastAsia="zh-CN"/>
        </w:rPr>
        <w:t>20</w:t>
      </w:r>
      <w:r w:rsidRPr="00F966B4">
        <w:rPr>
          <w:rFonts w:ascii="SimSun" w:hAnsi="SimSun" w:hint="eastAsia"/>
          <w:sz w:val="21"/>
          <w:szCs w:val="28"/>
          <w:lang w:eastAsia="zh-CN"/>
        </w:rPr>
        <w:t>个批准使《马拉喀什条约》生效</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WIPO各项条约收到</w:t>
      </w:r>
      <w:r w:rsidRPr="0074148F">
        <w:rPr>
          <w:rFonts w:ascii="SimSun" w:hAnsi="SimSun" w:hint="eastAsia"/>
          <w:b/>
          <w:sz w:val="21"/>
          <w:szCs w:val="28"/>
          <w:lang w:eastAsia="zh-CN"/>
        </w:rPr>
        <w:t>42</w:t>
      </w:r>
      <w:r w:rsidRPr="00F966B4">
        <w:rPr>
          <w:rFonts w:ascii="SimSun" w:hAnsi="SimSun" w:hint="eastAsia"/>
          <w:sz w:val="21"/>
          <w:szCs w:val="28"/>
          <w:lang w:eastAsia="zh-CN"/>
        </w:rPr>
        <w:t>个加入</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74148F">
        <w:rPr>
          <w:rFonts w:ascii="SimSun" w:hAnsi="SimSun" w:hint="eastAsia"/>
          <w:b/>
          <w:sz w:val="21"/>
          <w:szCs w:val="28"/>
          <w:lang w:eastAsia="zh-CN"/>
        </w:rPr>
        <w:t>82%</w:t>
      </w:r>
      <w:r w:rsidRPr="00F966B4">
        <w:rPr>
          <w:rFonts w:ascii="SimSun" w:hAnsi="SimSun" w:hint="eastAsia"/>
          <w:sz w:val="21"/>
          <w:szCs w:val="28"/>
          <w:lang w:eastAsia="zh-CN"/>
        </w:rPr>
        <w:t>参加WIPO学院远程学习的学员表示通过学习提高了效绩</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74148F">
        <w:rPr>
          <w:rFonts w:ascii="SimSun" w:hAnsi="SimSun" w:hint="eastAsia"/>
          <w:b/>
          <w:sz w:val="21"/>
          <w:szCs w:val="28"/>
          <w:lang w:eastAsia="zh-CN"/>
        </w:rPr>
        <w:t>77</w:t>
      </w:r>
      <w:r w:rsidRPr="00F966B4">
        <w:rPr>
          <w:rFonts w:ascii="SimSun" w:hAnsi="SimSun" w:hint="eastAsia"/>
          <w:sz w:val="21"/>
          <w:szCs w:val="28"/>
          <w:lang w:eastAsia="zh-CN"/>
        </w:rPr>
        <w:t>个知识产权局使用WIPO的IPAS数字业务解决方案</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74148F">
        <w:rPr>
          <w:rFonts w:ascii="SimSun" w:hAnsi="SimSun" w:hint="eastAsia"/>
          <w:b/>
          <w:sz w:val="21"/>
          <w:szCs w:val="28"/>
          <w:lang w:eastAsia="zh-CN"/>
        </w:rPr>
        <w:t>450</w:t>
      </w:r>
      <w:r w:rsidRPr="00F966B4">
        <w:rPr>
          <w:rFonts w:ascii="SimSun" w:hAnsi="SimSun" w:hint="eastAsia"/>
          <w:sz w:val="21"/>
          <w:szCs w:val="28"/>
          <w:lang w:eastAsia="zh-CN"/>
        </w:rPr>
        <w:t>个技术与创新支持中心（TISC）投入运行</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74148F">
        <w:rPr>
          <w:rFonts w:ascii="SimSun" w:hAnsi="SimSun" w:hint="eastAsia"/>
          <w:b/>
          <w:sz w:val="21"/>
          <w:szCs w:val="28"/>
          <w:lang w:eastAsia="zh-CN"/>
        </w:rPr>
        <w:t>62</w:t>
      </w:r>
      <w:r w:rsidRPr="00F966B4">
        <w:rPr>
          <w:rFonts w:ascii="SimSun" w:hAnsi="SimSun" w:hint="eastAsia"/>
          <w:sz w:val="21"/>
          <w:szCs w:val="28"/>
          <w:lang w:eastAsia="zh-CN"/>
        </w:rPr>
        <w:t>个国家出台国家知识产权战略</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通过ARDI获取发展与创新方面研究成果的机构新增</w:t>
      </w:r>
      <w:r w:rsidRPr="0074148F">
        <w:rPr>
          <w:rFonts w:ascii="SimSun" w:hAnsi="SimSun" w:hint="eastAsia"/>
          <w:b/>
          <w:sz w:val="21"/>
          <w:szCs w:val="28"/>
          <w:lang w:eastAsia="zh-CN"/>
        </w:rPr>
        <w:t>300</w:t>
      </w:r>
      <w:r w:rsidRPr="00F966B4">
        <w:rPr>
          <w:rFonts w:ascii="SimSun" w:hAnsi="SimSun" w:hint="eastAsia"/>
          <w:sz w:val="21"/>
          <w:szCs w:val="28"/>
          <w:lang w:eastAsia="zh-CN"/>
        </w:rPr>
        <w:t>个</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通过无障碍图书联合会向视障读者提供的无障碍格式图书达</w:t>
      </w:r>
      <w:r w:rsidRPr="0074148F">
        <w:rPr>
          <w:rFonts w:ascii="SimSun" w:hAnsi="SimSun" w:hint="eastAsia"/>
          <w:b/>
          <w:sz w:val="21"/>
          <w:szCs w:val="28"/>
          <w:lang w:eastAsia="zh-CN"/>
        </w:rPr>
        <w:t>319,000</w:t>
      </w:r>
      <w:r w:rsidRPr="00F966B4">
        <w:rPr>
          <w:rFonts w:ascii="SimSun" w:hAnsi="SimSun" w:hint="eastAsia"/>
          <w:sz w:val="21"/>
          <w:szCs w:val="28"/>
          <w:lang w:eastAsia="zh-CN"/>
        </w:rPr>
        <w:t>种</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第</w:t>
      </w:r>
      <w:r w:rsidRPr="0074148F">
        <w:rPr>
          <w:rFonts w:ascii="SimSun" w:hAnsi="SimSun" w:hint="eastAsia"/>
          <w:b/>
          <w:sz w:val="21"/>
          <w:szCs w:val="28"/>
          <w:lang w:eastAsia="zh-CN"/>
        </w:rPr>
        <w:t>100</w:t>
      </w:r>
      <w:r w:rsidRPr="00F966B4">
        <w:rPr>
          <w:rFonts w:ascii="SimSun" w:hAnsi="SimSun" w:hint="eastAsia"/>
          <w:sz w:val="21"/>
          <w:szCs w:val="28"/>
          <w:lang w:eastAsia="zh-CN"/>
        </w:rPr>
        <w:t>个研究协作项目通过</w:t>
      </w:r>
      <w:r w:rsidRPr="00F966B4">
        <w:rPr>
          <w:rFonts w:ascii="SimSun" w:hAnsi="SimSun"/>
          <w:sz w:val="21"/>
          <w:szCs w:val="28"/>
          <w:lang w:eastAsia="zh-CN"/>
        </w:rPr>
        <w:t xml:space="preserve">WIPO </w:t>
      </w:r>
      <w:proofErr w:type="spellStart"/>
      <w:r w:rsidRPr="00F966B4">
        <w:rPr>
          <w:rFonts w:ascii="SimSun" w:hAnsi="SimSun"/>
          <w:sz w:val="21"/>
          <w:szCs w:val="28"/>
          <w:lang w:eastAsia="zh-CN"/>
        </w:rPr>
        <w:t>Re:Search</w:t>
      </w:r>
      <w:proofErr w:type="spellEnd"/>
      <w:r w:rsidRPr="00F966B4">
        <w:rPr>
          <w:rFonts w:ascii="SimSun" w:hAnsi="SimSun" w:hint="eastAsia"/>
          <w:sz w:val="21"/>
          <w:szCs w:val="28"/>
          <w:lang w:eastAsia="zh-CN"/>
        </w:rPr>
        <w:t>达成</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74148F">
        <w:rPr>
          <w:rFonts w:ascii="SimSun" w:hAnsi="SimSun" w:hint="eastAsia"/>
          <w:b/>
          <w:sz w:val="21"/>
          <w:szCs w:val="28"/>
          <w:lang w:eastAsia="zh-CN"/>
        </w:rPr>
        <w:t>218,000</w:t>
      </w:r>
      <w:r w:rsidRPr="00F966B4">
        <w:rPr>
          <w:rFonts w:ascii="SimSun" w:hAnsi="SimSun" w:hint="eastAsia"/>
          <w:sz w:val="21"/>
          <w:szCs w:val="28"/>
          <w:lang w:eastAsia="zh-CN"/>
        </w:rPr>
        <w:t>件PCT申请</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海牙体系申请量增长</w:t>
      </w:r>
      <w:r w:rsidRPr="0074148F">
        <w:rPr>
          <w:rFonts w:ascii="SimSun" w:hAnsi="SimSun" w:hint="eastAsia"/>
          <w:b/>
          <w:sz w:val="21"/>
          <w:szCs w:val="28"/>
          <w:lang w:eastAsia="zh-CN"/>
        </w:rPr>
        <w:t>40%</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马德里体系庆祝</w:t>
      </w:r>
      <w:r w:rsidRPr="0074148F">
        <w:rPr>
          <w:rFonts w:ascii="SimSun" w:hAnsi="SimSun" w:hint="eastAsia"/>
          <w:b/>
          <w:sz w:val="21"/>
          <w:szCs w:val="28"/>
          <w:lang w:eastAsia="zh-CN"/>
        </w:rPr>
        <w:t>125</w:t>
      </w:r>
      <w:r w:rsidRPr="00F966B4">
        <w:rPr>
          <w:rFonts w:ascii="SimSun" w:hAnsi="SimSun" w:hint="eastAsia"/>
          <w:sz w:val="21"/>
          <w:szCs w:val="28"/>
          <w:lang w:eastAsia="zh-CN"/>
        </w:rPr>
        <w:t>周年</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74148F">
        <w:rPr>
          <w:rFonts w:ascii="SimSun" w:hAnsi="SimSun" w:hint="eastAsia"/>
          <w:b/>
          <w:sz w:val="21"/>
          <w:szCs w:val="28"/>
          <w:lang w:eastAsia="zh-CN"/>
        </w:rPr>
        <w:t>2,750</w:t>
      </w:r>
      <w:r w:rsidRPr="00F966B4">
        <w:rPr>
          <w:rFonts w:ascii="SimSun" w:hAnsi="SimSun" w:hint="eastAsia"/>
          <w:sz w:val="21"/>
          <w:szCs w:val="28"/>
          <w:lang w:eastAsia="zh-CN"/>
        </w:rPr>
        <w:t>件域名争议提交给仲裁与调解中心</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74148F">
        <w:rPr>
          <w:rFonts w:ascii="SimSun" w:hAnsi="SimSun" w:hint="eastAsia"/>
          <w:b/>
          <w:sz w:val="21"/>
          <w:szCs w:val="28"/>
          <w:lang w:eastAsia="zh-CN"/>
        </w:rPr>
        <w:t>24</w:t>
      </w:r>
      <w:r w:rsidRPr="00F966B4">
        <w:rPr>
          <w:rFonts w:ascii="SimSun" w:hAnsi="SimSun" w:hint="eastAsia"/>
          <w:sz w:val="21"/>
          <w:szCs w:val="28"/>
          <w:lang w:eastAsia="zh-CN"/>
        </w:rPr>
        <w:t>个主管局通过WIPO CASE共享信息</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可使用</w:t>
      </w:r>
      <w:r w:rsidRPr="0074148F">
        <w:rPr>
          <w:rFonts w:ascii="SimSun" w:hAnsi="SimSun" w:hint="eastAsia"/>
          <w:b/>
          <w:sz w:val="21"/>
          <w:szCs w:val="28"/>
          <w:lang w:eastAsia="zh-CN"/>
        </w:rPr>
        <w:t>14</w:t>
      </w:r>
      <w:r w:rsidRPr="00F966B4">
        <w:rPr>
          <w:rFonts w:ascii="SimSun" w:hAnsi="SimSun" w:hint="eastAsia"/>
          <w:sz w:val="21"/>
          <w:szCs w:val="28"/>
          <w:lang w:eastAsia="zh-CN"/>
        </w:rPr>
        <w:t>种语言在</w:t>
      </w:r>
      <w:r w:rsidRPr="00F966B4">
        <w:rPr>
          <w:rFonts w:ascii="SimSun" w:hAnsi="SimSun"/>
          <w:sz w:val="21"/>
          <w:szCs w:val="28"/>
          <w:lang w:eastAsia="zh-CN"/>
        </w:rPr>
        <w:t>PATENTSCOPE</w:t>
      </w:r>
      <w:r w:rsidRPr="00F966B4">
        <w:rPr>
          <w:rFonts w:ascii="SimSun" w:hAnsi="SimSun" w:hint="eastAsia"/>
          <w:sz w:val="21"/>
          <w:szCs w:val="28"/>
          <w:lang w:eastAsia="zh-CN"/>
        </w:rPr>
        <w:t>中进行检索</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WIPO的免费全球数据库中有</w:t>
      </w:r>
      <w:r w:rsidRPr="0074148F">
        <w:rPr>
          <w:rFonts w:ascii="SimSun" w:hAnsi="SimSun" w:hint="eastAsia"/>
          <w:b/>
          <w:sz w:val="21"/>
          <w:szCs w:val="28"/>
          <w:lang w:eastAsia="zh-CN"/>
        </w:rPr>
        <w:t>一亿</w:t>
      </w:r>
      <w:r w:rsidRPr="00F966B4">
        <w:rPr>
          <w:rFonts w:ascii="SimSun" w:hAnsi="SimSun" w:hint="eastAsia"/>
          <w:sz w:val="21"/>
          <w:szCs w:val="28"/>
          <w:lang w:eastAsia="zh-CN"/>
        </w:rPr>
        <w:t>条数据</w:t>
      </w:r>
    </w:p>
    <w:p w:rsidR="00C16BB6" w:rsidRPr="00F966B4" w:rsidRDefault="00C16BB6"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2015年底的预算盈余为</w:t>
      </w:r>
      <w:r w:rsidRPr="0074148F">
        <w:rPr>
          <w:rFonts w:ascii="SimSun" w:hAnsi="SimSun" w:hint="eastAsia"/>
          <w:b/>
          <w:sz w:val="21"/>
          <w:szCs w:val="28"/>
          <w:lang w:eastAsia="zh-CN"/>
        </w:rPr>
        <w:t>7,030</w:t>
      </w:r>
      <w:proofErr w:type="gramStart"/>
      <w:r w:rsidRPr="0074148F">
        <w:rPr>
          <w:rFonts w:ascii="SimSun" w:hAnsi="SimSun" w:hint="eastAsia"/>
          <w:b/>
          <w:sz w:val="21"/>
          <w:szCs w:val="28"/>
          <w:lang w:eastAsia="zh-CN"/>
        </w:rPr>
        <w:t>万</w:t>
      </w:r>
      <w:r w:rsidRPr="00F966B4">
        <w:rPr>
          <w:rFonts w:ascii="SimSun" w:hAnsi="SimSun" w:hint="eastAsia"/>
          <w:sz w:val="21"/>
          <w:szCs w:val="28"/>
          <w:lang w:eastAsia="zh-CN"/>
        </w:rPr>
        <w:t>瑞</w:t>
      </w:r>
      <w:proofErr w:type="gramEnd"/>
      <w:r w:rsidRPr="00F966B4">
        <w:rPr>
          <w:rFonts w:ascii="SimSun" w:hAnsi="SimSun" w:hint="eastAsia"/>
          <w:sz w:val="21"/>
          <w:szCs w:val="28"/>
          <w:lang w:eastAsia="zh-CN"/>
        </w:rPr>
        <w:t>士法郎</w:t>
      </w:r>
    </w:p>
    <w:p w:rsidR="00C16BB6" w:rsidRPr="00F966B4" w:rsidRDefault="00F966B4"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收入比预算收入高</w:t>
      </w:r>
      <w:r w:rsidRPr="0074148F">
        <w:rPr>
          <w:rFonts w:ascii="SimSun" w:hAnsi="SimSun" w:hint="eastAsia"/>
          <w:b/>
          <w:sz w:val="21"/>
          <w:szCs w:val="28"/>
          <w:lang w:eastAsia="zh-CN"/>
        </w:rPr>
        <w:t>8.7%</w:t>
      </w:r>
      <w:r w:rsidRPr="00F966B4">
        <w:rPr>
          <w:rFonts w:ascii="SimSun" w:hAnsi="SimSun" w:hint="eastAsia"/>
          <w:sz w:val="21"/>
          <w:szCs w:val="28"/>
          <w:lang w:eastAsia="zh-CN"/>
        </w:rPr>
        <w:t>（2014/15年）</w:t>
      </w:r>
    </w:p>
    <w:p w:rsidR="00F966B4" w:rsidRPr="00F966B4" w:rsidRDefault="00F966B4"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WIPO工作人员的国籍有</w:t>
      </w:r>
      <w:r w:rsidRPr="0074148F">
        <w:rPr>
          <w:rFonts w:ascii="SimSun" w:hAnsi="SimSun" w:hint="eastAsia"/>
          <w:b/>
          <w:sz w:val="21"/>
          <w:szCs w:val="28"/>
          <w:lang w:eastAsia="zh-CN"/>
        </w:rPr>
        <w:t>120</w:t>
      </w:r>
      <w:r w:rsidRPr="00F966B4">
        <w:rPr>
          <w:rFonts w:ascii="SimSun" w:hAnsi="SimSun" w:hint="eastAsia"/>
          <w:sz w:val="21"/>
          <w:szCs w:val="28"/>
          <w:lang w:eastAsia="zh-CN"/>
        </w:rPr>
        <w:t>个</w:t>
      </w:r>
    </w:p>
    <w:p w:rsidR="00F966B4" w:rsidRPr="00F966B4" w:rsidRDefault="00F966B4"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全球创新指数中分析的经济体达</w:t>
      </w:r>
      <w:r w:rsidRPr="0074148F">
        <w:rPr>
          <w:rFonts w:ascii="SimSun" w:hAnsi="SimSun" w:hint="eastAsia"/>
          <w:b/>
          <w:sz w:val="21"/>
          <w:szCs w:val="28"/>
          <w:lang w:eastAsia="zh-CN"/>
        </w:rPr>
        <w:t>128</w:t>
      </w:r>
      <w:r w:rsidRPr="00F966B4">
        <w:rPr>
          <w:rFonts w:ascii="SimSun" w:hAnsi="SimSun" w:hint="eastAsia"/>
          <w:sz w:val="21"/>
          <w:szCs w:val="28"/>
          <w:lang w:eastAsia="zh-CN"/>
        </w:rPr>
        <w:t>个</w:t>
      </w:r>
    </w:p>
    <w:p w:rsidR="00F966B4" w:rsidRPr="00F966B4" w:rsidRDefault="00F966B4"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《世界知识产权报告》对</w:t>
      </w:r>
      <w:r w:rsidRPr="0074148F">
        <w:rPr>
          <w:rFonts w:ascii="SimSun" w:hAnsi="SimSun" w:hint="eastAsia"/>
          <w:b/>
          <w:sz w:val="21"/>
          <w:szCs w:val="28"/>
          <w:lang w:eastAsia="zh-CN"/>
        </w:rPr>
        <w:t>200</w:t>
      </w:r>
      <w:r w:rsidRPr="00F966B4">
        <w:rPr>
          <w:rFonts w:ascii="SimSun" w:hAnsi="SimSun" w:hint="eastAsia"/>
          <w:sz w:val="21"/>
          <w:szCs w:val="28"/>
          <w:lang w:eastAsia="zh-CN"/>
        </w:rPr>
        <w:t>年的突破性创新进行介绍</w:t>
      </w:r>
    </w:p>
    <w:p w:rsidR="00F966B4" w:rsidRPr="00F966B4" w:rsidRDefault="00F966B4"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在</w:t>
      </w:r>
      <w:r w:rsidRPr="0074148F">
        <w:rPr>
          <w:rFonts w:ascii="SimSun" w:hAnsi="SimSun" w:hint="eastAsia"/>
          <w:b/>
          <w:sz w:val="21"/>
          <w:szCs w:val="28"/>
          <w:lang w:eastAsia="zh-CN"/>
        </w:rPr>
        <w:t>121</w:t>
      </w:r>
      <w:r w:rsidRPr="00F966B4">
        <w:rPr>
          <w:rFonts w:ascii="SimSun" w:hAnsi="SimSun" w:hint="eastAsia"/>
          <w:sz w:val="21"/>
          <w:szCs w:val="28"/>
          <w:lang w:eastAsia="zh-CN"/>
        </w:rPr>
        <w:t>个国家举办了</w:t>
      </w:r>
      <w:r w:rsidRPr="0074148F">
        <w:rPr>
          <w:rFonts w:ascii="SimSun" w:hAnsi="SimSun" w:hint="eastAsia"/>
          <w:b/>
          <w:sz w:val="21"/>
          <w:szCs w:val="28"/>
          <w:lang w:eastAsia="zh-CN"/>
        </w:rPr>
        <w:t>451</w:t>
      </w:r>
      <w:r w:rsidRPr="00F966B4">
        <w:rPr>
          <w:rFonts w:ascii="SimSun" w:hAnsi="SimSun" w:hint="eastAsia"/>
          <w:sz w:val="21"/>
          <w:szCs w:val="28"/>
          <w:lang w:eastAsia="zh-CN"/>
        </w:rPr>
        <w:t>场世界知识产权日活动</w:t>
      </w:r>
    </w:p>
    <w:p w:rsidR="00F966B4" w:rsidRPr="00F966B4" w:rsidRDefault="00F966B4"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YouTube视频观看总量达</w:t>
      </w:r>
      <w:r w:rsidRPr="0074148F">
        <w:rPr>
          <w:rFonts w:ascii="SimSun" w:hAnsi="SimSun" w:hint="eastAsia"/>
          <w:b/>
          <w:sz w:val="21"/>
          <w:szCs w:val="28"/>
          <w:lang w:eastAsia="zh-CN"/>
        </w:rPr>
        <w:t>1,140万</w:t>
      </w:r>
    </w:p>
    <w:p w:rsidR="00F966B4" w:rsidRPr="00F966B4" w:rsidRDefault="00F966B4" w:rsidP="00F966B4">
      <w:pPr>
        <w:adjustRightInd w:val="0"/>
        <w:spacing w:afterLines="50" w:after="120" w:line="340" w:lineRule="atLeast"/>
        <w:jc w:val="both"/>
        <w:rPr>
          <w:rFonts w:ascii="SimSun" w:hAnsi="SimSun"/>
          <w:sz w:val="21"/>
          <w:szCs w:val="28"/>
          <w:lang w:eastAsia="zh-CN"/>
        </w:rPr>
      </w:pPr>
      <w:r w:rsidRPr="00F966B4">
        <w:rPr>
          <w:rFonts w:ascii="SimSun" w:hAnsi="SimSun" w:hint="eastAsia"/>
          <w:sz w:val="21"/>
          <w:szCs w:val="28"/>
          <w:lang w:eastAsia="zh-CN"/>
        </w:rPr>
        <w:t>WIPO</w:t>
      </w:r>
      <w:proofErr w:type="gramStart"/>
      <w:r w:rsidRPr="00F966B4">
        <w:rPr>
          <w:rFonts w:ascii="SimSun" w:hAnsi="SimSun" w:hint="eastAsia"/>
          <w:sz w:val="21"/>
          <w:szCs w:val="28"/>
          <w:lang w:eastAsia="zh-CN"/>
        </w:rPr>
        <w:t>推文印象</w:t>
      </w:r>
      <w:proofErr w:type="gramEnd"/>
      <w:r w:rsidRPr="00F966B4">
        <w:rPr>
          <w:rFonts w:ascii="SimSun" w:hAnsi="SimSun" w:hint="eastAsia"/>
          <w:sz w:val="21"/>
          <w:szCs w:val="28"/>
          <w:lang w:eastAsia="zh-CN"/>
        </w:rPr>
        <w:t>数达</w:t>
      </w:r>
      <w:r w:rsidRPr="0074148F">
        <w:rPr>
          <w:rFonts w:ascii="SimSun" w:hAnsi="SimSun" w:hint="eastAsia"/>
          <w:b/>
          <w:sz w:val="21"/>
          <w:szCs w:val="28"/>
          <w:lang w:eastAsia="zh-CN"/>
        </w:rPr>
        <w:t>1.557亿</w:t>
      </w:r>
    </w:p>
    <w:p w:rsidR="00F966B4" w:rsidRPr="0074148F" w:rsidRDefault="00F966B4" w:rsidP="00F966B4">
      <w:pPr>
        <w:adjustRightInd w:val="0"/>
        <w:spacing w:afterLines="50" w:after="120" w:line="340" w:lineRule="atLeast"/>
        <w:jc w:val="both"/>
        <w:rPr>
          <w:rFonts w:ascii="SimSun" w:hAnsi="SimSun"/>
          <w:sz w:val="21"/>
          <w:szCs w:val="28"/>
          <w:lang w:eastAsia="zh-CN"/>
        </w:rPr>
      </w:pPr>
      <w:r w:rsidRPr="0074148F">
        <w:rPr>
          <w:rFonts w:ascii="SimSun" w:hAnsi="SimSun" w:hint="eastAsia"/>
          <w:sz w:val="21"/>
          <w:szCs w:val="28"/>
          <w:lang w:eastAsia="zh-CN"/>
        </w:rPr>
        <w:t>WIPO电子通讯平台自推出以来已被打开</w:t>
      </w:r>
      <w:r w:rsidRPr="0074148F">
        <w:rPr>
          <w:rFonts w:ascii="SimSun" w:hAnsi="SimSun" w:hint="eastAsia"/>
          <w:b/>
          <w:sz w:val="21"/>
          <w:szCs w:val="28"/>
          <w:lang w:eastAsia="zh-CN"/>
        </w:rPr>
        <w:t>200万</w:t>
      </w:r>
      <w:r w:rsidRPr="0074148F">
        <w:rPr>
          <w:rFonts w:ascii="SimSun" w:hAnsi="SimSun" w:hint="eastAsia"/>
          <w:sz w:val="21"/>
          <w:szCs w:val="28"/>
          <w:lang w:eastAsia="zh-CN"/>
        </w:rPr>
        <w:t>次</w:t>
      </w:r>
    </w:p>
    <w:p w:rsidR="00F966B4" w:rsidRPr="0074148F" w:rsidRDefault="00F966B4">
      <w:pPr>
        <w:spacing w:after="0" w:line="240" w:lineRule="auto"/>
        <w:rPr>
          <w:rFonts w:ascii="SimSun" w:hAnsi="SimSun"/>
          <w:sz w:val="21"/>
          <w:szCs w:val="28"/>
          <w:lang w:eastAsia="zh-CN"/>
        </w:rPr>
      </w:pPr>
      <w:r w:rsidRPr="0074148F">
        <w:rPr>
          <w:rFonts w:ascii="SimSun" w:hAnsi="SimSun"/>
          <w:sz w:val="21"/>
          <w:szCs w:val="28"/>
          <w:lang w:eastAsia="zh-CN"/>
        </w:rPr>
        <w:br w:type="page"/>
      </w:r>
    </w:p>
    <w:p w:rsidR="0091687D" w:rsidRPr="00F966B4" w:rsidRDefault="0091687D" w:rsidP="0074148F">
      <w:pPr>
        <w:adjustRightInd w:val="0"/>
        <w:spacing w:afterLines="50" w:after="120" w:line="340" w:lineRule="atLeast"/>
        <w:ind w:firstLineChars="200" w:firstLine="420"/>
        <w:jc w:val="both"/>
        <w:rPr>
          <w:rFonts w:ascii="SimSun" w:hAnsi="SimSun"/>
          <w:b/>
          <w:sz w:val="21"/>
          <w:szCs w:val="28"/>
          <w:lang w:eastAsia="zh-CN"/>
        </w:rPr>
      </w:pPr>
      <w:r w:rsidRPr="00F966B4">
        <w:rPr>
          <w:rFonts w:ascii="SimSun" w:hAnsi="SimSun" w:hint="eastAsia"/>
          <w:sz w:val="21"/>
          <w:szCs w:val="28"/>
          <w:lang w:eastAsia="zh-CN"/>
        </w:rPr>
        <w:lastRenderedPageBreak/>
        <w:t>自2015年10月上届</w:t>
      </w:r>
      <w:r w:rsidRPr="00F966B4">
        <w:rPr>
          <w:rFonts w:ascii="SimSun" w:hAnsi="SimSun"/>
          <w:sz w:val="21"/>
          <w:szCs w:val="28"/>
          <w:lang w:eastAsia="zh-CN"/>
        </w:rPr>
        <w:t>WIPO</w:t>
      </w:r>
      <w:r w:rsidRPr="00F966B4">
        <w:rPr>
          <w:rFonts w:ascii="SimSun" w:hAnsi="SimSun" w:hint="eastAsia"/>
          <w:sz w:val="21"/>
          <w:szCs w:val="28"/>
          <w:lang w:eastAsia="zh-CN"/>
        </w:rPr>
        <w:t>成员国大会以来已过去一年，整个产权组织在此期间都取得良好进展。产权组织在2014-2015两年期结束时取得非常积极的财务结果，并在当前2016-2017两年期的前九个月期间仍保持这种势头；全球知识产权体系不论是在地域覆盖面方面，还是在对各体系的使用上，都在继续扩展；《关于为盲人、视力障碍者或其他印刷品阅读障碍者获得已出版作品提供便利的</w:t>
      </w:r>
      <w:r w:rsidRPr="00F966B4">
        <w:rPr>
          <w:rFonts w:ascii="SimSun" w:hAnsi="SimSun"/>
          <w:sz w:val="21"/>
          <w:szCs w:val="28"/>
          <w:lang w:eastAsia="zh-CN"/>
        </w:rPr>
        <w:t>马拉喀什条约</w:t>
      </w:r>
      <w:r w:rsidRPr="00F966B4">
        <w:rPr>
          <w:rFonts w:ascii="SimSun" w:hAnsi="SimSun" w:hint="eastAsia"/>
          <w:sz w:val="21"/>
          <w:szCs w:val="28"/>
          <w:lang w:eastAsia="zh-CN"/>
        </w:rPr>
        <w:t>》</w:t>
      </w:r>
      <w:r w:rsidRPr="00F966B4">
        <w:rPr>
          <w:rFonts w:ascii="SimSun" w:hAnsi="SimSun"/>
          <w:sz w:val="21"/>
          <w:szCs w:val="28"/>
          <w:lang w:eastAsia="zh-CN"/>
        </w:rPr>
        <w:t>（“</w:t>
      </w:r>
      <w:r w:rsidRPr="00F966B4">
        <w:rPr>
          <w:rFonts w:ascii="SimSun" w:hAnsi="SimSun" w:hint="eastAsia"/>
          <w:sz w:val="21"/>
          <w:szCs w:val="28"/>
          <w:lang w:eastAsia="zh-CN"/>
        </w:rPr>
        <w:t>《</w:t>
      </w:r>
      <w:r w:rsidRPr="00F966B4">
        <w:rPr>
          <w:rFonts w:ascii="SimSun" w:hAnsi="SimSun"/>
          <w:sz w:val="21"/>
          <w:szCs w:val="28"/>
          <w:lang w:eastAsia="zh-CN"/>
        </w:rPr>
        <w:t>马拉喀什条约</w:t>
      </w:r>
      <w:r w:rsidRPr="00F966B4">
        <w:rPr>
          <w:rFonts w:ascii="SimSun" w:hAnsi="SimSun" w:hint="eastAsia"/>
          <w:sz w:val="21"/>
          <w:szCs w:val="28"/>
          <w:lang w:eastAsia="zh-CN"/>
        </w:rPr>
        <w:t>》</w:t>
      </w:r>
      <w:r w:rsidRPr="00F966B4">
        <w:rPr>
          <w:rFonts w:ascii="SimSun" w:hAnsi="SimSun"/>
          <w:sz w:val="21"/>
          <w:szCs w:val="28"/>
          <w:lang w:eastAsia="zh-CN"/>
        </w:rPr>
        <w:t>”）</w:t>
      </w:r>
      <w:r w:rsidRPr="00F966B4">
        <w:rPr>
          <w:rFonts w:ascii="SimSun" w:hAnsi="SimSun" w:hint="eastAsia"/>
          <w:sz w:val="21"/>
          <w:szCs w:val="28"/>
          <w:lang w:eastAsia="zh-CN"/>
        </w:rPr>
        <w:t>开始生效，加入产权组织管理的其他条约的缔约</w:t>
      </w:r>
      <w:proofErr w:type="gramStart"/>
      <w:r w:rsidRPr="00F966B4">
        <w:rPr>
          <w:rFonts w:ascii="SimSun" w:hAnsi="SimSun" w:hint="eastAsia"/>
          <w:sz w:val="21"/>
          <w:szCs w:val="28"/>
          <w:lang w:eastAsia="zh-CN"/>
        </w:rPr>
        <w:t>方数量</w:t>
      </w:r>
      <w:proofErr w:type="gramEnd"/>
      <w:r w:rsidRPr="00F966B4">
        <w:rPr>
          <w:rFonts w:ascii="SimSun" w:hAnsi="SimSun" w:hint="eastAsia"/>
          <w:sz w:val="21"/>
          <w:szCs w:val="28"/>
          <w:lang w:eastAsia="zh-CN"/>
        </w:rPr>
        <w:t>仍在不断增加；产权组织管理的全球数据库和其他信息技术（IT）系统及平台丰富了各自的产品，吸引了越来越多的主管局和用户参与；产权组织的能力建设计划继续面临大量需求；还有许多其他成果都得以实现，下面将逐一详述。</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财务状况</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74148F">
        <w:rPr>
          <w:rFonts w:ascii="SimSun" w:hAnsi="SimSun" w:hint="eastAsia"/>
          <w:sz w:val="21"/>
          <w:szCs w:val="28"/>
          <w:lang w:eastAsia="zh-CN"/>
        </w:rPr>
        <w:t>产权组织的财务状况继续保持稳健。</w:t>
      </w:r>
      <w:r w:rsidRPr="0074148F">
        <w:rPr>
          <w:rFonts w:ascii="SimSun" w:hAnsi="SimSun"/>
          <w:sz w:val="21"/>
          <w:szCs w:val="28"/>
          <w:lang w:eastAsia="zh-CN"/>
        </w:rPr>
        <w:t>2014-2015</w:t>
      </w:r>
      <w:r w:rsidRPr="0074148F">
        <w:rPr>
          <w:rFonts w:ascii="SimSun" w:hAnsi="SimSun" w:hint="eastAsia"/>
          <w:sz w:val="21"/>
          <w:szCs w:val="28"/>
          <w:lang w:eastAsia="zh-CN"/>
        </w:rPr>
        <w:t>两年期结束时，我们取得了总盈余达7</w:t>
      </w:r>
      <w:r w:rsidRPr="0074148F">
        <w:rPr>
          <w:rFonts w:ascii="SimSun" w:hAnsi="SimSun"/>
          <w:sz w:val="21"/>
          <w:szCs w:val="28"/>
          <w:lang w:eastAsia="zh-CN"/>
        </w:rPr>
        <w:t>,</w:t>
      </w:r>
      <w:r w:rsidRPr="0074148F">
        <w:rPr>
          <w:rFonts w:ascii="SimSun" w:hAnsi="SimSun" w:hint="eastAsia"/>
          <w:sz w:val="21"/>
          <w:szCs w:val="28"/>
          <w:lang w:eastAsia="zh-CN"/>
        </w:rPr>
        <w:t>030</w:t>
      </w:r>
      <w:proofErr w:type="gramStart"/>
      <w:r w:rsidRPr="0074148F">
        <w:rPr>
          <w:rFonts w:ascii="SimSun" w:hAnsi="SimSun" w:hint="eastAsia"/>
          <w:sz w:val="21"/>
          <w:szCs w:val="28"/>
          <w:lang w:eastAsia="zh-CN"/>
        </w:rPr>
        <w:t>万瑞</w:t>
      </w:r>
      <w:proofErr w:type="gramEnd"/>
      <w:r w:rsidRPr="0074148F">
        <w:rPr>
          <w:rFonts w:ascii="SimSun" w:hAnsi="SimSun" w:hint="eastAsia"/>
          <w:sz w:val="21"/>
          <w:szCs w:val="28"/>
          <w:lang w:eastAsia="zh-CN"/>
        </w:rPr>
        <w:t>士法郎的杰出成果。该两年期的收入达</w:t>
      </w:r>
      <w:r w:rsidRPr="0074148F">
        <w:rPr>
          <w:rFonts w:ascii="SimSun" w:hAnsi="SimSun"/>
          <w:sz w:val="21"/>
          <w:szCs w:val="28"/>
          <w:lang w:eastAsia="zh-CN"/>
        </w:rPr>
        <w:t>7.757</w:t>
      </w:r>
      <w:r w:rsidRPr="0074148F">
        <w:rPr>
          <w:rFonts w:ascii="SimSun" w:hAnsi="SimSun" w:hint="eastAsia"/>
          <w:sz w:val="21"/>
          <w:szCs w:val="28"/>
          <w:lang w:eastAsia="zh-CN"/>
        </w:rPr>
        <w:t>亿瑞士法郎，比上一个两年期增长</w:t>
      </w:r>
      <w:r w:rsidRPr="0074148F">
        <w:rPr>
          <w:rFonts w:ascii="SimSun" w:hAnsi="SimSun"/>
          <w:sz w:val="21"/>
          <w:szCs w:val="28"/>
          <w:lang w:eastAsia="zh-CN"/>
        </w:rPr>
        <w:t>14%</w:t>
      </w:r>
      <w:r w:rsidRPr="0074148F">
        <w:rPr>
          <w:rFonts w:ascii="SimSun" w:hAnsi="SimSun" w:hint="eastAsia"/>
          <w:sz w:val="21"/>
          <w:szCs w:val="28"/>
          <w:lang w:eastAsia="zh-CN"/>
        </w:rPr>
        <w:t>，比预算目标增长</w:t>
      </w:r>
      <w:r w:rsidRPr="0074148F">
        <w:rPr>
          <w:rFonts w:ascii="SimSun" w:hAnsi="SimSun"/>
          <w:sz w:val="21"/>
          <w:szCs w:val="28"/>
          <w:lang w:eastAsia="zh-CN"/>
        </w:rPr>
        <w:t>8.7%</w:t>
      </w:r>
      <w:r w:rsidRPr="0074148F">
        <w:rPr>
          <w:rFonts w:ascii="SimSun" w:hAnsi="SimSun" w:hint="eastAsia"/>
          <w:sz w:val="21"/>
          <w:szCs w:val="28"/>
          <w:lang w:eastAsia="zh-CN"/>
        </w:rPr>
        <w:t>，这种增长是由《专利合作条约》</w:t>
      </w:r>
      <w:r w:rsidRPr="0074148F">
        <w:rPr>
          <w:rFonts w:ascii="SimSun" w:hAnsi="SimSun"/>
          <w:sz w:val="21"/>
          <w:szCs w:val="28"/>
          <w:lang w:eastAsia="zh-CN"/>
        </w:rPr>
        <w:t>（PCT）</w:t>
      </w:r>
      <w:r w:rsidRPr="0074148F">
        <w:rPr>
          <w:rFonts w:ascii="SimSun" w:hAnsi="SimSun" w:hint="eastAsia"/>
          <w:sz w:val="21"/>
          <w:szCs w:val="28"/>
          <w:lang w:eastAsia="zh-CN"/>
        </w:rPr>
        <w:t>和《商标国际注册马德里体系》（马德里体系）在收入方面的强劲增长带动的。</w:t>
      </w:r>
      <w:r w:rsidRPr="0074148F">
        <w:rPr>
          <w:rFonts w:ascii="SimSun" w:hAnsi="SimSun"/>
          <w:sz w:val="21"/>
          <w:szCs w:val="28"/>
          <w:lang w:eastAsia="zh-CN"/>
        </w:rPr>
        <w:t>2014-2015</w:t>
      </w:r>
      <w:r w:rsidRPr="0074148F">
        <w:rPr>
          <w:rFonts w:ascii="SimSun" w:hAnsi="SimSun" w:hint="eastAsia"/>
          <w:sz w:val="21"/>
          <w:szCs w:val="28"/>
          <w:lang w:eastAsia="zh-CN"/>
        </w:rPr>
        <w:t>两年期的支出为</w:t>
      </w:r>
      <w:r w:rsidRPr="0074148F">
        <w:rPr>
          <w:rFonts w:ascii="SimSun" w:hAnsi="SimSun"/>
          <w:sz w:val="21"/>
          <w:szCs w:val="28"/>
          <w:lang w:eastAsia="zh-CN"/>
        </w:rPr>
        <w:t>6.426</w:t>
      </w:r>
      <w:r w:rsidRPr="0074148F">
        <w:rPr>
          <w:rFonts w:ascii="SimSun" w:hAnsi="SimSun" w:hint="eastAsia"/>
          <w:sz w:val="21"/>
          <w:szCs w:val="28"/>
          <w:lang w:eastAsia="zh-CN"/>
        </w:rPr>
        <w:t>亿瑞士法郎，比预算目标降低</w:t>
      </w:r>
      <w:r w:rsidRPr="0074148F">
        <w:rPr>
          <w:rFonts w:ascii="SimSun" w:hAnsi="SimSun"/>
          <w:sz w:val="21"/>
          <w:szCs w:val="28"/>
          <w:lang w:eastAsia="zh-CN"/>
        </w:rPr>
        <w:t>4.7%</w:t>
      </w:r>
      <w:r w:rsidRPr="0074148F">
        <w:rPr>
          <w:rFonts w:ascii="SimSun" w:hAnsi="SimSun" w:hint="eastAsia"/>
          <w:sz w:val="21"/>
          <w:szCs w:val="28"/>
          <w:lang w:eastAsia="zh-CN"/>
        </w:rPr>
        <w:t>，这表明我们</w:t>
      </w:r>
      <w:proofErr w:type="gramStart"/>
      <w:r w:rsidRPr="0074148F">
        <w:rPr>
          <w:rFonts w:ascii="SimSun" w:hAnsi="SimSun" w:hint="eastAsia"/>
          <w:sz w:val="21"/>
          <w:szCs w:val="28"/>
          <w:lang w:eastAsia="zh-CN"/>
        </w:rPr>
        <w:t>慎重关注</w:t>
      </w:r>
      <w:proofErr w:type="gramEnd"/>
      <w:r w:rsidRPr="0074148F">
        <w:rPr>
          <w:rFonts w:ascii="SimSun" w:hAnsi="SimSun" w:hint="eastAsia"/>
          <w:sz w:val="21"/>
          <w:szCs w:val="28"/>
          <w:lang w:eastAsia="zh-CN"/>
        </w:rPr>
        <w:t>了对工作人员成本的控制、对外部资源以及计划落实情况的管理。取得这些成果时仍保持不变的费用水平，即</w:t>
      </w:r>
      <w:r w:rsidRPr="0074148F">
        <w:rPr>
          <w:rFonts w:ascii="SimSun" w:hAnsi="SimSun"/>
          <w:sz w:val="21"/>
          <w:szCs w:val="28"/>
          <w:lang w:eastAsia="zh-CN"/>
        </w:rPr>
        <w:t>PCT</w:t>
      </w:r>
      <w:r w:rsidRPr="0074148F">
        <w:rPr>
          <w:rFonts w:ascii="SimSun" w:hAnsi="SimSun" w:hint="eastAsia"/>
          <w:sz w:val="21"/>
          <w:szCs w:val="28"/>
          <w:lang w:eastAsia="zh-CN"/>
        </w:rPr>
        <w:t>体系、马德里体系和外观设计国际注册海牙体系（海牙体系）迄今已在过去八年中未提高收费。</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产权组织2015年底的净资产保持在</w:t>
      </w:r>
      <w:r w:rsidRPr="00F966B4">
        <w:rPr>
          <w:rFonts w:ascii="SimSun" w:hAnsi="SimSun"/>
          <w:sz w:val="21"/>
          <w:szCs w:val="28"/>
          <w:lang w:eastAsia="zh-CN"/>
        </w:rPr>
        <w:t>2.791</w:t>
      </w:r>
      <w:r w:rsidRPr="00F966B4">
        <w:rPr>
          <w:rFonts w:ascii="SimSun" w:hAnsi="SimSun" w:hint="eastAsia"/>
          <w:sz w:val="21"/>
          <w:szCs w:val="28"/>
          <w:lang w:eastAsia="zh-CN"/>
        </w:rPr>
        <w:t>亿瑞士法郎。</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我们在当前的</w:t>
      </w:r>
      <w:r w:rsidRPr="00F966B4">
        <w:rPr>
          <w:rFonts w:ascii="SimSun" w:hAnsi="SimSun"/>
          <w:sz w:val="21"/>
          <w:szCs w:val="28"/>
          <w:lang w:eastAsia="zh-CN"/>
        </w:rPr>
        <w:t>2016-2017</w:t>
      </w:r>
      <w:r w:rsidRPr="00F966B4">
        <w:rPr>
          <w:rFonts w:ascii="SimSun" w:hAnsi="SimSun" w:hint="eastAsia"/>
          <w:sz w:val="21"/>
          <w:szCs w:val="28"/>
          <w:lang w:eastAsia="zh-CN"/>
        </w:rPr>
        <w:t>两年</w:t>
      </w:r>
      <w:proofErr w:type="gramStart"/>
      <w:r w:rsidRPr="00F966B4">
        <w:rPr>
          <w:rFonts w:ascii="SimSun" w:hAnsi="SimSun" w:hint="eastAsia"/>
          <w:sz w:val="21"/>
          <w:szCs w:val="28"/>
          <w:lang w:eastAsia="zh-CN"/>
        </w:rPr>
        <w:t>期进展</w:t>
      </w:r>
      <w:proofErr w:type="gramEnd"/>
      <w:r w:rsidRPr="00F966B4">
        <w:rPr>
          <w:rFonts w:ascii="SimSun" w:hAnsi="SimSun" w:hint="eastAsia"/>
          <w:sz w:val="21"/>
          <w:szCs w:val="28"/>
          <w:lang w:eastAsia="zh-CN"/>
        </w:rPr>
        <w:t>顺利。不论是从本年度来看，还是从本两年期来看，目前对可能的结果进行预测还为时过早。不过，我们期待本两年期的第一年，也就是</w:t>
      </w:r>
      <w:r w:rsidRPr="00F966B4">
        <w:rPr>
          <w:rFonts w:ascii="SimSun" w:hAnsi="SimSun"/>
          <w:sz w:val="21"/>
          <w:szCs w:val="28"/>
          <w:lang w:eastAsia="zh-CN"/>
        </w:rPr>
        <w:t>2016</w:t>
      </w:r>
      <w:r w:rsidRPr="00F966B4">
        <w:rPr>
          <w:rFonts w:ascii="SimSun" w:hAnsi="SimSun" w:hint="eastAsia"/>
          <w:sz w:val="21"/>
          <w:szCs w:val="28"/>
          <w:lang w:eastAsia="zh-CN"/>
        </w:rPr>
        <w:t>年，将取得积极结果，总体上会产生盈余。</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然而，我们仍然不能在财政方面有自满情绪。世界经济的前景依旧存在着风险和不确定性。产权组织的预算用的是瑞士法郎，因此，负利率仍然对财务管理构成挑战，汇率也是需要不断管控的风险因素。这最后两个因素——负利率和汇率敞口——一直受到谨慎和持续的关注。此外，近期来看，有可能要增加信息技术、安全安保（包括网络安全）方面的支出。产权组织的收入主要来源于</w:t>
      </w:r>
      <w:r w:rsidRPr="00F966B4">
        <w:rPr>
          <w:rFonts w:ascii="SimSun" w:hAnsi="SimSun"/>
          <w:sz w:val="21"/>
          <w:szCs w:val="28"/>
          <w:lang w:eastAsia="zh-CN"/>
        </w:rPr>
        <w:t>PCT</w:t>
      </w:r>
      <w:r w:rsidRPr="00F966B4">
        <w:rPr>
          <w:rFonts w:ascii="SimSun" w:hAnsi="SimSun" w:hint="eastAsia"/>
          <w:sz w:val="21"/>
          <w:szCs w:val="28"/>
          <w:lang w:eastAsia="zh-CN"/>
        </w:rPr>
        <w:t>、马德里和海牙体系等全球知识产权体系。这些体系要继续保持竞争力，就需要不断改进，维持最新安全水平。此外，产权组织发展合作的很大一部分是通过信息技术系统和平台来实现的，并且产权组织的行政和管理体系都基于信息技术，所有这些系统同样需要不断改进，保持安全运行环境。</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当前的两年期将会在储备金和资金的财务管理方面经历重大变化，这点已经在计划和预算委员会得到详细讨论。产权组织对储备金和资金的管理，大部分是通过向瑞士联邦当局以储蓄的方式进行的，这样做有利于产权组织，产权组织为此向瑞士当局表示感谢，但现在这种管理方式要转变为按成员国批准的投资政策来进行管理。这一转变正在实施之中。这将形成储备金和资金更直接地受各种市场力量影响的局面，因此，就更有可能在短期内受到市场波动的负面影响。</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全球知识产权体系</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74148F">
        <w:rPr>
          <w:rFonts w:ascii="SimSun" w:hAnsi="SimSun" w:hint="eastAsia"/>
          <w:sz w:val="21"/>
          <w:szCs w:val="28"/>
          <w:lang w:eastAsia="zh-CN"/>
        </w:rPr>
        <w:t>全球知识产权体系仍然是</w:t>
      </w:r>
      <w:r w:rsidRPr="0074148F">
        <w:rPr>
          <w:rFonts w:ascii="SimSun" w:hAnsi="SimSun"/>
          <w:sz w:val="21"/>
          <w:szCs w:val="28"/>
          <w:lang w:eastAsia="zh-CN"/>
        </w:rPr>
        <w:t>WIPO</w:t>
      </w:r>
      <w:r w:rsidRPr="0074148F">
        <w:rPr>
          <w:rFonts w:ascii="SimSun" w:hAnsi="SimSun" w:hint="eastAsia"/>
          <w:sz w:val="21"/>
          <w:szCs w:val="28"/>
          <w:lang w:eastAsia="zh-CN"/>
        </w:rPr>
        <w:t>计划、服务和财务的核心。它们构成了产权组织最大的收入来源，是成功的国际合作的杰出范例，参与的成员国不断增长，用户基数继续扩大。随着各体系成员数量以及使用量的增长，产权组织正在不断接近使各体系真正实现全球化的战略目标。</w:t>
      </w:r>
    </w:p>
    <w:p w:rsidR="0091687D" w:rsidRPr="00F966B4" w:rsidRDefault="0091687D" w:rsidP="00A9467A">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A9467A">
        <w:rPr>
          <w:rFonts w:ascii="SimSun" w:hAnsi="SimSun" w:cs="Arial" w:hint="eastAsia"/>
          <w:b/>
          <w:bCs/>
          <w:color w:val="A31E33"/>
          <w:sz w:val="21"/>
          <w:lang w:eastAsia="zh-CN"/>
        </w:rPr>
        <w:lastRenderedPageBreak/>
        <w:t>《专利合作条约》（</w:t>
      </w:r>
      <w:r w:rsidRPr="00A9467A">
        <w:rPr>
          <w:rFonts w:ascii="SimSun" w:hAnsi="SimSun" w:cs="Arial"/>
          <w:b/>
          <w:bCs/>
          <w:color w:val="A31E33"/>
          <w:sz w:val="21"/>
          <w:lang w:eastAsia="zh-CN"/>
        </w:rPr>
        <w:t>PCT</w:t>
      </w:r>
      <w:r w:rsidRPr="00A9467A">
        <w:rPr>
          <w:rFonts w:ascii="SimSun" w:hAnsi="SimSun" w:cs="Arial" w:hint="eastAsia"/>
          <w:b/>
          <w:bCs/>
          <w:color w:val="A31E33"/>
          <w:sz w:val="21"/>
          <w:lang w:eastAsia="zh-CN"/>
        </w:rPr>
        <w:t>）。</w:t>
      </w:r>
      <w:r w:rsidRPr="00F966B4">
        <w:rPr>
          <w:rFonts w:ascii="SimSun" w:hAnsi="SimSun" w:hint="eastAsia"/>
          <w:sz w:val="21"/>
          <w:szCs w:val="28"/>
          <w:lang w:eastAsia="zh-CN"/>
        </w:rPr>
        <w:t>去年一年，加入</w:t>
      </w:r>
      <w:r w:rsidRPr="00F966B4">
        <w:rPr>
          <w:rFonts w:ascii="SimSun" w:hAnsi="SimSun"/>
          <w:sz w:val="21"/>
          <w:szCs w:val="28"/>
          <w:lang w:eastAsia="zh-CN"/>
        </w:rPr>
        <w:t>PCT</w:t>
      </w:r>
      <w:r w:rsidRPr="00F966B4">
        <w:rPr>
          <w:rFonts w:ascii="SimSun" w:hAnsi="SimSun" w:hint="eastAsia"/>
          <w:sz w:val="21"/>
          <w:szCs w:val="28"/>
          <w:lang w:eastAsia="zh-CN"/>
        </w:rPr>
        <w:t>的缔约国数量超过了</w:t>
      </w:r>
      <w:r w:rsidRPr="00F966B4">
        <w:rPr>
          <w:rFonts w:ascii="SimSun" w:hAnsi="SimSun"/>
          <w:sz w:val="21"/>
          <w:szCs w:val="28"/>
          <w:lang w:eastAsia="zh-CN"/>
        </w:rPr>
        <w:t>150</w:t>
      </w:r>
      <w:r w:rsidRPr="00F966B4">
        <w:rPr>
          <w:rFonts w:ascii="SimSun" w:hAnsi="SimSun" w:hint="eastAsia"/>
          <w:sz w:val="21"/>
          <w:szCs w:val="28"/>
          <w:lang w:eastAsia="zh-CN"/>
        </w:rPr>
        <w:t>个，吉布提、科威特和柬埔寨的加入使该体系当前的覆盖面延至</w:t>
      </w:r>
      <w:r w:rsidRPr="00F966B4">
        <w:rPr>
          <w:rFonts w:ascii="SimSun" w:hAnsi="SimSun"/>
          <w:sz w:val="21"/>
          <w:szCs w:val="28"/>
          <w:lang w:eastAsia="zh-CN"/>
        </w:rPr>
        <w:t>151</w:t>
      </w:r>
      <w:r w:rsidRPr="00F966B4">
        <w:rPr>
          <w:rFonts w:ascii="SimSun" w:hAnsi="SimSun" w:hint="eastAsia"/>
          <w:sz w:val="21"/>
          <w:szCs w:val="28"/>
          <w:lang w:eastAsia="zh-CN"/>
        </w:rPr>
        <w:t>个国家。随着科威特的加入，海湾合作委员会的所有六个成员国现在都已成为</w:t>
      </w:r>
      <w:r w:rsidRPr="00F966B4">
        <w:rPr>
          <w:rFonts w:ascii="SimSun" w:hAnsi="SimSun"/>
          <w:sz w:val="21"/>
          <w:szCs w:val="28"/>
          <w:lang w:eastAsia="zh-CN"/>
        </w:rPr>
        <w:t>PCT</w:t>
      </w:r>
      <w:r w:rsidRPr="00F966B4">
        <w:rPr>
          <w:rFonts w:ascii="SimSun" w:hAnsi="SimSun" w:hint="eastAsia"/>
          <w:sz w:val="21"/>
          <w:szCs w:val="28"/>
          <w:lang w:eastAsia="zh-CN"/>
        </w:rPr>
        <w:t>缔约国。</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2015年</w:t>
      </w:r>
      <w:r w:rsidRPr="00F966B4">
        <w:rPr>
          <w:rFonts w:ascii="SimSun" w:hAnsi="SimSun"/>
          <w:sz w:val="21"/>
          <w:szCs w:val="28"/>
          <w:lang w:eastAsia="zh-CN"/>
        </w:rPr>
        <w:t>PCT</w:t>
      </w:r>
      <w:r w:rsidRPr="00F966B4">
        <w:rPr>
          <w:rFonts w:ascii="SimSun" w:hAnsi="SimSun" w:hint="eastAsia"/>
          <w:sz w:val="21"/>
          <w:szCs w:val="28"/>
          <w:lang w:eastAsia="zh-CN"/>
        </w:rPr>
        <w:t>国际申请增长</w:t>
      </w:r>
      <w:r w:rsidRPr="00F966B4">
        <w:rPr>
          <w:rFonts w:ascii="SimSun" w:hAnsi="SimSun"/>
          <w:sz w:val="21"/>
          <w:szCs w:val="28"/>
          <w:lang w:eastAsia="zh-CN"/>
        </w:rPr>
        <w:t>1.7%</w:t>
      </w:r>
      <w:r w:rsidRPr="00F966B4">
        <w:rPr>
          <w:rFonts w:ascii="SimSun" w:hAnsi="SimSun" w:hint="eastAsia"/>
          <w:sz w:val="21"/>
          <w:szCs w:val="28"/>
          <w:lang w:eastAsia="zh-CN"/>
        </w:rPr>
        <w:t>，使当年的申请总量达到</w:t>
      </w:r>
      <w:r w:rsidRPr="00F966B4">
        <w:rPr>
          <w:rFonts w:ascii="SimSun" w:hAnsi="SimSun"/>
          <w:sz w:val="21"/>
          <w:szCs w:val="28"/>
          <w:lang w:eastAsia="zh-CN"/>
        </w:rPr>
        <w:t>218,000</w:t>
      </w:r>
      <w:r w:rsidRPr="00F966B4">
        <w:rPr>
          <w:rFonts w:ascii="SimSun" w:hAnsi="SimSun" w:hint="eastAsia"/>
          <w:sz w:val="21"/>
          <w:szCs w:val="28"/>
          <w:lang w:eastAsia="zh-CN"/>
        </w:rPr>
        <w:t>件。预计2016年的增长率会更高。</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sz w:val="21"/>
          <w:szCs w:val="28"/>
          <w:lang w:eastAsia="zh-CN"/>
        </w:rPr>
        <w:t>PCT</w:t>
      </w:r>
      <w:r w:rsidRPr="00F966B4">
        <w:rPr>
          <w:rFonts w:ascii="SimSun" w:hAnsi="SimSun" w:hint="eastAsia"/>
          <w:sz w:val="21"/>
          <w:szCs w:val="28"/>
          <w:lang w:eastAsia="zh-CN"/>
        </w:rPr>
        <w:t>申请的地域构成变化仍有利于亚洲，2015年的全部申请中有</w:t>
      </w:r>
      <w:r w:rsidRPr="00F966B4">
        <w:rPr>
          <w:rFonts w:ascii="SimSun" w:hAnsi="SimSun"/>
          <w:sz w:val="21"/>
          <w:szCs w:val="28"/>
          <w:lang w:eastAsia="zh-CN"/>
        </w:rPr>
        <w:t>43.5%</w:t>
      </w:r>
      <w:r w:rsidRPr="00F966B4">
        <w:rPr>
          <w:rFonts w:ascii="SimSun" w:hAnsi="SimSun" w:hint="eastAsia"/>
          <w:sz w:val="21"/>
          <w:szCs w:val="28"/>
          <w:lang w:eastAsia="zh-CN"/>
        </w:rPr>
        <w:t>来自亚洲，相比之下，北美洲是</w:t>
      </w:r>
      <w:r w:rsidRPr="00F966B4">
        <w:rPr>
          <w:rFonts w:ascii="SimSun" w:hAnsi="SimSun"/>
          <w:sz w:val="21"/>
          <w:szCs w:val="28"/>
          <w:lang w:eastAsia="zh-CN"/>
        </w:rPr>
        <w:t>27.6%</w:t>
      </w:r>
      <w:r w:rsidRPr="00F966B4">
        <w:rPr>
          <w:rFonts w:ascii="SimSun" w:hAnsi="SimSun" w:hint="eastAsia"/>
          <w:sz w:val="21"/>
          <w:szCs w:val="28"/>
          <w:lang w:eastAsia="zh-CN"/>
        </w:rPr>
        <w:t>，欧洲是</w:t>
      </w:r>
      <w:r w:rsidRPr="00F966B4">
        <w:rPr>
          <w:rFonts w:ascii="SimSun" w:hAnsi="SimSun"/>
          <w:sz w:val="21"/>
          <w:szCs w:val="28"/>
          <w:lang w:eastAsia="zh-CN"/>
        </w:rPr>
        <w:t>27%</w:t>
      </w:r>
      <w:r w:rsidRPr="00F966B4">
        <w:rPr>
          <w:rFonts w:ascii="SimSun" w:hAnsi="SimSun" w:hint="eastAsia"/>
          <w:sz w:val="21"/>
          <w:szCs w:val="28"/>
          <w:lang w:eastAsia="zh-CN"/>
        </w:rPr>
        <w:t>。美利坚合众国是最大的个体申请国，其次是日本、中国、德国和大韩民国。</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近年来国际局取得的重大成功之一是</w:t>
      </w:r>
      <w:proofErr w:type="spellStart"/>
      <w:r w:rsidRPr="00F966B4">
        <w:rPr>
          <w:rFonts w:ascii="SimSun" w:hAnsi="SimSun"/>
          <w:sz w:val="21"/>
          <w:szCs w:val="28"/>
          <w:lang w:eastAsia="zh-CN"/>
        </w:rPr>
        <w:t>ePCT</w:t>
      </w:r>
      <w:proofErr w:type="spellEnd"/>
      <w:r w:rsidRPr="00F966B4">
        <w:rPr>
          <w:rFonts w:ascii="SimSun" w:hAnsi="SimSun" w:hint="eastAsia"/>
          <w:sz w:val="21"/>
          <w:szCs w:val="28"/>
          <w:lang w:eastAsia="zh-CN"/>
        </w:rPr>
        <w:t>体系，这是一个提交、处理和管理国际申请的全面电子环境，供申请人、国家和地区知识产权局以及国际局使用。超过50个国家局和地区局可以使用</w:t>
      </w:r>
      <w:proofErr w:type="spellStart"/>
      <w:r w:rsidRPr="00F966B4">
        <w:rPr>
          <w:rFonts w:ascii="SimSun" w:hAnsi="SimSun"/>
          <w:sz w:val="21"/>
          <w:szCs w:val="28"/>
          <w:lang w:eastAsia="zh-CN"/>
        </w:rPr>
        <w:t>ePCT</w:t>
      </w:r>
      <w:proofErr w:type="spellEnd"/>
      <w:r w:rsidRPr="00F966B4">
        <w:rPr>
          <w:rFonts w:ascii="SimSun" w:hAnsi="SimSun" w:hint="eastAsia"/>
          <w:sz w:val="21"/>
          <w:szCs w:val="28"/>
          <w:lang w:eastAsia="zh-CN"/>
        </w:rPr>
        <w:t>，从而改善它们向申请人提供的服务，包括在其中</w:t>
      </w:r>
      <w:r w:rsidRPr="00F966B4">
        <w:rPr>
          <w:rFonts w:ascii="SimSun" w:hAnsi="SimSun"/>
          <w:sz w:val="21"/>
          <w:szCs w:val="28"/>
          <w:lang w:eastAsia="zh-CN"/>
        </w:rPr>
        <w:t>43</w:t>
      </w:r>
      <w:r w:rsidRPr="00F966B4">
        <w:rPr>
          <w:rFonts w:ascii="SimSun" w:hAnsi="SimSun" w:hint="eastAsia"/>
          <w:sz w:val="21"/>
          <w:szCs w:val="28"/>
          <w:lang w:eastAsia="zh-CN"/>
        </w:rPr>
        <w:t>个局提交国际申请。申请人通过</w:t>
      </w:r>
      <w:proofErr w:type="spellStart"/>
      <w:r w:rsidRPr="00F966B4">
        <w:rPr>
          <w:rFonts w:ascii="SimSun" w:hAnsi="SimSun"/>
          <w:sz w:val="21"/>
          <w:szCs w:val="28"/>
          <w:lang w:eastAsia="zh-CN"/>
        </w:rPr>
        <w:t>ePCT</w:t>
      </w:r>
      <w:proofErr w:type="spellEnd"/>
      <w:r w:rsidRPr="00F966B4">
        <w:rPr>
          <w:rFonts w:ascii="SimSun" w:hAnsi="SimSun" w:hint="eastAsia"/>
          <w:sz w:val="21"/>
          <w:szCs w:val="28"/>
          <w:lang w:eastAsia="zh-CN"/>
        </w:rPr>
        <w:t>进行全程电子申请的做法已经被扩大至18个新的主管局，其中包括</w:t>
      </w:r>
      <w:r w:rsidRPr="00F966B4">
        <w:rPr>
          <w:rFonts w:ascii="SimSun" w:hAnsi="SimSun"/>
          <w:sz w:val="21"/>
          <w:szCs w:val="28"/>
          <w:lang w:eastAsia="zh-CN"/>
        </w:rPr>
        <w:t>阿塞拜疆</w:t>
      </w:r>
      <w:r w:rsidRPr="00F966B4">
        <w:rPr>
          <w:rFonts w:ascii="SimSun" w:hAnsi="SimSun" w:hint="eastAsia"/>
          <w:sz w:val="21"/>
          <w:szCs w:val="28"/>
          <w:lang w:eastAsia="zh-CN"/>
        </w:rPr>
        <w:t>、</w:t>
      </w:r>
      <w:r w:rsidRPr="00F966B4">
        <w:rPr>
          <w:rFonts w:ascii="SimSun" w:hAnsi="SimSun"/>
          <w:sz w:val="21"/>
          <w:szCs w:val="28"/>
          <w:lang w:eastAsia="zh-CN"/>
        </w:rPr>
        <w:t>文莱达鲁萨兰国</w:t>
      </w:r>
      <w:r w:rsidRPr="00F966B4">
        <w:rPr>
          <w:rFonts w:ascii="SimSun" w:hAnsi="SimSun" w:hint="eastAsia"/>
          <w:sz w:val="21"/>
          <w:szCs w:val="28"/>
          <w:lang w:eastAsia="zh-CN"/>
        </w:rPr>
        <w:t>、哥伦比亚、</w:t>
      </w:r>
      <w:r w:rsidRPr="00F966B4">
        <w:rPr>
          <w:rFonts w:ascii="SimSun" w:hAnsi="SimSun"/>
          <w:sz w:val="21"/>
          <w:szCs w:val="28"/>
          <w:lang w:eastAsia="zh-CN"/>
        </w:rPr>
        <w:t>古巴</w:t>
      </w:r>
      <w:r w:rsidRPr="00F966B4">
        <w:rPr>
          <w:rFonts w:ascii="SimSun" w:hAnsi="SimSun" w:hint="eastAsia"/>
          <w:sz w:val="21"/>
          <w:szCs w:val="28"/>
          <w:lang w:eastAsia="zh-CN"/>
        </w:rPr>
        <w:t>、</w:t>
      </w:r>
      <w:r w:rsidRPr="00F966B4">
        <w:rPr>
          <w:rFonts w:ascii="SimSun" w:hAnsi="SimSun"/>
          <w:sz w:val="21"/>
          <w:szCs w:val="28"/>
          <w:lang w:eastAsia="zh-CN"/>
        </w:rPr>
        <w:t>伊朗（伊斯兰共和国）</w:t>
      </w:r>
      <w:r w:rsidRPr="00F966B4">
        <w:rPr>
          <w:rFonts w:ascii="SimSun" w:hAnsi="SimSun" w:hint="eastAsia"/>
          <w:sz w:val="21"/>
          <w:szCs w:val="28"/>
          <w:lang w:eastAsia="zh-CN"/>
        </w:rPr>
        <w:t>和</w:t>
      </w:r>
      <w:r w:rsidRPr="00F966B4">
        <w:rPr>
          <w:rFonts w:ascii="SimSun" w:hAnsi="SimSun"/>
          <w:sz w:val="21"/>
          <w:szCs w:val="28"/>
          <w:lang w:eastAsia="zh-CN"/>
        </w:rPr>
        <w:t>阿曼</w:t>
      </w:r>
      <w:r w:rsidRPr="00F966B4">
        <w:rPr>
          <w:rFonts w:ascii="SimSun" w:hAnsi="SimSun" w:hint="eastAsia"/>
          <w:sz w:val="21"/>
          <w:szCs w:val="28"/>
          <w:lang w:eastAsia="zh-CN"/>
        </w:rPr>
        <w:t>。自</w:t>
      </w:r>
      <w:r w:rsidRPr="00F966B4">
        <w:rPr>
          <w:rFonts w:ascii="SimSun" w:hAnsi="SimSun"/>
          <w:sz w:val="21"/>
          <w:szCs w:val="28"/>
          <w:lang w:eastAsia="zh-CN"/>
        </w:rPr>
        <w:t>2016</w:t>
      </w:r>
      <w:r w:rsidRPr="00F966B4">
        <w:rPr>
          <w:rFonts w:ascii="SimSun" w:hAnsi="SimSun" w:hint="eastAsia"/>
          <w:sz w:val="21"/>
          <w:szCs w:val="28"/>
          <w:lang w:eastAsia="zh-CN"/>
        </w:rPr>
        <w:t>年7月起，申请人可以通过</w:t>
      </w:r>
      <w:proofErr w:type="spellStart"/>
      <w:r w:rsidRPr="00F966B4">
        <w:rPr>
          <w:rFonts w:ascii="SimSun" w:hAnsi="SimSun"/>
          <w:sz w:val="21"/>
          <w:szCs w:val="28"/>
          <w:lang w:eastAsia="zh-CN"/>
        </w:rPr>
        <w:t>ePCT</w:t>
      </w:r>
      <w:proofErr w:type="spellEnd"/>
      <w:r w:rsidRPr="00F966B4">
        <w:rPr>
          <w:rFonts w:ascii="SimSun" w:hAnsi="SimSun" w:hint="eastAsia"/>
          <w:sz w:val="21"/>
          <w:szCs w:val="28"/>
          <w:lang w:eastAsia="zh-CN"/>
        </w:rPr>
        <w:t>，使用</w:t>
      </w:r>
      <w:r w:rsidRPr="00F966B4">
        <w:rPr>
          <w:rFonts w:ascii="SimSun" w:hAnsi="SimSun"/>
          <w:sz w:val="21"/>
          <w:szCs w:val="28"/>
          <w:lang w:eastAsia="zh-CN"/>
        </w:rPr>
        <w:t>PCT</w:t>
      </w:r>
      <w:r w:rsidRPr="00F966B4">
        <w:rPr>
          <w:rFonts w:ascii="SimSun" w:hAnsi="SimSun" w:hint="eastAsia"/>
          <w:sz w:val="21"/>
          <w:szCs w:val="28"/>
          <w:lang w:eastAsia="zh-CN"/>
        </w:rPr>
        <w:t>公布的所有十种语言与国际局联系。</w:t>
      </w:r>
      <w:proofErr w:type="spellStart"/>
      <w:r w:rsidRPr="00F966B4">
        <w:rPr>
          <w:rFonts w:ascii="SimSun" w:hAnsi="SimSun"/>
          <w:sz w:val="21"/>
          <w:szCs w:val="28"/>
          <w:lang w:eastAsia="zh-CN"/>
        </w:rPr>
        <w:t>ePCT</w:t>
      </w:r>
      <w:proofErr w:type="spellEnd"/>
      <w:r w:rsidRPr="00F966B4">
        <w:rPr>
          <w:rFonts w:ascii="SimSun" w:hAnsi="SimSun" w:hint="eastAsia"/>
          <w:sz w:val="21"/>
          <w:szCs w:val="28"/>
          <w:lang w:eastAsia="zh-CN"/>
        </w:rPr>
        <w:t>发展的下一个重大步骤是全面重新设计其外形和感觉，使这一环境更具吸引力，更方便用户使用。预计新设计将于今年底上线。还值得一提的是，在信息技术环境的背景下，如上文所述，网络安全和复原力是国际局正在处理的主要问题，目的是确保对于</w:t>
      </w:r>
      <w:r w:rsidRPr="00F966B4">
        <w:rPr>
          <w:rFonts w:ascii="SimSun" w:hAnsi="SimSun"/>
          <w:sz w:val="21"/>
          <w:szCs w:val="28"/>
          <w:lang w:eastAsia="zh-CN"/>
        </w:rPr>
        <w:t>PCT</w:t>
      </w:r>
      <w:r w:rsidRPr="00F966B4">
        <w:rPr>
          <w:rFonts w:ascii="SimSun" w:hAnsi="SimSun" w:hint="eastAsia"/>
          <w:sz w:val="21"/>
          <w:szCs w:val="28"/>
          <w:lang w:eastAsia="zh-CN"/>
        </w:rPr>
        <w:t>体系至关重要的安全问题和连续进行业务操作的能力，依旧列在我们的政策优先事项之首。</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随着乌克兰知识产权局和维谢格拉德专利局在本年度内开始运行，正在运行的国际检索和初步审查单位的数量增加到了</w:t>
      </w:r>
      <w:r w:rsidRPr="00F966B4">
        <w:rPr>
          <w:rFonts w:ascii="SimSun" w:hAnsi="SimSun"/>
          <w:sz w:val="21"/>
          <w:szCs w:val="28"/>
          <w:lang w:eastAsia="zh-CN"/>
        </w:rPr>
        <w:t>21</w:t>
      </w:r>
      <w:r w:rsidRPr="00F966B4">
        <w:rPr>
          <w:rFonts w:ascii="SimSun" w:hAnsi="SimSun" w:hint="eastAsia"/>
          <w:sz w:val="21"/>
          <w:szCs w:val="28"/>
          <w:lang w:eastAsia="zh-CN"/>
        </w:rPr>
        <w:t>个。</w:t>
      </w:r>
      <w:r w:rsidRPr="00F966B4">
        <w:rPr>
          <w:rFonts w:ascii="SimSun" w:hAnsi="SimSun"/>
          <w:sz w:val="21"/>
          <w:szCs w:val="28"/>
          <w:lang w:eastAsia="zh-CN"/>
        </w:rPr>
        <w:t>PCT</w:t>
      </w:r>
      <w:r w:rsidRPr="00F966B4">
        <w:rPr>
          <w:rFonts w:ascii="SimSun" w:hAnsi="SimSun" w:hint="eastAsia"/>
          <w:sz w:val="21"/>
          <w:szCs w:val="28"/>
          <w:lang w:eastAsia="zh-CN"/>
        </w:rPr>
        <w:t>大会在今年的成员国大会期间，将要审议一项指定土耳其专利局为第22个国际单位的提案。</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国际局继续通过宣传、培训和客户服务活动，对现有和潜在申请人的需求</w:t>
      </w:r>
      <w:proofErr w:type="gramStart"/>
      <w:r w:rsidRPr="00F966B4">
        <w:rPr>
          <w:rFonts w:ascii="SimSun" w:hAnsi="SimSun" w:hint="eastAsia"/>
          <w:sz w:val="21"/>
          <w:szCs w:val="28"/>
          <w:lang w:eastAsia="zh-CN"/>
        </w:rPr>
        <w:t>作出</w:t>
      </w:r>
      <w:proofErr w:type="gramEnd"/>
      <w:r w:rsidRPr="00F966B4">
        <w:rPr>
          <w:rFonts w:ascii="SimSun" w:hAnsi="SimSun" w:hint="eastAsia"/>
          <w:sz w:val="21"/>
          <w:szCs w:val="28"/>
          <w:lang w:eastAsia="zh-CN"/>
        </w:rPr>
        <w:t>回应。2015年对</w:t>
      </w:r>
      <w:r w:rsidRPr="00F966B4">
        <w:rPr>
          <w:rFonts w:ascii="SimSun" w:hAnsi="SimSun"/>
          <w:sz w:val="21"/>
          <w:szCs w:val="28"/>
          <w:lang w:eastAsia="zh-CN"/>
        </w:rPr>
        <w:t>PCT</w:t>
      </w:r>
      <w:r w:rsidRPr="00F966B4">
        <w:rPr>
          <w:rFonts w:ascii="SimSun" w:hAnsi="SimSun" w:hint="eastAsia"/>
          <w:sz w:val="21"/>
          <w:szCs w:val="28"/>
          <w:lang w:eastAsia="zh-CN"/>
        </w:rPr>
        <w:t>用户进行了一次全面调查，以衡量他们对国际局、受理局和各国际单位所提供服务的满意程度。这种调查始于2009年进行的类似活动，沿袭至今。一千多名用户对调查</w:t>
      </w:r>
      <w:proofErr w:type="gramStart"/>
      <w:r w:rsidRPr="00F966B4">
        <w:rPr>
          <w:rFonts w:ascii="SimSun" w:hAnsi="SimSun" w:hint="eastAsia"/>
          <w:sz w:val="21"/>
          <w:szCs w:val="28"/>
          <w:lang w:eastAsia="zh-CN"/>
        </w:rPr>
        <w:t>作出</w:t>
      </w:r>
      <w:proofErr w:type="gramEnd"/>
      <w:r w:rsidRPr="00F966B4">
        <w:rPr>
          <w:rFonts w:ascii="SimSun" w:hAnsi="SimSun" w:hint="eastAsia"/>
          <w:sz w:val="21"/>
          <w:szCs w:val="28"/>
          <w:lang w:eastAsia="zh-CN"/>
        </w:rPr>
        <w:t>了答复。对国际局提供的</w:t>
      </w:r>
      <w:r w:rsidRPr="00F966B4">
        <w:rPr>
          <w:rFonts w:ascii="SimSun" w:hAnsi="SimSun"/>
          <w:sz w:val="21"/>
          <w:szCs w:val="28"/>
          <w:lang w:eastAsia="zh-CN"/>
        </w:rPr>
        <w:t>PCT</w:t>
      </w:r>
      <w:r w:rsidRPr="00F966B4">
        <w:rPr>
          <w:rFonts w:ascii="SimSun" w:hAnsi="SimSun" w:hint="eastAsia"/>
          <w:sz w:val="21"/>
          <w:szCs w:val="28"/>
          <w:lang w:eastAsia="zh-CN"/>
        </w:rPr>
        <w:t>服务整体满意度指数为</w:t>
      </w:r>
      <w:r w:rsidRPr="00F966B4">
        <w:rPr>
          <w:rFonts w:ascii="SimSun" w:hAnsi="SimSun"/>
          <w:sz w:val="21"/>
          <w:szCs w:val="28"/>
          <w:lang w:eastAsia="zh-CN"/>
        </w:rPr>
        <w:t>89%</w:t>
      </w:r>
      <w:r w:rsidRPr="00F966B4">
        <w:rPr>
          <w:rFonts w:ascii="SimSun" w:hAnsi="SimSun" w:hint="eastAsia"/>
          <w:sz w:val="21"/>
          <w:szCs w:val="28"/>
          <w:lang w:eastAsia="zh-CN"/>
        </w:rPr>
        <w:t>，和2009年相比，所有领域都有明显改进。下一年，我们会审查用户建议的对</w:t>
      </w:r>
      <w:r w:rsidRPr="00F966B4">
        <w:rPr>
          <w:rFonts w:ascii="SimSun" w:hAnsi="SimSun"/>
          <w:sz w:val="21"/>
          <w:szCs w:val="28"/>
          <w:lang w:eastAsia="zh-CN"/>
        </w:rPr>
        <w:t>WIPO</w:t>
      </w:r>
      <w:r w:rsidRPr="00F966B4">
        <w:rPr>
          <w:rFonts w:ascii="SimSun" w:hAnsi="SimSun" w:hint="eastAsia"/>
          <w:sz w:val="21"/>
          <w:szCs w:val="28"/>
          <w:lang w:eastAsia="zh-CN"/>
        </w:rPr>
        <w:t>服务的可能改进，并且我们已经就问卷答复者提出的具体问题进行了沟通，这些问题涉及其他局提供的</w:t>
      </w:r>
      <w:r w:rsidRPr="00F966B4">
        <w:rPr>
          <w:rFonts w:ascii="SimSun" w:hAnsi="SimSun"/>
          <w:sz w:val="21"/>
          <w:szCs w:val="28"/>
          <w:lang w:eastAsia="zh-CN"/>
        </w:rPr>
        <w:t>PCT</w:t>
      </w:r>
      <w:r w:rsidRPr="00F966B4">
        <w:rPr>
          <w:rFonts w:ascii="SimSun" w:hAnsi="SimSun" w:hint="eastAsia"/>
          <w:sz w:val="21"/>
          <w:szCs w:val="28"/>
          <w:lang w:eastAsia="zh-CN"/>
        </w:rPr>
        <w:t>服务。</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A9467A">
        <w:rPr>
          <w:rFonts w:ascii="SimSun" w:hAnsi="SimSun" w:cs="Arial" w:hint="eastAsia"/>
          <w:b/>
          <w:bCs/>
          <w:color w:val="A31E33"/>
          <w:sz w:val="21"/>
          <w:lang w:eastAsia="zh-CN"/>
        </w:rPr>
        <w:t>马德里体系。</w:t>
      </w:r>
      <w:r w:rsidRPr="0074148F">
        <w:rPr>
          <w:rFonts w:ascii="SimSun" w:hAnsi="SimSun" w:hint="eastAsia"/>
          <w:sz w:val="21"/>
          <w:szCs w:val="28"/>
          <w:lang w:eastAsia="zh-CN"/>
        </w:rPr>
        <w:t>马德里体系的成员数量继续增加，虽然速度有所放缓。自2015年成员国大会以来，</w:t>
      </w:r>
      <w:r w:rsidRPr="0074148F">
        <w:rPr>
          <w:rFonts w:ascii="SimSun" w:hAnsi="SimSun"/>
          <w:sz w:val="21"/>
          <w:szCs w:val="28"/>
          <w:lang w:eastAsia="zh-CN"/>
        </w:rPr>
        <w:t>老挝人民民主共和国</w:t>
      </w:r>
      <w:r w:rsidRPr="0074148F">
        <w:rPr>
          <w:rFonts w:ascii="SimSun" w:hAnsi="SimSun" w:hint="eastAsia"/>
          <w:sz w:val="21"/>
          <w:szCs w:val="28"/>
          <w:lang w:eastAsia="zh-CN"/>
        </w:rPr>
        <w:t>加入了该体系，使缔约方的数量达到97个，覆盖113个国家（</w:t>
      </w:r>
      <w:proofErr w:type="gramStart"/>
      <w:r w:rsidRPr="0074148F">
        <w:rPr>
          <w:rFonts w:ascii="SimSun" w:hAnsi="SimSun" w:hint="eastAsia"/>
          <w:sz w:val="21"/>
          <w:szCs w:val="28"/>
          <w:lang w:eastAsia="zh-CN"/>
        </w:rPr>
        <w:t>含地区</w:t>
      </w:r>
      <w:proofErr w:type="gramEnd"/>
      <w:r w:rsidRPr="0074148F">
        <w:rPr>
          <w:rFonts w:ascii="SimSun" w:hAnsi="SimSun" w:hint="eastAsia"/>
          <w:sz w:val="21"/>
          <w:szCs w:val="28"/>
          <w:lang w:eastAsia="zh-CN"/>
        </w:rPr>
        <w:t>商标体系的成员）。世界上的所有区域现在都已在该体系中得到代表，国际局在与多个可能的成员积极合作。预计来年将会增加若干个新成员。</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对马德里体系的使用继续增长，这既反映出该体系随着地域覆盖面扩大而更具有吸引力和价值，也反映出随着该体系知名度的提高，它在新成员中也得到更多使用。马德里体系下提交的国际商标申请在2015年增长了0</w:t>
      </w:r>
      <w:r w:rsidRPr="00F966B4">
        <w:rPr>
          <w:rFonts w:ascii="SimSun" w:hAnsi="SimSun"/>
          <w:sz w:val="21"/>
          <w:szCs w:val="28"/>
          <w:lang w:eastAsia="zh-CN"/>
        </w:rPr>
        <w:t>.9%</w:t>
      </w:r>
      <w:r w:rsidRPr="00F966B4">
        <w:rPr>
          <w:rFonts w:ascii="SimSun" w:hAnsi="SimSun" w:hint="eastAsia"/>
          <w:sz w:val="21"/>
          <w:szCs w:val="28"/>
          <w:lang w:eastAsia="zh-CN"/>
        </w:rPr>
        <w:t>，达到创记录的</w:t>
      </w:r>
      <w:r w:rsidRPr="00F966B4">
        <w:rPr>
          <w:rFonts w:ascii="SimSun" w:hAnsi="SimSun"/>
          <w:sz w:val="21"/>
          <w:szCs w:val="28"/>
          <w:lang w:eastAsia="zh-CN"/>
        </w:rPr>
        <w:t>48,910</w:t>
      </w:r>
      <w:r w:rsidRPr="00F966B4">
        <w:rPr>
          <w:rFonts w:ascii="SimSun" w:hAnsi="SimSun" w:hint="eastAsia"/>
          <w:sz w:val="21"/>
          <w:szCs w:val="28"/>
          <w:lang w:eastAsia="zh-CN"/>
        </w:rPr>
        <w:t>件申请。澳大利亚、法国、</w:t>
      </w:r>
      <w:r w:rsidRPr="00F966B4">
        <w:rPr>
          <w:rFonts w:ascii="SimSun" w:hAnsi="SimSun"/>
          <w:sz w:val="21"/>
          <w:szCs w:val="28"/>
          <w:lang w:eastAsia="zh-CN"/>
        </w:rPr>
        <w:t>美利坚合众国</w:t>
      </w:r>
      <w:r w:rsidRPr="00F966B4">
        <w:rPr>
          <w:rFonts w:ascii="SimSun" w:hAnsi="SimSun" w:hint="eastAsia"/>
          <w:sz w:val="21"/>
          <w:szCs w:val="28"/>
          <w:lang w:eastAsia="zh-CN"/>
        </w:rPr>
        <w:t>在总增量中占大部分。预计2016年马德里申请的增长率将会高于2015年。</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在2015年前十</w:t>
      </w:r>
      <w:proofErr w:type="gramStart"/>
      <w:r w:rsidRPr="00F966B4">
        <w:rPr>
          <w:rFonts w:ascii="SimSun" w:hAnsi="SimSun" w:hint="eastAsia"/>
          <w:sz w:val="21"/>
          <w:szCs w:val="28"/>
          <w:lang w:eastAsia="zh-CN"/>
        </w:rPr>
        <w:t>大申请原</w:t>
      </w:r>
      <w:proofErr w:type="gramEnd"/>
      <w:r w:rsidRPr="00F966B4">
        <w:rPr>
          <w:rFonts w:ascii="SimSun" w:hAnsi="SimSun" w:hint="eastAsia"/>
          <w:sz w:val="21"/>
          <w:szCs w:val="28"/>
          <w:lang w:eastAsia="zh-CN"/>
        </w:rPr>
        <w:t>属国中，</w:t>
      </w:r>
      <w:r w:rsidRPr="00F966B4">
        <w:rPr>
          <w:rFonts w:ascii="SimSun" w:hAnsi="SimSun"/>
          <w:sz w:val="21"/>
          <w:szCs w:val="28"/>
          <w:lang w:eastAsia="zh-CN"/>
        </w:rPr>
        <w:t>澳大利亚</w:t>
      </w:r>
      <w:r w:rsidRPr="00F966B4">
        <w:rPr>
          <w:rFonts w:ascii="SimSun" w:hAnsi="SimSun" w:hint="eastAsia"/>
          <w:sz w:val="21"/>
          <w:szCs w:val="28"/>
          <w:lang w:eastAsia="zh-CN"/>
        </w:rPr>
        <w:t>（</w:t>
      </w:r>
      <w:r w:rsidRPr="00F966B4">
        <w:rPr>
          <w:rFonts w:ascii="SimSun" w:hAnsi="SimSun"/>
          <w:sz w:val="21"/>
          <w:szCs w:val="28"/>
          <w:lang w:eastAsia="zh-CN"/>
        </w:rPr>
        <w:t>+</w:t>
      </w:r>
      <w:r w:rsidRPr="00F966B4">
        <w:rPr>
          <w:rFonts w:ascii="SimSun" w:hAnsi="SimSun" w:hint="eastAsia"/>
          <w:sz w:val="21"/>
          <w:szCs w:val="28"/>
          <w:lang w:eastAsia="zh-CN"/>
        </w:rPr>
        <w:t>24.7</w:t>
      </w:r>
      <w:r w:rsidRPr="00F966B4">
        <w:rPr>
          <w:rFonts w:ascii="SimSun" w:hAnsi="SimSun"/>
          <w:sz w:val="21"/>
          <w:szCs w:val="28"/>
          <w:lang w:eastAsia="zh-CN"/>
        </w:rPr>
        <w:t>%</w:t>
      </w:r>
      <w:r w:rsidRPr="00F966B4">
        <w:rPr>
          <w:rFonts w:ascii="SimSun" w:hAnsi="SimSun" w:hint="eastAsia"/>
          <w:sz w:val="21"/>
          <w:szCs w:val="28"/>
          <w:lang w:eastAsia="zh-CN"/>
        </w:rPr>
        <w:t>）和</w:t>
      </w:r>
      <w:r w:rsidRPr="00F966B4">
        <w:rPr>
          <w:rFonts w:ascii="SimSun" w:hAnsi="SimSun"/>
          <w:sz w:val="21"/>
          <w:szCs w:val="28"/>
          <w:lang w:eastAsia="zh-CN"/>
        </w:rPr>
        <w:t>美利坚合众国</w:t>
      </w:r>
      <w:r w:rsidRPr="00F966B4">
        <w:rPr>
          <w:rFonts w:ascii="SimSun" w:hAnsi="SimSun" w:hint="eastAsia"/>
          <w:sz w:val="21"/>
          <w:szCs w:val="28"/>
          <w:lang w:eastAsia="zh-CN"/>
        </w:rPr>
        <w:t>（</w:t>
      </w:r>
      <w:r w:rsidRPr="00F966B4">
        <w:rPr>
          <w:rFonts w:ascii="SimSun" w:hAnsi="SimSun"/>
          <w:sz w:val="21"/>
          <w:szCs w:val="28"/>
          <w:lang w:eastAsia="zh-CN"/>
        </w:rPr>
        <w:t>+11.</w:t>
      </w:r>
      <w:r w:rsidRPr="00F966B4">
        <w:rPr>
          <w:rFonts w:ascii="SimSun" w:hAnsi="SimSun" w:hint="eastAsia"/>
          <w:sz w:val="21"/>
          <w:szCs w:val="28"/>
          <w:lang w:eastAsia="zh-CN"/>
        </w:rPr>
        <w:t>2</w:t>
      </w:r>
      <w:r w:rsidRPr="00F966B4">
        <w:rPr>
          <w:rFonts w:ascii="SimSun" w:hAnsi="SimSun"/>
          <w:sz w:val="21"/>
          <w:szCs w:val="28"/>
          <w:lang w:eastAsia="zh-CN"/>
        </w:rPr>
        <w:t>%）</w:t>
      </w:r>
      <w:r w:rsidRPr="00F966B4">
        <w:rPr>
          <w:rFonts w:ascii="SimSun" w:hAnsi="SimSun" w:hint="eastAsia"/>
          <w:sz w:val="21"/>
          <w:szCs w:val="28"/>
          <w:lang w:eastAsia="zh-CN"/>
        </w:rPr>
        <w:t>的增长率都是两位数，法</w:t>
      </w:r>
      <w:r w:rsidRPr="00F966B4">
        <w:rPr>
          <w:rFonts w:ascii="SimSun" w:hAnsi="SimSun"/>
          <w:sz w:val="21"/>
          <w:szCs w:val="28"/>
          <w:lang w:eastAsia="zh-CN"/>
        </w:rPr>
        <w:t>国</w:t>
      </w:r>
      <w:r w:rsidRPr="00F966B4">
        <w:rPr>
          <w:rFonts w:ascii="SimSun" w:hAnsi="SimSun" w:hint="eastAsia"/>
          <w:sz w:val="21"/>
          <w:szCs w:val="28"/>
          <w:lang w:eastAsia="zh-CN"/>
        </w:rPr>
        <w:t>（</w:t>
      </w:r>
      <w:r w:rsidRPr="00F966B4">
        <w:rPr>
          <w:rFonts w:ascii="SimSun" w:hAnsi="SimSun"/>
          <w:sz w:val="21"/>
          <w:szCs w:val="28"/>
          <w:lang w:eastAsia="zh-CN"/>
        </w:rPr>
        <w:t>+</w:t>
      </w:r>
      <w:r w:rsidRPr="00F966B4">
        <w:rPr>
          <w:rFonts w:ascii="SimSun" w:hAnsi="SimSun" w:hint="eastAsia"/>
          <w:sz w:val="21"/>
          <w:szCs w:val="28"/>
          <w:lang w:eastAsia="zh-CN"/>
        </w:rPr>
        <w:t>8.8</w:t>
      </w:r>
      <w:r w:rsidRPr="00F966B4">
        <w:rPr>
          <w:rFonts w:ascii="SimSun" w:hAnsi="SimSun"/>
          <w:sz w:val="21"/>
          <w:szCs w:val="28"/>
          <w:lang w:eastAsia="zh-CN"/>
        </w:rPr>
        <w:t>%</w:t>
      </w:r>
      <w:r w:rsidRPr="00F966B4">
        <w:rPr>
          <w:rFonts w:ascii="SimSun" w:hAnsi="SimSun" w:hint="eastAsia"/>
          <w:sz w:val="21"/>
          <w:szCs w:val="28"/>
          <w:lang w:eastAsia="zh-CN"/>
        </w:rPr>
        <w:t>）和</w:t>
      </w:r>
      <w:r w:rsidRPr="00F966B4">
        <w:rPr>
          <w:rFonts w:ascii="SimSun" w:hAnsi="SimSun"/>
          <w:sz w:val="21"/>
          <w:szCs w:val="28"/>
          <w:lang w:eastAsia="zh-CN"/>
        </w:rPr>
        <w:t>日本</w:t>
      </w:r>
      <w:r w:rsidRPr="00F966B4">
        <w:rPr>
          <w:rFonts w:ascii="SimSun" w:hAnsi="SimSun" w:hint="eastAsia"/>
          <w:sz w:val="21"/>
          <w:szCs w:val="28"/>
          <w:lang w:eastAsia="zh-CN"/>
        </w:rPr>
        <w:t>（</w:t>
      </w:r>
      <w:r w:rsidRPr="00F966B4">
        <w:rPr>
          <w:rFonts w:ascii="SimSun" w:hAnsi="SimSun"/>
          <w:sz w:val="21"/>
          <w:szCs w:val="28"/>
          <w:lang w:eastAsia="zh-CN"/>
        </w:rPr>
        <w:t>+6</w:t>
      </w:r>
      <w:r w:rsidRPr="00F966B4">
        <w:rPr>
          <w:rFonts w:ascii="SimSun" w:hAnsi="SimSun" w:hint="eastAsia"/>
          <w:sz w:val="21"/>
          <w:szCs w:val="28"/>
          <w:lang w:eastAsia="zh-CN"/>
        </w:rPr>
        <w:t>.8</w:t>
      </w:r>
      <w:r w:rsidRPr="00F966B4">
        <w:rPr>
          <w:rFonts w:ascii="SimSun" w:hAnsi="SimSun"/>
          <w:sz w:val="21"/>
          <w:szCs w:val="28"/>
          <w:lang w:eastAsia="zh-CN"/>
        </w:rPr>
        <w:t>%</w:t>
      </w:r>
      <w:r w:rsidRPr="00F966B4">
        <w:rPr>
          <w:rFonts w:ascii="SimSun" w:hAnsi="SimSun" w:hint="eastAsia"/>
          <w:sz w:val="21"/>
          <w:szCs w:val="28"/>
          <w:lang w:eastAsia="zh-CN"/>
        </w:rPr>
        <w:t>）也有强劲增长。2015年，</w:t>
      </w:r>
      <w:r w:rsidRPr="00F966B4">
        <w:rPr>
          <w:rFonts w:ascii="SimSun" w:hAnsi="SimSun"/>
          <w:sz w:val="21"/>
          <w:szCs w:val="28"/>
          <w:lang w:eastAsia="zh-CN"/>
        </w:rPr>
        <w:t>美利坚合众国</w:t>
      </w:r>
      <w:r w:rsidRPr="00F966B4">
        <w:rPr>
          <w:rFonts w:ascii="SimSun" w:hAnsi="SimSun" w:hint="eastAsia"/>
          <w:sz w:val="21"/>
          <w:szCs w:val="28"/>
          <w:lang w:eastAsia="zh-CN"/>
        </w:rPr>
        <w:t>连续第二年成为该体系的最大用户，其次是德国。就个人申请人而言，瑞士制药公司诺华公司是最大的申请人，2015年有193件申请，其后是</w:t>
      </w:r>
      <w:r w:rsidRPr="00F966B4">
        <w:rPr>
          <w:rFonts w:ascii="SimSun" w:hAnsi="SimSun"/>
          <w:sz w:val="21"/>
          <w:szCs w:val="28"/>
          <w:lang w:eastAsia="zh-CN"/>
        </w:rPr>
        <w:t>德国</w:t>
      </w:r>
      <w:r w:rsidRPr="00F966B4">
        <w:rPr>
          <w:rFonts w:ascii="SimSun" w:hAnsi="SimSun" w:hint="eastAsia"/>
          <w:sz w:val="21"/>
          <w:szCs w:val="28"/>
          <w:lang w:eastAsia="zh-CN"/>
        </w:rPr>
        <w:t>零售商</w:t>
      </w:r>
      <w:r w:rsidRPr="00F966B4">
        <w:rPr>
          <w:rFonts w:ascii="SimSun" w:hAnsi="SimSun"/>
          <w:sz w:val="21"/>
          <w:szCs w:val="28"/>
          <w:lang w:eastAsia="zh-CN"/>
        </w:rPr>
        <w:t>LIDL</w:t>
      </w:r>
      <w:r w:rsidRPr="00F966B4">
        <w:rPr>
          <w:rFonts w:ascii="SimSun" w:hAnsi="SimSun" w:hint="eastAsia"/>
          <w:sz w:val="21"/>
          <w:szCs w:val="28"/>
          <w:lang w:eastAsia="zh-CN"/>
        </w:rPr>
        <w:t>（</w:t>
      </w:r>
      <w:r w:rsidRPr="00F966B4">
        <w:rPr>
          <w:rFonts w:ascii="SimSun" w:hAnsi="SimSun"/>
          <w:sz w:val="21"/>
          <w:szCs w:val="28"/>
          <w:lang w:eastAsia="zh-CN"/>
        </w:rPr>
        <w:t>1</w:t>
      </w:r>
      <w:r w:rsidRPr="00F966B4">
        <w:rPr>
          <w:rFonts w:ascii="SimSun" w:hAnsi="SimSun" w:hint="eastAsia"/>
          <w:sz w:val="21"/>
          <w:szCs w:val="28"/>
          <w:lang w:eastAsia="zh-CN"/>
        </w:rPr>
        <w:t>4</w:t>
      </w:r>
      <w:r w:rsidRPr="00F966B4">
        <w:rPr>
          <w:rFonts w:ascii="SimSun" w:hAnsi="SimSun"/>
          <w:sz w:val="21"/>
          <w:szCs w:val="28"/>
          <w:lang w:eastAsia="zh-CN"/>
        </w:rPr>
        <w:t>2</w:t>
      </w:r>
      <w:r w:rsidRPr="00F966B4">
        <w:rPr>
          <w:rFonts w:ascii="SimSun" w:hAnsi="SimSun" w:hint="eastAsia"/>
          <w:sz w:val="21"/>
          <w:szCs w:val="28"/>
          <w:lang w:eastAsia="zh-CN"/>
        </w:rPr>
        <w:t>件）和法国欧莱雅（</w:t>
      </w:r>
      <w:r w:rsidRPr="00F966B4">
        <w:rPr>
          <w:rFonts w:ascii="SimSun" w:hAnsi="SimSun"/>
          <w:sz w:val="21"/>
          <w:szCs w:val="28"/>
          <w:lang w:eastAsia="zh-CN"/>
        </w:rPr>
        <w:t>130</w:t>
      </w:r>
      <w:r w:rsidRPr="00F966B4">
        <w:rPr>
          <w:rFonts w:ascii="SimSun" w:hAnsi="SimSun" w:hint="eastAsia"/>
          <w:sz w:val="21"/>
          <w:szCs w:val="28"/>
          <w:lang w:eastAsia="zh-CN"/>
        </w:rPr>
        <w:t>件）。欧洲以外最大的个人申请人</w:t>
      </w:r>
      <w:r w:rsidRPr="00F966B4">
        <w:rPr>
          <w:rFonts w:ascii="SimSun" w:hAnsi="SimSun" w:hint="eastAsia"/>
          <w:sz w:val="21"/>
          <w:szCs w:val="28"/>
          <w:lang w:eastAsia="zh-CN"/>
        </w:rPr>
        <w:lastRenderedPageBreak/>
        <w:t>是苹果公司，申请量是</w:t>
      </w:r>
      <w:r w:rsidRPr="00F966B4">
        <w:rPr>
          <w:rFonts w:ascii="SimSun" w:hAnsi="SimSun"/>
          <w:sz w:val="21"/>
          <w:szCs w:val="28"/>
          <w:lang w:eastAsia="zh-CN"/>
        </w:rPr>
        <w:t>8</w:t>
      </w:r>
      <w:r w:rsidRPr="00F966B4">
        <w:rPr>
          <w:rFonts w:ascii="SimSun" w:hAnsi="SimSun" w:hint="eastAsia"/>
          <w:sz w:val="21"/>
          <w:szCs w:val="28"/>
          <w:lang w:eastAsia="zh-CN"/>
        </w:rPr>
        <w:t>6件，排第七位。2015年排名前五的向其寻求保护的市场与2014年的相同，还是</w:t>
      </w:r>
      <w:r w:rsidRPr="00F966B4">
        <w:rPr>
          <w:rFonts w:ascii="SimSun" w:hAnsi="SimSun"/>
          <w:sz w:val="21"/>
          <w:szCs w:val="28"/>
          <w:lang w:eastAsia="zh-CN"/>
        </w:rPr>
        <w:t>中国</w:t>
      </w:r>
      <w:r w:rsidRPr="00F966B4">
        <w:rPr>
          <w:rFonts w:ascii="SimSun" w:hAnsi="SimSun" w:hint="eastAsia"/>
          <w:sz w:val="21"/>
          <w:szCs w:val="28"/>
          <w:lang w:eastAsia="zh-CN"/>
        </w:rPr>
        <w:t>、欧洲联盟、</w:t>
      </w:r>
      <w:r w:rsidRPr="00F966B4">
        <w:rPr>
          <w:rFonts w:ascii="SimSun" w:hAnsi="SimSun"/>
          <w:sz w:val="21"/>
          <w:szCs w:val="28"/>
          <w:lang w:eastAsia="zh-CN"/>
        </w:rPr>
        <w:t>美利坚合众国</w:t>
      </w:r>
      <w:r w:rsidRPr="00F966B4">
        <w:rPr>
          <w:rFonts w:ascii="SimSun" w:hAnsi="SimSun" w:hint="eastAsia"/>
          <w:sz w:val="21"/>
          <w:szCs w:val="28"/>
          <w:lang w:eastAsia="zh-CN"/>
        </w:rPr>
        <w:t>、</w:t>
      </w:r>
      <w:r w:rsidRPr="00F966B4">
        <w:rPr>
          <w:rFonts w:ascii="SimSun" w:hAnsi="SimSun"/>
          <w:sz w:val="21"/>
          <w:szCs w:val="28"/>
          <w:lang w:eastAsia="zh-CN"/>
        </w:rPr>
        <w:t>俄罗斯联邦</w:t>
      </w:r>
      <w:r w:rsidRPr="00F966B4">
        <w:rPr>
          <w:rFonts w:ascii="SimSun" w:hAnsi="SimSun" w:hint="eastAsia"/>
          <w:sz w:val="21"/>
          <w:szCs w:val="28"/>
          <w:lang w:eastAsia="zh-CN"/>
        </w:rPr>
        <w:t>和</w:t>
      </w:r>
      <w:r w:rsidRPr="00F966B4">
        <w:rPr>
          <w:rFonts w:ascii="SimSun" w:hAnsi="SimSun"/>
          <w:sz w:val="21"/>
          <w:szCs w:val="28"/>
          <w:lang w:eastAsia="zh-CN"/>
        </w:rPr>
        <w:t>日本</w:t>
      </w:r>
      <w:r w:rsidRPr="00F966B4">
        <w:rPr>
          <w:rFonts w:ascii="SimSun" w:hAnsi="SimSun" w:hint="eastAsia"/>
          <w:sz w:val="21"/>
          <w:szCs w:val="28"/>
          <w:lang w:eastAsia="zh-CN"/>
        </w:rPr>
        <w:t>。</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马德里体系法律框架现代化的工作继续在马德里体系法律发展工作组推进，今年6月份，工作组通过了一个路线图，旨在确保该体系的发展能够满足所有成员的需求，同时不动摇该体系的根本原则。路线图载列了今后几年内要处理的问题，其中包括对基础商标的依附性、分类做法和使用不同字符的商标等。</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74148F">
        <w:rPr>
          <w:rFonts w:ascii="SimSun" w:hAnsi="SimSun" w:hint="eastAsia"/>
          <w:sz w:val="21"/>
          <w:szCs w:val="28"/>
          <w:lang w:eastAsia="zh-CN"/>
        </w:rPr>
        <w:t>去年的报告宣布启动一项雄心勃勃的计划，提高马德里体系下国际局服务的效率和质量。该计划于2015年产生了具体成果。一件申请的单位成本（即处理和维持国际注册的成本）大幅回落，审查生产率得到明显提高。此外，除一个业务类别之外，其他所有业务类别的待审率都低于过去五年的平均水平。</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2016年，旨在支持马德里体系持续的业务需求、加强对用户的在线服务的新信息技术平台——马德里国际注册信息系统（</w:t>
      </w:r>
      <w:r w:rsidRPr="00F966B4">
        <w:rPr>
          <w:rFonts w:ascii="SimSun" w:hAnsi="SimSun"/>
          <w:sz w:val="21"/>
          <w:szCs w:val="28"/>
          <w:lang w:eastAsia="zh-CN"/>
        </w:rPr>
        <w:t>MIRIS</w:t>
      </w:r>
      <w:r w:rsidRPr="00F966B4">
        <w:rPr>
          <w:rFonts w:ascii="SimSun" w:hAnsi="SimSun" w:hint="eastAsia"/>
          <w:sz w:val="21"/>
          <w:szCs w:val="28"/>
          <w:lang w:eastAsia="zh-CN"/>
        </w:rPr>
        <w:t>）得到部署，这导致生产率和效率方面的进展有所放缓。尽管已预计到向新系统过渡只会轻微影响到业务绩效，但过渡期比预计的要长。</w:t>
      </w:r>
      <w:r w:rsidRPr="00F966B4">
        <w:rPr>
          <w:rFonts w:ascii="SimSun" w:hAnsi="SimSun"/>
          <w:sz w:val="21"/>
          <w:szCs w:val="28"/>
          <w:lang w:eastAsia="zh-CN"/>
        </w:rPr>
        <w:t>MIRIS</w:t>
      </w:r>
      <w:r w:rsidRPr="00F966B4">
        <w:rPr>
          <w:rFonts w:ascii="SimSun" w:hAnsi="SimSun" w:hint="eastAsia"/>
          <w:sz w:val="21"/>
          <w:szCs w:val="28"/>
          <w:lang w:eastAsia="zh-CN"/>
        </w:rPr>
        <w:t>系统现在已经全面实施，我们期待生产率的增长有望恢复，用户服务也得到改进。</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马德里体系的信息技术环境是国际局的主要焦点，其目的是开发全面的集成环境，用于内部处理，并用于与缔约方知识产权局及用户的交互。对各种服务进行集成的一个主要步骤是部署马德里监视器，该监视器在一个应用中，集成了通过</w:t>
      </w:r>
      <w:r w:rsidRPr="00F966B4">
        <w:rPr>
          <w:rFonts w:ascii="SimSun" w:hAnsi="SimSun"/>
          <w:sz w:val="21"/>
          <w:szCs w:val="28"/>
          <w:lang w:eastAsia="zh-CN"/>
        </w:rPr>
        <w:t>ROMARIN</w:t>
      </w:r>
      <w:r w:rsidRPr="00F966B4">
        <w:rPr>
          <w:rFonts w:ascii="SimSun" w:hAnsi="SimSun" w:hint="eastAsia"/>
          <w:sz w:val="21"/>
          <w:szCs w:val="28"/>
          <w:lang w:eastAsia="zh-CN"/>
        </w:rPr>
        <w:t>、《</w:t>
      </w:r>
      <w:r w:rsidRPr="00F966B4">
        <w:rPr>
          <w:rFonts w:ascii="SimSun" w:hAnsi="SimSun"/>
          <w:sz w:val="21"/>
          <w:szCs w:val="28"/>
          <w:lang w:eastAsia="zh-CN"/>
        </w:rPr>
        <w:t>WIPO</w:t>
      </w:r>
      <w:r w:rsidRPr="00F966B4">
        <w:rPr>
          <w:rFonts w:ascii="SimSun" w:hAnsi="SimSun" w:hint="eastAsia"/>
          <w:sz w:val="21"/>
          <w:szCs w:val="28"/>
          <w:lang w:eastAsia="zh-CN"/>
        </w:rPr>
        <w:t>国际商标公告》、马德里电子提醒和实施状态等可以获得的功能和信息。接下来的几个月内，还将提供一个新功能，即马德里成员概况数据库。这项新服务将提供复杂的检索系统，供客户获取马德里成员的知识产权局在商标国际注册程序方面的多种信息。该数据库现处于开发的最终阶段，将在填充马德里成员提供的信息之后向公众发布。</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2016年，马德里体系通过一系列宣传活动庆祝125周年。这些活动传递的关键信息是，来自全球各行各业成千上万的个人企业家、中小企业和跨国公司已经使用马德里体系在关键出口市场上保护自己的商标。该体系自成立以来，已经有超过100万件商标得到注册，目前仍有近62万5千项国际注册有效，包括大量已在国际上家喻户晓的驰名商标。这种了不起的增长证明马德里体系便于使用、具有成本效益，并且地域覆盖面在扩大。</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A9467A">
        <w:rPr>
          <w:rFonts w:ascii="SimSun" w:hAnsi="SimSun" w:cs="Arial" w:hint="eastAsia"/>
          <w:b/>
          <w:bCs/>
          <w:color w:val="A31E33"/>
          <w:sz w:val="21"/>
          <w:lang w:eastAsia="zh-CN"/>
        </w:rPr>
        <w:t>海牙体系。</w:t>
      </w:r>
      <w:r w:rsidRPr="00F966B4">
        <w:rPr>
          <w:rFonts w:ascii="SimSun" w:hAnsi="SimSun" w:cs="SimSun" w:hint="eastAsia"/>
          <w:sz w:val="21"/>
          <w:szCs w:val="28"/>
          <w:lang w:eastAsia="zh-CN"/>
        </w:rPr>
        <w:t>海牙体系的成员继续逐渐扩张。</w:t>
      </w:r>
      <w:r w:rsidRPr="00F966B4">
        <w:rPr>
          <w:rFonts w:ascii="SimSun" w:hAnsi="SimSun" w:hint="eastAsia"/>
          <w:sz w:val="21"/>
          <w:szCs w:val="28"/>
          <w:lang w:eastAsia="zh-CN"/>
        </w:rPr>
        <w:t>自2015年成员国大会以来</w:t>
      </w:r>
      <w:r w:rsidRPr="00F966B4">
        <w:rPr>
          <w:rFonts w:ascii="SimSun" w:hAnsi="SimSun" w:cs="SimSun" w:hint="eastAsia"/>
          <w:sz w:val="21"/>
          <w:szCs w:val="28"/>
          <w:lang w:eastAsia="zh-CN"/>
        </w:rPr>
        <w:t>，土库曼斯坦和朝鲜民主主义人民共和国已经加入了《日内瓦文本》（</w:t>
      </w:r>
      <w:r w:rsidRPr="00F966B4">
        <w:rPr>
          <w:rFonts w:ascii="SimSun" w:hAnsi="SimSun"/>
          <w:sz w:val="21"/>
          <w:szCs w:val="28"/>
          <w:lang w:eastAsia="zh-CN"/>
        </w:rPr>
        <w:t>1999</w:t>
      </w:r>
      <w:r w:rsidRPr="00F966B4">
        <w:rPr>
          <w:rFonts w:ascii="SimSun" w:hAnsi="SimSun" w:hint="eastAsia"/>
          <w:sz w:val="21"/>
          <w:szCs w:val="28"/>
          <w:lang w:eastAsia="zh-CN"/>
        </w:rPr>
        <w:t>年</w:t>
      </w:r>
      <w:r w:rsidRPr="00F966B4">
        <w:rPr>
          <w:rFonts w:ascii="SimSun" w:hAnsi="SimSun" w:cs="SimSun" w:hint="eastAsia"/>
          <w:sz w:val="21"/>
          <w:szCs w:val="28"/>
          <w:lang w:eastAsia="zh-CN"/>
        </w:rPr>
        <w:t>），这是海牙体系的最新版本，它们的加入使《日内瓦文本》的缔约方达到</w:t>
      </w:r>
      <w:r w:rsidRPr="00F966B4">
        <w:rPr>
          <w:rFonts w:ascii="SimSun" w:hAnsi="SimSun"/>
          <w:sz w:val="21"/>
          <w:szCs w:val="28"/>
          <w:lang w:eastAsia="zh-CN"/>
        </w:rPr>
        <w:t>51</w:t>
      </w:r>
      <w:r w:rsidRPr="00F966B4">
        <w:rPr>
          <w:rFonts w:ascii="SimSun" w:hAnsi="SimSun" w:cs="SimSun" w:hint="eastAsia"/>
          <w:sz w:val="21"/>
          <w:szCs w:val="28"/>
          <w:lang w:eastAsia="zh-CN"/>
        </w:rPr>
        <w:t>个。和马德里体系一样，不少国家已经表示正在积极酝酿加入海牙体系，这些国家包括加拿大、中国、俄罗斯联邦以及尚未加入海牙体系的东盟国家。</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大韩民国、日本和美利坚合众国（按时间顺序排列）这三大外观设计保护主要用户的最近加入，正在使海牙体系发生转变，现在它已有潜力成为国际知识产权架构中的重要组成部分。外观设计申请在2015年增加了40.6%。根据2016年迄今为止所收到的申请，预计今年的增长幅度类似。新增的需求不仅来自于新近加入的国家，而且也来自早已加入该体系的国家的用户，这表明该体系由于地域覆盖面扩大，带来的利益也更大。</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2015年，名列前茅的申请大国是瑞士、德国、大韩民国、法国和意大利。排名靠前的个人申请人是三星电子、斯沃琪、</w:t>
      </w:r>
      <w:proofErr w:type="spellStart"/>
      <w:r w:rsidRPr="00F966B4">
        <w:rPr>
          <w:rFonts w:ascii="SimSun" w:hAnsi="SimSun" w:hint="eastAsia"/>
          <w:sz w:val="21"/>
          <w:szCs w:val="28"/>
          <w:lang w:eastAsia="zh-CN"/>
        </w:rPr>
        <w:t>Fonkel</w:t>
      </w:r>
      <w:proofErr w:type="spellEnd"/>
      <w:r w:rsidRPr="00F966B4">
        <w:rPr>
          <w:rFonts w:ascii="SimSun" w:hAnsi="SimSun" w:hint="eastAsia"/>
          <w:sz w:val="21"/>
          <w:szCs w:val="28"/>
          <w:lang w:eastAsia="zh-CN"/>
        </w:rPr>
        <w:t xml:space="preserve"> </w:t>
      </w:r>
      <w:proofErr w:type="spellStart"/>
      <w:r w:rsidRPr="00F966B4">
        <w:rPr>
          <w:rFonts w:ascii="SimSun" w:hAnsi="SimSun" w:hint="eastAsia"/>
          <w:sz w:val="21"/>
          <w:szCs w:val="28"/>
          <w:lang w:eastAsia="zh-CN"/>
        </w:rPr>
        <w:t>Meubelmarketing</w:t>
      </w:r>
      <w:proofErr w:type="spellEnd"/>
      <w:r w:rsidRPr="00F966B4">
        <w:rPr>
          <w:rFonts w:ascii="SimSun" w:hAnsi="SimSun" w:hint="eastAsia"/>
          <w:sz w:val="21"/>
          <w:szCs w:val="28"/>
          <w:lang w:eastAsia="zh-CN"/>
        </w:rPr>
        <w:t>、大众汽车和宝洁。</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可以预见，实施外观设计申请实质审查制度国家的最新加入将使海牙体系的运行更为复杂。开发信息技术流程和工具不论对于秘书处管理海牙体系，还是对用户来说，都能在某种程度上减轻这种复</w:t>
      </w:r>
      <w:r w:rsidRPr="00F966B4">
        <w:rPr>
          <w:rFonts w:ascii="SimSun" w:hAnsi="SimSun" w:hint="eastAsia"/>
          <w:sz w:val="21"/>
          <w:szCs w:val="28"/>
          <w:lang w:eastAsia="zh-CN"/>
        </w:rPr>
        <w:lastRenderedPageBreak/>
        <w:t>杂性的影响。WIPO仍在不断发展数字服务，以便提供一个便于用户使用的一体化互动环境，为海牙体系的所有用户在提交和维持国际申请及注册时提供方便。此方面的一项重大进展是，2016年3月推出了一个新界面，使用户可以在网上查询自己的申请状态，并可以提交对其形式缺陷的更正。由于海牙体系不断扩大，开发一个全面的一体化IT环境，方便国际局受理申请，促进与缔约国的用户和主管局的互动，非常重要。</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由于海牙体系至今已经发展了90年，要形成一个单一体系，并且消除《海牙协定》多个文本带来的复杂性，还需付出很多努力。自上届大会以来，已经朝着这一目标取得了重大进展。苏里南和埃及这最后两个国家同意终止《伦敦文本》（1934年），将使海牙联盟关于终止该文本的决定产生效力。此外，继朝鲜民主主义人民共和国加入《日内瓦文本》之后，现在只有伯利兹、摩洛哥和苏里南这三个国家</w:t>
      </w:r>
      <w:proofErr w:type="gramStart"/>
      <w:r w:rsidRPr="00F966B4">
        <w:rPr>
          <w:rFonts w:ascii="SimSun" w:hAnsi="SimSun" w:hint="eastAsia"/>
          <w:sz w:val="21"/>
          <w:szCs w:val="28"/>
          <w:lang w:eastAsia="zh-CN"/>
        </w:rPr>
        <w:t>仍是仅</w:t>
      </w:r>
      <w:proofErr w:type="gramEnd"/>
      <w:r w:rsidRPr="00F966B4">
        <w:rPr>
          <w:rFonts w:ascii="SimSun" w:hAnsi="SimSun" w:hint="eastAsia"/>
          <w:sz w:val="21"/>
          <w:szCs w:val="28"/>
          <w:lang w:eastAsia="zh-CN"/>
        </w:rPr>
        <w:t>加入《海牙文本》（1960年）的缔约方。我们的目标是使海牙联盟的所有成员都加入《日内瓦文本》（</w:t>
      </w:r>
      <w:r w:rsidRPr="00F966B4">
        <w:rPr>
          <w:rFonts w:ascii="SimSun" w:hAnsi="SimSun"/>
          <w:sz w:val="21"/>
          <w:szCs w:val="28"/>
          <w:lang w:eastAsia="zh-CN"/>
        </w:rPr>
        <w:t>1999</w:t>
      </w:r>
      <w:r w:rsidRPr="00F966B4">
        <w:rPr>
          <w:rFonts w:ascii="SimSun" w:hAnsi="SimSun" w:hint="eastAsia"/>
          <w:sz w:val="21"/>
          <w:szCs w:val="28"/>
          <w:lang w:eastAsia="zh-CN"/>
        </w:rPr>
        <w:t>年）。</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A9467A">
        <w:rPr>
          <w:rFonts w:ascii="SimSun" w:hAnsi="SimSun" w:cs="Arial" w:hint="eastAsia"/>
          <w:b/>
          <w:bCs/>
          <w:color w:val="A31E33"/>
          <w:sz w:val="21"/>
          <w:lang w:eastAsia="zh-CN"/>
        </w:rPr>
        <w:t>里斯本体系。</w:t>
      </w:r>
      <w:r w:rsidRPr="00F966B4">
        <w:rPr>
          <w:rFonts w:ascii="SimSun" w:hAnsi="SimSun" w:hint="eastAsia"/>
          <w:sz w:val="21"/>
          <w:szCs w:val="28"/>
          <w:lang w:eastAsia="zh-CN"/>
        </w:rPr>
        <w:t>《保护原产地名称及其国际注册里斯本协定》的缔约</w:t>
      </w:r>
      <w:proofErr w:type="gramStart"/>
      <w:r w:rsidRPr="00F966B4">
        <w:rPr>
          <w:rFonts w:ascii="SimSun" w:hAnsi="SimSun" w:hint="eastAsia"/>
          <w:sz w:val="21"/>
          <w:szCs w:val="28"/>
          <w:lang w:eastAsia="zh-CN"/>
        </w:rPr>
        <w:t>方数量</w:t>
      </w:r>
      <w:proofErr w:type="gramEnd"/>
      <w:r w:rsidRPr="00F966B4">
        <w:rPr>
          <w:rFonts w:ascii="SimSun" w:hAnsi="SimSun" w:hint="eastAsia"/>
          <w:sz w:val="21"/>
          <w:szCs w:val="28"/>
          <w:lang w:eastAsia="zh-CN"/>
        </w:rPr>
        <w:t>为28个。自上届大会以来，又收到了50件里斯本体系的国际申请，其中34件来自意大利，16件来自伊朗伊斯兰共和国，这使里斯本体系下的国际注册总数达到了1,060件，其中955件已生效。与《里斯本协定日内瓦文本》相关的问题在下文阐述。</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自2015年外交会议结束以来，又有四个国家签署了《里斯本协定日内瓦文本》，使签字方总数达到15个。新文本将在五个缔约</w:t>
      </w:r>
      <w:proofErr w:type="gramStart"/>
      <w:r w:rsidRPr="00F966B4">
        <w:rPr>
          <w:rFonts w:ascii="SimSun" w:hAnsi="SimSun" w:hint="eastAsia"/>
          <w:sz w:val="21"/>
          <w:szCs w:val="28"/>
          <w:lang w:eastAsia="zh-CN"/>
        </w:rPr>
        <w:t>方批准</w:t>
      </w:r>
      <w:proofErr w:type="gramEnd"/>
      <w:r w:rsidRPr="00F966B4">
        <w:rPr>
          <w:rFonts w:ascii="SimSun" w:hAnsi="SimSun" w:hint="eastAsia"/>
          <w:sz w:val="21"/>
          <w:szCs w:val="28"/>
          <w:lang w:eastAsia="zh-CN"/>
        </w:rPr>
        <w:t>或加入之后生效。</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在2015年</w:t>
      </w:r>
      <w:r w:rsidRPr="00F966B4">
        <w:rPr>
          <w:rFonts w:ascii="SimSun" w:hAnsi="SimSun"/>
          <w:sz w:val="21"/>
          <w:szCs w:val="28"/>
          <w:lang w:eastAsia="zh-CN"/>
        </w:rPr>
        <w:t>WIPO</w:t>
      </w:r>
      <w:r w:rsidRPr="00F966B4">
        <w:rPr>
          <w:rFonts w:ascii="SimSun" w:hAnsi="SimSun" w:hint="eastAsia"/>
          <w:sz w:val="21"/>
          <w:szCs w:val="28"/>
          <w:lang w:eastAsia="zh-CN"/>
        </w:rPr>
        <w:t>成员国大会上，里斯本联盟大会设立了制定里斯本协定和里斯本协定日内瓦文本共同实施细则工作组。该工作组于2016年6月举行其第一次会议，在会议期间，各代表团审议了《共同实施细则》草案第一稿，并进一步讨论了消除里斯本联盟两年期预期赤字的措施以及关于里斯本联盟财务可持续性的备选方案。</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A9467A">
        <w:rPr>
          <w:rFonts w:ascii="SimSun" w:hAnsi="SimSun" w:cs="Arial"/>
          <w:b/>
          <w:bCs/>
          <w:color w:val="A31E33"/>
          <w:sz w:val="21"/>
          <w:lang w:eastAsia="zh-CN"/>
        </w:rPr>
        <w:t>WIPO</w:t>
      </w:r>
      <w:r w:rsidRPr="00A9467A">
        <w:rPr>
          <w:rFonts w:ascii="SimSun" w:hAnsi="SimSun" w:cs="Arial" w:hint="eastAsia"/>
          <w:b/>
          <w:bCs/>
          <w:color w:val="A31E33"/>
          <w:sz w:val="21"/>
          <w:lang w:eastAsia="zh-CN"/>
        </w:rPr>
        <w:t>仲裁与调解中心。</w:t>
      </w:r>
      <w:r w:rsidRPr="00F966B4">
        <w:rPr>
          <w:rFonts w:ascii="SimSun" w:hAnsi="SimSun" w:hint="eastAsia"/>
          <w:sz w:val="21"/>
          <w:szCs w:val="28"/>
          <w:lang w:eastAsia="zh-CN"/>
        </w:rPr>
        <w:t>仲裁与调解中心为知识产权争议提供不同于法院诉讼的省时省钱的替代方式。中心管理替代性争议解决办法（ADR）的案件，并就此提供政策方面的专业知识。</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hint="eastAsia"/>
          <w:b/>
          <w:sz w:val="21"/>
          <w:szCs w:val="28"/>
          <w:lang w:eastAsia="zh-CN"/>
        </w:rPr>
        <w:t>域名</w:t>
      </w:r>
      <w:r w:rsidRPr="00F966B4">
        <w:rPr>
          <w:rFonts w:ascii="SimSun" w:hAnsi="SimSun" w:hint="eastAsia"/>
          <w:sz w:val="21"/>
          <w:szCs w:val="28"/>
          <w:lang w:eastAsia="zh-CN"/>
        </w:rPr>
        <w:t>。由于品牌持有人面临其商标在域名（既包括旧域名也包括新域名）中被进一步滥用的可能性，所以他们继续依赖于WIPO的域名抢注争议解决机制。WIPO提供的服务通过打击域名注册投机行为，可以帮助消费者找到真正的网络内容，并提高全球域名系统的可靠性。</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自WIPO 1999年根据WIPO制定的统一域名争议解决政策（UDRP）管理首个案件以来，向WIPO提交的总案件量已经突破35,000件大关，涉及约65,000个域名。</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74148F">
        <w:rPr>
          <w:rFonts w:ascii="SimSun" w:hAnsi="SimSun" w:hint="eastAsia"/>
          <w:sz w:val="21"/>
          <w:szCs w:val="28"/>
          <w:lang w:eastAsia="zh-CN"/>
        </w:rPr>
        <w:t>2015年向WIPO提交的域名抢注案件比2014年增长了</w:t>
      </w:r>
      <w:r w:rsidRPr="0074148F">
        <w:rPr>
          <w:rFonts w:ascii="SimSun" w:hAnsi="SimSun"/>
          <w:sz w:val="21"/>
          <w:szCs w:val="28"/>
          <w:lang w:eastAsia="zh-CN"/>
        </w:rPr>
        <w:t>4.6</w:t>
      </w:r>
      <w:r w:rsidRPr="0074148F">
        <w:rPr>
          <w:rFonts w:ascii="SimSun" w:hAnsi="SimSun" w:hint="eastAsia"/>
          <w:sz w:val="21"/>
          <w:szCs w:val="28"/>
          <w:lang w:eastAsia="zh-CN"/>
        </w:rPr>
        <w:t>%，其中</w:t>
      </w:r>
      <w:r w:rsidRPr="0074148F">
        <w:rPr>
          <w:rFonts w:ascii="SimSun" w:hAnsi="SimSun"/>
          <w:sz w:val="21"/>
          <w:szCs w:val="28"/>
          <w:lang w:eastAsia="zh-CN"/>
        </w:rPr>
        <w:t>2,754</w:t>
      </w:r>
      <w:r w:rsidRPr="0074148F">
        <w:rPr>
          <w:rFonts w:ascii="SimSun" w:hAnsi="SimSun" w:hint="eastAsia"/>
          <w:sz w:val="21"/>
          <w:szCs w:val="28"/>
          <w:lang w:eastAsia="zh-CN"/>
        </w:rPr>
        <w:t>件是声称商标遭到恶意使用的商标所有人提出的。截至2016年8月31日，</w:t>
      </w:r>
      <w:r w:rsidRPr="0074148F">
        <w:rPr>
          <w:rFonts w:ascii="SimSun" w:hAnsi="SimSun"/>
          <w:sz w:val="21"/>
          <w:szCs w:val="28"/>
          <w:lang w:eastAsia="zh-CN"/>
        </w:rPr>
        <w:t>WIPO</w:t>
      </w:r>
      <w:r w:rsidRPr="0074148F">
        <w:rPr>
          <w:rFonts w:ascii="SimSun" w:hAnsi="SimSun" w:hint="eastAsia"/>
          <w:sz w:val="21"/>
          <w:szCs w:val="28"/>
          <w:lang w:eastAsia="zh-CN"/>
        </w:rPr>
        <w:t>受理的域名案件数量为2,021件，比2015年同期受理的案件增长了</w:t>
      </w:r>
      <w:r w:rsidRPr="0074148F">
        <w:rPr>
          <w:rFonts w:ascii="SimSun" w:hAnsi="SimSun"/>
          <w:sz w:val="21"/>
          <w:szCs w:val="28"/>
          <w:lang w:eastAsia="zh-CN"/>
        </w:rPr>
        <w:t>11</w:t>
      </w:r>
      <w:r w:rsidRPr="0074148F">
        <w:rPr>
          <w:rFonts w:ascii="SimSun" w:hAnsi="SimSun" w:hint="eastAsia"/>
          <w:sz w:val="21"/>
          <w:szCs w:val="28"/>
          <w:lang w:eastAsia="zh-CN"/>
        </w:rPr>
        <w:t>.9%。</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74148F">
        <w:rPr>
          <w:rFonts w:ascii="SimSun" w:hAnsi="SimSun" w:hint="eastAsia"/>
          <w:sz w:val="21"/>
          <w:szCs w:val="28"/>
          <w:lang w:eastAsia="zh-CN"/>
        </w:rPr>
        <w:t>2015年WIPO UDRP案件涉及177个国家的当事人，突出了互联网的全球性和WIPO所管理之程序的全球参与性。投诉人活动涉及的前三大领域是时尚业（占所有案件的10%）、银行和金融（占9%），以及互联网和信息技术（占9%）。来自45个国家的313名WIPO专家，使用15种不同的语言对案件进行了裁决。</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国家代码顶级域（</w:t>
      </w:r>
      <w:proofErr w:type="spellStart"/>
      <w:r w:rsidRPr="00F966B4">
        <w:rPr>
          <w:rFonts w:ascii="SimSun" w:hAnsi="SimSun" w:hint="eastAsia"/>
          <w:sz w:val="21"/>
          <w:szCs w:val="28"/>
          <w:lang w:eastAsia="zh-CN"/>
        </w:rPr>
        <w:t>ccTLD</w:t>
      </w:r>
      <w:proofErr w:type="spellEnd"/>
      <w:r w:rsidRPr="00F966B4">
        <w:rPr>
          <w:rFonts w:ascii="SimSun" w:hAnsi="SimSun" w:hint="eastAsia"/>
          <w:sz w:val="21"/>
          <w:szCs w:val="28"/>
          <w:lang w:eastAsia="zh-CN"/>
        </w:rPr>
        <w:t>）占2015年WIPO全部申请量的14%，其中75个国家域名注册机构现在使用了WIPO的服务。</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lastRenderedPageBreak/>
        <w:t>新开放的通用顶级域（</w:t>
      </w:r>
      <w:proofErr w:type="spellStart"/>
      <w:r w:rsidRPr="00F966B4">
        <w:rPr>
          <w:rFonts w:ascii="SimSun" w:hAnsi="SimSun" w:hint="eastAsia"/>
          <w:sz w:val="21"/>
          <w:szCs w:val="28"/>
          <w:lang w:eastAsia="zh-CN"/>
        </w:rPr>
        <w:t>gTLD</w:t>
      </w:r>
      <w:proofErr w:type="spellEnd"/>
      <w:r w:rsidRPr="00F966B4">
        <w:rPr>
          <w:rFonts w:ascii="SimSun" w:hAnsi="SimSun" w:hint="eastAsia"/>
          <w:sz w:val="21"/>
          <w:szCs w:val="28"/>
          <w:lang w:eastAsia="zh-CN"/>
        </w:rPr>
        <w:t>）的域名注册现在经常出现在UDRP案件中。在1,400个已经计划投入使用的新通用顶级域中，有</w:t>
      </w:r>
      <w:r w:rsidRPr="00F966B4">
        <w:rPr>
          <w:rFonts w:ascii="SimSun" w:hAnsi="SimSun"/>
          <w:sz w:val="21"/>
          <w:szCs w:val="28"/>
          <w:lang w:eastAsia="zh-CN"/>
        </w:rPr>
        <w:t>1,000</w:t>
      </w:r>
      <w:r w:rsidRPr="00F966B4">
        <w:rPr>
          <w:rFonts w:ascii="SimSun" w:hAnsi="SimSun" w:hint="eastAsia"/>
          <w:sz w:val="21"/>
          <w:szCs w:val="28"/>
          <w:lang w:eastAsia="zh-CN"/>
        </w:rPr>
        <w:t>个新通用顶级域在运行，涉及这些域名的案件约占WIPO 2016年目前案件量的15%。</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WIPO正在密切监督互联网名称与数字地址分配机构（ICANN）所启动的一个用以审查UDRP和其他权利保护机制的进程。</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hint="eastAsia"/>
          <w:b/>
          <w:sz w:val="21"/>
          <w:szCs w:val="28"/>
          <w:lang w:eastAsia="zh-CN"/>
        </w:rPr>
        <w:t>知识产权争议</w:t>
      </w:r>
      <w:r w:rsidRPr="00F966B4">
        <w:rPr>
          <w:rFonts w:ascii="SimSun" w:hAnsi="SimSun" w:hint="eastAsia"/>
          <w:sz w:val="21"/>
          <w:szCs w:val="28"/>
          <w:lang w:eastAsia="zh-CN"/>
        </w:rPr>
        <w:t>。根据《WIPO仲裁、调解和专家裁定规则》所提供的程序旨在促进运用知识产权，不致出现因诉讼时间长且费用昂贵而导致产生不应有的损失。</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所提交的案件涉及专利、商标、软件、研发、电影和媒体及特许经营领域。中心自1999年办理首个案件以来，现已办理了460多件仲裁、调解和专家裁定案件，争议所涉价值从20,000美元到10亿美元不等。</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WIPO与相关知识产权局和版权局合作，提供可用资源，帮助当事各方解决其在这些局未解决的权利争议。现正与巴西、哥伦比亚、印度尼西亚、墨西哥、菲律宾和新加坡的主管局，以及大韩民国的知识产权机构开展合作。中心将相关经验汇集在了2015年发布的《WIPO知识产权局和法院替代性争议解决办法任择方案指南》之中。自2016年1月起，中心也被列为美国专利商标局（USPTO）商标审判与上诉委员会（TTAB）和专利审判与上诉委员会（PTAB）诉讼程序可用的争议解决服务提供方之一。</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国际法律框架</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现有条约。</w:t>
      </w:r>
      <w:r w:rsidRPr="00A9467A">
        <w:rPr>
          <w:rFonts w:ascii="SimSun" w:hAnsi="SimSun" w:hint="eastAsia"/>
          <w:sz w:val="21"/>
          <w:szCs w:val="21"/>
          <w:lang w:eastAsia="zh-CN"/>
        </w:rPr>
        <w:t>去年的特点是WIPO所管理条约的加入率非常高。自2015年9月起，已收到了35项</w:t>
      </w:r>
      <w:r w:rsidRPr="0074148F">
        <w:rPr>
          <w:rFonts w:ascii="SimSun" w:hAnsi="SimSun" w:hint="eastAsia"/>
          <w:sz w:val="21"/>
          <w:szCs w:val="28"/>
          <w:lang w:eastAsia="zh-CN"/>
        </w:rPr>
        <w:t>加入，几乎是上一年数量的两倍。这些加入绝大部分来自发展中国家，这已是连续第二年。现在，四部条约已有一百多个缔约国。基于过去五年的加入率，至少能有五部条约在2020年达到一百个缔约国。</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今年6月《关于为盲人、视力障碍者或其他印刷品阅读障碍者获得已出版作品提供便利的马拉喀什条约》的第20份加入书的交存，使该条约于2016年9月30日生效，达到了一个重要的里程碑。《马拉喀什条约》的第一届大会将在2016年本届成员国大会期间举行。</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2012年《视听表演北京条约》也在向生效大力推进，截至目前已有13项加入。我们希望能够在接下来的两年中达到其生效所需的30项加入的门槛。</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过去一整年，各</w:t>
      </w:r>
      <w:r w:rsidRPr="00B22E2B">
        <w:rPr>
          <w:rFonts w:ascii="SimSun" w:hAnsi="SimSun" w:cs="Arial" w:hint="eastAsia"/>
          <w:b/>
          <w:bCs/>
          <w:color w:val="2051A0"/>
          <w:sz w:val="21"/>
          <w:szCs w:val="21"/>
          <w:lang w:eastAsia="zh-CN"/>
        </w:rPr>
        <w:t>常设委员会</w:t>
      </w:r>
      <w:r w:rsidRPr="00F966B4">
        <w:rPr>
          <w:rFonts w:ascii="SimSun" w:hAnsi="SimSun" w:hint="eastAsia"/>
          <w:sz w:val="21"/>
          <w:szCs w:val="28"/>
          <w:lang w:eastAsia="zh-CN"/>
        </w:rPr>
        <w:t>的工作进展速度缓慢。来自各委员会的单独报告正在提交给大会，报告的详情无需在这里重复。尽管如此，一些项目正在接近需要就未来行动</w:t>
      </w:r>
      <w:proofErr w:type="gramStart"/>
      <w:r w:rsidRPr="00F966B4">
        <w:rPr>
          <w:rFonts w:ascii="SimSun" w:hAnsi="SimSun" w:hint="eastAsia"/>
          <w:sz w:val="21"/>
          <w:szCs w:val="28"/>
          <w:lang w:eastAsia="zh-CN"/>
        </w:rPr>
        <w:t>作出</w:t>
      </w:r>
      <w:proofErr w:type="gramEnd"/>
      <w:r w:rsidRPr="00F966B4">
        <w:rPr>
          <w:rFonts w:ascii="SimSun" w:hAnsi="SimSun" w:hint="eastAsia"/>
          <w:sz w:val="21"/>
          <w:szCs w:val="28"/>
          <w:lang w:eastAsia="zh-CN"/>
        </w:rPr>
        <w:t>决定的阶段。拟议的《外观设计法条约》（DLT）是2015年大会上一项决定的主题，该决定提出，召开通过该条约的外交会议，须以就两个未决问题达成一致为条件。商标、工业品外观设计和地理标志法律常设委员会就这两个问题已非常接近达成一致。本届成员国大会为成员国提供机会，以弥合尚存的分歧，为2017年外交会议铺平道路。2016年成员国大会为知识产权与遗传资源、传统知识和民间文学艺术政府间委员会通过的当前两年期的密集工作计划，正在有条不紊地进行。为了能向2017年大会报告积极的成果，未来的一年对IGC来说将极其重要。最后，广播问题已经在产权组织的准则制定议程上列了20年。在版权及相关权常设委员会上，成员国已经取得了一些好的进展，但对于成员国来说，时间已经很紧张，要以明确的方式决定是否以及如何继续进行这个项目。</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2016年4月，WIPO主办了全球数字内容市场国际会议，意在探讨数字转型对创意世界的影响。我们正生活在一次不同寻常的转型当中，我们的文化，以及界定这种文化的创意作品所得以表达和交流的方式，都在转型。技术，特别是数字技术和互联网，是这一转型的基础。技术使创意作品便于存</w:t>
      </w:r>
      <w:r w:rsidRPr="00F966B4">
        <w:rPr>
          <w:rFonts w:ascii="SimSun" w:hAnsi="SimSun" w:hint="eastAsia"/>
          <w:sz w:val="21"/>
          <w:szCs w:val="28"/>
          <w:lang w:eastAsia="zh-CN"/>
        </w:rPr>
        <w:lastRenderedPageBreak/>
        <w:t>储，便于复制，便于发行。这些特点继而又使获得史无前例的大量作品成为可能，使全球受</w:t>
      </w:r>
      <w:proofErr w:type="gramStart"/>
      <w:r w:rsidRPr="00F966B4">
        <w:rPr>
          <w:rFonts w:ascii="SimSun" w:hAnsi="SimSun" w:hint="eastAsia"/>
          <w:sz w:val="21"/>
          <w:szCs w:val="28"/>
          <w:lang w:eastAsia="zh-CN"/>
        </w:rPr>
        <w:t>众成为</w:t>
      </w:r>
      <w:proofErr w:type="gramEnd"/>
      <w:r w:rsidRPr="00F966B4">
        <w:rPr>
          <w:rFonts w:ascii="SimSun" w:hAnsi="SimSun" w:hint="eastAsia"/>
          <w:sz w:val="21"/>
          <w:szCs w:val="28"/>
          <w:lang w:eastAsia="zh-CN"/>
        </w:rPr>
        <w:t>可能，并大大降低了获取创意作品的价格。然而，这种深刻的转型造成了大范围的颠覆，不仅颠覆了创意作品储存和发行的方式，还颠覆了创意作品生产、发行和消费所依赖或者与之相伴的商业架构。本次会议汇集了众多来自WIPO成员的从业者和专家，就数字技术为内容的销售和发行带来的大量机会以及颠覆带来的挑战，进行辩论和讨论。一千多名与会者参加了会议，表明了此种国际讨论的及时性。</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全球数据库、工具和平台</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hint="eastAsia"/>
          <w:b/>
          <w:bCs/>
          <w:color w:val="2051A0"/>
          <w:sz w:val="21"/>
          <w:szCs w:val="21"/>
          <w:lang w:eastAsia="zh-CN"/>
        </w:rPr>
        <w:t>全球数据库、检索工具和国际分类。</w:t>
      </w:r>
      <w:r w:rsidRPr="00F966B4">
        <w:rPr>
          <w:rFonts w:ascii="SimSun" w:hAnsi="SimSun" w:cs="Arial" w:hint="eastAsia"/>
          <w:sz w:val="21"/>
          <w:szCs w:val="28"/>
          <w:lang w:eastAsia="zh-CN"/>
        </w:rPr>
        <w:t>WIPO拥有若干全球</w:t>
      </w:r>
      <w:r w:rsidRPr="00F966B4">
        <w:rPr>
          <w:rFonts w:ascii="SimSun" w:hAnsi="SimSun" w:hint="eastAsia"/>
          <w:sz w:val="21"/>
          <w:szCs w:val="28"/>
          <w:lang w:eastAsia="zh-CN"/>
        </w:rPr>
        <w:t>数据库</w:t>
      </w:r>
      <w:r w:rsidRPr="00F966B4">
        <w:rPr>
          <w:rFonts w:ascii="SimSun" w:hAnsi="SimSun" w:cs="Arial" w:hint="eastAsia"/>
          <w:sz w:val="21"/>
          <w:szCs w:val="28"/>
          <w:lang w:eastAsia="zh-CN"/>
        </w:rPr>
        <w:t>和相关的技术和语言方面的查询和检索工具，是全球知识产权相关信息的重要来源。这些服务使政策制定者、创新利益相关方和学术界能够利用产生于知识产权体系的经济和商业情报，以更好地</w:t>
      </w:r>
      <w:proofErr w:type="gramStart"/>
      <w:r w:rsidRPr="00F966B4">
        <w:rPr>
          <w:rFonts w:ascii="SimSun" w:hAnsi="SimSun" w:cs="Arial" w:hint="eastAsia"/>
          <w:sz w:val="21"/>
          <w:szCs w:val="28"/>
          <w:lang w:eastAsia="zh-CN"/>
        </w:rPr>
        <w:t>作出</w:t>
      </w:r>
      <w:proofErr w:type="gramEnd"/>
      <w:r w:rsidRPr="00F966B4">
        <w:rPr>
          <w:rFonts w:ascii="SimSun" w:hAnsi="SimSun" w:cs="Arial" w:hint="eastAsia"/>
          <w:sz w:val="21"/>
          <w:szCs w:val="28"/>
          <w:lang w:eastAsia="zh-CN"/>
        </w:rPr>
        <w:t>政策分析和商业决定、更好地获得技术和知识，以及更好地制定促进创新的制度。过去一年中，产权组织在开发这些全球数据库和相关工具方面取得了显著进展。</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74148F">
        <w:rPr>
          <w:rFonts w:ascii="SimSun" w:hAnsi="SimSun" w:cs="Arial" w:hint="eastAsia"/>
          <w:sz w:val="21"/>
          <w:szCs w:val="28"/>
          <w:lang w:eastAsia="zh-CN"/>
        </w:rPr>
        <w:t>五个全球数据库提供查阅以往和当前知识产权信息的服务，使数以千万计的数据记录可用作知识和情报，使政策制定者、知识产权利益相关方、研究人员和一般大众受益。WIPO全球数据库中包含的数据记录总量已接近一亿条。它们提供了独一无二的</w:t>
      </w:r>
      <w:r w:rsidRPr="0074148F">
        <w:rPr>
          <w:rFonts w:ascii="SimSun" w:hAnsi="SimSun" w:hint="eastAsia"/>
          <w:sz w:val="21"/>
          <w:szCs w:val="28"/>
          <w:lang w:eastAsia="zh-CN"/>
        </w:rPr>
        <w:t>“知识产权大数据”</w:t>
      </w:r>
      <w:r w:rsidRPr="0074148F">
        <w:rPr>
          <w:rFonts w:ascii="SimSun" w:hAnsi="SimSun" w:cs="Arial" w:hint="eastAsia"/>
          <w:sz w:val="21"/>
          <w:szCs w:val="28"/>
          <w:lang w:eastAsia="zh-CN"/>
        </w:rPr>
        <w:t>，使WIPO及其利益相关方能够利用机器翻译和图像识别等强大的网络和机器学习技术，并从这些技术中获益。</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b/>
          <w:bCs/>
          <w:color w:val="2051A0"/>
          <w:sz w:val="21"/>
          <w:szCs w:val="21"/>
          <w:lang w:eastAsia="zh-CN"/>
        </w:rPr>
        <w:t>PATENTSCOPE</w:t>
      </w:r>
      <w:r w:rsidRPr="00B22E2B">
        <w:rPr>
          <w:rFonts w:ascii="SimSun" w:hAnsi="SimSun" w:cs="Arial" w:hint="eastAsia"/>
          <w:b/>
          <w:bCs/>
          <w:color w:val="2051A0"/>
          <w:sz w:val="21"/>
          <w:szCs w:val="21"/>
          <w:lang w:eastAsia="zh-CN"/>
        </w:rPr>
        <w:t>。</w:t>
      </w:r>
      <w:r w:rsidRPr="00F966B4">
        <w:rPr>
          <w:rFonts w:ascii="SimSun" w:hAnsi="SimSun" w:cs="Arial" w:hint="eastAsia"/>
          <w:sz w:val="21"/>
          <w:szCs w:val="28"/>
          <w:lang w:eastAsia="zh-CN"/>
        </w:rPr>
        <w:t>最近，</w:t>
      </w:r>
      <w:proofErr w:type="spellStart"/>
      <w:r w:rsidRPr="00F966B4">
        <w:rPr>
          <w:rFonts w:ascii="SimSun" w:hAnsi="SimSun" w:cs="Arial"/>
          <w:sz w:val="21"/>
          <w:szCs w:val="28"/>
          <w:lang w:eastAsia="zh-CN"/>
        </w:rPr>
        <w:t>Patentscope</w:t>
      </w:r>
      <w:proofErr w:type="spellEnd"/>
      <w:r w:rsidRPr="00F966B4">
        <w:rPr>
          <w:rFonts w:ascii="SimSun" w:hAnsi="SimSun" w:cs="Arial" w:hint="eastAsia"/>
          <w:sz w:val="21"/>
          <w:szCs w:val="28"/>
          <w:lang w:eastAsia="zh-CN"/>
        </w:rPr>
        <w:t>成为了一个真正全球性的、宝贵的专利数据库，越来越多的国家知识产权局将其专利资料贡献给该数据库（36个国家知识产权局，以及三个地区知识产权局——欧洲专利局（EPO）、欧亚专利组织（EAPO）和非洲地区知识产权组织（ARIPO））。覆盖范围还在继续扩展，自去年以来，突尼斯的专利文献和中国的实用新型文献（代表了400万条记录）以及大韩民国和联合王国的专利文献的说明书和权利要求书添加到数据库中，为数据库增加了500多万条可检索的全文本文件。</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hint="eastAsia"/>
          <w:b/>
          <w:bCs/>
          <w:color w:val="2051A0"/>
          <w:sz w:val="21"/>
          <w:szCs w:val="21"/>
          <w:lang w:eastAsia="zh-CN"/>
        </w:rPr>
        <w:t>全球品牌数据库和全球外观设计数据库。</w:t>
      </w:r>
      <w:r w:rsidRPr="00F966B4">
        <w:rPr>
          <w:rFonts w:ascii="SimSun" w:hAnsi="SimSun" w:cs="Arial" w:hint="eastAsia"/>
          <w:sz w:val="21"/>
          <w:szCs w:val="28"/>
          <w:lang w:eastAsia="zh-CN"/>
        </w:rPr>
        <w:t>全球品牌数据库载有马德里体系的商标资料、里斯本体系的原产地名称资料、《巴黎公约》第六条之三所保护的徽记，以及30个国家注册商标数据集。全球品牌数据库基于图像的创新检索功能使用户能检索全世界商标中视觉上相似的图像和图形要素，获得了知识产权局和用户的盛赞，对该功能的优化还在继续进行。全球外观设计数据库于2015年1月启用，目前约有国家外观数据资料和海牙体系的160万条记录。格鲁吉亚、德国、约旦、马来西亚、摩尔多瓦、巴布亚新几内亚和大韩民国的商标数据资料已被添加到全球品牌数据库，日本、西班牙和美利坚合众国的数据资料已被添加到全球外观设计数据库。有了相应商标的嵌入式图像，全球品牌数据库内的报告得以丰富。</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b/>
          <w:bCs/>
          <w:color w:val="2051A0"/>
          <w:sz w:val="21"/>
          <w:szCs w:val="21"/>
          <w:lang w:eastAsia="zh-CN"/>
        </w:rPr>
        <w:t>WIPO Lex</w:t>
      </w:r>
      <w:r w:rsidRPr="00B22E2B">
        <w:rPr>
          <w:rFonts w:ascii="SimSun" w:hAnsi="SimSun" w:cs="Arial" w:hint="eastAsia"/>
          <w:b/>
          <w:bCs/>
          <w:color w:val="2051A0"/>
          <w:sz w:val="21"/>
          <w:szCs w:val="21"/>
          <w:lang w:eastAsia="zh-CN"/>
        </w:rPr>
        <w:t>。</w:t>
      </w:r>
      <w:r w:rsidRPr="0074148F">
        <w:rPr>
          <w:rFonts w:ascii="SimSun" w:hAnsi="SimSun" w:cs="Arial"/>
          <w:sz w:val="21"/>
          <w:szCs w:val="28"/>
          <w:lang w:eastAsia="zh-CN"/>
        </w:rPr>
        <w:t>WIPO Lex</w:t>
      </w:r>
      <w:r w:rsidRPr="0074148F">
        <w:rPr>
          <w:rFonts w:ascii="SimSun" w:hAnsi="SimSun" w:cs="Arial" w:hint="eastAsia"/>
          <w:sz w:val="21"/>
          <w:szCs w:val="28"/>
          <w:lang w:eastAsia="zh-CN"/>
        </w:rPr>
        <w:t>是成员国与秘书处的一项共同事业，提供对最全面的全球知识产权法律和条约数据的免费查阅。</w:t>
      </w:r>
      <w:r w:rsidRPr="0074148F">
        <w:rPr>
          <w:rFonts w:ascii="SimSun" w:hAnsi="SimSun" w:cs="Arial"/>
          <w:sz w:val="21"/>
          <w:szCs w:val="28"/>
          <w:lang w:eastAsia="zh-CN"/>
        </w:rPr>
        <w:t>WIPO Lex</w:t>
      </w:r>
      <w:r w:rsidRPr="0074148F">
        <w:rPr>
          <w:rFonts w:ascii="SimSun" w:hAnsi="SimSun" w:cs="Arial" w:hint="eastAsia"/>
          <w:sz w:val="21"/>
          <w:szCs w:val="28"/>
          <w:lang w:eastAsia="zh-CN"/>
        </w:rPr>
        <w:t>拥有约两百个国家的</w:t>
      </w:r>
      <w:r w:rsidRPr="0074148F">
        <w:rPr>
          <w:rFonts w:ascii="SimSun" w:hAnsi="SimSun" w:cs="Arial"/>
          <w:sz w:val="21"/>
          <w:szCs w:val="28"/>
          <w:lang w:eastAsia="zh-CN"/>
        </w:rPr>
        <w:t>12,935</w:t>
      </w:r>
      <w:r w:rsidRPr="0074148F">
        <w:rPr>
          <w:rFonts w:ascii="SimSun" w:hAnsi="SimSun" w:cs="Arial" w:hint="eastAsia"/>
          <w:sz w:val="21"/>
          <w:szCs w:val="28"/>
          <w:lang w:eastAsia="zh-CN"/>
        </w:rPr>
        <w:t>条国家法律、法规记录，以及770个知识产权相关国际条约。约有40%的记录是在过去五年间添加到数据库的。</w:t>
      </w:r>
      <w:r w:rsidRPr="0074148F">
        <w:rPr>
          <w:rFonts w:ascii="SimSun" w:hAnsi="SimSun" w:cs="Arial"/>
          <w:sz w:val="21"/>
          <w:szCs w:val="28"/>
          <w:lang w:eastAsia="zh-CN"/>
        </w:rPr>
        <w:t>WIPO Lex</w:t>
      </w:r>
      <w:r w:rsidRPr="0074148F">
        <w:rPr>
          <w:rFonts w:ascii="SimSun" w:hAnsi="SimSun" w:cs="Arial" w:hint="eastAsia"/>
          <w:sz w:val="21"/>
          <w:szCs w:val="28"/>
          <w:lang w:eastAsia="zh-CN"/>
        </w:rPr>
        <w:t>的受众在世界范围内持续增长。今年，</w:t>
      </w:r>
      <w:r w:rsidRPr="0074148F">
        <w:rPr>
          <w:rFonts w:ascii="SimSun" w:hAnsi="SimSun" w:cs="Arial"/>
          <w:sz w:val="21"/>
          <w:szCs w:val="28"/>
          <w:lang w:eastAsia="zh-CN"/>
        </w:rPr>
        <w:t>WIPO Lex</w:t>
      </w:r>
      <w:r w:rsidRPr="0074148F">
        <w:rPr>
          <w:rFonts w:ascii="SimSun" w:hAnsi="SimSun" w:cs="Arial" w:hint="eastAsia"/>
          <w:sz w:val="21"/>
          <w:szCs w:val="28"/>
          <w:lang w:eastAsia="zh-CN"/>
        </w:rPr>
        <w:t>的每年页面访问量超过了惊人的2,000万</w:t>
      </w:r>
      <w:r w:rsidRPr="0074148F">
        <w:rPr>
          <w:rFonts w:ascii="SimSun" w:hAnsi="SimSun" w:cs="Arial"/>
          <w:sz w:val="21"/>
          <w:szCs w:val="28"/>
          <w:lang w:eastAsia="zh-CN"/>
        </w:rPr>
        <w:t>阈</w:t>
      </w:r>
      <w:r w:rsidRPr="0074148F">
        <w:rPr>
          <w:rFonts w:ascii="SimSun" w:hAnsi="SimSun" w:cs="Arial" w:hint="eastAsia"/>
          <w:sz w:val="21"/>
          <w:szCs w:val="28"/>
          <w:lang w:eastAsia="zh-CN"/>
        </w:rPr>
        <w:t>值。自2010年启用</w:t>
      </w:r>
      <w:r w:rsidRPr="0074148F">
        <w:rPr>
          <w:rFonts w:ascii="SimSun" w:hAnsi="SimSun" w:cs="Arial"/>
          <w:sz w:val="21"/>
          <w:szCs w:val="28"/>
          <w:lang w:eastAsia="zh-CN"/>
        </w:rPr>
        <w:t>WIPO Lex</w:t>
      </w:r>
      <w:r w:rsidRPr="0074148F">
        <w:rPr>
          <w:rFonts w:ascii="SimSun" w:hAnsi="SimSun" w:cs="Arial" w:hint="eastAsia"/>
          <w:sz w:val="21"/>
          <w:szCs w:val="28"/>
          <w:lang w:eastAsia="zh-CN"/>
        </w:rPr>
        <w:t>以来，共有700多万用户访问该数据库，浏览了2,100多万个页面。正如用户来源前25位的国家图表所示，用户来自各类国家。</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hint="eastAsia"/>
          <w:b/>
          <w:bCs/>
          <w:color w:val="2051A0"/>
          <w:sz w:val="21"/>
          <w:szCs w:val="21"/>
          <w:lang w:eastAsia="zh-CN"/>
        </w:rPr>
        <w:t>多语言技术和检索工具。</w:t>
      </w:r>
      <w:r w:rsidRPr="00F966B4">
        <w:rPr>
          <w:rFonts w:ascii="SimSun" w:hAnsi="SimSun" w:cs="Arial" w:hint="eastAsia"/>
          <w:sz w:val="21"/>
          <w:szCs w:val="28"/>
          <w:lang w:eastAsia="zh-CN"/>
        </w:rPr>
        <w:t>WIPO继续优化其独特的工具，以提升查询、检索和分析知识产权大数据的价值。过去一年中，WIPO自己的机器翻译工具“WIPO</w:t>
      </w:r>
      <w:r w:rsidRPr="00F966B4">
        <w:rPr>
          <w:rFonts w:ascii="SimSun" w:hAnsi="SimSun" w:cs="Arial"/>
          <w:sz w:val="21"/>
          <w:szCs w:val="28"/>
          <w:lang w:eastAsia="zh-CN"/>
        </w:rPr>
        <w:t xml:space="preserve"> Translate</w:t>
      </w:r>
      <w:r w:rsidRPr="00F966B4">
        <w:rPr>
          <w:rFonts w:ascii="SimSun" w:hAnsi="SimSun" w:cs="Arial" w:hint="eastAsia"/>
          <w:sz w:val="21"/>
          <w:szCs w:val="28"/>
          <w:lang w:eastAsia="zh-CN"/>
        </w:rPr>
        <w:t>”已经集成到</w:t>
      </w:r>
      <w:r w:rsidRPr="00F966B4">
        <w:rPr>
          <w:rFonts w:ascii="SimSun" w:hAnsi="SimSun" w:cs="Arial"/>
          <w:sz w:val="21"/>
          <w:szCs w:val="28"/>
          <w:lang w:eastAsia="zh-CN"/>
        </w:rPr>
        <w:t>PATENTSCOPE</w:t>
      </w:r>
      <w:r w:rsidRPr="00F966B4">
        <w:rPr>
          <w:rFonts w:ascii="SimSun" w:hAnsi="SimSun" w:cs="Arial" w:hint="eastAsia"/>
          <w:sz w:val="21"/>
          <w:szCs w:val="28"/>
          <w:lang w:eastAsia="zh-CN"/>
        </w:rPr>
        <w:t>，并继续扩展其功能，以支持在英文和另外七种语言之间互译摘要和标题。翻译引擎的速度也得到提高，能</w:t>
      </w:r>
      <w:r w:rsidRPr="00F966B4">
        <w:rPr>
          <w:rFonts w:ascii="SimSun" w:hAnsi="SimSun" w:cs="Arial" w:hint="eastAsia"/>
          <w:sz w:val="21"/>
          <w:szCs w:val="28"/>
          <w:lang w:eastAsia="zh-CN"/>
        </w:rPr>
        <w:lastRenderedPageBreak/>
        <w:t>够进行说明书和权利要求书全文的中英互译。这个工具在翻译专利时的表现通常会优于其他大多数常见的机器翻译工具，其质量也受到姐妹组织的认可。应纽约联合国总部和联合国几个专门机构的请求，我们已经在这些组织部署了WIPO Translate的定制版本。这些组织积极使用</w:t>
      </w:r>
      <w:r w:rsidRPr="00F966B4">
        <w:rPr>
          <w:rFonts w:ascii="SimSun" w:hAnsi="SimSun" w:cs="Arial"/>
          <w:sz w:val="21"/>
          <w:szCs w:val="28"/>
          <w:lang w:eastAsia="zh-CN"/>
        </w:rPr>
        <w:t>WIPO Translat</w:t>
      </w:r>
      <w:r w:rsidRPr="00F966B4">
        <w:rPr>
          <w:rFonts w:ascii="SimSun" w:hAnsi="SimSun" w:cs="Arial" w:hint="eastAsia"/>
          <w:sz w:val="21"/>
          <w:szCs w:val="28"/>
          <w:lang w:eastAsia="zh-CN"/>
        </w:rPr>
        <w:t>e来便利其翻译工作。</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74148F">
        <w:rPr>
          <w:rFonts w:ascii="SimSun" w:hAnsi="SimSun" w:cs="Arial"/>
          <w:sz w:val="21"/>
          <w:szCs w:val="28"/>
          <w:lang w:eastAsia="zh-CN"/>
        </w:rPr>
        <w:t>PATENTSCOPE</w:t>
      </w:r>
      <w:r w:rsidRPr="0074148F">
        <w:rPr>
          <w:rFonts w:ascii="SimSun" w:hAnsi="SimSun" w:cs="Arial" w:hint="eastAsia"/>
          <w:sz w:val="21"/>
          <w:szCs w:val="28"/>
          <w:lang w:eastAsia="zh-CN"/>
        </w:rPr>
        <w:t>的多语言检索功能通过多种方式得以加强。丹麦文和波兰文已添加到</w:t>
      </w:r>
      <w:r w:rsidRPr="0091687D">
        <w:rPr>
          <w:rFonts w:ascii="KaiTi" w:eastAsia="KaiTi" w:hAnsi="KaiTi" w:cs="Arial"/>
          <w:sz w:val="21"/>
          <w:szCs w:val="28"/>
          <w:lang w:eastAsia="zh-CN"/>
        </w:rPr>
        <w:t>PATENTSCOPE</w:t>
      </w:r>
      <w:r w:rsidRPr="00F966B4">
        <w:rPr>
          <w:rFonts w:ascii="SimSun" w:hAnsi="SimSun" w:cs="Arial" w:hint="eastAsia"/>
          <w:sz w:val="21"/>
          <w:szCs w:val="28"/>
          <w:lang w:eastAsia="zh-CN"/>
        </w:rPr>
        <w:t>的跨语言检索功能（</w:t>
      </w:r>
      <w:r w:rsidRPr="00F966B4">
        <w:rPr>
          <w:rFonts w:ascii="SimSun" w:hAnsi="SimSun" w:cs="Arial"/>
          <w:sz w:val="21"/>
          <w:szCs w:val="28"/>
          <w:lang w:eastAsia="zh-CN"/>
        </w:rPr>
        <w:t>CLIR</w:t>
      </w:r>
      <w:r w:rsidRPr="00F966B4">
        <w:rPr>
          <w:rFonts w:ascii="SimSun" w:hAnsi="SimSun" w:cs="Arial" w:hint="eastAsia"/>
          <w:sz w:val="21"/>
          <w:szCs w:val="28"/>
          <w:lang w:eastAsia="zh-CN"/>
        </w:rPr>
        <w:t>），使多语种查询支持的语言总数达到14种。一个新的创新功能（</w:t>
      </w:r>
      <w:proofErr w:type="spellStart"/>
      <w:r w:rsidRPr="00F966B4">
        <w:rPr>
          <w:rFonts w:ascii="SimSun" w:hAnsi="SimSun" w:cs="Arial"/>
          <w:sz w:val="21"/>
          <w:szCs w:val="28"/>
          <w:lang w:eastAsia="zh-CN"/>
        </w:rPr>
        <w:t>ChemiSearch</w:t>
      </w:r>
      <w:proofErr w:type="spellEnd"/>
      <w:r w:rsidRPr="00F966B4">
        <w:rPr>
          <w:rFonts w:ascii="SimSun" w:hAnsi="SimSun" w:cs="Arial" w:hint="eastAsia"/>
          <w:sz w:val="21"/>
          <w:szCs w:val="28"/>
          <w:lang w:eastAsia="zh-CN"/>
        </w:rPr>
        <w:t>）使用户能够通过名称以及特别是通过国际非专利名称（INN</w:t>
      </w:r>
      <w:r w:rsidRPr="00F966B4">
        <w:rPr>
          <w:rFonts w:ascii="SimSun" w:hAnsi="SimSun" w:hint="eastAsia"/>
          <w:sz w:val="21"/>
          <w:szCs w:val="28"/>
          <w:lang w:eastAsia="zh-CN"/>
        </w:rPr>
        <w:t>），</w:t>
      </w:r>
      <w:r w:rsidRPr="00F966B4">
        <w:rPr>
          <w:rFonts w:ascii="SimSun" w:hAnsi="SimSun" w:cs="Arial" w:hint="eastAsia"/>
          <w:sz w:val="21"/>
          <w:szCs w:val="28"/>
          <w:lang w:eastAsia="zh-CN"/>
        </w:rPr>
        <w:t>来检索化学公式，该功能已面向已公布的PCT申请和来自美利坚合众国的专利申请及授予专利启用。可在标题、摘要、说明书和权利要求书中检索化学公式，无论其表现方式是名称或公式，还是嵌入式绘图。</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b/>
          <w:bCs/>
          <w:color w:val="2051A0"/>
          <w:sz w:val="21"/>
          <w:szCs w:val="21"/>
          <w:lang w:eastAsia="zh-CN"/>
        </w:rPr>
        <w:t>WIPO</w:t>
      </w:r>
      <w:r w:rsidRPr="00B22E2B">
        <w:rPr>
          <w:rFonts w:ascii="SimSun" w:hAnsi="SimSun" w:cs="Arial" w:hint="eastAsia"/>
          <w:b/>
          <w:bCs/>
          <w:color w:val="2051A0"/>
          <w:sz w:val="21"/>
          <w:szCs w:val="21"/>
          <w:lang w:eastAsia="zh-CN"/>
        </w:rPr>
        <w:t>标准。</w:t>
      </w:r>
      <w:r w:rsidRPr="00F966B4">
        <w:rPr>
          <w:rFonts w:ascii="SimSun" w:hAnsi="SimSun" w:cs="Arial" w:hint="eastAsia"/>
          <w:sz w:val="21"/>
          <w:szCs w:val="28"/>
          <w:lang w:eastAsia="zh-CN"/>
        </w:rPr>
        <w:t>为了能被机器辅助的检索工具检索到，知识产权数据的记录必须符合格式和结构的通用技术标准，这些标准被推荐为WIPO标准。2016年3月，成员国恢复了关于WIPO标准的工作，通过了一些新的或经修订的标准。在这些标准中，对检索工具尤其具有相关性和重要性的有：关于DNA等核苷酸和氨基酸序列表、关于声音商标的数据格式、关于专利文件中的科学期刊文章等参考资料的电子引用、以及关于将所有类型的工业产权信息处理为机器可读的格式和结构（也被称为XML）的WIPO标准。</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hint="eastAsia"/>
          <w:b/>
          <w:bCs/>
          <w:color w:val="2051A0"/>
          <w:sz w:val="21"/>
          <w:szCs w:val="21"/>
          <w:lang w:eastAsia="zh-CN"/>
        </w:rPr>
        <w:t>国际分类。</w:t>
      </w:r>
      <w:r w:rsidRPr="0074148F">
        <w:rPr>
          <w:rFonts w:ascii="SimSun" w:hAnsi="SimSun" w:cs="Arial" w:hint="eastAsia"/>
          <w:sz w:val="21"/>
          <w:szCs w:val="28"/>
          <w:lang w:eastAsia="zh-CN"/>
        </w:rPr>
        <w:t>WIPO管理着由WIPO条约所确立的四个国际分类：国际专利分类（IPC）、商标注册用商品和服务尼斯分类、商标图形要素维也纳分类和工业品外观设计</w:t>
      </w:r>
      <w:proofErr w:type="gramStart"/>
      <w:r w:rsidRPr="0074148F">
        <w:rPr>
          <w:rFonts w:ascii="SimSun" w:hAnsi="SimSun" w:cs="Arial" w:hint="eastAsia"/>
          <w:sz w:val="21"/>
          <w:szCs w:val="28"/>
          <w:lang w:eastAsia="zh-CN"/>
        </w:rPr>
        <w:t>洛迦</w:t>
      </w:r>
      <w:proofErr w:type="gramEnd"/>
      <w:r w:rsidRPr="0074148F">
        <w:rPr>
          <w:rFonts w:ascii="SimSun" w:hAnsi="SimSun" w:cs="Arial" w:hint="eastAsia"/>
          <w:sz w:val="21"/>
          <w:szCs w:val="28"/>
          <w:lang w:eastAsia="zh-CN"/>
        </w:rPr>
        <w:t>诺分类。对IPC和尼斯分类的更新和修订步伐大大加快，以跟上新技术发展的加速度和产品</w:t>
      </w:r>
      <w:r w:rsidRPr="0074148F">
        <w:rPr>
          <w:rFonts w:ascii="SimSun" w:hAnsi="SimSun" w:hint="eastAsia"/>
          <w:sz w:val="21"/>
          <w:szCs w:val="28"/>
          <w:lang w:eastAsia="zh-CN"/>
        </w:rPr>
        <w:t>生命周期</w:t>
      </w:r>
      <w:r w:rsidRPr="0074148F">
        <w:rPr>
          <w:rFonts w:ascii="SimSun" w:hAnsi="SimSun" w:cs="Arial" w:hint="eastAsia"/>
          <w:sz w:val="21"/>
          <w:szCs w:val="28"/>
          <w:lang w:eastAsia="zh-CN"/>
        </w:rPr>
        <w:t>。IPC新小类的数量也从2015年的480个增加到2016年的684个。其发展情况表明，技术发展尤其强化了电力领域（H部分）。IPC的2017.01版本首次基于新的IPC修订管理解决方案（</w:t>
      </w:r>
      <w:r w:rsidRPr="0074148F">
        <w:rPr>
          <w:rFonts w:ascii="SimSun" w:hAnsi="SimSun" w:cs="Arial"/>
          <w:sz w:val="21"/>
          <w:szCs w:val="28"/>
          <w:lang w:eastAsia="zh-CN"/>
        </w:rPr>
        <w:t>IPCRMS</w:t>
      </w:r>
      <w:r w:rsidRPr="0074148F">
        <w:rPr>
          <w:rFonts w:ascii="SimSun" w:hAnsi="SimSun" w:cs="Arial" w:hint="eastAsia"/>
          <w:sz w:val="21"/>
          <w:szCs w:val="28"/>
          <w:lang w:eastAsia="zh-CN"/>
        </w:rPr>
        <w:t>）提前公布，该解决方案提高了公布的成本和时间效率。自2015年10月13日正式发布以来，</w:t>
      </w:r>
      <w:r w:rsidRPr="0074148F">
        <w:rPr>
          <w:rFonts w:ascii="SimSun" w:hAnsi="SimSun" w:cs="Arial"/>
          <w:sz w:val="21"/>
          <w:szCs w:val="28"/>
          <w:lang w:eastAsia="zh-CN"/>
        </w:rPr>
        <w:t>IPCRMS</w:t>
      </w:r>
      <w:r w:rsidRPr="0074148F">
        <w:rPr>
          <w:rFonts w:ascii="SimSun" w:hAnsi="SimSun" w:cs="Arial" w:hint="eastAsia"/>
          <w:sz w:val="21"/>
          <w:szCs w:val="28"/>
          <w:lang w:eastAsia="zh-CN"/>
        </w:rPr>
        <w:t>已投入使用，并开放给积极致力于或参与IPC修订的IPC联盟成员和知识产权局。</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F966B4">
        <w:rPr>
          <w:rFonts w:ascii="SimSun" w:hAnsi="SimSun" w:cs="Arial" w:hint="eastAsia"/>
          <w:sz w:val="21"/>
          <w:szCs w:val="28"/>
          <w:lang w:eastAsia="zh-CN"/>
        </w:rPr>
        <w:t>尼斯分类（商标注册用商品和服务分类）的成员国通过了300个新条目、469项变更和七项修订，以完善并澄清商品和服务表。始于2015年的类标题修订工作进一步延展，预计将通过给予用户更清晰的指导而简化分类工作。</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proofErr w:type="gramStart"/>
      <w:r w:rsidRPr="00F966B4">
        <w:rPr>
          <w:rFonts w:ascii="SimSun" w:hAnsi="SimSun" w:cs="Arial" w:hint="eastAsia"/>
          <w:sz w:val="21"/>
          <w:szCs w:val="28"/>
          <w:lang w:eastAsia="zh-CN"/>
        </w:rPr>
        <w:t>洛迦</w:t>
      </w:r>
      <w:proofErr w:type="gramEnd"/>
      <w:r w:rsidRPr="00F966B4">
        <w:rPr>
          <w:rFonts w:ascii="SimSun" w:hAnsi="SimSun" w:cs="Arial" w:hint="eastAsia"/>
          <w:sz w:val="21"/>
          <w:szCs w:val="28"/>
          <w:lang w:eastAsia="zh-CN"/>
        </w:rPr>
        <w:t>诺分类（工业品外观设计注册用）的成员国在2016年通过了141个新条目和82项修订；这些内容将被纳入该分类的第</w:t>
      </w:r>
      <w:r w:rsidRPr="00F966B4">
        <w:rPr>
          <w:rFonts w:ascii="SimSun" w:hAnsi="SimSun" w:hint="eastAsia"/>
          <w:sz w:val="21"/>
          <w:szCs w:val="28"/>
          <w:lang w:eastAsia="zh-CN"/>
        </w:rPr>
        <w:t>11</w:t>
      </w:r>
      <w:r w:rsidRPr="00F966B4">
        <w:rPr>
          <w:rFonts w:ascii="SimSun" w:hAnsi="SimSun" w:cs="Arial" w:hint="eastAsia"/>
          <w:sz w:val="21"/>
          <w:szCs w:val="28"/>
          <w:lang w:eastAsia="zh-CN"/>
        </w:rPr>
        <w:t>版，该版本将于2017年1月1日生效。</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hint="eastAsia"/>
          <w:b/>
          <w:bCs/>
          <w:color w:val="2051A0"/>
          <w:sz w:val="21"/>
          <w:szCs w:val="21"/>
          <w:lang w:eastAsia="zh-CN"/>
        </w:rPr>
        <w:t>全球知识产权平台——</w:t>
      </w:r>
      <w:r w:rsidRPr="00B22E2B">
        <w:rPr>
          <w:rFonts w:ascii="SimSun" w:hAnsi="SimSun" w:cs="Arial"/>
          <w:b/>
          <w:bCs/>
          <w:color w:val="2051A0"/>
          <w:sz w:val="21"/>
          <w:szCs w:val="21"/>
          <w:lang w:eastAsia="zh-CN"/>
        </w:rPr>
        <w:t>DAS</w:t>
      </w:r>
      <w:r w:rsidRPr="00B22E2B">
        <w:rPr>
          <w:rFonts w:ascii="SimSun" w:hAnsi="SimSun" w:cs="Arial" w:hint="eastAsia"/>
          <w:b/>
          <w:bCs/>
          <w:color w:val="2051A0"/>
          <w:sz w:val="21"/>
          <w:szCs w:val="21"/>
          <w:lang w:eastAsia="zh-CN"/>
        </w:rPr>
        <w:t>和</w:t>
      </w:r>
      <w:r w:rsidRPr="00B22E2B">
        <w:rPr>
          <w:rFonts w:ascii="SimSun" w:hAnsi="SimSun" w:cs="Arial"/>
          <w:b/>
          <w:bCs/>
          <w:color w:val="2051A0"/>
          <w:sz w:val="21"/>
          <w:szCs w:val="21"/>
          <w:lang w:eastAsia="zh-CN"/>
        </w:rPr>
        <w:t>WIPO CASE</w:t>
      </w:r>
      <w:r w:rsidRPr="00B22E2B">
        <w:rPr>
          <w:rFonts w:ascii="SimSun" w:hAnsi="SimSun" w:cs="Arial" w:hint="eastAsia"/>
          <w:b/>
          <w:bCs/>
          <w:color w:val="2051A0"/>
          <w:sz w:val="21"/>
          <w:szCs w:val="21"/>
          <w:lang w:eastAsia="zh-CN"/>
        </w:rPr>
        <w:t>。</w:t>
      </w:r>
      <w:r w:rsidRPr="00F966B4">
        <w:rPr>
          <w:rFonts w:ascii="SimSun" w:hAnsi="SimSun" w:cs="Arial" w:hint="eastAsia"/>
          <w:sz w:val="21"/>
          <w:szCs w:val="28"/>
          <w:lang w:eastAsia="zh-CN"/>
        </w:rPr>
        <w:t>WIPO提供全球知识产权平台，为选定的业务流程提供便利，知识产权局需在这些流程中进行协调或共享信息和文献，以支持国际范围内知识产权申请的提交和处理。这些平台的设计考虑了知识产权局的各种具体需求，并利用WIPO标准来确保主管局能够轻松地将这些平台整合到其自己的知识产权业务系统中。</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b/>
          <w:sz w:val="21"/>
          <w:szCs w:val="28"/>
          <w:lang w:eastAsia="zh-CN"/>
        </w:rPr>
        <w:t>WIPO DAS</w:t>
      </w:r>
      <w:r w:rsidRPr="00B22E2B">
        <w:rPr>
          <w:rFonts w:ascii="SimSun" w:hAnsi="SimSun" w:cs="Arial" w:hint="eastAsia"/>
          <w:b/>
          <w:sz w:val="21"/>
          <w:szCs w:val="28"/>
          <w:lang w:eastAsia="zh-CN"/>
        </w:rPr>
        <w:t>（数字查询服务）</w:t>
      </w:r>
      <w:r w:rsidRPr="00F966B4">
        <w:rPr>
          <w:rFonts w:ascii="SimSun" w:hAnsi="SimSun" w:cs="Arial" w:hint="eastAsia"/>
          <w:sz w:val="21"/>
          <w:szCs w:val="28"/>
          <w:lang w:eastAsia="zh-CN"/>
        </w:rPr>
        <w:t>目前由11个参与的知识产权局和国际局使用，以进行专利优先权文件的安全交换。上个两年期内参与</w:t>
      </w:r>
      <w:proofErr w:type="gramStart"/>
      <w:r w:rsidRPr="00F966B4">
        <w:rPr>
          <w:rFonts w:ascii="SimSun" w:hAnsi="SimSun" w:cs="Arial" w:hint="eastAsia"/>
          <w:sz w:val="21"/>
          <w:szCs w:val="28"/>
          <w:lang w:eastAsia="zh-CN"/>
        </w:rPr>
        <w:t>方数量</w:t>
      </w:r>
      <w:proofErr w:type="gramEnd"/>
      <w:r w:rsidRPr="00F966B4">
        <w:rPr>
          <w:rFonts w:ascii="SimSun" w:hAnsi="SimSun" w:cs="Arial" w:hint="eastAsia"/>
          <w:sz w:val="21"/>
          <w:szCs w:val="28"/>
          <w:lang w:eastAsia="zh-CN"/>
        </w:rPr>
        <w:t>稳定，经过这段时期之后，目前越来越多的知识产权有兴趣加入这一系统，并将其使用延伸至工业品外观设计申请的优先权文件交换。</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b/>
          <w:sz w:val="21"/>
          <w:szCs w:val="28"/>
          <w:lang w:eastAsia="zh-CN"/>
        </w:rPr>
        <w:t>WIPO CASE</w:t>
      </w:r>
      <w:r w:rsidRPr="0074148F">
        <w:rPr>
          <w:rFonts w:ascii="SimSun" w:hAnsi="SimSun" w:cs="Arial" w:hint="eastAsia"/>
          <w:sz w:val="21"/>
          <w:szCs w:val="28"/>
          <w:lang w:eastAsia="zh-CN"/>
        </w:rPr>
        <w:t>平台为专利审查员共享检索结果和审查结果提供简单的“一站式”解决方案，以提高质量和生产效率。目前该平台有24个参加的主管局，包括十个“提供局”，这些“提供局”将其专利检索和审查文献提供给其他主管局。现在五大局已全部作为</w:t>
      </w:r>
      <w:proofErr w:type="gramStart"/>
      <w:r w:rsidRPr="0074148F">
        <w:rPr>
          <w:rFonts w:ascii="SimSun" w:hAnsi="SimSun" w:cs="Arial" w:hint="eastAsia"/>
          <w:sz w:val="21"/>
          <w:szCs w:val="28"/>
          <w:lang w:eastAsia="zh-CN"/>
        </w:rPr>
        <w:t>提供局</w:t>
      </w:r>
      <w:proofErr w:type="gramEnd"/>
      <w:r w:rsidRPr="0074148F">
        <w:rPr>
          <w:rFonts w:ascii="SimSun" w:hAnsi="SimSun" w:cs="Arial" w:hint="eastAsia"/>
          <w:sz w:val="21"/>
          <w:szCs w:val="28"/>
          <w:lang w:eastAsia="zh-CN"/>
        </w:rPr>
        <w:t>参与进来，预计一些新的</w:t>
      </w:r>
      <w:proofErr w:type="gramStart"/>
      <w:r w:rsidRPr="0074148F">
        <w:rPr>
          <w:rFonts w:ascii="SimSun" w:hAnsi="SimSun" w:cs="Arial" w:hint="eastAsia"/>
          <w:sz w:val="21"/>
          <w:szCs w:val="28"/>
          <w:lang w:eastAsia="zh-CN"/>
        </w:rPr>
        <w:t>提供局</w:t>
      </w:r>
      <w:proofErr w:type="gramEnd"/>
      <w:r w:rsidRPr="0074148F">
        <w:rPr>
          <w:rFonts w:ascii="SimSun" w:hAnsi="SimSun" w:cs="Arial" w:hint="eastAsia"/>
          <w:sz w:val="21"/>
          <w:szCs w:val="28"/>
          <w:lang w:eastAsia="zh-CN"/>
        </w:rPr>
        <w:t>将很快开始运作。</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lastRenderedPageBreak/>
        <w:t>发展合作与能力建设</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国家知识产权战略/计划。</w:t>
      </w:r>
      <w:r w:rsidRPr="00F966B4">
        <w:rPr>
          <w:rFonts w:ascii="SimSun" w:hAnsi="SimSun" w:hint="eastAsia"/>
          <w:sz w:val="21"/>
          <w:szCs w:val="28"/>
          <w:lang w:eastAsia="zh-CN"/>
        </w:rPr>
        <w:t>产权组织继续为经济转型国家、发展中国家和最不发达国家设计、制定和执行符合其总体发展计划且有能力促进创新和创造的国家</w:t>
      </w:r>
      <w:r w:rsidRPr="00F966B4">
        <w:rPr>
          <w:rFonts w:ascii="SimSun" w:hAnsi="SimSun" w:cs="Arial" w:hint="eastAsia"/>
          <w:sz w:val="21"/>
          <w:szCs w:val="28"/>
          <w:lang w:eastAsia="zh-CN"/>
        </w:rPr>
        <w:t>知识产权</w:t>
      </w:r>
      <w:r w:rsidRPr="00F966B4">
        <w:rPr>
          <w:rFonts w:ascii="SimSun" w:hAnsi="SimSun" w:hint="eastAsia"/>
          <w:sz w:val="21"/>
          <w:szCs w:val="28"/>
          <w:lang w:eastAsia="zh-CN"/>
        </w:rPr>
        <w:t>战略提供支持</w:t>
      </w:r>
      <w:proofErr w:type="gramStart"/>
      <w:r w:rsidRPr="00F966B4">
        <w:rPr>
          <w:rFonts w:ascii="SimSun" w:hAnsi="SimSun" w:hint="eastAsia"/>
          <w:sz w:val="21"/>
          <w:szCs w:val="28"/>
          <w:lang w:eastAsia="zh-CN"/>
        </w:rPr>
        <w:t>和援</w:t>
      </w:r>
      <w:proofErr w:type="gramEnd"/>
      <w:r w:rsidRPr="00F966B4">
        <w:rPr>
          <w:rFonts w:ascii="SimSun" w:hAnsi="SimSun" w:hint="eastAsia"/>
          <w:sz w:val="21"/>
          <w:szCs w:val="28"/>
          <w:lang w:eastAsia="zh-CN"/>
        </w:rPr>
        <w:t>助。到2015年底，已经通过或正在实施国家知识产权战略的国家总数达到62个（26个非洲国家、两个阿拉伯国家、八个亚洲及太平洋地区国家、八个拉丁美洲和加勒比地区国家和18个转型国家），其中有19个为最不发达国家。</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hint="eastAsia"/>
          <w:b/>
          <w:bCs/>
          <w:color w:val="2051A0"/>
          <w:sz w:val="21"/>
          <w:szCs w:val="21"/>
          <w:lang w:eastAsia="zh-CN"/>
        </w:rPr>
        <w:t>技术基础设施。</w:t>
      </w:r>
      <w:r w:rsidRPr="0074148F">
        <w:rPr>
          <w:rFonts w:ascii="SimSun" w:hAnsi="SimSun" w:hint="eastAsia"/>
          <w:sz w:val="21"/>
          <w:szCs w:val="28"/>
          <w:lang w:eastAsia="zh-CN"/>
        </w:rPr>
        <w:t>多年来，</w:t>
      </w:r>
      <w:r w:rsidRPr="0074148F">
        <w:rPr>
          <w:rFonts w:ascii="SimSun" w:hAnsi="SimSun" w:cs="Arial"/>
          <w:sz w:val="21"/>
          <w:szCs w:val="28"/>
          <w:lang w:eastAsia="zh-CN"/>
        </w:rPr>
        <w:t>WIPO</w:t>
      </w:r>
      <w:r w:rsidRPr="0074148F">
        <w:rPr>
          <w:rFonts w:ascii="SimSun" w:hAnsi="SimSun" w:cs="Arial" w:hint="eastAsia"/>
          <w:sz w:val="21"/>
          <w:szCs w:val="28"/>
          <w:lang w:eastAsia="zh-CN"/>
        </w:rPr>
        <w:t>一直在为一些知识产权局提供技术援助，帮助它们向用户特别是知识产权权利申请人和权利人提供更高质量的服务。工业产权管理系统（IPAS）是提供这种援助的基础，目前正在全世界77个国家推广使用。现在，</w:t>
      </w:r>
      <w:r w:rsidRPr="0074148F">
        <w:rPr>
          <w:rFonts w:ascii="SimSun" w:hAnsi="SimSun" w:cs="Arial"/>
          <w:sz w:val="21"/>
          <w:szCs w:val="28"/>
          <w:lang w:eastAsia="zh-CN"/>
        </w:rPr>
        <w:t>IPAS</w:t>
      </w:r>
      <w:r w:rsidRPr="0074148F">
        <w:rPr>
          <w:rFonts w:ascii="SimSun" w:hAnsi="SimSun" w:cs="Arial" w:hint="eastAsia"/>
          <w:sz w:val="21"/>
          <w:szCs w:val="28"/>
          <w:lang w:eastAsia="zh-CN"/>
        </w:rPr>
        <w:t>系统得到了一些模块的补充，这些模块使无纸化处理（</w:t>
      </w:r>
      <w:r w:rsidRPr="0074148F">
        <w:rPr>
          <w:rFonts w:ascii="SimSun" w:hAnsi="SimSun" w:cs="Arial"/>
          <w:sz w:val="21"/>
          <w:szCs w:val="28"/>
          <w:lang w:eastAsia="zh-CN"/>
        </w:rPr>
        <w:t>WIPO</w:t>
      </w:r>
      <w:r w:rsidRPr="0074148F">
        <w:rPr>
          <w:rFonts w:ascii="SimSun" w:hAnsi="SimSun" w:cs="Arial" w:hint="eastAsia"/>
          <w:sz w:val="21"/>
          <w:szCs w:val="28"/>
          <w:lang w:eastAsia="zh-CN"/>
        </w:rPr>
        <w:t>扫描和电子文档管理系统）、在线公布和传播知识产权信息（</w:t>
      </w:r>
      <w:r w:rsidRPr="0074148F">
        <w:rPr>
          <w:rFonts w:ascii="SimSun" w:hAnsi="SimSun" w:cs="Arial"/>
          <w:sz w:val="21"/>
          <w:szCs w:val="28"/>
          <w:lang w:eastAsia="zh-CN"/>
        </w:rPr>
        <w:t>WIPO</w:t>
      </w:r>
      <w:r w:rsidRPr="0074148F">
        <w:rPr>
          <w:rFonts w:ascii="SimSun" w:hAnsi="SimSun" w:cs="Arial" w:hint="eastAsia"/>
          <w:sz w:val="21"/>
          <w:szCs w:val="28"/>
          <w:lang w:eastAsia="zh-CN"/>
        </w:rPr>
        <w:t>出版）以及在线提交申请及后续处理（</w:t>
      </w:r>
      <w:r w:rsidRPr="0074148F">
        <w:rPr>
          <w:rFonts w:ascii="SimSun" w:hAnsi="SimSun" w:cs="Arial"/>
          <w:sz w:val="21"/>
          <w:szCs w:val="28"/>
          <w:lang w:eastAsia="zh-CN"/>
        </w:rPr>
        <w:t>WIPO</w:t>
      </w:r>
      <w:r w:rsidRPr="0074148F">
        <w:rPr>
          <w:rFonts w:ascii="SimSun" w:hAnsi="SimSun" w:cs="Arial" w:hint="eastAsia"/>
          <w:sz w:val="21"/>
          <w:szCs w:val="28"/>
          <w:lang w:eastAsia="zh-CN"/>
        </w:rPr>
        <w:t>文档）成为可能。另外，这些系统现还为知识产权局提供一套能够在完全数字化在线业务环境下运行的完整解决方案。为了支持各知识产权局采用这些系统，</w:t>
      </w:r>
      <w:r w:rsidRPr="0074148F">
        <w:rPr>
          <w:rFonts w:ascii="SimSun" w:hAnsi="SimSun" w:cs="Arial"/>
          <w:sz w:val="21"/>
          <w:szCs w:val="28"/>
          <w:lang w:eastAsia="zh-CN"/>
        </w:rPr>
        <w:t>WIPO</w:t>
      </w:r>
      <w:r w:rsidRPr="0074148F">
        <w:rPr>
          <w:rFonts w:ascii="SimSun" w:hAnsi="SimSun" w:cs="Arial" w:hint="eastAsia"/>
          <w:sz w:val="21"/>
          <w:szCs w:val="28"/>
          <w:lang w:eastAsia="zh-CN"/>
        </w:rPr>
        <w:t>增加了有关帮助它们开展业务流程分析和工作流程设计、知识产权记录数字化、培训和知识转让以及持续支持和跟踪的各项活动。</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F966B4">
        <w:rPr>
          <w:rFonts w:ascii="SimSun" w:hAnsi="SimSun" w:cs="Arial" w:hint="eastAsia"/>
          <w:sz w:val="21"/>
          <w:szCs w:val="28"/>
          <w:lang w:eastAsia="zh-CN"/>
        </w:rPr>
        <w:t>在版权和权利集体管理领域，</w:t>
      </w:r>
      <w:r w:rsidRPr="00F966B4">
        <w:rPr>
          <w:rFonts w:ascii="SimSun" w:hAnsi="SimSun" w:cs="Arial"/>
          <w:sz w:val="21"/>
          <w:szCs w:val="28"/>
          <w:lang w:eastAsia="zh-CN"/>
        </w:rPr>
        <w:t>WIPO</w:t>
      </w:r>
      <w:r w:rsidRPr="00F966B4">
        <w:rPr>
          <w:rFonts w:ascii="SimSun" w:hAnsi="SimSun" w:cs="Arial" w:hint="eastAsia"/>
          <w:sz w:val="21"/>
          <w:szCs w:val="28"/>
          <w:lang w:eastAsia="zh-CN"/>
        </w:rPr>
        <w:t>已经完成</w:t>
      </w:r>
      <w:r w:rsidRPr="00F966B4">
        <w:rPr>
          <w:rFonts w:ascii="SimSun" w:hAnsi="SimSun" w:cs="Arial"/>
          <w:sz w:val="21"/>
          <w:szCs w:val="28"/>
          <w:lang w:eastAsia="zh-CN"/>
        </w:rPr>
        <w:t>WIPO Connect</w:t>
      </w:r>
      <w:r w:rsidRPr="00F966B4">
        <w:rPr>
          <w:rFonts w:ascii="SimSun" w:hAnsi="SimSun" w:cs="Arial" w:hint="eastAsia"/>
          <w:sz w:val="21"/>
          <w:szCs w:val="28"/>
          <w:lang w:eastAsia="zh-CN"/>
        </w:rPr>
        <w:t>系统一期的开发工作。</w:t>
      </w:r>
      <w:r w:rsidRPr="00F966B4">
        <w:rPr>
          <w:rFonts w:ascii="SimSun" w:hAnsi="SimSun" w:cs="Arial"/>
          <w:sz w:val="21"/>
          <w:szCs w:val="28"/>
          <w:lang w:eastAsia="zh-CN"/>
        </w:rPr>
        <w:t>WIPO Connect</w:t>
      </w:r>
      <w:r w:rsidRPr="00F966B4">
        <w:rPr>
          <w:rFonts w:ascii="SimSun" w:hAnsi="SimSun" w:cs="Arial" w:hint="eastAsia"/>
          <w:sz w:val="21"/>
          <w:szCs w:val="28"/>
          <w:lang w:eastAsia="zh-CN"/>
        </w:rPr>
        <w:t>是针对集体管理组织（</w:t>
      </w:r>
      <w:r w:rsidRPr="00F966B4">
        <w:rPr>
          <w:rFonts w:ascii="SimSun" w:hAnsi="SimSun" w:cs="Arial"/>
          <w:sz w:val="21"/>
          <w:szCs w:val="28"/>
          <w:lang w:eastAsia="zh-CN"/>
        </w:rPr>
        <w:t>CMO</w:t>
      </w:r>
      <w:r w:rsidRPr="00F966B4">
        <w:rPr>
          <w:rFonts w:ascii="SimSun" w:hAnsi="SimSun" w:cs="Arial" w:hint="eastAsia"/>
          <w:sz w:val="21"/>
          <w:szCs w:val="28"/>
          <w:lang w:eastAsia="zh-CN"/>
        </w:rPr>
        <w:t>）的一种互联方案，目的是要在快速移动的业务环境中对各种权利和版税进行有效管理。这是一个为期两年的项目，已经在2016年中顺利完成。该系统现将在发展中国家的两个</w:t>
      </w:r>
      <w:r w:rsidRPr="00F966B4">
        <w:rPr>
          <w:rFonts w:ascii="SimSun" w:hAnsi="SimSun" w:cs="Arial"/>
          <w:sz w:val="21"/>
          <w:szCs w:val="28"/>
          <w:lang w:eastAsia="zh-CN"/>
        </w:rPr>
        <w:t>CMO</w:t>
      </w:r>
      <w:r w:rsidRPr="00F966B4">
        <w:rPr>
          <w:rFonts w:ascii="SimSun" w:hAnsi="SimSun" w:cs="Arial" w:hint="eastAsia"/>
          <w:sz w:val="21"/>
          <w:szCs w:val="28"/>
          <w:lang w:eastAsia="zh-CN"/>
        </w:rPr>
        <w:t>进行试点部署。从2017年开始，该系统将扩大部署范围，并将开始取代先前的</w:t>
      </w:r>
      <w:r w:rsidRPr="00F966B4">
        <w:rPr>
          <w:rFonts w:ascii="SimSun" w:hAnsi="SimSun" w:cs="Arial"/>
          <w:sz w:val="21"/>
          <w:szCs w:val="28"/>
          <w:lang w:eastAsia="zh-CN"/>
        </w:rPr>
        <w:t>WIPOCOS</w:t>
      </w:r>
      <w:r w:rsidRPr="00F966B4">
        <w:rPr>
          <w:rFonts w:ascii="SimSun" w:hAnsi="SimSun" w:cs="Arial" w:hint="eastAsia"/>
          <w:sz w:val="21"/>
          <w:szCs w:val="28"/>
          <w:lang w:eastAsia="zh-CN"/>
        </w:rPr>
        <w:t>系统。二期项目不久将启动，以期在当前为音乐版权提供支持之外增加对表演者权利的支持。</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F966B4">
        <w:rPr>
          <w:rFonts w:ascii="SimSun" w:hAnsi="SimSun" w:cs="Arial" w:hint="eastAsia"/>
          <w:sz w:val="21"/>
          <w:szCs w:val="28"/>
          <w:lang w:eastAsia="zh-CN"/>
        </w:rPr>
        <w:t>技术创新与支持中心（</w:t>
      </w:r>
      <w:r w:rsidRPr="00F966B4">
        <w:rPr>
          <w:rFonts w:ascii="SimSun" w:hAnsi="SimSun" w:cs="Arial"/>
          <w:sz w:val="21"/>
          <w:szCs w:val="28"/>
          <w:lang w:eastAsia="zh-CN"/>
        </w:rPr>
        <w:t>TISC</w:t>
      </w:r>
      <w:r w:rsidRPr="00F966B4">
        <w:rPr>
          <w:rFonts w:ascii="SimSun" w:hAnsi="SimSun" w:cs="Arial" w:hint="eastAsia"/>
          <w:sz w:val="21"/>
          <w:szCs w:val="28"/>
          <w:lang w:eastAsia="zh-CN"/>
        </w:rPr>
        <w:t>）已成为产权组织最受欢迎的计划之一，现已成为一个日益扩大的全球和国家支持创新机构网。通过国内和国际合作，该计划以培训工作人员和协助本地用户为手段，加强学术、研究和商业机构在各种专利信息及科学技术文献数据库中检索和利用科技信息的能力。现有52个成员国在开展国内</w:t>
      </w:r>
      <w:r w:rsidRPr="00F966B4">
        <w:rPr>
          <w:rFonts w:ascii="SimSun" w:hAnsi="SimSun" w:cs="Arial"/>
          <w:sz w:val="21"/>
          <w:szCs w:val="28"/>
          <w:lang w:eastAsia="zh-CN"/>
        </w:rPr>
        <w:t>TISC</w:t>
      </w:r>
      <w:r w:rsidRPr="00F966B4">
        <w:rPr>
          <w:rFonts w:ascii="SimSun" w:hAnsi="SimSun" w:cs="Arial" w:hint="eastAsia"/>
          <w:sz w:val="21"/>
          <w:szCs w:val="28"/>
          <w:lang w:eastAsia="zh-CN"/>
        </w:rPr>
        <w:t>项目，它们已经建立起450多个中心，另外，正在实施这类项目的成员国至少还有20项申请要求由</w:t>
      </w:r>
      <w:r w:rsidRPr="00F966B4">
        <w:rPr>
          <w:rFonts w:ascii="SimSun" w:hAnsi="SimSun" w:cs="Arial"/>
          <w:sz w:val="21"/>
          <w:szCs w:val="28"/>
          <w:lang w:eastAsia="zh-CN"/>
        </w:rPr>
        <w:t>WIPO</w:t>
      </w:r>
      <w:r w:rsidRPr="00F966B4">
        <w:rPr>
          <w:rFonts w:ascii="SimSun" w:hAnsi="SimSun" w:cs="Arial" w:hint="eastAsia"/>
          <w:sz w:val="21"/>
          <w:szCs w:val="28"/>
          <w:lang w:eastAsia="zh-CN"/>
        </w:rPr>
        <w:t>和国内伙伴机构实施这类项目。在去年期间，组织了35次现场培训活动。为进一步加强国内</w:t>
      </w:r>
      <w:r w:rsidRPr="00F966B4">
        <w:rPr>
          <w:rFonts w:ascii="SimSun" w:hAnsi="SimSun" w:cs="Arial"/>
          <w:sz w:val="21"/>
          <w:szCs w:val="28"/>
          <w:lang w:eastAsia="zh-CN"/>
        </w:rPr>
        <w:t>TISC</w:t>
      </w:r>
      <w:r w:rsidRPr="00F966B4">
        <w:rPr>
          <w:rFonts w:ascii="SimSun" w:hAnsi="SimSun" w:cs="Arial" w:hint="eastAsia"/>
          <w:sz w:val="21"/>
          <w:szCs w:val="28"/>
          <w:lang w:eastAsia="zh-CN"/>
        </w:rPr>
        <w:t>项目的影响和长期可持续性，还通过电子教程和网络研讨会方式提供了其他资源。通过一种新建立的</w:t>
      </w:r>
      <w:r w:rsidRPr="00F966B4">
        <w:rPr>
          <w:rFonts w:ascii="SimSun" w:hAnsi="SimSun" w:cs="Arial"/>
          <w:sz w:val="21"/>
          <w:szCs w:val="28"/>
          <w:lang w:eastAsia="zh-CN"/>
        </w:rPr>
        <w:t>TISC Clinics</w:t>
      </w:r>
      <w:r w:rsidRPr="00F966B4">
        <w:rPr>
          <w:rFonts w:ascii="SimSun" w:hAnsi="SimSun" w:cs="Arial" w:hint="eastAsia"/>
          <w:sz w:val="21"/>
          <w:szCs w:val="28"/>
          <w:lang w:eastAsia="zh-CN"/>
        </w:rPr>
        <w:t>服务与发明者援助计划（IAP）建立联系，为符合条件的发展中国家的发明人提供无偿援助，</w:t>
      </w:r>
      <w:r w:rsidRPr="00F966B4">
        <w:rPr>
          <w:rFonts w:ascii="SimSun" w:hAnsi="SimSun" w:cs="Arial"/>
          <w:sz w:val="21"/>
          <w:szCs w:val="28"/>
          <w:lang w:eastAsia="zh-CN"/>
        </w:rPr>
        <w:t>TISC</w:t>
      </w:r>
      <w:r w:rsidRPr="00F966B4">
        <w:rPr>
          <w:rFonts w:ascii="SimSun" w:hAnsi="SimSun" w:cs="Arial" w:hint="eastAsia"/>
          <w:sz w:val="21"/>
          <w:szCs w:val="28"/>
          <w:lang w:eastAsia="zh-CN"/>
        </w:rPr>
        <w:t>将以此方式满足对技术检索的新增需求，并拓宽其提供服务的范围。根据年度在线</w:t>
      </w:r>
      <w:r w:rsidRPr="00F966B4">
        <w:rPr>
          <w:rFonts w:ascii="SimSun" w:hAnsi="SimSun" w:cs="Arial"/>
          <w:sz w:val="21"/>
          <w:szCs w:val="28"/>
          <w:lang w:eastAsia="zh-CN"/>
        </w:rPr>
        <w:t>TISC</w:t>
      </w:r>
      <w:r w:rsidRPr="00F966B4">
        <w:rPr>
          <w:rFonts w:ascii="SimSun" w:hAnsi="SimSun" w:cs="Arial" w:hint="eastAsia"/>
          <w:sz w:val="21"/>
          <w:szCs w:val="28"/>
          <w:lang w:eastAsia="zh-CN"/>
        </w:rPr>
        <w:t>调查，</w:t>
      </w:r>
      <w:r w:rsidRPr="00F966B4">
        <w:rPr>
          <w:rFonts w:ascii="SimSun" w:hAnsi="SimSun" w:cs="Arial"/>
          <w:sz w:val="21"/>
          <w:szCs w:val="28"/>
          <w:lang w:eastAsia="zh-CN"/>
        </w:rPr>
        <w:t>TISC</w:t>
      </w:r>
      <w:r w:rsidRPr="00F966B4">
        <w:rPr>
          <w:rFonts w:ascii="SimSun" w:hAnsi="SimSun" w:cs="Arial" w:hint="eastAsia"/>
          <w:sz w:val="21"/>
          <w:szCs w:val="28"/>
          <w:lang w:eastAsia="zh-CN"/>
        </w:rPr>
        <w:t>去年收到</w:t>
      </w:r>
      <w:r w:rsidRPr="00F966B4">
        <w:rPr>
          <w:rFonts w:ascii="SimSun" w:hAnsi="SimSun" w:cs="Arial"/>
          <w:sz w:val="21"/>
          <w:szCs w:val="28"/>
          <w:lang w:eastAsia="zh-CN"/>
        </w:rPr>
        <w:t>40</w:t>
      </w:r>
      <w:r w:rsidRPr="00F966B4">
        <w:rPr>
          <w:rFonts w:ascii="SimSun" w:hAnsi="SimSun" w:cs="Arial" w:hint="eastAsia"/>
          <w:sz w:val="21"/>
          <w:szCs w:val="28"/>
          <w:lang w:eastAsia="zh-CN"/>
        </w:rPr>
        <w:t>万条与访问专利和非专利数据库、支持开展专利检索、协助知识产权管理和培训有关的请求。</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F966B4">
        <w:rPr>
          <w:rFonts w:ascii="SimSun" w:hAnsi="SimSun" w:cs="Arial" w:hint="eastAsia"/>
          <w:sz w:val="21"/>
          <w:szCs w:val="28"/>
          <w:lang w:eastAsia="zh-CN"/>
        </w:rPr>
        <w:t>产权组织与</w:t>
      </w:r>
      <w:r w:rsidRPr="00F966B4">
        <w:rPr>
          <w:rFonts w:ascii="SimSun" w:hAnsi="SimSun" w:cs="Arial"/>
          <w:sz w:val="21"/>
          <w:szCs w:val="28"/>
          <w:lang w:eastAsia="zh-CN"/>
        </w:rPr>
        <w:t>TISC</w:t>
      </w:r>
      <w:r w:rsidRPr="00F966B4">
        <w:rPr>
          <w:rFonts w:ascii="SimSun" w:hAnsi="SimSun" w:cs="Arial" w:hint="eastAsia"/>
          <w:sz w:val="21"/>
          <w:szCs w:val="28"/>
          <w:lang w:eastAsia="zh-CN"/>
        </w:rPr>
        <w:t>的伙伴关系因其了解专利信息创造的价值而得到加强。两个专利分析学项目得到了成员国的大力支持，即</w:t>
      </w:r>
      <w:r w:rsidRPr="00F966B4">
        <w:rPr>
          <w:rFonts w:ascii="SimSun" w:hAnsi="SimSun" w:cs="Arial"/>
          <w:sz w:val="21"/>
          <w:szCs w:val="28"/>
          <w:lang w:eastAsia="zh-CN"/>
        </w:rPr>
        <w:t>WIPO</w:t>
      </w:r>
      <w:r w:rsidRPr="00F966B4">
        <w:rPr>
          <w:rFonts w:ascii="SimSun" w:hAnsi="SimSun" w:cs="Arial" w:hint="eastAsia"/>
          <w:sz w:val="21"/>
          <w:szCs w:val="28"/>
          <w:lang w:eastAsia="zh-CN"/>
        </w:rPr>
        <w:t>专利态势报告（</w:t>
      </w:r>
      <w:r w:rsidRPr="00F966B4">
        <w:rPr>
          <w:rFonts w:ascii="SimSun" w:hAnsi="SimSun" w:cs="Arial"/>
          <w:sz w:val="21"/>
          <w:szCs w:val="28"/>
          <w:lang w:eastAsia="zh-CN"/>
        </w:rPr>
        <w:t>PLR</w:t>
      </w:r>
      <w:r w:rsidRPr="00F966B4">
        <w:rPr>
          <w:rFonts w:ascii="SimSun" w:hAnsi="SimSun" w:cs="Arial" w:hint="eastAsia"/>
          <w:sz w:val="21"/>
          <w:szCs w:val="28"/>
          <w:lang w:eastAsia="zh-CN"/>
        </w:rPr>
        <w:t>）和专利登记册门户网站（</w:t>
      </w:r>
      <w:r w:rsidRPr="00F966B4">
        <w:rPr>
          <w:rFonts w:ascii="SimSun" w:hAnsi="SimSun" w:cs="Arial"/>
          <w:sz w:val="21"/>
          <w:szCs w:val="28"/>
          <w:lang w:eastAsia="zh-CN"/>
        </w:rPr>
        <w:t>PRP</w:t>
      </w:r>
      <w:r w:rsidRPr="00F966B4">
        <w:rPr>
          <w:rFonts w:ascii="SimSun" w:hAnsi="SimSun" w:cs="Arial" w:hint="eastAsia"/>
          <w:sz w:val="21"/>
          <w:szCs w:val="28"/>
          <w:lang w:eastAsia="zh-CN"/>
        </w:rPr>
        <w:t>）。去年出了两份</w:t>
      </w:r>
      <w:r w:rsidRPr="00F966B4">
        <w:rPr>
          <w:rFonts w:ascii="SimSun" w:hAnsi="SimSun" w:cs="Arial"/>
          <w:sz w:val="21"/>
          <w:szCs w:val="28"/>
          <w:lang w:eastAsia="zh-CN"/>
        </w:rPr>
        <w:t>PLR</w:t>
      </w:r>
      <w:r w:rsidRPr="00F966B4">
        <w:rPr>
          <w:rFonts w:ascii="SimSun" w:hAnsi="SimSun" w:cs="Arial" w:hint="eastAsia"/>
          <w:sz w:val="21"/>
          <w:szCs w:val="28"/>
          <w:lang w:eastAsia="zh-CN"/>
        </w:rPr>
        <w:t>，一份是关于棕榈油生产和垃圾处理与利用相关技术专利态势报告，另一份是关于微藻类相关技术的专利态势报告。这两份报告都是应利用这些技术的发展中国家和最不发达国家的专门请求和需求而编写和出版的。除了这两份报告之外，迄今为止，</w:t>
      </w:r>
      <w:r w:rsidRPr="00F966B4">
        <w:rPr>
          <w:rFonts w:ascii="SimSun" w:hAnsi="SimSun" w:cs="Arial"/>
          <w:sz w:val="21"/>
          <w:szCs w:val="28"/>
          <w:lang w:eastAsia="zh-CN"/>
        </w:rPr>
        <w:t>WIPO</w:t>
      </w:r>
      <w:r w:rsidRPr="00F966B4">
        <w:rPr>
          <w:rFonts w:ascii="SimSun" w:hAnsi="SimSun" w:cs="Arial" w:hint="eastAsia"/>
          <w:sz w:val="21"/>
          <w:szCs w:val="28"/>
          <w:lang w:eastAsia="zh-CN"/>
        </w:rPr>
        <w:t>还在公共卫生、农业和环境领域编写了11份</w:t>
      </w:r>
      <w:r w:rsidRPr="00F966B4">
        <w:rPr>
          <w:rFonts w:ascii="SimSun" w:hAnsi="SimSun" w:cs="Arial"/>
          <w:sz w:val="21"/>
          <w:szCs w:val="28"/>
          <w:lang w:eastAsia="zh-CN"/>
        </w:rPr>
        <w:t>PLR</w:t>
      </w:r>
      <w:r w:rsidRPr="00F966B4">
        <w:rPr>
          <w:rFonts w:ascii="SimSun" w:hAnsi="SimSun" w:cs="Arial" w:hint="eastAsia"/>
          <w:sz w:val="21"/>
          <w:szCs w:val="28"/>
          <w:lang w:eastAsia="zh-CN"/>
        </w:rPr>
        <w:t>，其他组织也出版了170多份</w:t>
      </w:r>
      <w:r w:rsidRPr="00F966B4">
        <w:rPr>
          <w:rFonts w:ascii="SimSun" w:hAnsi="SimSun" w:cs="Arial"/>
          <w:sz w:val="21"/>
          <w:szCs w:val="28"/>
          <w:lang w:eastAsia="zh-CN"/>
        </w:rPr>
        <w:t>PLR</w:t>
      </w:r>
      <w:r w:rsidRPr="00F966B4">
        <w:rPr>
          <w:rFonts w:ascii="SimSun" w:hAnsi="SimSun" w:cs="Arial" w:hint="eastAsia"/>
          <w:sz w:val="21"/>
          <w:szCs w:val="28"/>
          <w:lang w:eastAsia="zh-CN"/>
        </w:rPr>
        <w:t>，这些报告都可以通过</w:t>
      </w:r>
      <w:r w:rsidRPr="00F966B4">
        <w:rPr>
          <w:rFonts w:ascii="SimSun" w:hAnsi="SimSun" w:cs="Arial"/>
          <w:sz w:val="21"/>
          <w:szCs w:val="28"/>
          <w:lang w:eastAsia="zh-CN"/>
        </w:rPr>
        <w:t>WIPO</w:t>
      </w:r>
      <w:r w:rsidRPr="00F966B4">
        <w:rPr>
          <w:rFonts w:ascii="SimSun" w:hAnsi="SimSun" w:cs="Arial" w:hint="eastAsia"/>
          <w:sz w:val="21"/>
          <w:szCs w:val="28"/>
          <w:lang w:eastAsia="zh-CN"/>
        </w:rPr>
        <w:t>网站查阅。为了便于转让关于专利分析的知识和进一步支持长期</w:t>
      </w:r>
      <w:r w:rsidRPr="00F966B4">
        <w:rPr>
          <w:rFonts w:ascii="SimSun" w:hAnsi="SimSun" w:cs="Arial"/>
          <w:sz w:val="21"/>
          <w:szCs w:val="28"/>
          <w:lang w:eastAsia="zh-CN"/>
        </w:rPr>
        <w:t>TISC</w:t>
      </w:r>
      <w:r w:rsidRPr="00F966B4">
        <w:rPr>
          <w:rFonts w:ascii="SimSun" w:hAnsi="SimSun" w:cs="Arial" w:hint="eastAsia"/>
          <w:sz w:val="21"/>
          <w:szCs w:val="28"/>
          <w:lang w:eastAsia="zh-CN"/>
        </w:rPr>
        <w:t>可持续性，出版了《专利态势报告编写指南》，《专利态势报告免费使用手册和起草开源工具》很快就要出版。这两份出版物将成为</w:t>
      </w:r>
      <w:r w:rsidRPr="00F966B4">
        <w:rPr>
          <w:rFonts w:ascii="SimSun" w:hAnsi="SimSun" w:cs="Arial"/>
          <w:sz w:val="21"/>
          <w:szCs w:val="28"/>
          <w:lang w:eastAsia="zh-CN"/>
        </w:rPr>
        <w:t>TISC</w:t>
      </w:r>
      <w:r w:rsidRPr="00F966B4">
        <w:rPr>
          <w:rFonts w:ascii="SimSun" w:hAnsi="SimSun" w:cs="Arial" w:hint="eastAsia"/>
          <w:sz w:val="21"/>
          <w:szCs w:val="28"/>
          <w:lang w:eastAsia="zh-CN"/>
        </w:rPr>
        <w:t>专利分析学培训的基础，以期提高编写</w:t>
      </w:r>
      <w:r w:rsidRPr="00F966B4">
        <w:rPr>
          <w:rFonts w:ascii="SimSun" w:hAnsi="SimSun" w:cs="Arial"/>
          <w:sz w:val="21"/>
          <w:szCs w:val="28"/>
          <w:lang w:eastAsia="zh-CN"/>
        </w:rPr>
        <w:t>PLR</w:t>
      </w:r>
      <w:r w:rsidRPr="00F966B4">
        <w:rPr>
          <w:rFonts w:ascii="SimSun" w:hAnsi="SimSun" w:cs="Arial" w:hint="eastAsia"/>
          <w:sz w:val="21"/>
          <w:szCs w:val="28"/>
          <w:lang w:eastAsia="zh-CN"/>
        </w:rPr>
        <w:t>的能力。</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lastRenderedPageBreak/>
        <w:t>发展议程。</w:t>
      </w:r>
      <w:r w:rsidRPr="00F966B4">
        <w:rPr>
          <w:rFonts w:ascii="SimSun" w:hAnsi="SimSun" w:hint="eastAsia"/>
          <w:sz w:val="21"/>
          <w:szCs w:val="28"/>
          <w:lang w:eastAsia="zh-CN"/>
        </w:rPr>
        <w:t>根据《发展议程》各项建议，</w:t>
      </w:r>
      <w:r w:rsidRPr="00F966B4">
        <w:rPr>
          <w:rFonts w:ascii="SimSun" w:hAnsi="SimSun"/>
          <w:sz w:val="21"/>
          <w:szCs w:val="28"/>
          <w:lang w:eastAsia="zh-CN"/>
        </w:rPr>
        <w:t>WIPO</w:t>
      </w:r>
      <w:r w:rsidRPr="00F966B4">
        <w:rPr>
          <w:rFonts w:ascii="SimSun" w:hAnsi="SimSun" w:hint="eastAsia"/>
          <w:sz w:val="21"/>
          <w:szCs w:val="28"/>
          <w:lang w:eastAsia="zh-CN"/>
        </w:rPr>
        <w:t>的发展工作已被纳入产权组织各项计划并被纳入其工作主流。在过去12个月里，发展与知识产权委员会（CDIP）批准了三个新项目，即一个关于加强和发展布基纳法索和若干非洲国家音像部门的项目、一个关于运用公有领域信息促进经济发展的项目以及一个关于与发展中国家和最不发达国家司法培训机构在知识产权教育和职业培训方面合作的项目。这三个新项目的实施工作是从2016年7月开始的。</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由于各成员国对一期项目的具体成果</w:t>
      </w:r>
      <w:proofErr w:type="gramStart"/>
      <w:r w:rsidRPr="00F966B4">
        <w:rPr>
          <w:rFonts w:ascii="SimSun" w:hAnsi="SimSun" w:hint="eastAsia"/>
          <w:sz w:val="21"/>
          <w:szCs w:val="28"/>
          <w:lang w:eastAsia="zh-CN"/>
        </w:rPr>
        <w:t>作出</w:t>
      </w:r>
      <w:proofErr w:type="gramEnd"/>
      <w:r w:rsidRPr="00F966B4">
        <w:rPr>
          <w:rFonts w:ascii="SimSun" w:hAnsi="SimSun" w:hint="eastAsia"/>
          <w:sz w:val="21"/>
          <w:szCs w:val="28"/>
          <w:lang w:eastAsia="zh-CN"/>
        </w:rPr>
        <w:t>了积极的评价，所以关于加强和发展布基纳法索和若干非洲国家音像部门的二期项目也在2016年4月获得</w:t>
      </w:r>
      <w:r w:rsidRPr="00F966B4">
        <w:rPr>
          <w:rFonts w:ascii="SimSun" w:hAnsi="SimSun"/>
          <w:sz w:val="21"/>
          <w:szCs w:val="28"/>
          <w:lang w:eastAsia="zh-CN"/>
        </w:rPr>
        <w:t>CDIP</w:t>
      </w:r>
      <w:r w:rsidRPr="00F966B4">
        <w:rPr>
          <w:rFonts w:ascii="SimSun" w:hAnsi="SimSun" w:hint="eastAsia"/>
          <w:sz w:val="21"/>
          <w:szCs w:val="28"/>
          <w:lang w:eastAsia="zh-CN"/>
        </w:rPr>
        <w:t>批准。该项目现已涵盖五个受益国：布基纳法索、科特迪瓦、肯尼亚、摩洛哥和塞内加尔。它为影视专业人员提供了实用工具，使他们能更好地利用版权框架，进行制片方面的筹资，并通过改进后的合同实践创造更多收入，可以更好地</w:t>
      </w:r>
      <w:r w:rsidRPr="00F966B4">
        <w:rPr>
          <w:rFonts w:ascii="SimSun" w:hAnsi="SimSun" w:cs="Arial" w:hint="eastAsia"/>
          <w:sz w:val="21"/>
          <w:szCs w:val="28"/>
          <w:lang w:eastAsia="zh-CN"/>
        </w:rPr>
        <w:t>管理</w:t>
      </w:r>
      <w:r w:rsidRPr="00F966B4">
        <w:rPr>
          <w:rFonts w:ascii="SimSun" w:hAnsi="SimSun" w:hint="eastAsia"/>
          <w:sz w:val="21"/>
          <w:szCs w:val="28"/>
          <w:lang w:eastAsia="zh-CN"/>
        </w:rPr>
        <w:t>音像权利和交易；安全发行；使收入在有据可查的合法价值链中流动，并增加创收机会。它帮助各国建设繁荣音像工业所需的可持续基础设施，并为发展中国家经济增长、发展创造力和增加就业机会做出重要贡献。</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sz w:val="21"/>
          <w:szCs w:val="28"/>
          <w:lang w:eastAsia="zh-CN"/>
        </w:rPr>
        <w:t>WIPO</w:t>
      </w:r>
      <w:r w:rsidRPr="00F966B4">
        <w:rPr>
          <w:rFonts w:ascii="SimSun" w:hAnsi="SimSun" w:hint="eastAsia"/>
          <w:sz w:val="21"/>
          <w:szCs w:val="28"/>
          <w:lang w:eastAsia="zh-CN"/>
        </w:rPr>
        <w:t>还在柬埔寨（水稻）和越南（茶叶）启动了两个有关保护原产地关联产品并使之商业化的新项目。同样，</w:t>
      </w:r>
      <w:r w:rsidRPr="00F966B4">
        <w:rPr>
          <w:rFonts w:ascii="SimSun" w:hAnsi="SimSun"/>
          <w:sz w:val="21"/>
          <w:szCs w:val="28"/>
          <w:lang w:eastAsia="zh-CN"/>
        </w:rPr>
        <w:t>WIPO</w:t>
      </w:r>
      <w:r w:rsidRPr="00F966B4">
        <w:rPr>
          <w:rFonts w:ascii="SimSun" w:hAnsi="SimSun" w:hint="eastAsia"/>
          <w:sz w:val="21"/>
          <w:szCs w:val="28"/>
          <w:lang w:eastAsia="zh-CN"/>
        </w:rPr>
        <w:t>还向加共</w:t>
      </w:r>
      <w:proofErr w:type="gramStart"/>
      <w:r w:rsidRPr="00F966B4">
        <w:rPr>
          <w:rFonts w:ascii="SimSun" w:hAnsi="SimSun" w:hint="eastAsia"/>
          <w:sz w:val="21"/>
          <w:szCs w:val="28"/>
          <w:lang w:eastAsia="zh-CN"/>
        </w:rPr>
        <w:t>体国家</w:t>
      </w:r>
      <w:proofErr w:type="gramEnd"/>
      <w:r w:rsidRPr="00F966B4">
        <w:rPr>
          <w:rFonts w:ascii="SimSun" w:hAnsi="SimSun" w:hint="eastAsia"/>
          <w:sz w:val="21"/>
          <w:szCs w:val="28"/>
          <w:lang w:eastAsia="zh-CN"/>
        </w:rPr>
        <w:t>提供援助，帮助它们执行针对黑菠萝（</w:t>
      </w:r>
      <w:r w:rsidRPr="00F966B4">
        <w:rPr>
          <w:rFonts w:ascii="SimSun" w:hAnsi="SimSun"/>
          <w:sz w:val="21"/>
          <w:szCs w:val="28"/>
          <w:lang w:eastAsia="zh-CN"/>
        </w:rPr>
        <w:t>安提瓜和巴布</w:t>
      </w:r>
      <w:r w:rsidRPr="00F966B4">
        <w:rPr>
          <w:rFonts w:ascii="SimSun" w:hAnsi="SimSun" w:hint="eastAsia"/>
          <w:sz w:val="21"/>
          <w:szCs w:val="28"/>
          <w:lang w:eastAsia="zh-CN"/>
        </w:rPr>
        <w:t>达）、朗</w:t>
      </w:r>
      <w:proofErr w:type="gramStart"/>
      <w:r w:rsidRPr="00F966B4">
        <w:rPr>
          <w:rFonts w:ascii="SimSun" w:hAnsi="SimSun" w:hint="eastAsia"/>
          <w:sz w:val="21"/>
          <w:szCs w:val="28"/>
          <w:lang w:eastAsia="zh-CN"/>
        </w:rPr>
        <w:t>姆</w:t>
      </w:r>
      <w:proofErr w:type="gramEnd"/>
      <w:r w:rsidRPr="00F966B4">
        <w:rPr>
          <w:rFonts w:ascii="SimSun" w:hAnsi="SimSun" w:hint="eastAsia"/>
          <w:sz w:val="21"/>
          <w:szCs w:val="28"/>
          <w:lang w:eastAsia="zh-CN"/>
        </w:rPr>
        <w:t>酒（巴巴多斯）、</w:t>
      </w:r>
      <w:r w:rsidRPr="00F966B4">
        <w:rPr>
          <w:rFonts w:ascii="SimSun" w:hAnsi="SimSun"/>
          <w:sz w:val="21"/>
          <w:szCs w:val="28"/>
          <w:lang w:eastAsia="zh-CN"/>
        </w:rPr>
        <w:t>肉豆蔻</w:t>
      </w:r>
      <w:r w:rsidRPr="00F966B4">
        <w:rPr>
          <w:rFonts w:ascii="SimSun" w:hAnsi="SimSun" w:hint="eastAsia"/>
          <w:sz w:val="21"/>
          <w:szCs w:val="28"/>
          <w:lang w:eastAsia="zh-CN"/>
        </w:rPr>
        <w:t>/香料（格林纳达）、腌肉料（牙买加）和优质可可豆（</w:t>
      </w:r>
      <w:r w:rsidRPr="00F966B4">
        <w:rPr>
          <w:rFonts w:ascii="SimSun" w:hAnsi="SimSun"/>
          <w:sz w:val="21"/>
          <w:szCs w:val="28"/>
          <w:lang w:eastAsia="zh-CN"/>
        </w:rPr>
        <w:t>特立尼达和多巴</w:t>
      </w:r>
      <w:r w:rsidRPr="00F966B4">
        <w:rPr>
          <w:rFonts w:ascii="SimSun" w:hAnsi="SimSun" w:hint="eastAsia"/>
          <w:sz w:val="21"/>
          <w:szCs w:val="28"/>
          <w:lang w:eastAsia="zh-CN"/>
        </w:rPr>
        <w:t>哥）等产品与欧洲联盟签订的经济伙伴关系协定的知识产权保护条款。这些项目应支持各成员国将知识产权作为可持续发展的一种工具，使生产者社区能够从其生态产品中获得商业利益。</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产权组织</w:t>
      </w:r>
      <w:r w:rsidRPr="00F966B4">
        <w:rPr>
          <w:rFonts w:ascii="SimSun" w:hAnsi="SimSun" w:cs="SimSun" w:hint="eastAsia"/>
          <w:sz w:val="21"/>
          <w:szCs w:val="28"/>
          <w:lang w:eastAsia="zh-CN"/>
        </w:rPr>
        <w:t>于</w:t>
      </w:r>
      <w:r w:rsidRPr="00F966B4">
        <w:rPr>
          <w:rFonts w:ascii="SimSun" w:hAnsi="SimSun"/>
          <w:sz w:val="21"/>
          <w:szCs w:val="28"/>
          <w:lang w:eastAsia="zh-CN"/>
        </w:rPr>
        <w:t>2016</w:t>
      </w:r>
      <w:r w:rsidRPr="00F966B4">
        <w:rPr>
          <w:rFonts w:ascii="SimSun" w:hAnsi="SimSun" w:cs="SimSun" w:hint="eastAsia"/>
          <w:sz w:val="21"/>
          <w:szCs w:val="28"/>
          <w:lang w:eastAsia="zh-CN"/>
        </w:rPr>
        <w:t>年</w:t>
      </w:r>
      <w:r w:rsidRPr="00F966B4">
        <w:rPr>
          <w:rFonts w:ascii="SimSun" w:hAnsi="SimSun"/>
          <w:sz w:val="21"/>
          <w:szCs w:val="28"/>
          <w:lang w:eastAsia="zh-CN"/>
        </w:rPr>
        <w:t>4</w:t>
      </w:r>
      <w:r w:rsidRPr="00F966B4">
        <w:rPr>
          <w:rFonts w:ascii="SimSun" w:hAnsi="SimSun" w:cs="SimSun" w:hint="eastAsia"/>
          <w:sz w:val="21"/>
          <w:szCs w:val="28"/>
          <w:lang w:eastAsia="zh-CN"/>
        </w:rPr>
        <w:t>月</w:t>
      </w:r>
      <w:r w:rsidRPr="00F966B4">
        <w:rPr>
          <w:rFonts w:ascii="SimSun" w:hAnsi="SimSun"/>
          <w:sz w:val="21"/>
          <w:szCs w:val="28"/>
          <w:lang w:eastAsia="zh-CN"/>
        </w:rPr>
        <w:t>7</w:t>
      </w:r>
      <w:r w:rsidRPr="00F966B4">
        <w:rPr>
          <w:rFonts w:ascii="SimSun" w:hAnsi="SimSun" w:cs="SimSun" w:hint="eastAsia"/>
          <w:sz w:val="21"/>
          <w:szCs w:val="28"/>
          <w:lang w:eastAsia="zh-CN"/>
        </w:rPr>
        <w:t>日至</w:t>
      </w:r>
      <w:r w:rsidRPr="00F966B4">
        <w:rPr>
          <w:rFonts w:ascii="SimSun" w:hAnsi="SimSun"/>
          <w:sz w:val="21"/>
          <w:szCs w:val="28"/>
          <w:lang w:eastAsia="zh-CN"/>
        </w:rPr>
        <w:t>8</w:t>
      </w:r>
      <w:r w:rsidRPr="00F966B4">
        <w:rPr>
          <w:rFonts w:ascii="SimSun" w:hAnsi="SimSun" w:cs="SimSun" w:hint="eastAsia"/>
          <w:sz w:val="21"/>
          <w:szCs w:val="28"/>
          <w:lang w:eastAsia="zh-CN"/>
        </w:rPr>
        <w:t>日在日内瓦组织举办了一次知识产权与发展国际会议。会议将</w:t>
      </w:r>
      <w:r w:rsidRPr="00F966B4">
        <w:rPr>
          <w:rFonts w:ascii="SimSun" w:hAnsi="SimSun" w:hint="eastAsia"/>
          <w:sz w:val="21"/>
          <w:szCs w:val="28"/>
          <w:lang w:eastAsia="zh-CN"/>
        </w:rPr>
        <w:t>四百名与会者</w:t>
      </w:r>
      <w:r w:rsidRPr="00F966B4">
        <w:rPr>
          <w:rFonts w:ascii="SimSun" w:hAnsi="SimSun" w:cs="SimSun" w:hint="eastAsia"/>
          <w:sz w:val="21"/>
          <w:szCs w:val="28"/>
          <w:lang w:eastAsia="zh-CN"/>
        </w:rPr>
        <w:t>汇集一堂</w:t>
      </w:r>
      <w:r w:rsidRPr="00F966B4">
        <w:rPr>
          <w:rFonts w:ascii="SimSun" w:hAnsi="SimSun" w:hint="eastAsia"/>
          <w:sz w:val="21"/>
          <w:szCs w:val="28"/>
          <w:lang w:eastAsia="zh-CN"/>
        </w:rPr>
        <w:t>，讨论知识产权在国家、区域和国际各层面的发展中的作用，</w:t>
      </w:r>
      <w:r w:rsidRPr="00F966B4">
        <w:rPr>
          <w:rFonts w:ascii="SimSun" w:hAnsi="SimSun" w:cs="SimSun" w:hint="eastAsia"/>
          <w:sz w:val="21"/>
          <w:szCs w:val="28"/>
          <w:lang w:eastAsia="zh-CN"/>
        </w:rPr>
        <w:t>另有六百人通过网络直播关注了会议。此次会议是</w:t>
      </w:r>
      <w:r w:rsidRPr="00F966B4">
        <w:rPr>
          <w:rFonts w:ascii="SimSun" w:hAnsi="SimSun"/>
          <w:sz w:val="21"/>
          <w:szCs w:val="28"/>
          <w:lang w:eastAsia="zh-CN"/>
        </w:rPr>
        <w:t>WIPO</w:t>
      </w:r>
      <w:r w:rsidRPr="00F966B4">
        <w:rPr>
          <w:rFonts w:ascii="SimSun" w:hAnsi="SimSun" w:cs="SimSun" w:hint="eastAsia"/>
          <w:sz w:val="21"/>
          <w:szCs w:val="28"/>
          <w:lang w:eastAsia="zh-CN"/>
        </w:rPr>
        <w:t>主办的首个此类活动，为交流经验和探讨知识产权在世界经济中的普遍性与发展的迫切性之间的关系提供了环境。此次国际会议通报了</w:t>
      </w:r>
      <w:r w:rsidRPr="00F966B4">
        <w:rPr>
          <w:rFonts w:ascii="SimSun" w:hAnsi="SimSun"/>
          <w:sz w:val="21"/>
          <w:szCs w:val="28"/>
          <w:lang w:eastAsia="zh-CN"/>
        </w:rPr>
        <w:t>CDIP</w:t>
      </w:r>
      <w:r w:rsidRPr="00F966B4">
        <w:rPr>
          <w:rFonts w:ascii="SimSun" w:hAnsi="SimSun" w:cs="SimSun" w:hint="eastAsia"/>
          <w:sz w:val="21"/>
          <w:szCs w:val="28"/>
          <w:lang w:eastAsia="zh-CN"/>
        </w:rPr>
        <w:t>的今后工作。会议报告将在</w:t>
      </w:r>
      <w:r w:rsidRPr="00F966B4">
        <w:rPr>
          <w:rFonts w:ascii="SimSun" w:hAnsi="SimSun"/>
          <w:sz w:val="21"/>
          <w:szCs w:val="28"/>
          <w:lang w:eastAsia="zh-CN"/>
        </w:rPr>
        <w:t>2016</w:t>
      </w:r>
      <w:r w:rsidRPr="00F966B4">
        <w:rPr>
          <w:rFonts w:ascii="SimSun" w:hAnsi="SimSun" w:cs="SimSun" w:hint="eastAsia"/>
          <w:sz w:val="21"/>
          <w:szCs w:val="28"/>
          <w:lang w:eastAsia="zh-CN"/>
        </w:rPr>
        <w:t>年10月举办的</w:t>
      </w:r>
      <w:r w:rsidRPr="00F966B4">
        <w:rPr>
          <w:rFonts w:ascii="SimSun" w:hAnsi="SimSun"/>
          <w:sz w:val="21"/>
          <w:szCs w:val="28"/>
          <w:lang w:eastAsia="zh-CN"/>
        </w:rPr>
        <w:t>CDIP</w:t>
      </w:r>
      <w:r w:rsidRPr="00F966B4">
        <w:rPr>
          <w:rFonts w:ascii="SimSun" w:hAnsi="SimSun" w:cs="SimSun" w:hint="eastAsia"/>
          <w:sz w:val="21"/>
          <w:szCs w:val="28"/>
          <w:lang w:eastAsia="zh-CN"/>
        </w:rPr>
        <w:t>下届会议上审议</w:t>
      </w:r>
      <w:r w:rsidRPr="00F966B4">
        <w:rPr>
          <w:rFonts w:ascii="SimSun" w:hAnsi="SimSun" w:hint="eastAsia"/>
          <w:sz w:val="21"/>
          <w:szCs w:val="28"/>
          <w:lang w:eastAsia="zh-CN"/>
        </w:rPr>
        <w:t>。</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另外，还于2015年11月在塞内加尔达喀尔举行了一次重要会议，即非洲部长级会议。会上探讨了知识产权在新兴非洲的作用。此次部长级会议为加强政策对话和协调提供了重要契机。作为会议后续行动的一个组成部分，WIPO将努力加强在非洲的现有关系，并完善与非洲大陆的政府间和区域机构的合作，包括通过考察访问来进行。</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cs="Arial" w:hint="eastAsia"/>
          <w:sz w:val="21"/>
          <w:szCs w:val="28"/>
          <w:lang w:eastAsia="zh-CN"/>
        </w:rPr>
        <w:t>已在发展部门创建了一个南南合作（SSC）活动专门联络点，旨在确认南南合作在知识产权领域的重要意义和作用，加强并协调秘书处的各种努力、各种资源和报告工作。在CDIP上届会议上公布的南南合作实践分析列出了</w:t>
      </w:r>
      <w:r w:rsidRPr="00F966B4">
        <w:rPr>
          <w:rFonts w:ascii="SimSun" w:hAnsi="SimSun"/>
          <w:sz w:val="21"/>
          <w:szCs w:val="28"/>
          <w:lang w:eastAsia="zh-CN"/>
        </w:rPr>
        <w:t>WIPO</w:t>
      </w:r>
      <w:r w:rsidRPr="00F966B4">
        <w:rPr>
          <w:rFonts w:ascii="SimSun" w:hAnsi="SimSun" w:hint="eastAsia"/>
          <w:sz w:val="21"/>
          <w:szCs w:val="28"/>
          <w:lang w:eastAsia="zh-CN"/>
        </w:rPr>
        <w:t>在</w:t>
      </w:r>
      <w:r w:rsidRPr="00F966B4">
        <w:rPr>
          <w:rFonts w:ascii="SimSun" w:hAnsi="SimSun" w:cs="Arial" w:hint="eastAsia"/>
          <w:sz w:val="21"/>
          <w:szCs w:val="28"/>
          <w:lang w:eastAsia="zh-CN"/>
        </w:rPr>
        <w:t>2014-2015两年期期间所参与的109项南南合作活动。</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版权。</w:t>
      </w:r>
      <w:r w:rsidRPr="00F966B4">
        <w:rPr>
          <w:rFonts w:ascii="SimSun" w:hAnsi="SimSun" w:cs="Arial" w:hint="eastAsia"/>
          <w:sz w:val="21"/>
          <w:szCs w:val="28"/>
          <w:lang w:eastAsia="zh-CN"/>
        </w:rPr>
        <w:t>为了对发展中国家、最不发达国家和转型期国家对版权及相关权领域能力建设活动的不断增长和变化的需求</w:t>
      </w:r>
      <w:proofErr w:type="gramStart"/>
      <w:r w:rsidRPr="00F966B4">
        <w:rPr>
          <w:rFonts w:ascii="SimSun" w:hAnsi="SimSun" w:cs="Arial" w:hint="eastAsia"/>
          <w:sz w:val="21"/>
          <w:szCs w:val="28"/>
          <w:lang w:eastAsia="zh-CN"/>
        </w:rPr>
        <w:t>作出</w:t>
      </w:r>
      <w:proofErr w:type="gramEnd"/>
      <w:r w:rsidRPr="00F966B4">
        <w:rPr>
          <w:rFonts w:ascii="SimSun" w:hAnsi="SimSun" w:cs="Arial" w:hint="eastAsia"/>
          <w:sz w:val="21"/>
          <w:szCs w:val="28"/>
          <w:lang w:eastAsia="zh-CN"/>
        </w:rPr>
        <w:t>反应，产权组织已经付出了特别努力。过去的一年，约有40个不同的技术和能力建设项目和计划在国家、区域和区域间层面顺利实施，触及了一百多个国家和一个区域政府间组织</w:t>
      </w:r>
      <w:r w:rsidRPr="00F966B4">
        <w:rPr>
          <w:rFonts w:ascii="SimSun" w:hAnsi="SimSun" w:hint="eastAsia"/>
          <w:sz w:val="21"/>
          <w:szCs w:val="28"/>
          <w:lang w:eastAsia="zh-CN"/>
        </w:rPr>
        <w:t>。</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这些技术援助和能力建设计划和项目主要针对国家版权局，同时也帮助：(</w:t>
      </w:r>
      <w:proofErr w:type="spellStart"/>
      <w:r w:rsidRPr="00F966B4">
        <w:rPr>
          <w:rFonts w:ascii="SimSun" w:hAnsi="SimSun" w:hint="eastAsia"/>
          <w:sz w:val="21"/>
          <w:szCs w:val="28"/>
          <w:lang w:eastAsia="zh-CN"/>
        </w:rPr>
        <w:t>i</w:t>
      </w:r>
      <w:proofErr w:type="spellEnd"/>
      <w:r w:rsidRPr="00F966B4">
        <w:rPr>
          <w:rFonts w:ascii="SimSun" w:hAnsi="SimSun" w:hint="eastAsia"/>
          <w:sz w:val="21"/>
          <w:szCs w:val="28"/>
          <w:lang w:eastAsia="zh-CN"/>
        </w:rPr>
        <w:t>)提高了人力资源能力和知识，以制定和实施国家版权政策和战略框架，持续有效地运用</w:t>
      </w:r>
      <w:r w:rsidRPr="00F966B4">
        <w:rPr>
          <w:rFonts w:ascii="SimSun" w:hAnsi="SimSun" w:cs="Arial" w:hint="eastAsia"/>
          <w:sz w:val="21"/>
          <w:szCs w:val="28"/>
          <w:lang w:eastAsia="zh-CN"/>
        </w:rPr>
        <w:t>知识产权</w:t>
      </w:r>
      <w:r w:rsidRPr="00F966B4">
        <w:rPr>
          <w:rFonts w:ascii="SimSun" w:hAnsi="SimSun" w:hint="eastAsia"/>
          <w:sz w:val="21"/>
          <w:szCs w:val="28"/>
          <w:lang w:eastAsia="zh-CN"/>
        </w:rPr>
        <w:t>促进发展；(ii)加强了机构能力，以向创作者和其他有关利益相关方提供更好的服务；(iii)提高了对版权及相关权在促进和保护国家创造力方面之作用的认识。</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b/>
          <w:bCs/>
          <w:color w:val="2051A0"/>
          <w:sz w:val="21"/>
          <w:szCs w:val="21"/>
          <w:lang w:eastAsia="zh-CN"/>
        </w:rPr>
        <w:t>WIPO</w:t>
      </w:r>
      <w:r w:rsidRPr="00B22E2B">
        <w:rPr>
          <w:rFonts w:ascii="SimSun" w:hAnsi="SimSun" w:cs="Arial" w:hint="eastAsia"/>
          <w:b/>
          <w:bCs/>
          <w:color w:val="2051A0"/>
          <w:sz w:val="21"/>
          <w:szCs w:val="21"/>
          <w:lang w:eastAsia="zh-CN"/>
        </w:rPr>
        <w:t>学院。</w:t>
      </w:r>
      <w:r w:rsidRPr="00F966B4">
        <w:rPr>
          <w:rFonts w:ascii="SimSun" w:hAnsi="SimSun" w:hint="eastAsia"/>
          <w:sz w:val="21"/>
          <w:szCs w:val="28"/>
          <w:lang w:eastAsia="zh-CN"/>
        </w:rPr>
        <w:t>WIPO学院在过去的一年又一次取得了成功，通过远程学习课程、暑期学校，以及与大学协作举办硕士课程，推出了大量的培训计划。学院的远程学习平台</w:t>
      </w:r>
      <w:r w:rsidRPr="00F966B4">
        <w:rPr>
          <w:rFonts w:ascii="SimSun" w:hAnsi="SimSun" w:cs="Arial" w:hint="eastAsia"/>
          <w:sz w:val="21"/>
          <w:szCs w:val="28"/>
          <w:lang w:eastAsia="zh-CN"/>
        </w:rPr>
        <w:t>仍是</w:t>
      </w:r>
      <w:r w:rsidRPr="00F966B4">
        <w:rPr>
          <w:rFonts w:ascii="SimSun" w:hAnsi="SimSun" w:hint="eastAsia"/>
          <w:sz w:val="21"/>
          <w:szCs w:val="28"/>
          <w:lang w:eastAsia="zh-CN"/>
        </w:rPr>
        <w:t>世界上语言最多样化、</w:t>
      </w:r>
      <w:proofErr w:type="gramStart"/>
      <w:r w:rsidRPr="00F966B4">
        <w:rPr>
          <w:rFonts w:ascii="SimSun" w:hAnsi="SimSun" w:hint="eastAsia"/>
          <w:sz w:val="21"/>
          <w:szCs w:val="28"/>
          <w:lang w:eastAsia="zh-CN"/>
        </w:rPr>
        <w:t>最</w:t>
      </w:r>
      <w:proofErr w:type="gramEnd"/>
      <w:r w:rsidRPr="00F966B4">
        <w:rPr>
          <w:rFonts w:ascii="SimSun" w:hAnsi="SimSun" w:hint="eastAsia"/>
          <w:sz w:val="21"/>
          <w:szCs w:val="28"/>
          <w:lang w:eastAsia="zh-CN"/>
        </w:rPr>
        <w:lastRenderedPageBreak/>
        <w:t>经济实惠的平台，用11种语言提供17个知识产权模块。在过去的一年里，我们的一般课程和高级课程的学员分别增加了20%和45%以上。有82%的学员报告说，因参加远程学习课程，他们的工作绩效或研究均有了直接改善。为响应学生的请求，学院正准备在2016-17两年期期间推出四个新模块，涉及知识产权与公共卫生、版权集体管理、开放源代码许可和电影界的版权。</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为了鼓励更多参与，WIPO已对来自发展中国家和经济转型期国家的学员实行了50%的减费，对</w:t>
      </w:r>
      <w:r w:rsidRPr="00F966B4">
        <w:rPr>
          <w:rFonts w:ascii="SimSun" w:hAnsi="SimSun" w:cs="Arial" w:hint="eastAsia"/>
          <w:sz w:val="21"/>
          <w:szCs w:val="28"/>
          <w:lang w:eastAsia="zh-CN"/>
        </w:rPr>
        <w:t>来自</w:t>
      </w:r>
      <w:r w:rsidRPr="00F966B4">
        <w:rPr>
          <w:rFonts w:ascii="SimSun" w:hAnsi="SimSun" w:hint="eastAsia"/>
          <w:sz w:val="21"/>
          <w:szCs w:val="28"/>
          <w:lang w:eastAsia="zh-CN"/>
        </w:rPr>
        <w:t>发达国家的学员实行了20%的减费。学院还于2016年4月特别为视障学员推出了内容详尽的“知识产权一般课程”的一个新的无障碍访问版本，满足了他们的需求。另外，它还继续为不同受众定制和翻译课程，包括2016年在阿根廷、柬埔寨、埃及、埃塞俄比亚、突尼斯和越南推出的那些课程。</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公私伙伴关系</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F966B4">
        <w:rPr>
          <w:rFonts w:ascii="SimSun" w:hAnsi="SimSun" w:cs="Arial" w:hint="eastAsia"/>
          <w:sz w:val="21"/>
          <w:szCs w:val="28"/>
          <w:lang w:eastAsia="zh-CN"/>
        </w:rPr>
        <w:t>产权组织管理着几个合作伙伴关系，成功地利用私营部门的知识和金融资产，解决了一些重大的全球性挑战。</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b/>
          <w:bCs/>
          <w:color w:val="2051A0"/>
          <w:sz w:val="21"/>
          <w:szCs w:val="21"/>
          <w:lang w:eastAsia="zh-CN"/>
        </w:rPr>
        <w:t xml:space="preserve">WIPO </w:t>
      </w:r>
      <w:proofErr w:type="spellStart"/>
      <w:r w:rsidRPr="00B22E2B">
        <w:rPr>
          <w:rFonts w:ascii="SimSun" w:hAnsi="SimSun" w:cs="Arial"/>
          <w:b/>
          <w:bCs/>
          <w:color w:val="2051A0"/>
          <w:sz w:val="21"/>
          <w:szCs w:val="21"/>
          <w:lang w:eastAsia="zh-CN"/>
        </w:rPr>
        <w:t>Re:Search</w:t>
      </w:r>
      <w:proofErr w:type="spellEnd"/>
      <w:r w:rsidRPr="00B22E2B">
        <w:rPr>
          <w:rFonts w:ascii="SimSun" w:hAnsi="SimSun" w:cs="Arial" w:hint="eastAsia"/>
          <w:sz w:val="21"/>
          <w:szCs w:val="28"/>
          <w:lang w:eastAsia="zh-CN"/>
        </w:rPr>
        <w:t>，</w:t>
      </w:r>
      <w:r w:rsidRPr="00F966B4">
        <w:rPr>
          <w:rFonts w:ascii="SimSun" w:hAnsi="SimSun" w:cs="Arial" w:hint="eastAsia"/>
          <w:sz w:val="21"/>
          <w:szCs w:val="28"/>
          <w:lang w:eastAsia="zh-CN"/>
        </w:rPr>
        <w:t>通过创新</w:t>
      </w:r>
      <w:proofErr w:type="gramStart"/>
      <w:r w:rsidRPr="00F966B4">
        <w:rPr>
          <w:rFonts w:ascii="SimSun" w:hAnsi="SimSun" w:cs="Arial" w:hint="eastAsia"/>
          <w:sz w:val="21"/>
          <w:szCs w:val="28"/>
          <w:lang w:eastAsia="zh-CN"/>
        </w:rPr>
        <w:t>研究伙伴</w:t>
      </w:r>
      <w:proofErr w:type="gramEnd"/>
      <w:r w:rsidRPr="00F966B4">
        <w:rPr>
          <w:rFonts w:ascii="SimSun" w:hAnsi="SimSun" w:cs="Arial" w:hint="eastAsia"/>
          <w:sz w:val="21"/>
          <w:szCs w:val="28"/>
          <w:lang w:eastAsia="zh-CN"/>
        </w:rPr>
        <w:t>关系和知识共享，促进了对被忽视热带疾病、疟疾和结核病的医药产品开发工作。今年正值其创立五周年。自2011年创立以来，该计划已经促成了一百多项合作。WIPO</w:t>
      </w:r>
      <w:r w:rsidRPr="00F966B4">
        <w:rPr>
          <w:rFonts w:ascii="SimSun" w:hAnsi="SimSun"/>
          <w:sz w:val="21"/>
          <w:szCs w:val="28"/>
          <w:lang w:eastAsia="zh-CN"/>
        </w:rPr>
        <w:t xml:space="preserve"> </w:t>
      </w:r>
      <w:proofErr w:type="spellStart"/>
      <w:r w:rsidRPr="00F966B4">
        <w:rPr>
          <w:rFonts w:ascii="SimSun" w:hAnsi="SimSun" w:cs="Arial"/>
          <w:sz w:val="21"/>
          <w:szCs w:val="28"/>
          <w:lang w:eastAsia="zh-CN"/>
        </w:rPr>
        <w:t>Re:Search</w:t>
      </w:r>
      <w:proofErr w:type="spellEnd"/>
      <w:r w:rsidRPr="00F966B4">
        <w:rPr>
          <w:rFonts w:ascii="SimSun" w:hAnsi="SimSun" w:cs="Arial" w:hint="eastAsia"/>
          <w:sz w:val="21"/>
          <w:szCs w:val="28"/>
          <w:lang w:eastAsia="zh-CN"/>
        </w:rPr>
        <w:t>目前有105个成员，其中23个是非洲机构，38个来自发展中国家。WIPO</w:t>
      </w:r>
      <w:r w:rsidRPr="00F966B4">
        <w:rPr>
          <w:rFonts w:ascii="SimSun" w:hAnsi="SimSun"/>
          <w:sz w:val="21"/>
          <w:szCs w:val="28"/>
          <w:lang w:eastAsia="zh-CN"/>
        </w:rPr>
        <w:t xml:space="preserve"> </w:t>
      </w:r>
      <w:proofErr w:type="spellStart"/>
      <w:r w:rsidRPr="00F966B4">
        <w:rPr>
          <w:rFonts w:ascii="SimSun" w:hAnsi="SimSun" w:cs="Arial"/>
          <w:sz w:val="21"/>
          <w:szCs w:val="28"/>
          <w:lang w:eastAsia="zh-CN"/>
        </w:rPr>
        <w:t>Re:Search</w:t>
      </w:r>
      <w:proofErr w:type="spellEnd"/>
      <w:r w:rsidRPr="00F966B4">
        <w:rPr>
          <w:rFonts w:ascii="SimSun" w:hAnsi="SimSun" w:cs="Arial" w:hint="eastAsia"/>
          <w:sz w:val="21"/>
          <w:szCs w:val="28"/>
          <w:lang w:eastAsia="zh-CN"/>
        </w:rPr>
        <w:t>还建设卫生研究领域的能力，包括通过澳大利亚政府慷慨资助的奖学金。迄今为止，有六个非洲科学家曾驻足公司实验室和大学长达一年，目的是促进他们的研究，用新技术促进研究工作。</w:t>
      </w:r>
    </w:p>
    <w:p w:rsidR="0091687D" w:rsidRPr="00F966B4" w:rsidRDefault="0091687D" w:rsidP="0091687D">
      <w:pPr>
        <w:pStyle w:val="a4"/>
        <w:numPr>
          <w:ilvl w:val="0"/>
          <w:numId w:val="20"/>
        </w:numPr>
        <w:adjustRightInd w:val="0"/>
        <w:spacing w:afterLines="50" w:after="120" w:line="360" w:lineRule="auto"/>
        <w:ind w:leftChars="13" w:left="35" w:hanging="6"/>
        <w:contextualSpacing w:val="0"/>
        <w:jc w:val="both"/>
        <w:rPr>
          <w:rFonts w:ascii="SimSun" w:hAnsi="SimSun" w:cs="Arial"/>
          <w:sz w:val="21"/>
          <w:szCs w:val="28"/>
          <w:lang w:eastAsia="zh-CN"/>
        </w:rPr>
      </w:pPr>
      <w:r w:rsidRPr="00B22E2B">
        <w:rPr>
          <w:rFonts w:ascii="SimSun" w:hAnsi="SimSun" w:cs="Arial"/>
          <w:b/>
          <w:bCs/>
          <w:color w:val="2051A0"/>
          <w:sz w:val="21"/>
          <w:szCs w:val="21"/>
          <w:lang w:eastAsia="zh-CN"/>
        </w:rPr>
        <w:t>WIPO GREEN</w:t>
      </w:r>
      <w:r w:rsidRPr="00F966B4">
        <w:rPr>
          <w:rFonts w:ascii="SimSun" w:hAnsi="SimSun" w:cs="Arial" w:hint="eastAsia"/>
          <w:sz w:val="21"/>
          <w:szCs w:val="28"/>
          <w:lang w:eastAsia="zh-CN"/>
        </w:rPr>
        <w:t>为可持续技术提供了网上交易市场和平台，自2013年推出以来已经取得了良好的发展。</w:t>
      </w:r>
      <w:r w:rsidRPr="00F966B4">
        <w:rPr>
          <w:rFonts w:ascii="SimSun" w:hAnsi="SimSun" w:cs="Arial"/>
          <w:sz w:val="21"/>
          <w:szCs w:val="28"/>
          <w:lang w:eastAsia="zh-CN"/>
        </w:rPr>
        <w:t xml:space="preserve">WIPO </w:t>
      </w:r>
      <w:r w:rsidRPr="00F966B4">
        <w:rPr>
          <w:rFonts w:ascii="SimSun" w:hAnsi="SimSun"/>
          <w:sz w:val="21"/>
          <w:szCs w:val="28"/>
          <w:lang w:eastAsia="zh-CN"/>
        </w:rPr>
        <w:t>GREEN</w:t>
      </w:r>
      <w:r w:rsidRPr="00F966B4">
        <w:rPr>
          <w:rFonts w:ascii="SimSun" w:hAnsi="SimSun" w:cs="Arial" w:hint="eastAsia"/>
          <w:sz w:val="21"/>
          <w:szCs w:val="28"/>
          <w:lang w:eastAsia="zh-CN"/>
        </w:rPr>
        <w:t>借助其提供2,200多个绿色技术和服务的数据库，并与其69个合作伙伴共同开展工作，在将解决方案寻求方和可能的技术提供方汇集一处方面发挥了重要作用。过去的一年，在日本政府的慷慨资助下，在东南亚和东非举办了废水处理技术研讨会和牵线搭桥活动。这两项举措根据互利的议定</w:t>
      </w:r>
      <w:proofErr w:type="gramStart"/>
      <w:r w:rsidRPr="00F966B4">
        <w:rPr>
          <w:rFonts w:ascii="SimSun" w:hAnsi="SimSun" w:cs="Arial" w:hint="eastAsia"/>
          <w:sz w:val="21"/>
          <w:szCs w:val="28"/>
          <w:lang w:eastAsia="zh-CN"/>
        </w:rPr>
        <w:t>条件促就了</w:t>
      </w:r>
      <w:proofErr w:type="gramEnd"/>
      <w:r w:rsidRPr="00F966B4">
        <w:rPr>
          <w:rFonts w:ascii="SimSun" w:hAnsi="SimSun" w:cs="Arial" w:hint="eastAsia"/>
          <w:sz w:val="21"/>
          <w:szCs w:val="28"/>
          <w:lang w:eastAsia="zh-CN"/>
        </w:rPr>
        <w:t>一些新的伙伴关系，表明了WIPO</w:t>
      </w:r>
      <w:r w:rsidRPr="00F966B4">
        <w:rPr>
          <w:rFonts w:ascii="SimSun" w:hAnsi="SimSun" w:cs="Arial"/>
          <w:sz w:val="21"/>
          <w:szCs w:val="28"/>
          <w:lang w:eastAsia="zh-CN"/>
        </w:rPr>
        <w:t xml:space="preserve"> GREEN</w:t>
      </w:r>
      <w:r w:rsidRPr="00F966B4">
        <w:rPr>
          <w:rFonts w:ascii="SimSun" w:hAnsi="SimSun" w:cs="Arial" w:hint="eastAsia"/>
          <w:sz w:val="21"/>
          <w:szCs w:val="28"/>
          <w:lang w:eastAsia="zh-CN"/>
        </w:rPr>
        <w:t>对创造一个有效的生态系统促进技术创新和传播的贡献。</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hint="eastAsia"/>
          <w:b/>
          <w:bCs/>
          <w:color w:val="2051A0"/>
          <w:sz w:val="21"/>
          <w:szCs w:val="21"/>
          <w:lang w:eastAsia="zh-CN"/>
        </w:rPr>
        <w:t>无障碍图书联合会。</w:t>
      </w:r>
      <w:r w:rsidRPr="00F966B4">
        <w:rPr>
          <w:rFonts w:ascii="SimSun" w:hAnsi="SimSun" w:cs="Arial" w:hint="eastAsia"/>
          <w:sz w:val="21"/>
          <w:szCs w:val="28"/>
          <w:lang w:eastAsia="zh-CN"/>
        </w:rPr>
        <w:t>无障碍图书联合会（</w:t>
      </w:r>
      <w:r w:rsidRPr="00F966B4">
        <w:rPr>
          <w:rFonts w:ascii="SimSun" w:hAnsi="SimSun" w:cs="Arial"/>
          <w:sz w:val="21"/>
          <w:szCs w:val="28"/>
          <w:lang w:eastAsia="zh-CN"/>
        </w:rPr>
        <w:t>ABC</w:t>
      </w:r>
      <w:r w:rsidRPr="00F966B4">
        <w:rPr>
          <w:rFonts w:ascii="SimSun" w:hAnsi="SimSun" w:cs="Arial" w:hint="eastAsia"/>
          <w:sz w:val="21"/>
          <w:szCs w:val="28"/>
          <w:lang w:eastAsia="zh-CN"/>
        </w:rPr>
        <w:t>）于</w:t>
      </w:r>
      <w:r w:rsidRPr="00F966B4">
        <w:rPr>
          <w:rFonts w:ascii="SimSun" w:hAnsi="SimSun" w:cs="Arial"/>
          <w:sz w:val="21"/>
          <w:szCs w:val="28"/>
          <w:lang w:eastAsia="zh-CN"/>
        </w:rPr>
        <w:t>2014</w:t>
      </w:r>
      <w:r w:rsidRPr="00F966B4">
        <w:rPr>
          <w:rFonts w:ascii="SimSun" w:hAnsi="SimSun" w:cs="Arial" w:hint="eastAsia"/>
          <w:sz w:val="21"/>
          <w:szCs w:val="28"/>
          <w:lang w:eastAsia="zh-CN"/>
        </w:rPr>
        <w:t>年</w:t>
      </w:r>
      <w:r w:rsidRPr="00F966B4">
        <w:rPr>
          <w:rFonts w:ascii="SimSun" w:hAnsi="SimSun" w:cs="Arial"/>
          <w:sz w:val="21"/>
          <w:szCs w:val="28"/>
          <w:lang w:eastAsia="zh-CN"/>
        </w:rPr>
        <w:t>6</w:t>
      </w:r>
      <w:r w:rsidRPr="00F966B4">
        <w:rPr>
          <w:rFonts w:ascii="SimSun" w:hAnsi="SimSun" w:cs="Arial" w:hint="eastAsia"/>
          <w:sz w:val="21"/>
          <w:szCs w:val="28"/>
          <w:lang w:eastAsia="zh-CN"/>
        </w:rPr>
        <w:t>月</w:t>
      </w:r>
      <w:r w:rsidRPr="00F966B4">
        <w:rPr>
          <w:rFonts w:ascii="SimSun" w:hAnsi="SimSun" w:cs="Arial"/>
          <w:sz w:val="21"/>
          <w:szCs w:val="28"/>
          <w:lang w:eastAsia="zh-CN"/>
        </w:rPr>
        <w:t>30</w:t>
      </w:r>
      <w:r w:rsidRPr="00F966B4">
        <w:rPr>
          <w:rFonts w:ascii="SimSun" w:hAnsi="SimSun" w:cs="Arial" w:hint="eastAsia"/>
          <w:sz w:val="21"/>
          <w:szCs w:val="28"/>
          <w:lang w:eastAsia="zh-CN"/>
        </w:rPr>
        <w:t>日发起。两年后的今天，无障碍图书联合会已经开始庆祝它在所有三个主要活动领域的积极成果，旨在增加全世界无</w:t>
      </w:r>
      <w:r w:rsidRPr="00F966B4">
        <w:rPr>
          <w:rFonts w:ascii="SimSun" w:hAnsi="SimSun" w:hint="eastAsia"/>
          <w:sz w:val="21"/>
          <w:szCs w:val="28"/>
          <w:lang w:eastAsia="zh-CN"/>
        </w:rPr>
        <w:t>障碍</w:t>
      </w:r>
      <w:r w:rsidRPr="00F966B4">
        <w:rPr>
          <w:rFonts w:ascii="SimSun" w:hAnsi="SimSun" w:cs="Arial" w:hint="eastAsia"/>
          <w:sz w:val="21"/>
          <w:szCs w:val="28"/>
          <w:lang w:eastAsia="zh-CN"/>
        </w:rPr>
        <w:t>格式图书的数量，并将其提供给盲人、视障者或者其他有阅读障碍的人。</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F966B4">
        <w:rPr>
          <w:rFonts w:ascii="SimSun" w:hAnsi="SimSun" w:cs="Arial"/>
          <w:sz w:val="21"/>
          <w:szCs w:val="28"/>
          <w:lang w:eastAsia="zh-CN"/>
        </w:rPr>
        <w:t>ABC</w:t>
      </w:r>
      <w:r w:rsidRPr="00F966B4">
        <w:rPr>
          <w:rFonts w:ascii="SimSun" w:hAnsi="SimSun" w:cs="Arial" w:hint="eastAsia"/>
          <w:sz w:val="21"/>
          <w:szCs w:val="28"/>
          <w:lang w:eastAsia="zh-CN"/>
        </w:rPr>
        <w:t>图书服务是WIPO主办的无障碍格式图书的全球在线目录，迄今已通过其在16个国家的19个参与图书馆，促使将无障碍格式图书借阅给了十万人。目前目录包括超过76种语言的319,000种图书。参与图书馆因可以下载</w:t>
      </w:r>
      <w:r w:rsidRPr="00F966B4">
        <w:rPr>
          <w:rFonts w:ascii="SimSun" w:hAnsi="SimSun" w:cs="Arial"/>
          <w:sz w:val="21"/>
          <w:szCs w:val="28"/>
          <w:lang w:eastAsia="zh-CN"/>
        </w:rPr>
        <w:t>5,500</w:t>
      </w:r>
      <w:r w:rsidRPr="00F966B4">
        <w:rPr>
          <w:rFonts w:ascii="SimSun" w:hAnsi="SimSun" w:cs="Arial" w:hint="eastAsia"/>
          <w:sz w:val="21"/>
          <w:szCs w:val="28"/>
          <w:lang w:eastAsia="zh-CN"/>
        </w:rPr>
        <w:t>本电子书到其馆藏中，节省了1</w:t>
      </w:r>
      <w:r w:rsidRPr="00F966B4">
        <w:rPr>
          <w:rFonts w:ascii="SimSun" w:hAnsi="SimSun" w:cs="Arial"/>
          <w:sz w:val="21"/>
          <w:szCs w:val="28"/>
          <w:lang w:eastAsia="zh-CN"/>
        </w:rPr>
        <w:t>,</w:t>
      </w:r>
      <w:r w:rsidRPr="00F966B4">
        <w:rPr>
          <w:rFonts w:ascii="SimSun" w:hAnsi="SimSun" w:cs="Arial" w:hint="eastAsia"/>
          <w:sz w:val="21"/>
          <w:szCs w:val="28"/>
          <w:lang w:eastAsia="zh-CN"/>
        </w:rPr>
        <w:t>100万美元的制作成本（由一人朗读一本书）。</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F966B4">
        <w:rPr>
          <w:rFonts w:ascii="SimSun" w:hAnsi="SimSun" w:cs="Arial" w:hint="eastAsia"/>
          <w:sz w:val="21"/>
          <w:szCs w:val="28"/>
          <w:lang w:eastAsia="zh-CN"/>
        </w:rPr>
        <w:t>2015年在孟加拉国、印度、尼泊尔和斯里兰卡开展的能力建设活动惠及了23</w:t>
      </w:r>
      <w:r w:rsidRPr="00F966B4">
        <w:rPr>
          <w:rFonts w:ascii="SimSun" w:hAnsi="SimSun" w:cs="Arial"/>
          <w:sz w:val="21"/>
          <w:szCs w:val="28"/>
          <w:lang w:eastAsia="zh-CN"/>
        </w:rPr>
        <w:t>,</w:t>
      </w:r>
      <w:r w:rsidRPr="00F966B4">
        <w:rPr>
          <w:rFonts w:ascii="SimSun" w:hAnsi="SimSun" w:cs="Arial" w:hint="eastAsia"/>
          <w:sz w:val="21"/>
          <w:szCs w:val="28"/>
          <w:lang w:eastAsia="zh-CN"/>
        </w:rPr>
        <w:t>500名视障学生。能力建设项目的第二阶段始于2016年7月，由澳大利亚和大韩民国政府、斯科尔基金会和联合国基金会资助，旨在让这四个国家的约88</w:t>
      </w:r>
      <w:r w:rsidRPr="00F966B4">
        <w:rPr>
          <w:rFonts w:ascii="SimSun" w:hAnsi="SimSun" w:cs="Arial"/>
          <w:sz w:val="21"/>
          <w:szCs w:val="28"/>
          <w:lang w:eastAsia="zh-CN"/>
        </w:rPr>
        <w:t>,</w:t>
      </w:r>
      <w:r w:rsidRPr="00F966B4">
        <w:rPr>
          <w:rFonts w:ascii="SimSun" w:hAnsi="SimSun" w:cs="Arial" w:hint="eastAsia"/>
          <w:sz w:val="21"/>
          <w:szCs w:val="28"/>
          <w:lang w:eastAsia="zh-CN"/>
        </w:rPr>
        <w:t>500名视障学生受益。</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F966B4">
        <w:rPr>
          <w:rFonts w:ascii="SimSun" w:hAnsi="SimSun" w:cs="Arial" w:hint="eastAsia"/>
          <w:sz w:val="21"/>
          <w:szCs w:val="28"/>
          <w:lang w:eastAsia="zh-CN"/>
        </w:rPr>
        <w:t>现已开展了包容</w:t>
      </w:r>
      <w:proofErr w:type="gramStart"/>
      <w:r w:rsidRPr="00F966B4">
        <w:rPr>
          <w:rFonts w:ascii="SimSun" w:hAnsi="SimSun" w:cs="Arial" w:hint="eastAsia"/>
          <w:sz w:val="21"/>
          <w:szCs w:val="28"/>
          <w:lang w:eastAsia="zh-CN"/>
        </w:rPr>
        <w:t>性出版</w:t>
      </w:r>
      <w:proofErr w:type="gramEnd"/>
      <w:r w:rsidRPr="00F966B4">
        <w:rPr>
          <w:rFonts w:ascii="SimSun" w:hAnsi="SimSun" w:cs="Arial" w:hint="eastAsia"/>
          <w:sz w:val="21"/>
          <w:szCs w:val="28"/>
          <w:lang w:eastAsia="zh-CN"/>
        </w:rPr>
        <w:t>活动，目的是促进在商业出版业推出无障碍图书制作技术，使电子图书在最初发行之时就能够既被看的见的人使用也能够为视障者所用。2016年发布了两份包容</w:t>
      </w:r>
      <w:proofErr w:type="gramStart"/>
      <w:r w:rsidRPr="00F966B4">
        <w:rPr>
          <w:rFonts w:ascii="SimSun" w:hAnsi="SimSun" w:cs="Arial" w:hint="eastAsia"/>
          <w:sz w:val="21"/>
          <w:szCs w:val="28"/>
          <w:lang w:eastAsia="zh-CN"/>
        </w:rPr>
        <w:t>性出版</w:t>
      </w:r>
      <w:proofErr w:type="gramEnd"/>
      <w:r w:rsidRPr="00F966B4">
        <w:rPr>
          <w:rFonts w:ascii="SimSun" w:hAnsi="SimSun" w:cs="Arial" w:hint="eastAsia"/>
          <w:sz w:val="21"/>
          <w:szCs w:val="28"/>
          <w:lang w:eastAsia="zh-CN"/>
        </w:rPr>
        <w:t>指南：《自主出版作者无障碍化指南》和“为所有人供书”之“无障碍出版入门工具”。2015年创建了ABC国际无障碍出版优秀奖，旨在促进</w:t>
      </w:r>
      <w:proofErr w:type="gramStart"/>
      <w:r w:rsidRPr="00F966B4">
        <w:rPr>
          <w:rFonts w:ascii="SimSun" w:hAnsi="SimSun" w:cs="Arial" w:hint="eastAsia"/>
          <w:sz w:val="21"/>
          <w:szCs w:val="28"/>
          <w:lang w:eastAsia="zh-CN"/>
        </w:rPr>
        <w:t>商业电</w:t>
      </w:r>
      <w:proofErr w:type="gramEnd"/>
      <w:r w:rsidRPr="00F966B4">
        <w:rPr>
          <w:rFonts w:ascii="SimSun" w:hAnsi="SimSun" w:cs="Arial" w:hint="eastAsia"/>
          <w:sz w:val="21"/>
          <w:szCs w:val="28"/>
          <w:lang w:eastAsia="zh-CN"/>
        </w:rPr>
        <w:t>子书无障碍的进步或面向视障者的其他数字出版的进步。今</w:t>
      </w:r>
      <w:r w:rsidRPr="00F966B4">
        <w:rPr>
          <w:rFonts w:ascii="SimSun" w:hAnsi="SimSun" w:cs="Arial" w:hint="eastAsia"/>
          <w:sz w:val="21"/>
          <w:szCs w:val="28"/>
          <w:lang w:eastAsia="zh-CN"/>
        </w:rPr>
        <w:lastRenderedPageBreak/>
        <w:t>年的获奖者是</w:t>
      </w:r>
      <w:proofErr w:type="gramStart"/>
      <w:r w:rsidRPr="00F966B4">
        <w:rPr>
          <w:rFonts w:ascii="SimSun" w:hAnsi="SimSun" w:cs="Arial" w:hint="eastAsia"/>
          <w:sz w:val="21"/>
          <w:szCs w:val="28"/>
          <w:lang w:eastAsia="zh-CN"/>
        </w:rPr>
        <w:t>爱思唯尔</w:t>
      </w:r>
      <w:proofErr w:type="gramEnd"/>
      <w:r w:rsidRPr="00F966B4">
        <w:rPr>
          <w:rFonts w:ascii="SimSun" w:hAnsi="SimSun" w:cs="Arial" w:hint="eastAsia"/>
          <w:sz w:val="21"/>
          <w:szCs w:val="28"/>
          <w:lang w:eastAsia="zh-CN"/>
        </w:rPr>
        <w:t>、DK盲文开发团队（企鹅兰登书屋的一部分），以及尼泊尔的一个非政府组织——残疾人权利和发展行动（ADRAD）。</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cs="Arial"/>
          <w:sz w:val="21"/>
          <w:szCs w:val="28"/>
          <w:lang w:eastAsia="zh-CN"/>
        </w:rPr>
      </w:pPr>
      <w:r w:rsidRPr="00B22E2B">
        <w:rPr>
          <w:rFonts w:ascii="SimSun" w:hAnsi="SimSun" w:cs="Arial"/>
          <w:b/>
          <w:bCs/>
          <w:color w:val="2051A0"/>
          <w:sz w:val="21"/>
          <w:szCs w:val="21"/>
          <w:lang w:eastAsia="zh-CN"/>
        </w:rPr>
        <w:t>“</w:t>
      </w:r>
      <w:r w:rsidRPr="00B22E2B">
        <w:rPr>
          <w:rFonts w:ascii="SimSun" w:hAnsi="SimSun" w:cs="Arial" w:hint="eastAsia"/>
          <w:b/>
          <w:bCs/>
          <w:color w:val="2051A0"/>
          <w:sz w:val="21"/>
          <w:szCs w:val="21"/>
          <w:lang w:eastAsia="zh-CN"/>
        </w:rPr>
        <w:t>获得研究成果促进发展创新”（</w:t>
      </w:r>
      <w:r w:rsidRPr="00B22E2B">
        <w:rPr>
          <w:rFonts w:ascii="SimSun" w:hAnsi="SimSun" w:cs="Arial"/>
          <w:b/>
          <w:bCs/>
          <w:color w:val="2051A0"/>
          <w:sz w:val="21"/>
          <w:szCs w:val="21"/>
          <w:lang w:eastAsia="zh-CN"/>
        </w:rPr>
        <w:t>ARDI</w:t>
      </w:r>
      <w:r w:rsidRPr="00B22E2B">
        <w:rPr>
          <w:rFonts w:ascii="SimSun" w:hAnsi="SimSun" w:cs="Arial" w:hint="eastAsia"/>
          <w:b/>
          <w:bCs/>
          <w:color w:val="2051A0"/>
          <w:sz w:val="21"/>
          <w:szCs w:val="21"/>
          <w:lang w:eastAsia="zh-CN"/>
        </w:rPr>
        <w:t>）</w:t>
      </w:r>
      <w:r w:rsidRPr="0074148F">
        <w:rPr>
          <w:rFonts w:ascii="SimSun" w:hAnsi="SimSun" w:cs="Arial" w:hint="eastAsia"/>
          <w:sz w:val="21"/>
          <w:szCs w:val="28"/>
          <w:lang w:eastAsia="zh-CN"/>
        </w:rPr>
        <w:t>计划为发展中国家和最不发达国家的机构与个人提供了获取科技期刊的机会。它是联合国公私伙伴关系“研究促进生活”的四个计划之一。它的增长依然显著，今年有八百多家机构进行了注册并积极使用了该计划，去年同期大约为五百家。可用内容也在迅速增长，</w:t>
      </w:r>
      <w:r w:rsidRPr="0074148F">
        <w:rPr>
          <w:rFonts w:ascii="SimSun" w:hAnsi="SimSun" w:hint="eastAsia"/>
          <w:sz w:val="21"/>
          <w:szCs w:val="28"/>
          <w:lang w:eastAsia="zh-CN"/>
        </w:rPr>
        <w:t>涉及</w:t>
      </w:r>
      <w:r w:rsidRPr="0074148F">
        <w:rPr>
          <w:rFonts w:ascii="SimSun" w:hAnsi="SimSun" w:cs="Arial" w:hint="eastAsia"/>
          <w:sz w:val="21"/>
          <w:szCs w:val="28"/>
          <w:lang w:eastAsia="zh-CN"/>
        </w:rPr>
        <w:t>27,500种订阅期刊和电子图书，较上年增长了25%。在ARDI注册的大多数机构都是学术性的（目前占50%），其次是研究机构（占16%）和政府机构（占15%），主要位于非洲（占50%）、亚洲（占27%）、美洲（占4%）和欧洲（占3%）。</w:t>
      </w:r>
      <w:r w:rsidRPr="00B22E2B">
        <w:rPr>
          <w:rFonts w:ascii="SimSun" w:hAnsi="SimSun" w:cs="Arial" w:hint="eastAsia"/>
          <w:b/>
          <w:bCs/>
          <w:color w:val="2051A0"/>
          <w:sz w:val="21"/>
          <w:szCs w:val="21"/>
          <w:lang w:eastAsia="zh-CN"/>
        </w:rPr>
        <w:t>“专业化专利信息查询”（</w:t>
      </w:r>
      <w:r w:rsidRPr="00B22E2B">
        <w:rPr>
          <w:rFonts w:ascii="SimSun" w:hAnsi="SimSun" w:cs="Arial"/>
          <w:b/>
          <w:bCs/>
          <w:color w:val="2051A0"/>
          <w:sz w:val="21"/>
          <w:szCs w:val="21"/>
          <w:lang w:eastAsia="zh-CN"/>
        </w:rPr>
        <w:t>ASPI</w:t>
      </w:r>
      <w:r w:rsidRPr="00B22E2B">
        <w:rPr>
          <w:rFonts w:ascii="SimSun" w:hAnsi="SimSun" w:cs="Arial" w:hint="eastAsia"/>
          <w:b/>
          <w:bCs/>
          <w:color w:val="2051A0"/>
          <w:sz w:val="21"/>
          <w:szCs w:val="21"/>
          <w:lang w:eastAsia="zh-CN"/>
        </w:rPr>
        <w:t>）</w:t>
      </w:r>
      <w:r w:rsidRPr="0074148F">
        <w:rPr>
          <w:rFonts w:ascii="SimSun" w:hAnsi="SimSun" w:cs="Arial" w:hint="eastAsia"/>
          <w:sz w:val="21"/>
          <w:szCs w:val="28"/>
          <w:lang w:eastAsia="zh-CN"/>
        </w:rPr>
        <w:t>计划也在继续增长，今年有50多家机构（去年是40家）在利用该计划所提供的商业专利数据库的增值功能和高级功能。可用数据库的数量今年已增至七个。</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经济分析与统计</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统计数据。</w:t>
      </w:r>
      <w:r w:rsidRPr="00F966B4">
        <w:rPr>
          <w:rFonts w:ascii="SimSun" w:hAnsi="SimSun" w:hint="eastAsia"/>
          <w:sz w:val="21"/>
          <w:szCs w:val="28"/>
          <w:lang w:eastAsia="zh-CN"/>
        </w:rPr>
        <w:t>知识产权统计数据为各种决策提供信息，是专利和商标局进行业务规划的重要信息</w:t>
      </w:r>
      <w:r w:rsidRPr="00F966B4">
        <w:rPr>
          <w:rFonts w:ascii="SimSun" w:hAnsi="SimSun" w:cs="Arial" w:hint="eastAsia"/>
          <w:sz w:val="21"/>
          <w:szCs w:val="28"/>
          <w:lang w:eastAsia="zh-CN"/>
        </w:rPr>
        <w:t>来源</w:t>
      </w:r>
      <w:r w:rsidRPr="00F966B4">
        <w:rPr>
          <w:rFonts w:ascii="SimSun" w:hAnsi="SimSun" w:hint="eastAsia"/>
          <w:sz w:val="21"/>
          <w:szCs w:val="28"/>
          <w:lang w:eastAsia="zh-CN"/>
        </w:rPr>
        <w:t>。此外，由于决策者努力监测国家创新体系的表现，知识产权统计数据现已成为不同国家在不同时间跟踪创新活动的几个现有指标之一。WIPO仍是唯一的全球知识产权统计数据提供方。与往年一样，2015年我们也更新了WIPO统计数据库，依托对全球知识产权局的统计调查，以及从PCT、马德里和海牙业务抽取的统计数据。我们感谢各成员国积极配合向</w:t>
      </w:r>
      <w:r w:rsidRPr="00F966B4">
        <w:rPr>
          <w:rFonts w:ascii="SimSun" w:hAnsi="SimSun"/>
          <w:sz w:val="21"/>
          <w:szCs w:val="28"/>
          <w:lang w:eastAsia="zh-CN"/>
        </w:rPr>
        <w:t>WIPO</w:t>
      </w:r>
      <w:r w:rsidRPr="00F966B4">
        <w:rPr>
          <w:rFonts w:ascii="SimSun" w:hAnsi="SimSun" w:hint="eastAsia"/>
          <w:sz w:val="21"/>
          <w:szCs w:val="28"/>
          <w:lang w:eastAsia="zh-CN"/>
        </w:rPr>
        <w:t>报告其统计数据，这促使我们的统计范围不断扩大。</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sz w:val="21"/>
          <w:szCs w:val="28"/>
          <w:lang w:eastAsia="zh-CN"/>
        </w:rPr>
        <w:t>WIPO</w:t>
      </w:r>
      <w:r w:rsidRPr="00F966B4">
        <w:rPr>
          <w:rFonts w:ascii="SimSun" w:hAnsi="SimSun" w:hint="eastAsia"/>
          <w:sz w:val="21"/>
          <w:szCs w:val="28"/>
          <w:lang w:eastAsia="zh-CN"/>
        </w:rPr>
        <w:t>统计数据库是一种公共产品，可以通过WIPO网站自由访问。为了满足不同用户的需求，包括知识产权专业人士、学术研究人员、决策者和记者，我们还在各种统计报告中阐述并讨论知识产权运用情况的最新趋势。这些报告包括年度世界知识产权指标、简短精悍的知识产权事实和数据，它们对专利、商标、工业品外观设计和植物新品种等注册知识产权主要形式的全球重大发展情况予以了概述。《2015年世界知识产权指标》的主题特别探讨了自80年代初以来前一百名专利申请人的专利申请行为。最后，PCT、马德里和海牙体系年鉴重点介绍了这些申请体系快速演变的主要进展。WIPO的统计报告被列为WIPO网站下载次数最多的出版物之一。</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必须记住的是，知识产权统计数据促进循证决策，可以让各利益相关方了解全球知识产权制度的演变情况，因此WIPO将继续努力确保及时收集和报告准确的全球统计信息。</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经济分析。</w:t>
      </w:r>
      <w:r w:rsidRPr="0074148F">
        <w:rPr>
          <w:rFonts w:ascii="SimSun" w:hAnsi="SimSun" w:hint="eastAsia"/>
          <w:sz w:val="21"/>
          <w:szCs w:val="28"/>
          <w:lang w:eastAsia="zh-CN"/>
        </w:rPr>
        <w:t>2015年，WIPO发布了第三份世界知识产权报告，主题为“突破式创新与经济增长”。我们旨在</w:t>
      </w:r>
      <w:r w:rsidRPr="0074148F">
        <w:rPr>
          <w:rFonts w:ascii="SimSun" w:hAnsi="SimSun" w:cs="Arial" w:hint="eastAsia"/>
          <w:sz w:val="21"/>
          <w:szCs w:val="28"/>
          <w:lang w:eastAsia="zh-CN"/>
        </w:rPr>
        <w:t>通过</w:t>
      </w:r>
      <w:r w:rsidRPr="0074148F">
        <w:rPr>
          <w:rFonts w:ascii="SimSun" w:hAnsi="SimSun" w:hint="eastAsia"/>
          <w:sz w:val="21"/>
          <w:szCs w:val="28"/>
          <w:lang w:eastAsia="zh-CN"/>
        </w:rPr>
        <w:t>一系列两年一期的世界知识产权报告，解释、澄清知识产权体系在各市场经济中的作用，为读者提供新的观点与视角。2008年全球金融危机以来，经济增长乏力，根据这一背景，2015年的报告记述了重大突破式创新在过去两百年推动经济增长的方式，并提出了今天的突破式创新在将来能否继续下去这一问题。报告着重于目前似乎持有突破之势的一些技术创新领域，特别是3D打印、纳米技术和机器人。报告讨论了创新对经济增长的贡献，探讨了正在繁荣发展的生态系统，以及知识产权制度在这些生态系统中的作用。另外，也分析了全球专利族，涵盖突破性创新的一些领域，并对创新活动的地域和制度起源提供了见解。</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2015年世界知识产权报告的发布出现在了大量的新闻报道中。报告发布一周内，已有两百多篇文章对此进行了报道。</w:t>
      </w:r>
      <w:proofErr w:type="gramStart"/>
      <w:r w:rsidRPr="00F966B4">
        <w:rPr>
          <w:rFonts w:ascii="SimSun" w:hAnsi="SimSun" w:hint="eastAsia"/>
          <w:sz w:val="21"/>
          <w:szCs w:val="28"/>
          <w:lang w:eastAsia="zh-CN"/>
        </w:rPr>
        <w:t>报告自</w:t>
      </w:r>
      <w:proofErr w:type="gramEnd"/>
      <w:r w:rsidRPr="00F966B4">
        <w:rPr>
          <w:rFonts w:ascii="SimSun" w:hAnsi="SimSun" w:hint="eastAsia"/>
          <w:sz w:val="21"/>
          <w:szCs w:val="28"/>
          <w:lang w:eastAsia="zh-CN"/>
        </w:rPr>
        <w:t>其发布以来，还已在世界各地的许多政策文件中被引用，同时也给重要的知识产权和创新论坛上的政策讨论提供了信息。目前正在就本系列报告的下一期报告开展工作，新报告将在2017年发布。</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lastRenderedPageBreak/>
        <w:t>全球创新指数。</w:t>
      </w:r>
      <w:r w:rsidRPr="0074148F">
        <w:rPr>
          <w:rFonts w:ascii="SimSun" w:hAnsi="SimSun" w:hint="eastAsia"/>
          <w:sz w:val="21"/>
          <w:szCs w:val="28"/>
          <w:lang w:eastAsia="zh-CN"/>
        </w:rPr>
        <w:t>同往年一样，WIPO和</w:t>
      </w:r>
      <w:proofErr w:type="gramStart"/>
      <w:r w:rsidRPr="0074148F">
        <w:rPr>
          <w:rFonts w:ascii="SimSun" w:hAnsi="SimSun" w:hint="eastAsia"/>
          <w:sz w:val="21"/>
          <w:szCs w:val="28"/>
          <w:lang w:eastAsia="zh-CN"/>
        </w:rPr>
        <w:t>康奈尔</w:t>
      </w:r>
      <w:proofErr w:type="gramEnd"/>
      <w:r w:rsidRPr="0074148F">
        <w:rPr>
          <w:rFonts w:ascii="SimSun" w:hAnsi="SimSun" w:hint="eastAsia"/>
          <w:sz w:val="21"/>
          <w:szCs w:val="28"/>
          <w:lang w:eastAsia="zh-CN"/>
        </w:rPr>
        <w:t>大学、英士国际商学院（INSEAD）共同发布了2016年全球创新指数（GII）。GII已发展成为一种用于识别国家创新体系表现优势和不足的有价值的基准工具。它旨在对采用综合指标、让决策者可以评估培育一种充满活力的知识型经济的最佳方式之必要性做出回应。2016年版涵盖了128个经济体，依据了82个创新投入和产出指标。它的发展得到了科尔尼管理咨询公司、阿联酋综合电信公司、印度工业联合会等知识合作伙伴的支持，由来自世界各地的公认的创新专家组成的一个顾问委员会也贡献了智慧。2016年全球创新指数在日内瓦全球首发之后，各媒体广泛报道了全球排名情况。</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交流</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我们通过多种渠道、媒体和平台与成员国和其他利益相关方沟通。在过去的一年里，我们的交流</w:t>
      </w:r>
      <w:r w:rsidRPr="00F966B4">
        <w:rPr>
          <w:rFonts w:ascii="SimSun" w:hAnsi="SimSun" w:cs="Arial" w:hint="eastAsia"/>
          <w:sz w:val="21"/>
          <w:szCs w:val="28"/>
          <w:lang w:eastAsia="zh-CN"/>
        </w:rPr>
        <w:t>工具</w:t>
      </w:r>
      <w:r w:rsidRPr="00F966B4">
        <w:rPr>
          <w:rFonts w:ascii="SimSun" w:hAnsi="SimSun" w:hint="eastAsia"/>
          <w:sz w:val="21"/>
          <w:szCs w:val="28"/>
          <w:lang w:eastAsia="zh-CN"/>
        </w:rPr>
        <w:t>、系统和产品得到了进一步的完善。</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媒体。</w:t>
      </w:r>
      <w:r w:rsidRPr="0074148F">
        <w:rPr>
          <w:rFonts w:ascii="SimSun" w:hAnsi="SimSun" w:hint="eastAsia"/>
          <w:sz w:val="21"/>
          <w:szCs w:val="28"/>
          <w:lang w:eastAsia="zh-CN"/>
        </w:rPr>
        <w:t>我们在</w:t>
      </w:r>
      <w:r w:rsidRPr="0074148F">
        <w:rPr>
          <w:rFonts w:ascii="SimSun" w:hAnsi="SimSun" w:hint="eastAsia"/>
          <w:b/>
          <w:sz w:val="21"/>
          <w:szCs w:val="28"/>
          <w:lang w:eastAsia="zh-CN"/>
        </w:rPr>
        <w:t>社交媒体</w:t>
      </w:r>
      <w:r w:rsidRPr="0074148F">
        <w:rPr>
          <w:rFonts w:ascii="SimSun" w:hAnsi="SimSun" w:hint="eastAsia"/>
          <w:sz w:val="21"/>
          <w:szCs w:val="28"/>
          <w:lang w:eastAsia="zh-CN"/>
        </w:rPr>
        <w:t>上的关注度不断增长。在Twitter上，我们的37</w:t>
      </w:r>
      <w:r w:rsidRPr="0074148F">
        <w:rPr>
          <w:rFonts w:ascii="SimSun" w:hAnsi="SimSun"/>
          <w:sz w:val="21"/>
          <w:szCs w:val="28"/>
          <w:lang w:eastAsia="zh-CN"/>
        </w:rPr>
        <w:t>,</w:t>
      </w:r>
      <w:r w:rsidRPr="0074148F">
        <w:rPr>
          <w:rFonts w:ascii="SimSun" w:hAnsi="SimSun" w:hint="eastAsia"/>
          <w:sz w:val="21"/>
          <w:szCs w:val="28"/>
          <w:lang w:eastAsia="zh-CN"/>
        </w:rPr>
        <w:t>200个关注者进行了高度参与，引人注目（2015年9月以来，约有21,400次转推，11</w:t>
      </w:r>
      <w:r w:rsidRPr="0074148F">
        <w:rPr>
          <w:rFonts w:ascii="SimSun" w:hAnsi="SimSun"/>
          <w:sz w:val="21"/>
          <w:szCs w:val="28"/>
          <w:lang w:eastAsia="zh-CN"/>
        </w:rPr>
        <w:t>,</w:t>
      </w:r>
      <w:r w:rsidRPr="0074148F">
        <w:rPr>
          <w:rFonts w:ascii="SimSun" w:hAnsi="SimSun" w:hint="eastAsia"/>
          <w:sz w:val="21"/>
          <w:szCs w:val="28"/>
          <w:lang w:eastAsia="zh-CN"/>
        </w:rPr>
        <w:t>700个赞，1.</w:t>
      </w:r>
      <w:r w:rsidRPr="0074148F">
        <w:rPr>
          <w:rFonts w:ascii="SimSun" w:hAnsi="SimSun" w:cs="Arial" w:hint="eastAsia"/>
          <w:sz w:val="21"/>
          <w:szCs w:val="28"/>
          <w:lang w:eastAsia="zh-CN"/>
        </w:rPr>
        <w:t>557</w:t>
      </w:r>
      <w:r w:rsidRPr="0074148F">
        <w:rPr>
          <w:rFonts w:ascii="SimSun" w:hAnsi="SimSun" w:hint="eastAsia"/>
          <w:sz w:val="21"/>
          <w:szCs w:val="28"/>
          <w:lang w:eastAsia="zh-CN"/>
        </w:rPr>
        <w:t>亿次显示）。YouTube频道上的WIPO视频总浏览量已经突破1</w:t>
      </w:r>
      <w:r w:rsidRPr="0074148F">
        <w:rPr>
          <w:rFonts w:ascii="SimSun" w:hAnsi="SimSun"/>
          <w:sz w:val="21"/>
          <w:szCs w:val="28"/>
          <w:lang w:eastAsia="zh-CN"/>
        </w:rPr>
        <w:t>,</w:t>
      </w:r>
      <w:r w:rsidRPr="0074148F">
        <w:rPr>
          <w:rFonts w:ascii="SimSun" w:hAnsi="SimSun" w:hint="eastAsia"/>
          <w:sz w:val="21"/>
          <w:szCs w:val="28"/>
          <w:lang w:eastAsia="zh-CN"/>
        </w:rPr>
        <w:t>100万大关，自WIPO上届成员国大会以来又新增了约一百个视频，涉及全球创新者和创造者运用知识产权的新闻、活动和介绍。Flickr上面的WIPO图片总浏览量超过了400万，过去一年新增了一百多万的浏览量。</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WIPO还继续通过</w:t>
      </w:r>
      <w:r w:rsidRPr="00F966B4">
        <w:rPr>
          <w:rFonts w:ascii="SimSun" w:hAnsi="SimSun" w:hint="eastAsia"/>
          <w:b/>
          <w:sz w:val="21"/>
          <w:szCs w:val="28"/>
          <w:lang w:eastAsia="zh-CN"/>
        </w:rPr>
        <w:t>媒体</w:t>
      </w:r>
      <w:r w:rsidRPr="00F966B4">
        <w:rPr>
          <w:rFonts w:ascii="SimSun" w:hAnsi="SimSun" w:hint="eastAsia"/>
          <w:sz w:val="21"/>
          <w:szCs w:val="28"/>
          <w:lang w:eastAsia="zh-CN"/>
        </w:rPr>
        <w:t>接触利益相关方。《2015年世界知识产权报告》和《世界知识产权组织服务报告》的发布被全球新闻媒体大量报道，特别是东亚地区的新闻媒体，2016年全球创新指数发布会被证明是我们迄今最成功的媒体活动。传统的新闻联络是这项工作的重要组成部分，其中包括针对特定国家的专门报道。不过，我们也在逐渐使用</w:t>
      </w:r>
      <w:r w:rsidRPr="00F966B4">
        <w:rPr>
          <w:rFonts w:ascii="SimSun" w:hAnsi="SimSun" w:hint="eastAsia"/>
          <w:b/>
          <w:sz w:val="21"/>
          <w:szCs w:val="28"/>
          <w:lang w:eastAsia="zh-CN"/>
        </w:rPr>
        <w:t>视频</w:t>
      </w:r>
      <w:r w:rsidRPr="00F966B4">
        <w:rPr>
          <w:rFonts w:ascii="SimSun" w:hAnsi="SimSun" w:hint="eastAsia"/>
          <w:sz w:val="21"/>
          <w:szCs w:val="28"/>
          <w:lang w:eastAsia="zh-CN"/>
        </w:rPr>
        <w:t>和动态图形传播新闻，如伴随《</w:t>
      </w:r>
      <w:r w:rsidRPr="00F966B4">
        <w:rPr>
          <w:rFonts w:ascii="SimSun" w:hAnsi="SimSun"/>
          <w:sz w:val="21"/>
          <w:szCs w:val="28"/>
          <w:lang w:eastAsia="zh-CN"/>
        </w:rPr>
        <w:t>2015</w:t>
      </w:r>
      <w:r w:rsidRPr="00F966B4">
        <w:rPr>
          <w:rFonts w:ascii="SimSun" w:hAnsi="SimSun" w:hint="eastAsia"/>
          <w:sz w:val="21"/>
          <w:szCs w:val="28"/>
          <w:lang w:eastAsia="zh-CN"/>
        </w:rPr>
        <w:t>年世界知识产权指标》的动画短片，吸引广大公众的兴趣。</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为吸引广大公众的兴趣，计划在大会期间发布一个新的WIPO视频，将对WIPO工作及其在支持创新和创造力方面的作用给予引人入胜的概述，仅用三分钟的时间。新的视频</w:t>
      </w:r>
      <w:proofErr w:type="gramStart"/>
      <w:r w:rsidRPr="00F966B4">
        <w:rPr>
          <w:rFonts w:ascii="SimSun" w:hAnsi="SimSun" w:hint="eastAsia"/>
          <w:sz w:val="21"/>
          <w:szCs w:val="28"/>
          <w:lang w:eastAsia="zh-CN"/>
        </w:rPr>
        <w:t>以之前</w:t>
      </w:r>
      <w:proofErr w:type="gramEnd"/>
      <w:r w:rsidRPr="00F966B4">
        <w:rPr>
          <w:rFonts w:ascii="SimSun" w:hAnsi="SimSun" w:hint="eastAsia"/>
          <w:sz w:val="21"/>
          <w:szCs w:val="28"/>
          <w:lang w:eastAsia="zh-CN"/>
        </w:rPr>
        <w:t>的工作为基础，旨在加强人们对WIPO的品牌认识。</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世界知识产权日。</w:t>
      </w:r>
      <w:r w:rsidRPr="0074148F">
        <w:rPr>
          <w:rFonts w:ascii="SimSun" w:hAnsi="SimSun" w:hint="eastAsia"/>
          <w:sz w:val="21"/>
          <w:szCs w:val="28"/>
          <w:lang w:eastAsia="zh-CN"/>
        </w:rPr>
        <w:t>今年，无论是在线和离线都特别受欢迎的活动是世界知识产权日，这是WIPO每年举办的宣传活动。今年的宣传活动以“数字创意，重塑文化”这一主题为</w:t>
      </w:r>
      <w:r w:rsidRPr="0074148F">
        <w:rPr>
          <w:rFonts w:ascii="SimSun" w:hAnsi="SimSun" w:cs="Arial" w:hint="eastAsia"/>
          <w:sz w:val="21"/>
          <w:szCs w:val="28"/>
          <w:lang w:eastAsia="zh-CN"/>
        </w:rPr>
        <w:t>重点</w:t>
      </w:r>
      <w:r w:rsidRPr="0074148F">
        <w:rPr>
          <w:rFonts w:ascii="SimSun" w:hAnsi="SimSun" w:hint="eastAsia"/>
          <w:sz w:val="21"/>
          <w:szCs w:val="28"/>
          <w:lang w:eastAsia="zh-CN"/>
        </w:rPr>
        <w:t>，并以“WIPO全球数字内容市场会议”的主题为根基，鼓励与会者探讨数字技术改变知识产权的生产和消费的多种方式。这一主题特别适合社交媒体，WIPO的各平台产生了创纪录的互动：世界知识产权日Facebook粉丝达32</w:t>
      </w:r>
      <w:r w:rsidRPr="0074148F">
        <w:rPr>
          <w:rFonts w:ascii="SimSun" w:hAnsi="SimSun"/>
          <w:sz w:val="21"/>
          <w:szCs w:val="28"/>
          <w:lang w:eastAsia="zh-CN"/>
        </w:rPr>
        <w:t>,</w:t>
      </w:r>
      <w:r w:rsidRPr="0074148F">
        <w:rPr>
          <w:rFonts w:ascii="SimSun" w:hAnsi="SimSun" w:hint="eastAsia"/>
          <w:sz w:val="21"/>
          <w:szCs w:val="28"/>
          <w:lang w:eastAsia="zh-CN"/>
        </w:rPr>
        <w:t>400个，YouTube和视频浏览量达</w:t>
      </w:r>
      <w:r w:rsidRPr="0074148F">
        <w:rPr>
          <w:rFonts w:ascii="SimSun" w:hAnsi="SimSun"/>
          <w:sz w:val="21"/>
          <w:szCs w:val="28"/>
          <w:lang w:eastAsia="zh-CN"/>
        </w:rPr>
        <w:t>11,430</w:t>
      </w:r>
      <w:r w:rsidRPr="0074148F">
        <w:rPr>
          <w:rFonts w:ascii="SimSun" w:hAnsi="SimSun" w:hint="eastAsia"/>
          <w:sz w:val="21"/>
          <w:szCs w:val="28"/>
          <w:lang w:eastAsia="zh-CN"/>
        </w:rPr>
        <w:t>次，Twitter上的显示达1,080万次，总数比上一年度翻了一番。“现实”世界中的参与度也很强劲，121个国家报道了451项世界知识产权日活动，也创下了记录，其中包括</w:t>
      </w:r>
      <w:r w:rsidRPr="0074148F">
        <w:rPr>
          <w:rFonts w:ascii="SimSun" w:hAnsi="SimSun"/>
          <w:sz w:val="21"/>
          <w:szCs w:val="28"/>
          <w:lang w:eastAsia="zh-CN"/>
        </w:rPr>
        <w:t>WIPO</w:t>
      </w:r>
      <w:r w:rsidRPr="0074148F">
        <w:rPr>
          <w:rFonts w:ascii="SimSun" w:hAnsi="SimSun" w:hint="eastAsia"/>
          <w:sz w:val="21"/>
          <w:szCs w:val="28"/>
          <w:lang w:eastAsia="zh-CN"/>
        </w:rPr>
        <w:t>各驻外办事处的大量活动计划。我们的媒体监测服务确定出，用联合国六种语言发表了9,900篇世界知识产权</w:t>
      </w:r>
      <w:proofErr w:type="gramStart"/>
      <w:r w:rsidRPr="0074148F">
        <w:rPr>
          <w:rFonts w:ascii="SimSun" w:hAnsi="SimSun" w:hint="eastAsia"/>
          <w:sz w:val="21"/>
          <w:szCs w:val="28"/>
          <w:lang w:eastAsia="zh-CN"/>
        </w:rPr>
        <w:t>日相关</w:t>
      </w:r>
      <w:proofErr w:type="gramEnd"/>
      <w:r w:rsidRPr="0074148F">
        <w:rPr>
          <w:rFonts w:ascii="SimSun" w:hAnsi="SimSun" w:hint="eastAsia"/>
          <w:sz w:val="21"/>
          <w:szCs w:val="28"/>
          <w:lang w:eastAsia="zh-CN"/>
        </w:rPr>
        <w:t>文章，迄今为止报道数量最多的是中国。</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通讯。</w:t>
      </w:r>
      <w:r w:rsidRPr="00F966B4">
        <w:rPr>
          <w:rFonts w:ascii="SimSun" w:hAnsi="SimSun" w:hint="eastAsia"/>
          <w:sz w:val="21"/>
          <w:szCs w:val="28"/>
          <w:lang w:eastAsia="zh-CN"/>
        </w:rPr>
        <w:t>继2015年6月启用新的电子通讯邮件平台之后，现在WIPO以多种语言为订阅用户提供23个特定主题的通讯精选，涵盖了从传统知识到PCT发展的全部内容。订阅用户打开通讯内容的次数已超过两百万次，产生了约</w:t>
      </w:r>
      <w:r w:rsidRPr="00F966B4">
        <w:rPr>
          <w:rFonts w:ascii="SimSun" w:hAnsi="SimSun"/>
          <w:sz w:val="21"/>
          <w:szCs w:val="28"/>
          <w:lang w:eastAsia="zh-CN"/>
        </w:rPr>
        <w:t>580,000</w:t>
      </w:r>
      <w:r w:rsidRPr="00F966B4">
        <w:rPr>
          <w:rFonts w:ascii="SimSun" w:hAnsi="SimSun" w:hint="eastAsia"/>
          <w:sz w:val="21"/>
          <w:szCs w:val="28"/>
          <w:lang w:eastAsia="zh-CN"/>
        </w:rPr>
        <w:t>次点击，以通往WIPO网站上的进一步内容。</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74148F">
        <w:rPr>
          <w:rFonts w:ascii="SimSun" w:hAnsi="SimSun" w:hint="eastAsia"/>
          <w:sz w:val="21"/>
          <w:szCs w:val="28"/>
          <w:lang w:eastAsia="zh-CN"/>
        </w:rPr>
        <w:t>最受欢迎的通讯是</w:t>
      </w:r>
      <w:r w:rsidRPr="00B22E2B">
        <w:rPr>
          <w:rFonts w:ascii="SimSun" w:hAnsi="SimSun"/>
          <w:b/>
          <w:sz w:val="21"/>
          <w:szCs w:val="28"/>
          <w:lang w:eastAsia="zh-CN"/>
        </w:rPr>
        <w:t>WIPO Wire</w:t>
      </w:r>
      <w:r w:rsidRPr="00B22E2B">
        <w:rPr>
          <w:rFonts w:ascii="SimSun" w:hAnsi="SimSun" w:hint="eastAsia"/>
          <w:sz w:val="21"/>
          <w:szCs w:val="28"/>
          <w:lang w:eastAsia="zh-CN"/>
        </w:rPr>
        <w:t>，</w:t>
      </w:r>
      <w:r w:rsidRPr="00F966B4">
        <w:rPr>
          <w:rFonts w:ascii="SimSun" w:hAnsi="SimSun" w:hint="eastAsia"/>
          <w:sz w:val="21"/>
          <w:szCs w:val="28"/>
          <w:lang w:eastAsia="zh-CN"/>
        </w:rPr>
        <w:t>该通讯是有关WIPO新闻、推荐内容、视频剪辑和资源建议的精选信息，每两周发布一期，以联合国六种正式语言提供。</w:t>
      </w:r>
      <w:r w:rsidRPr="00B22E2B">
        <w:rPr>
          <w:rFonts w:ascii="SimSun" w:hAnsi="SimSun"/>
          <w:sz w:val="21"/>
          <w:szCs w:val="28"/>
          <w:lang w:eastAsia="zh-CN"/>
        </w:rPr>
        <w:t>WIPO Wire</w:t>
      </w:r>
      <w:r w:rsidRPr="00F966B4">
        <w:rPr>
          <w:rFonts w:ascii="SimSun" w:hAnsi="SimSun" w:hint="eastAsia"/>
          <w:sz w:val="21"/>
          <w:szCs w:val="28"/>
          <w:lang w:eastAsia="zh-CN"/>
        </w:rPr>
        <w:t>于2015年年中推出，现在已有来自170多个国家的约</w:t>
      </w:r>
      <w:r w:rsidRPr="00F966B4">
        <w:rPr>
          <w:rFonts w:ascii="SimSun" w:hAnsi="SimSun"/>
          <w:sz w:val="21"/>
          <w:szCs w:val="28"/>
          <w:lang w:eastAsia="zh-CN"/>
        </w:rPr>
        <w:t>12,000</w:t>
      </w:r>
      <w:r w:rsidRPr="00F966B4">
        <w:rPr>
          <w:rFonts w:ascii="SimSun" w:hAnsi="SimSun" w:hint="eastAsia"/>
          <w:sz w:val="21"/>
          <w:szCs w:val="28"/>
          <w:lang w:eastAsia="zh-CN"/>
        </w:rPr>
        <w:t>名订阅用户，继续达到高于行业平均水平的“打开率”。</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lastRenderedPageBreak/>
        <w:t>数字出版物。</w:t>
      </w:r>
      <w:r w:rsidRPr="00F966B4">
        <w:rPr>
          <w:rFonts w:ascii="SimSun" w:hAnsi="SimSun" w:hint="eastAsia"/>
          <w:sz w:val="21"/>
          <w:szCs w:val="28"/>
          <w:lang w:eastAsia="zh-CN"/>
        </w:rPr>
        <w:t>我们于2月在WIPO网站上推出了一个</w:t>
      </w:r>
      <w:r w:rsidRPr="00B22E2B">
        <w:rPr>
          <w:rFonts w:ascii="SimSun" w:hAnsi="SimSun" w:hint="eastAsia"/>
          <w:sz w:val="21"/>
          <w:szCs w:val="28"/>
          <w:lang w:eastAsia="zh-CN"/>
        </w:rPr>
        <w:t>新平台</w:t>
      </w:r>
      <w:r w:rsidRPr="00F966B4">
        <w:rPr>
          <w:rFonts w:ascii="SimSun" w:hAnsi="SimSun" w:hint="eastAsia"/>
          <w:sz w:val="21"/>
          <w:szCs w:val="28"/>
          <w:lang w:eastAsia="zh-CN"/>
        </w:rPr>
        <w:t>，使用户能更轻松地检索和使用载于</w:t>
      </w:r>
      <w:r w:rsidRPr="00F966B4">
        <w:rPr>
          <w:rFonts w:ascii="SimSun" w:hAnsi="SimSun"/>
          <w:sz w:val="21"/>
          <w:szCs w:val="28"/>
          <w:lang w:eastAsia="zh-CN"/>
        </w:rPr>
        <w:t>1,100</w:t>
      </w:r>
      <w:r w:rsidRPr="00F966B4">
        <w:rPr>
          <w:rFonts w:ascii="SimSun" w:hAnsi="SimSun" w:hint="eastAsia"/>
          <w:sz w:val="21"/>
          <w:szCs w:val="28"/>
          <w:lang w:eastAsia="zh-CN"/>
        </w:rPr>
        <w:t>多份WIPO出版物和信息产品中的知识。现在我们在网上提供所有WIPO出版物，供免费下载（包括那些之前用于销售的出版物），并通过按需印刷服务提供购买纸质副本的选择。</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在采纳</w:t>
      </w:r>
      <w:r w:rsidRPr="00B22E2B">
        <w:rPr>
          <w:rFonts w:ascii="SimSun" w:hAnsi="SimSun" w:hint="eastAsia"/>
          <w:sz w:val="21"/>
          <w:szCs w:val="28"/>
          <w:lang w:eastAsia="zh-CN"/>
        </w:rPr>
        <w:t>开放获取政策</w:t>
      </w:r>
      <w:r w:rsidRPr="00F966B4">
        <w:rPr>
          <w:rFonts w:ascii="SimSun" w:hAnsi="SimSun" w:hint="eastAsia"/>
          <w:sz w:val="21"/>
          <w:szCs w:val="28"/>
          <w:lang w:eastAsia="zh-CN"/>
        </w:rPr>
        <w:t>后，今后WIPO网络出版物的发布将依据知识共享（CC）政府间组织许可中的一种。这些许可是产权组织帮助制定的，意味着用户可以复制、发行或改编WIPO的内容，无需寻求许可。</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作为《无障碍出版章程》的首批签署人之一，WIPO承诺将其内容提供给所有读者，包括视力障碍或其他印刷品阅读障碍者。一个培训工作人员的项目正在进行，目的是在2017年开始制作“天生无障碍”的数字出版物。</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改善客户服务管理。</w:t>
      </w:r>
      <w:r w:rsidRPr="00F966B4">
        <w:rPr>
          <w:rFonts w:ascii="SimSun" w:hAnsi="SimSun" w:hint="eastAsia"/>
          <w:sz w:val="21"/>
          <w:szCs w:val="28"/>
          <w:lang w:eastAsia="zh-CN"/>
        </w:rPr>
        <w:t>2016年成立了高层级的客户服务委员会，以监督和改善整个产权组织提供的客户服务。该委员会作为高级团队，负责产权组织层面上关于客户服务的战略、管理和运行方面的所有决定。初期的讨论侧重于WIPO各个层面客户服务的整体方法——技术、实践、程序、培训、与客户服务相关的战略目标和绩效考核——并确定了在整个WIPO全球知识产权服务中统</w:t>
      </w:r>
      <w:proofErr w:type="gramStart"/>
      <w:r w:rsidRPr="00F966B4">
        <w:rPr>
          <w:rFonts w:ascii="SimSun" w:hAnsi="SimSun" w:hint="eastAsia"/>
          <w:sz w:val="21"/>
          <w:szCs w:val="28"/>
          <w:lang w:eastAsia="zh-CN"/>
        </w:rPr>
        <w:t>一</w:t>
      </w:r>
      <w:proofErr w:type="gramEnd"/>
      <w:r w:rsidRPr="00F966B4">
        <w:rPr>
          <w:rFonts w:ascii="SimSun" w:hAnsi="SimSun" w:hint="eastAsia"/>
          <w:sz w:val="21"/>
          <w:szCs w:val="28"/>
          <w:lang w:eastAsia="zh-CN"/>
        </w:rPr>
        <w:t>和提升客户体验的优先事项。</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树立尊重知识产权的风尚</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WIPO树立尊重知识产权风尚的方法支持创建一个有利的环境，以可持续的方式促进对知识产权的尊重，并在成员国加强有效的知识产权执法的能力，同时考虑到社会经济利益和与发展有关的问题。</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产权组织继续开发工具，帮助成员国在一般大众和执法人员等专门受众中开展意识提升活动。《WIPO知识产权犯罪起诉培训手册》于2015年推出了英文版，现在已制作了阿拉伯文、法文和西班牙文版。该手册为成员国提供了实用的培训工具，面向所有参与执行关于知识产权犯罪的国家立法的人们。对于年轻一代，产权组织在大韩民国提供的信托基金支持下，针对10–15岁的少年儿童创建了一个关于尊重版权的互动教育网站。该网站以引发兴趣、激发思考的风格设计，包括面向学生的五个模块以及面向教师的指导性说明。正在开展关于创建尊重商标和外观设计的伙伴网站的计划，该网站将于2017年推出。</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产权组织在发展兼顾各方利益的“树立尊重知识产权风尚”这一思想方面的工作，在能力建设、技术援助和知识共享方面的各种活动，以及WIPO执法咨询委员会越来越强的重要性，通过颁发给WIPO的“2016年全球反假冒（</w:t>
      </w:r>
      <w:r w:rsidRPr="00F966B4">
        <w:rPr>
          <w:rFonts w:ascii="SimSun" w:hAnsi="SimSun"/>
          <w:sz w:val="21"/>
          <w:szCs w:val="28"/>
          <w:lang w:eastAsia="zh-CN"/>
        </w:rPr>
        <w:t>GAC</w:t>
      </w:r>
      <w:r w:rsidRPr="00F966B4">
        <w:rPr>
          <w:rFonts w:ascii="SimSun" w:hAnsi="SimSun" w:hint="eastAsia"/>
          <w:sz w:val="21"/>
          <w:szCs w:val="28"/>
          <w:lang w:eastAsia="zh-CN"/>
        </w:rPr>
        <w:t>）国际公共机构奖”得到了认可。</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sz w:val="21"/>
          <w:szCs w:val="28"/>
          <w:lang w:eastAsia="zh-CN"/>
        </w:rPr>
        <w:t>WIPO</w:t>
      </w:r>
      <w:r w:rsidRPr="0074148F">
        <w:rPr>
          <w:rFonts w:ascii="SimHei" w:eastAsia="SimHei" w:hAnsi="SimHei" w:hint="eastAsia"/>
          <w:sz w:val="21"/>
          <w:szCs w:val="28"/>
          <w:lang w:eastAsia="zh-CN"/>
        </w:rPr>
        <w:t>园区</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WIPO园区现在已经完工。2015年秋季至2016年初夏期间，植被工程和其他</w:t>
      </w:r>
      <w:proofErr w:type="gramStart"/>
      <w:r w:rsidRPr="00F966B4">
        <w:rPr>
          <w:rFonts w:ascii="SimSun" w:hAnsi="SimSun" w:hint="eastAsia"/>
          <w:sz w:val="21"/>
          <w:szCs w:val="28"/>
          <w:lang w:eastAsia="zh-CN"/>
        </w:rPr>
        <w:t>外部城市</w:t>
      </w:r>
      <w:proofErr w:type="gramEnd"/>
      <w:r w:rsidRPr="00F966B4">
        <w:rPr>
          <w:rFonts w:ascii="SimSun" w:hAnsi="SimSun" w:hint="eastAsia"/>
          <w:sz w:val="21"/>
          <w:szCs w:val="28"/>
          <w:lang w:eastAsia="zh-CN"/>
        </w:rPr>
        <w:t>面貌工程进入WIPO园区，为外部景观带来了最后的润色。新楼屋顶上的草坪被本地专家认定为引人注目的景观，因为它的生长在城市环境中展现了极为罕见的植物多样性。它正在成为日内瓦州这一部分区域的地标。总的来说，WIPO园区在建筑元素、动植物、员工和代表的福祉和舒适度，以及为在地面自由通行的邻居提供愉悦环境之间，促成了重要的平衡。根据使用者的需求，我们已经在继续发展会议室的设施，如升级</w:t>
      </w:r>
      <w:r w:rsidRPr="00F966B4">
        <w:rPr>
          <w:rFonts w:ascii="SimSun" w:hAnsi="SimSun"/>
          <w:sz w:val="21"/>
          <w:szCs w:val="28"/>
          <w:lang w:eastAsia="zh-CN"/>
        </w:rPr>
        <w:t>Wi-Fi</w:t>
      </w:r>
      <w:r w:rsidRPr="00F966B4">
        <w:rPr>
          <w:rFonts w:ascii="SimSun" w:hAnsi="SimSun" w:hint="eastAsia"/>
          <w:sz w:val="21"/>
          <w:szCs w:val="28"/>
          <w:lang w:eastAsia="zh-CN"/>
        </w:rPr>
        <w:t>连接，以支持多个并行会议。</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在可能的情况下，我们努力与日内瓦国际社会共享园区设施，包括新会议厅。在上一年，WIPO已经成为其他国际组织和成员国举办的多个会议、包括七个国庆招待会的选择地点。这些设施的出租优化了对产权组织资产的利用，同时还有助于满足政府间活动对先进会议室的高需求。</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lastRenderedPageBreak/>
        <w:t>碳中和。</w:t>
      </w:r>
      <w:r w:rsidRPr="00F966B4">
        <w:rPr>
          <w:rFonts w:ascii="SimSun" w:hAnsi="SimSun" w:hint="eastAsia"/>
          <w:sz w:val="21"/>
          <w:szCs w:val="28"/>
          <w:lang w:eastAsia="zh-CN"/>
        </w:rPr>
        <w:t>现在WIPO已落实了必要措施，以按照2014年联合国秘书长的呼吁，在2020年之前实现碳中和。除了采取措施减少整个园区的能源浪费，我们继续投资新技术，还在适当的时候继续进行整修，以减少能源消耗。WIPO从联合国气候问题变化框架公约（</w:t>
      </w:r>
      <w:r w:rsidRPr="00F966B4">
        <w:rPr>
          <w:rFonts w:ascii="SimSun" w:hAnsi="SimSun"/>
          <w:sz w:val="21"/>
          <w:szCs w:val="28"/>
          <w:lang w:eastAsia="zh-CN"/>
        </w:rPr>
        <w:t>UNFCCC</w:t>
      </w:r>
      <w:r w:rsidRPr="00F966B4">
        <w:rPr>
          <w:rFonts w:ascii="SimSun" w:hAnsi="SimSun" w:hint="eastAsia"/>
          <w:sz w:val="21"/>
          <w:szCs w:val="28"/>
          <w:lang w:eastAsia="zh-CN"/>
        </w:rPr>
        <w:t>）购买了抵消证书，为航空旅行带来的排放等“不可避免的”排放</w:t>
      </w:r>
      <w:proofErr w:type="gramStart"/>
      <w:r w:rsidRPr="00F966B4">
        <w:rPr>
          <w:rFonts w:ascii="SimSun" w:hAnsi="SimSun" w:hint="eastAsia"/>
          <w:sz w:val="21"/>
          <w:szCs w:val="28"/>
          <w:lang w:eastAsia="zh-CN"/>
        </w:rPr>
        <w:t>作出</w:t>
      </w:r>
      <w:proofErr w:type="gramEnd"/>
      <w:r w:rsidRPr="00F966B4">
        <w:rPr>
          <w:rFonts w:ascii="SimSun" w:hAnsi="SimSun" w:hint="eastAsia"/>
          <w:sz w:val="21"/>
          <w:szCs w:val="28"/>
          <w:lang w:eastAsia="zh-CN"/>
        </w:rPr>
        <w:t>补偿。</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B22E2B">
        <w:rPr>
          <w:rFonts w:ascii="SimSun" w:hAnsi="SimSun" w:cs="Arial" w:hint="eastAsia"/>
          <w:b/>
          <w:bCs/>
          <w:color w:val="2051A0"/>
          <w:sz w:val="21"/>
          <w:szCs w:val="21"/>
          <w:lang w:eastAsia="zh-CN"/>
        </w:rPr>
        <w:t>安保。</w:t>
      </w:r>
      <w:r w:rsidRPr="005564CD">
        <w:rPr>
          <w:rFonts w:ascii="SimSun" w:hAnsi="SimSun" w:hint="eastAsia"/>
          <w:sz w:val="21"/>
          <w:szCs w:val="28"/>
          <w:lang w:eastAsia="zh-CN"/>
        </w:rPr>
        <w:t>W</w:t>
      </w:r>
      <w:r w:rsidRPr="00F966B4">
        <w:rPr>
          <w:rFonts w:ascii="SimSun" w:hAnsi="SimSun" w:hint="eastAsia"/>
          <w:sz w:val="21"/>
          <w:szCs w:val="28"/>
          <w:lang w:eastAsia="zh-CN"/>
        </w:rPr>
        <w:t>IPO高级管理层继续高度重视人员、信息和有形资产的安全。2015年，我们完成了总部业务安全最低标准（H-MOSS）项目，带来的改进增强了整个WIPO园区的安全和安保管理。根据基于绩效的合同，选择并成功过渡到了一个新的保安服务公司，为这一工作提供了支持。现在，与PCT、马德里和海牙体系有关的信息安全实践已经获得了国际认证，还通过许多信息安全宣传活动对这些实践加以辅助。为防在日内瓦发生影响到产权组织的事件，我们已经制定并测试了业务连续性计划。</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驻外办事处</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对于</w:t>
      </w:r>
      <w:r w:rsidRPr="00F966B4">
        <w:rPr>
          <w:rFonts w:ascii="SimSun" w:hAnsi="SimSun"/>
          <w:sz w:val="21"/>
          <w:szCs w:val="28"/>
          <w:lang w:eastAsia="zh-CN"/>
        </w:rPr>
        <w:t>WIPO</w:t>
      </w:r>
      <w:r w:rsidRPr="00F966B4">
        <w:rPr>
          <w:rFonts w:ascii="SimSun" w:hAnsi="SimSun" w:hint="eastAsia"/>
          <w:sz w:val="21"/>
          <w:szCs w:val="28"/>
          <w:lang w:eastAsia="zh-CN"/>
        </w:rPr>
        <w:t>驻莫斯科（涵盖俄罗斯联邦）、北京（涵盖中国）、里约热内卢（涵盖巴西）、东京（涵盖日本）和新加坡（涵盖东盟）办事处而言，去年又是忙碌的一年。针对东道国及地区需要，这些驻外办事处为推进各种计划做出了贡献。例如，</w:t>
      </w:r>
      <w:r w:rsidRPr="00F966B4">
        <w:rPr>
          <w:rFonts w:ascii="SimSun" w:hAnsi="SimSun"/>
          <w:sz w:val="21"/>
          <w:szCs w:val="28"/>
          <w:lang w:eastAsia="zh-CN"/>
        </w:rPr>
        <w:t>WIPO</w:t>
      </w:r>
      <w:r w:rsidRPr="00F966B4">
        <w:rPr>
          <w:rFonts w:ascii="SimSun" w:hAnsi="SimSun" w:hint="eastAsia"/>
          <w:sz w:val="21"/>
          <w:szCs w:val="28"/>
          <w:lang w:eastAsia="zh-CN"/>
        </w:rPr>
        <w:t>中国办事处为建立及加强包括在北京和全国各地同各级</w:t>
      </w:r>
      <w:r w:rsidRPr="00F966B4">
        <w:rPr>
          <w:rFonts w:ascii="SimSun" w:hAnsi="SimSun" w:cs="Arial" w:hint="eastAsia"/>
          <w:sz w:val="21"/>
          <w:szCs w:val="28"/>
          <w:lang w:eastAsia="zh-CN"/>
        </w:rPr>
        <w:t>政府</w:t>
      </w:r>
      <w:r w:rsidRPr="00F966B4">
        <w:rPr>
          <w:rFonts w:ascii="SimSun" w:hAnsi="SimSun" w:hint="eastAsia"/>
          <w:sz w:val="21"/>
          <w:szCs w:val="28"/>
          <w:lang w:eastAsia="zh-CN"/>
        </w:rPr>
        <w:t>、地方媒体组织和行业协会之间的联系做出了大量努力，大力协助中国推广</w:t>
      </w:r>
      <w:r w:rsidRPr="00F966B4">
        <w:rPr>
          <w:rFonts w:ascii="SimSun" w:hAnsi="SimSun"/>
          <w:sz w:val="21"/>
          <w:szCs w:val="28"/>
          <w:lang w:eastAsia="zh-CN"/>
        </w:rPr>
        <w:t>WIPO</w:t>
      </w:r>
      <w:r w:rsidRPr="00F966B4">
        <w:rPr>
          <w:rFonts w:ascii="SimSun" w:hAnsi="SimSun" w:hint="eastAsia"/>
          <w:sz w:val="21"/>
          <w:szCs w:val="28"/>
          <w:lang w:eastAsia="zh-CN"/>
        </w:rPr>
        <w:t>全球知识产权服务和平台。</w:t>
      </w:r>
      <w:r w:rsidRPr="00F966B4">
        <w:rPr>
          <w:rFonts w:ascii="SimSun" w:hAnsi="SimSun"/>
          <w:sz w:val="21"/>
          <w:szCs w:val="28"/>
          <w:lang w:eastAsia="zh-CN"/>
        </w:rPr>
        <w:t>WIPO</w:t>
      </w:r>
      <w:r w:rsidRPr="00F966B4">
        <w:rPr>
          <w:rFonts w:ascii="SimSun" w:hAnsi="SimSun" w:hint="eastAsia"/>
          <w:sz w:val="21"/>
          <w:szCs w:val="28"/>
          <w:lang w:eastAsia="zh-CN"/>
        </w:rPr>
        <w:t>俄罗斯联邦办事处开展了很多旨在支持当地创新生态系统和当地创新者的活动，特别是通过为国内已经建成的135个</w:t>
      </w:r>
      <w:r w:rsidRPr="00F966B4">
        <w:rPr>
          <w:rFonts w:ascii="SimSun" w:hAnsi="SimSun"/>
          <w:sz w:val="21"/>
          <w:szCs w:val="28"/>
          <w:lang w:eastAsia="zh-CN"/>
        </w:rPr>
        <w:t>TISC</w:t>
      </w:r>
      <w:r w:rsidRPr="00F966B4">
        <w:rPr>
          <w:rFonts w:ascii="SimSun" w:hAnsi="SimSun" w:hint="eastAsia"/>
          <w:sz w:val="21"/>
          <w:szCs w:val="28"/>
          <w:lang w:eastAsia="zh-CN"/>
        </w:rPr>
        <w:t>提供支持。</w:t>
      </w:r>
      <w:r w:rsidRPr="00F966B4">
        <w:rPr>
          <w:rFonts w:ascii="SimSun" w:hAnsi="SimSun"/>
          <w:sz w:val="21"/>
          <w:szCs w:val="28"/>
          <w:lang w:eastAsia="zh-CN"/>
        </w:rPr>
        <w:t>WIPO</w:t>
      </w:r>
      <w:r w:rsidRPr="00F966B4">
        <w:rPr>
          <w:rFonts w:ascii="SimSun" w:hAnsi="SimSun" w:hint="eastAsia"/>
          <w:sz w:val="21"/>
          <w:szCs w:val="28"/>
          <w:lang w:eastAsia="zh-CN"/>
        </w:rPr>
        <w:t>日本办事处向</w:t>
      </w:r>
      <w:r w:rsidRPr="00F966B4">
        <w:rPr>
          <w:rFonts w:ascii="SimSun" w:hAnsi="SimSun"/>
          <w:sz w:val="21"/>
          <w:szCs w:val="28"/>
          <w:lang w:eastAsia="zh-CN"/>
        </w:rPr>
        <w:t>WIPO</w:t>
      </w:r>
      <w:r w:rsidRPr="00F966B4">
        <w:rPr>
          <w:rFonts w:ascii="SimSun" w:hAnsi="SimSun" w:hint="eastAsia"/>
          <w:sz w:val="21"/>
          <w:szCs w:val="28"/>
          <w:lang w:eastAsia="zh-CN"/>
        </w:rPr>
        <w:t>全球服务的私营部门使用者开展针对性宣传，为特定请求提供实时日文反馈，从而加强产权组织在这一关键方面的响应能力。</w:t>
      </w:r>
      <w:r w:rsidRPr="00F966B4">
        <w:rPr>
          <w:rFonts w:ascii="SimSun" w:hAnsi="SimSun"/>
          <w:sz w:val="21"/>
          <w:szCs w:val="28"/>
          <w:lang w:eastAsia="zh-CN"/>
        </w:rPr>
        <w:t>WIPO</w:t>
      </w:r>
      <w:r w:rsidRPr="00F966B4">
        <w:rPr>
          <w:rFonts w:ascii="SimSun" w:hAnsi="SimSun" w:hint="eastAsia"/>
          <w:sz w:val="21"/>
          <w:szCs w:val="28"/>
          <w:lang w:eastAsia="zh-CN"/>
        </w:rPr>
        <w:t>新加坡办事处在相关领域与总部开展合作，通过组织各种区域活动以及向各国派遣专家代表团的方式积极宣传</w:t>
      </w:r>
      <w:r w:rsidRPr="00F966B4">
        <w:rPr>
          <w:rFonts w:ascii="SimSun" w:hAnsi="SimSun"/>
          <w:sz w:val="21"/>
          <w:szCs w:val="28"/>
          <w:lang w:eastAsia="zh-CN"/>
        </w:rPr>
        <w:t>WIPO</w:t>
      </w:r>
      <w:r w:rsidRPr="00F966B4">
        <w:rPr>
          <w:rFonts w:ascii="SimSun" w:hAnsi="SimSun" w:hint="eastAsia"/>
          <w:sz w:val="21"/>
          <w:szCs w:val="28"/>
          <w:lang w:eastAsia="zh-CN"/>
        </w:rPr>
        <w:t>的版权及相关条约。</w:t>
      </w:r>
      <w:r w:rsidRPr="00F966B4">
        <w:rPr>
          <w:rFonts w:ascii="SimSun" w:hAnsi="SimSun"/>
          <w:sz w:val="21"/>
          <w:szCs w:val="28"/>
          <w:lang w:eastAsia="zh-CN"/>
        </w:rPr>
        <w:t>WIPO</w:t>
      </w:r>
      <w:r w:rsidRPr="00F966B4">
        <w:rPr>
          <w:rFonts w:ascii="SimSun" w:hAnsi="SimSun" w:hint="eastAsia"/>
          <w:sz w:val="21"/>
          <w:szCs w:val="28"/>
          <w:lang w:eastAsia="zh-CN"/>
        </w:rPr>
        <w:t>巴西办事处也在相关领域与总部开展密切合作，开展了侧重于知识产权商业化和知识产权许可制度的若干培训计划和讲习班，以期支持当地发展利用知识产权资产的能力。</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在日内瓦，通过在2015年初启动并从上届成员国大会以来一直在持续实施的一系列专项倡议，为该领域内的这些努力提供支持：总部与各驻外办事处之间的定期视频会议；不断更新网页；发布双月报告，向产权组织所有同事通报</w:t>
      </w:r>
      <w:r w:rsidRPr="00F966B4">
        <w:rPr>
          <w:rFonts w:ascii="SimSun" w:hAnsi="SimSun" w:cs="Arial" w:hint="eastAsia"/>
          <w:sz w:val="21"/>
          <w:szCs w:val="28"/>
          <w:lang w:eastAsia="zh-CN"/>
        </w:rPr>
        <w:t>驻外</w:t>
      </w:r>
      <w:r w:rsidRPr="00F966B4">
        <w:rPr>
          <w:rFonts w:ascii="SimSun" w:hAnsi="SimSun" w:hint="eastAsia"/>
          <w:sz w:val="21"/>
          <w:szCs w:val="28"/>
          <w:lang w:eastAsia="zh-CN"/>
        </w:rPr>
        <w:t>办事处的事态发展及其责任范围；通过专设工作组对产权组织驻外办事处政策的影响和发展进行分析。</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在此领域，通过全球办事处架构项目加强驻外办事处与总部之间的无缝</w:t>
      </w:r>
      <w:r w:rsidRPr="00F966B4">
        <w:rPr>
          <w:rFonts w:ascii="SimSun" w:hAnsi="SimSun"/>
          <w:sz w:val="21"/>
          <w:szCs w:val="28"/>
          <w:lang w:eastAsia="zh-CN"/>
        </w:rPr>
        <w:t>IT</w:t>
      </w:r>
      <w:r w:rsidRPr="00F966B4">
        <w:rPr>
          <w:rFonts w:ascii="SimSun" w:hAnsi="SimSun" w:hint="eastAsia"/>
          <w:sz w:val="21"/>
          <w:szCs w:val="28"/>
          <w:lang w:eastAsia="zh-CN"/>
        </w:rPr>
        <w:t>连通能力，从而加强产权组织的运行能力是一个重要方面。该项目确保所有驻外办事处都能利用可供日内瓦同事在安全的</w:t>
      </w:r>
      <w:r w:rsidRPr="00F966B4">
        <w:rPr>
          <w:rFonts w:ascii="SimSun" w:hAnsi="SimSun"/>
          <w:sz w:val="21"/>
          <w:szCs w:val="28"/>
          <w:lang w:eastAsia="zh-CN"/>
        </w:rPr>
        <w:t>IT</w:t>
      </w:r>
      <w:r w:rsidRPr="00F966B4">
        <w:rPr>
          <w:rFonts w:ascii="SimSun" w:hAnsi="SimSun" w:hint="eastAsia"/>
          <w:sz w:val="21"/>
          <w:szCs w:val="28"/>
          <w:lang w:eastAsia="zh-CN"/>
        </w:rPr>
        <w:t>环境中使用的行政和计划实施工具，并为其提供必要的技术支持。密集的项目管理和实施工作使全球办事处架构项目得以在5月完工，且没有超出预算，并将预算中剩余部分转入</w:t>
      </w:r>
      <w:r w:rsidRPr="00F966B4">
        <w:rPr>
          <w:rFonts w:ascii="SimSun" w:hAnsi="SimSun"/>
          <w:sz w:val="21"/>
          <w:szCs w:val="28"/>
          <w:lang w:eastAsia="zh-CN"/>
        </w:rPr>
        <w:t>WIPO</w:t>
      </w:r>
      <w:r w:rsidRPr="00F966B4">
        <w:rPr>
          <w:rFonts w:ascii="SimSun" w:hAnsi="SimSun" w:hint="eastAsia"/>
          <w:sz w:val="21"/>
          <w:szCs w:val="28"/>
          <w:lang w:eastAsia="zh-CN"/>
        </w:rPr>
        <w:t>巴西办事处。</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需要从</w:t>
      </w:r>
      <w:r w:rsidRPr="00F966B4">
        <w:rPr>
          <w:rFonts w:ascii="SimSun" w:hAnsi="SimSun"/>
          <w:sz w:val="21"/>
          <w:szCs w:val="28"/>
          <w:lang w:eastAsia="zh-CN"/>
        </w:rPr>
        <w:t>WIPO</w:t>
      </w:r>
      <w:r w:rsidRPr="00F966B4">
        <w:rPr>
          <w:rFonts w:ascii="SimSun" w:hAnsi="SimSun" w:hint="eastAsia"/>
          <w:sz w:val="21"/>
          <w:szCs w:val="28"/>
          <w:lang w:eastAsia="zh-CN"/>
        </w:rPr>
        <w:t>驻外办事处发展演变的更广阔视角来看这些事态发展。大家还记得，</w:t>
      </w:r>
      <w:r w:rsidRPr="00F966B4">
        <w:rPr>
          <w:rFonts w:ascii="SimSun" w:hAnsi="SimSun"/>
          <w:sz w:val="21"/>
          <w:szCs w:val="28"/>
          <w:lang w:eastAsia="zh-CN"/>
        </w:rPr>
        <w:t>WIPO</w:t>
      </w:r>
      <w:r w:rsidRPr="00F966B4">
        <w:rPr>
          <w:rFonts w:ascii="SimSun" w:hAnsi="SimSun" w:hint="eastAsia"/>
          <w:sz w:val="21"/>
          <w:szCs w:val="28"/>
          <w:lang w:eastAsia="zh-CN"/>
        </w:rPr>
        <w:t>成员国大会在2015年10月决定分别在</w:t>
      </w:r>
      <w:r w:rsidRPr="00F966B4">
        <w:rPr>
          <w:rFonts w:ascii="SimSun" w:hAnsi="SimSun"/>
          <w:sz w:val="21"/>
          <w:szCs w:val="28"/>
          <w:lang w:eastAsia="zh-CN"/>
        </w:rPr>
        <w:t>2016-2017</w:t>
      </w:r>
      <w:r w:rsidRPr="00F966B4">
        <w:rPr>
          <w:rFonts w:ascii="SimSun" w:hAnsi="SimSun" w:hint="eastAsia"/>
          <w:sz w:val="21"/>
          <w:szCs w:val="28"/>
          <w:lang w:eastAsia="zh-CN"/>
        </w:rPr>
        <w:t>和</w:t>
      </w:r>
      <w:r w:rsidRPr="00F966B4">
        <w:rPr>
          <w:rFonts w:ascii="SimSun" w:hAnsi="SimSun"/>
          <w:sz w:val="21"/>
          <w:szCs w:val="28"/>
          <w:lang w:eastAsia="zh-CN"/>
        </w:rPr>
        <w:t>2018-2019</w:t>
      </w:r>
      <w:r w:rsidRPr="00F966B4">
        <w:rPr>
          <w:rFonts w:ascii="SimSun" w:hAnsi="SimSun" w:hint="eastAsia"/>
          <w:sz w:val="21"/>
          <w:szCs w:val="28"/>
          <w:lang w:eastAsia="zh-CN"/>
        </w:rPr>
        <w:t>两年期开设三个新的</w:t>
      </w:r>
      <w:r w:rsidRPr="00F966B4">
        <w:rPr>
          <w:rFonts w:ascii="SimSun" w:hAnsi="SimSun"/>
          <w:sz w:val="21"/>
          <w:szCs w:val="28"/>
          <w:lang w:eastAsia="zh-CN"/>
        </w:rPr>
        <w:t>WIPO</w:t>
      </w:r>
      <w:r w:rsidRPr="00F966B4">
        <w:rPr>
          <w:rFonts w:ascii="SimSun" w:hAnsi="SimSun" w:hint="eastAsia"/>
          <w:sz w:val="21"/>
          <w:szCs w:val="28"/>
          <w:lang w:eastAsia="zh-CN"/>
        </w:rPr>
        <w:t>驻外办事处。秘书处为提高现有驻外办事处效率而做出的努力对此项扩建工作是一个好兆头。通过建设技术基础设施、对政策</w:t>
      </w:r>
      <w:r w:rsidRPr="00F966B4">
        <w:rPr>
          <w:rFonts w:ascii="SimSun" w:hAnsi="SimSun" w:cs="Arial" w:hint="eastAsia"/>
          <w:sz w:val="21"/>
          <w:szCs w:val="28"/>
          <w:lang w:eastAsia="zh-CN"/>
        </w:rPr>
        <w:t>制定</w:t>
      </w:r>
      <w:r w:rsidRPr="00F966B4">
        <w:rPr>
          <w:rFonts w:ascii="SimSun" w:hAnsi="SimSun" w:hint="eastAsia"/>
          <w:sz w:val="21"/>
          <w:szCs w:val="28"/>
          <w:lang w:eastAsia="zh-CN"/>
        </w:rPr>
        <w:t>进程进行微调以及加强总部与驻外办事处之间的双向通讯，秘书处就能有效地专注于建设成员国可能确定的任何新的驻外办事处。</w:t>
      </w:r>
    </w:p>
    <w:p w:rsidR="0091687D" w:rsidRPr="0074148F" w:rsidRDefault="0091687D" w:rsidP="0074148F">
      <w:pPr>
        <w:keepNext/>
        <w:overflowPunct w:val="0"/>
        <w:adjustRightInd w:val="0"/>
        <w:spacing w:beforeLines="100" w:before="240" w:afterLines="50" w:after="120" w:line="340" w:lineRule="atLeast"/>
        <w:jc w:val="both"/>
        <w:rPr>
          <w:rFonts w:ascii="SimHei" w:eastAsia="SimHei" w:hAnsi="SimHei"/>
          <w:sz w:val="21"/>
          <w:szCs w:val="28"/>
          <w:lang w:eastAsia="zh-CN"/>
        </w:rPr>
      </w:pPr>
      <w:r w:rsidRPr="0074148F">
        <w:rPr>
          <w:rFonts w:ascii="SimHei" w:eastAsia="SimHei" w:hAnsi="SimHei" w:hint="eastAsia"/>
          <w:sz w:val="21"/>
          <w:szCs w:val="28"/>
          <w:lang w:eastAsia="zh-CN"/>
        </w:rPr>
        <w:t>人力资源</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工作人员的辛勤工作和责任心使产权组织取得可持续的绩效成为可能，他们全心全意地完成</w:t>
      </w:r>
      <w:r w:rsidRPr="00F966B4">
        <w:rPr>
          <w:rFonts w:ascii="SimSun" w:hAnsi="SimSun"/>
          <w:sz w:val="21"/>
          <w:szCs w:val="28"/>
          <w:lang w:eastAsia="zh-CN"/>
        </w:rPr>
        <w:t>WIPO</w:t>
      </w:r>
      <w:r w:rsidRPr="00F966B4">
        <w:rPr>
          <w:rFonts w:ascii="SimSun" w:hAnsi="SimSun" w:hint="eastAsia"/>
          <w:sz w:val="21"/>
          <w:szCs w:val="28"/>
          <w:lang w:eastAsia="zh-CN"/>
        </w:rPr>
        <w:t>的所有工作在产权组织与其各种利益相关方之间发挥了桥梁作用。</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lastRenderedPageBreak/>
        <w:t>多样性、敏捷性、灵活性和工作与生活平衡是</w:t>
      </w:r>
      <w:proofErr w:type="gramStart"/>
      <w:r w:rsidRPr="00F966B4">
        <w:rPr>
          <w:rFonts w:ascii="SimSun" w:hAnsi="SimSun" w:hint="eastAsia"/>
          <w:sz w:val="21"/>
          <w:szCs w:val="28"/>
          <w:lang w:eastAsia="zh-CN"/>
        </w:rPr>
        <w:t>支持自</w:t>
      </w:r>
      <w:proofErr w:type="gramEnd"/>
      <w:r w:rsidRPr="00F966B4">
        <w:rPr>
          <w:rFonts w:ascii="SimSun" w:hAnsi="SimSun" w:hint="eastAsia"/>
          <w:sz w:val="21"/>
          <w:szCs w:val="28"/>
          <w:lang w:eastAsia="zh-CN"/>
        </w:rPr>
        <w:t>2013年制定《人力资源战略》以来所开展各项倡议和计划的主要专题。</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产权组织从来没有像现在这样多样化，截止2016年6月，我们的工作人员来自近120个成员国。积极寻求多样化的人才使产权组织招聘战略充满活力。随着申请空缺职位的候选人数量和多样性持续增加，利用</w:t>
      </w:r>
      <w:r w:rsidRPr="00F966B4">
        <w:rPr>
          <w:rFonts w:ascii="SimSun" w:hAnsi="SimSun" w:cs="Arial" w:hint="eastAsia"/>
          <w:sz w:val="21"/>
          <w:szCs w:val="28"/>
          <w:lang w:eastAsia="zh-CN"/>
        </w:rPr>
        <w:t>多媒体</w:t>
      </w:r>
      <w:r w:rsidRPr="00F966B4">
        <w:rPr>
          <w:rFonts w:ascii="SimSun" w:hAnsi="SimSun" w:hint="eastAsia"/>
          <w:sz w:val="21"/>
          <w:szCs w:val="28"/>
          <w:lang w:eastAsia="zh-CN"/>
        </w:rPr>
        <w:t>和网上社交平台发布招聘信息，通过去年外访代表团直接发布产权组织工作机会信息（包括对产权组织与无代表性成员国合办的大学进行访问在内），有针对性地开展有关提高对</w:t>
      </w:r>
      <w:r w:rsidRPr="00F966B4">
        <w:rPr>
          <w:rFonts w:ascii="SimSun" w:hAnsi="SimSun"/>
          <w:sz w:val="21"/>
          <w:szCs w:val="28"/>
          <w:lang w:eastAsia="zh-CN"/>
        </w:rPr>
        <w:t>WIPO</w:t>
      </w:r>
      <w:r w:rsidRPr="00F966B4">
        <w:rPr>
          <w:rFonts w:ascii="SimSun" w:hAnsi="SimSun" w:hint="eastAsia"/>
          <w:sz w:val="21"/>
          <w:szCs w:val="28"/>
          <w:lang w:eastAsia="zh-CN"/>
        </w:rPr>
        <w:t>人才需求认识的运动，以及加强招聘程序及改进</w:t>
      </w:r>
      <w:r w:rsidRPr="00F966B4">
        <w:rPr>
          <w:rFonts w:ascii="SimSun" w:hAnsi="SimSun"/>
          <w:sz w:val="21"/>
          <w:szCs w:val="28"/>
          <w:lang w:eastAsia="zh-CN"/>
        </w:rPr>
        <w:t>IT</w:t>
      </w:r>
      <w:r w:rsidRPr="00F966B4">
        <w:rPr>
          <w:rFonts w:ascii="SimSun" w:hAnsi="SimSun" w:hint="eastAsia"/>
          <w:sz w:val="21"/>
          <w:szCs w:val="28"/>
          <w:lang w:eastAsia="zh-CN"/>
        </w:rPr>
        <w:t>系统，都在开始发挥作用。</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性别平衡是一个关键目标，作为日内瓦性别平等支持者网络的一员，我本人已经为此</w:t>
      </w:r>
      <w:r w:rsidRPr="00F966B4">
        <w:rPr>
          <w:rFonts w:ascii="SimSun" w:hAnsi="SimSun" w:cs="Arial" w:hint="eastAsia"/>
          <w:sz w:val="21"/>
          <w:szCs w:val="28"/>
          <w:lang w:eastAsia="zh-CN"/>
        </w:rPr>
        <w:t>做出</w:t>
      </w:r>
      <w:r w:rsidRPr="00F966B4">
        <w:rPr>
          <w:rFonts w:ascii="SimSun" w:hAnsi="SimSun" w:hint="eastAsia"/>
          <w:sz w:val="21"/>
          <w:szCs w:val="28"/>
          <w:lang w:eastAsia="zh-CN"/>
        </w:rPr>
        <w:t>承诺。为了实现性别平衡目标，产权组织加快了在培训管理人员方面做出的努力，以期推动工作场所的多样性和包容。另外，还在2015年启动了一个旨在专门为中级女性管理人员提供职业和专业支持的试点计划。在得到参与者的积极评价之后，该计划已经扩大。将性别平等问题纳入</w:t>
      </w:r>
      <w:r w:rsidRPr="00F966B4">
        <w:rPr>
          <w:rFonts w:ascii="SimSun" w:hAnsi="SimSun"/>
          <w:sz w:val="21"/>
          <w:szCs w:val="28"/>
          <w:lang w:eastAsia="zh-CN"/>
        </w:rPr>
        <w:t>WIPO</w:t>
      </w:r>
      <w:r w:rsidRPr="00F966B4">
        <w:rPr>
          <w:rFonts w:ascii="SimSun" w:hAnsi="SimSun" w:hint="eastAsia"/>
          <w:sz w:val="21"/>
          <w:szCs w:val="28"/>
          <w:lang w:eastAsia="zh-CN"/>
        </w:rPr>
        <w:t>的工作主流也同等重要。用于明确掌握和监测2017年各项工作计划实施进度的基准已于2016年4月制定。2015年全球创新指数首次列入一个性别平等相关指标，以期加强对妇女在创新方面所起作用和贡献的了解。</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总而言之，已在组织多样性（地域代表性）和性别平衡两个主要标准上取得了重大进展。另外，在继续丰富产权组织文化智慧基础方面也在不断取得重大进展。</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产权组织在2015年对工作人员培训的投入大幅增加，从而使工作人员培养活动的数量达到创记录的水平，超过了联合国每年每个工作人员接受五天培训的平均水平。培训是开展持续人才培养活动以确保拥有灵活且符合产权组织宗旨的基本职工队伍的一部分。语言、沟通技巧以及根据业务需求（对人员、绩效、风险和项目）实施有效管理，是工作人员培训计划的一些主要内容。</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实施奖励和表彰</w:t>
      </w:r>
      <w:r w:rsidRPr="00F966B4">
        <w:rPr>
          <w:rFonts w:ascii="SimSun" w:hAnsi="SimSun" w:cs="Arial" w:hint="eastAsia"/>
          <w:sz w:val="21"/>
          <w:szCs w:val="28"/>
          <w:lang w:eastAsia="zh-CN"/>
        </w:rPr>
        <w:t>计划</w:t>
      </w:r>
      <w:r w:rsidRPr="00F966B4">
        <w:rPr>
          <w:rFonts w:ascii="SimSun" w:hAnsi="SimSun" w:hint="eastAsia"/>
          <w:sz w:val="21"/>
          <w:szCs w:val="28"/>
          <w:lang w:eastAsia="zh-CN"/>
        </w:rPr>
        <w:t>的第三年刚刚结束。在此期间，对共计九个团队和50多名个人给予绩效奖励是对这些工作人员的能力和所做贡献的一种认可。</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在招聘人才方面的灵活性使产权组织能够不断更新其技能基础，以确保其在外部环境快速变化的背景下能够及时和有效提供服务。知识产权注册服务需求的数量和地理范围的变化是产权组织面临的一些主要挑战。核心职工</w:t>
      </w:r>
      <w:r w:rsidRPr="00F966B4">
        <w:rPr>
          <w:rFonts w:ascii="SimSun" w:hAnsi="SimSun" w:cs="Arial" w:hint="eastAsia"/>
          <w:sz w:val="21"/>
          <w:szCs w:val="28"/>
          <w:lang w:eastAsia="zh-CN"/>
        </w:rPr>
        <w:t>队伍</w:t>
      </w:r>
      <w:r w:rsidRPr="00F966B4">
        <w:rPr>
          <w:rFonts w:ascii="SimSun" w:hAnsi="SimSun" w:hint="eastAsia"/>
          <w:sz w:val="21"/>
          <w:szCs w:val="28"/>
          <w:lang w:eastAsia="zh-CN"/>
        </w:rPr>
        <w:t>（工作人员）与灵活职工队伍（编外人员）之间的健康平衡必须反映这一现实。截止2016年6月，这一比例为</w:t>
      </w:r>
      <w:r w:rsidRPr="00F966B4">
        <w:rPr>
          <w:rFonts w:ascii="SimSun" w:hAnsi="SimSun"/>
          <w:sz w:val="21"/>
          <w:szCs w:val="28"/>
          <w:lang w:eastAsia="zh-CN"/>
        </w:rPr>
        <w:t>3:1</w:t>
      </w:r>
      <w:r w:rsidRPr="00F966B4">
        <w:rPr>
          <w:rFonts w:ascii="SimSun" w:hAnsi="SimSun" w:hint="eastAsia"/>
          <w:sz w:val="21"/>
          <w:szCs w:val="28"/>
          <w:lang w:eastAsia="zh-CN"/>
        </w:rPr>
        <w:t>。与此同时，对现有各类工作人员的最大限度利用已导致产权组织在2015年为其一</w:t>
      </w:r>
      <w:proofErr w:type="gramStart"/>
      <w:r w:rsidRPr="00F966B4">
        <w:rPr>
          <w:rFonts w:ascii="SimSun" w:hAnsi="SimSun" w:hint="eastAsia"/>
          <w:sz w:val="21"/>
          <w:szCs w:val="28"/>
          <w:lang w:eastAsia="zh-CN"/>
        </w:rPr>
        <w:t>个</w:t>
      </w:r>
      <w:proofErr w:type="gramEnd"/>
      <w:r w:rsidRPr="00F966B4">
        <w:rPr>
          <w:rFonts w:ascii="SimSun" w:hAnsi="SimSun" w:hint="eastAsia"/>
          <w:sz w:val="21"/>
          <w:szCs w:val="28"/>
          <w:lang w:eastAsia="zh-CN"/>
        </w:rPr>
        <w:t>驻外办事处招聘了第一位本国专业干事（</w:t>
      </w:r>
      <w:r w:rsidRPr="00F966B4">
        <w:rPr>
          <w:rFonts w:ascii="SimSun" w:hAnsi="SimSun"/>
          <w:sz w:val="21"/>
          <w:szCs w:val="28"/>
          <w:lang w:eastAsia="zh-CN"/>
        </w:rPr>
        <w:t>NPO</w:t>
      </w:r>
      <w:r w:rsidRPr="00F966B4">
        <w:rPr>
          <w:rFonts w:ascii="SimSun" w:hAnsi="SimSun" w:hint="eastAsia"/>
          <w:sz w:val="21"/>
          <w:szCs w:val="28"/>
          <w:lang w:eastAsia="zh-CN"/>
        </w:rPr>
        <w:t>）。从那时起，其他驻外办事处的补充</w:t>
      </w:r>
      <w:r w:rsidRPr="00F966B4">
        <w:rPr>
          <w:rFonts w:ascii="SimSun" w:hAnsi="SimSun"/>
          <w:sz w:val="21"/>
          <w:szCs w:val="28"/>
          <w:lang w:eastAsia="zh-CN"/>
        </w:rPr>
        <w:t>NPO</w:t>
      </w:r>
      <w:r w:rsidRPr="00F966B4">
        <w:rPr>
          <w:rFonts w:ascii="SimSun" w:hAnsi="SimSun" w:hint="eastAsia"/>
          <w:sz w:val="21"/>
          <w:szCs w:val="28"/>
          <w:lang w:eastAsia="zh-CN"/>
        </w:rPr>
        <w:t>也已招聘。</w:t>
      </w:r>
      <w:r w:rsidRPr="00F966B4">
        <w:rPr>
          <w:rFonts w:ascii="SimSun" w:hAnsi="SimSun"/>
          <w:sz w:val="21"/>
          <w:szCs w:val="28"/>
          <w:lang w:eastAsia="zh-CN"/>
        </w:rPr>
        <w:t>NPO</w:t>
      </w:r>
      <w:r w:rsidRPr="00F966B4">
        <w:rPr>
          <w:rFonts w:ascii="SimSun" w:hAnsi="SimSun" w:hint="eastAsia"/>
          <w:sz w:val="21"/>
          <w:szCs w:val="28"/>
          <w:lang w:eastAsia="zh-CN"/>
        </w:rPr>
        <w:t>履行的职责与专业及以上类别人员的职责类似，但属于本地招聘，因为他们的职能需要其掌握本国环境中的具体知识和经验，从而提高驻外办事处的计划实施能力。</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和谐的工作与生活</w:t>
      </w:r>
      <w:proofErr w:type="gramStart"/>
      <w:r w:rsidRPr="00F966B4">
        <w:rPr>
          <w:rFonts w:ascii="SimSun" w:hAnsi="SimSun" w:hint="eastAsia"/>
          <w:sz w:val="21"/>
          <w:szCs w:val="28"/>
          <w:lang w:eastAsia="zh-CN"/>
        </w:rPr>
        <w:t>平衡提高</w:t>
      </w:r>
      <w:proofErr w:type="gramEnd"/>
      <w:r w:rsidRPr="00F966B4">
        <w:rPr>
          <w:rFonts w:ascii="SimSun" w:hAnsi="SimSun" w:hint="eastAsia"/>
          <w:sz w:val="21"/>
          <w:szCs w:val="28"/>
          <w:lang w:eastAsia="zh-CN"/>
        </w:rPr>
        <w:t>了组织生产力。工作人员福利属于这一专题范围，且工作人员本身在帮助制定有关这些问题的政策方面发挥关键作用。在</w:t>
      </w:r>
      <w:r w:rsidRPr="00F966B4">
        <w:rPr>
          <w:rFonts w:ascii="SimSun" w:hAnsi="SimSun"/>
          <w:sz w:val="21"/>
          <w:szCs w:val="28"/>
          <w:lang w:eastAsia="zh-CN"/>
        </w:rPr>
        <w:t>WIPO</w:t>
      </w:r>
      <w:r w:rsidRPr="00F966B4">
        <w:rPr>
          <w:rFonts w:ascii="SimSun" w:hAnsi="SimSun" w:hint="eastAsia"/>
          <w:sz w:val="21"/>
          <w:szCs w:val="28"/>
          <w:lang w:eastAsia="zh-CN"/>
        </w:rPr>
        <w:t>内部，参与性决策得到大力支持。2016年3月发布的合并后的促进和谐尊重的</w:t>
      </w:r>
      <w:r w:rsidRPr="00F966B4">
        <w:rPr>
          <w:rFonts w:ascii="SimSun" w:hAnsi="SimSun"/>
          <w:sz w:val="21"/>
          <w:szCs w:val="28"/>
          <w:lang w:eastAsia="zh-CN"/>
        </w:rPr>
        <w:t>WIPO</w:t>
      </w:r>
      <w:r w:rsidRPr="00F966B4">
        <w:rPr>
          <w:rFonts w:ascii="SimSun" w:hAnsi="SimSun" w:hint="eastAsia"/>
          <w:sz w:val="21"/>
          <w:szCs w:val="28"/>
          <w:lang w:eastAsia="zh-CN"/>
        </w:rPr>
        <w:t>工作场所参考指南，其源头就是工作人员。职业健康与安全委员会（</w:t>
      </w:r>
      <w:r w:rsidRPr="00F966B4">
        <w:rPr>
          <w:rFonts w:ascii="SimSun" w:hAnsi="SimSun"/>
          <w:sz w:val="21"/>
          <w:szCs w:val="28"/>
          <w:lang w:eastAsia="zh-CN"/>
        </w:rPr>
        <w:t>OHSC</w:t>
      </w:r>
      <w:r w:rsidRPr="00F966B4">
        <w:rPr>
          <w:rFonts w:ascii="SimSun" w:hAnsi="SimSun" w:hint="eastAsia"/>
          <w:sz w:val="21"/>
          <w:szCs w:val="28"/>
          <w:lang w:eastAsia="zh-CN"/>
        </w:rPr>
        <w:t>）有关促进和保护工作场所身心健康与安全的任务授权已进入第二年，其成员中包括来自工作人员和行政管理部门的代表以及卫生、社会福利及安保与安全领域的内部专家。最近，一个由工作人员志愿者和行政管理部门的代表组成的工作组完成了对</w:t>
      </w:r>
      <w:r w:rsidRPr="00F966B4">
        <w:rPr>
          <w:rFonts w:ascii="SimSun" w:hAnsi="SimSun"/>
          <w:sz w:val="21"/>
          <w:szCs w:val="28"/>
          <w:lang w:eastAsia="zh-CN"/>
        </w:rPr>
        <w:t>WIPO</w:t>
      </w:r>
      <w:r w:rsidRPr="00F966B4">
        <w:rPr>
          <w:rFonts w:ascii="SimSun" w:hAnsi="SimSun" w:hint="eastAsia"/>
          <w:sz w:val="21"/>
          <w:szCs w:val="28"/>
          <w:lang w:eastAsia="zh-CN"/>
        </w:rPr>
        <w:t>时间管理相关政策和制度的审查工作。所提建议考虑了一项工作人员调查收到的反馈意见，超过50%的工作人员参加了这项调查，其参与程度达到史无前例的高水平。</w:t>
      </w:r>
    </w:p>
    <w:p w:rsidR="0091687D" w:rsidRPr="00F966B4"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F966B4">
        <w:rPr>
          <w:rFonts w:ascii="SimSun" w:hAnsi="SimSun" w:hint="eastAsia"/>
          <w:sz w:val="21"/>
          <w:szCs w:val="28"/>
          <w:lang w:eastAsia="zh-CN"/>
        </w:rPr>
        <w:t>自2013年以来，</w:t>
      </w:r>
      <w:r w:rsidRPr="00F966B4">
        <w:rPr>
          <w:rFonts w:ascii="SimSun" w:hAnsi="SimSun" w:cs="Arial" w:hint="eastAsia"/>
          <w:sz w:val="21"/>
          <w:szCs w:val="28"/>
          <w:lang w:eastAsia="zh-CN"/>
        </w:rPr>
        <w:t>工作人员缺勤</w:t>
      </w:r>
      <w:r w:rsidRPr="00F966B4">
        <w:rPr>
          <w:rFonts w:ascii="SimSun" w:hAnsi="SimSun" w:hint="eastAsia"/>
          <w:sz w:val="21"/>
          <w:szCs w:val="28"/>
          <w:lang w:eastAsia="zh-CN"/>
        </w:rPr>
        <w:t>现象呈持续下降趋势，这是一种非常可喜的情况，表明这些举措产生了积极影响。2014至2015年期间的总缺勤天数减少了1</w:t>
      </w:r>
      <w:r w:rsidRPr="00F966B4">
        <w:rPr>
          <w:rFonts w:ascii="SimSun" w:hAnsi="SimSun"/>
          <w:sz w:val="21"/>
          <w:szCs w:val="28"/>
          <w:lang w:eastAsia="zh-CN"/>
        </w:rPr>
        <w:t>,000</w:t>
      </w:r>
      <w:r w:rsidRPr="00F966B4">
        <w:rPr>
          <w:rFonts w:ascii="SimSun" w:hAnsi="SimSun" w:hint="eastAsia"/>
          <w:sz w:val="21"/>
          <w:szCs w:val="28"/>
          <w:lang w:eastAsia="zh-CN"/>
        </w:rPr>
        <w:t>天以上。</w:t>
      </w:r>
    </w:p>
    <w:p w:rsidR="0091687D" w:rsidRPr="0074148F" w:rsidRDefault="0091687D" w:rsidP="0091687D">
      <w:pPr>
        <w:pStyle w:val="a4"/>
        <w:numPr>
          <w:ilvl w:val="0"/>
          <w:numId w:val="20"/>
        </w:numPr>
        <w:adjustRightInd w:val="0"/>
        <w:spacing w:afterLines="50" w:after="120" w:line="340" w:lineRule="atLeast"/>
        <w:ind w:leftChars="13" w:left="35" w:hanging="6"/>
        <w:contextualSpacing w:val="0"/>
        <w:jc w:val="both"/>
        <w:rPr>
          <w:rFonts w:ascii="SimSun" w:hAnsi="SimSun"/>
          <w:sz w:val="21"/>
          <w:szCs w:val="28"/>
          <w:lang w:eastAsia="zh-CN"/>
        </w:rPr>
      </w:pPr>
      <w:r w:rsidRPr="0074148F">
        <w:rPr>
          <w:rFonts w:ascii="SimSun" w:hAnsi="SimSun" w:hint="eastAsia"/>
          <w:sz w:val="21"/>
          <w:szCs w:val="28"/>
          <w:lang w:eastAsia="zh-CN"/>
        </w:rPr>
        <w:lastRenderedPageBreak/>
        <w:t>我对产权组织</w:t>
      </w:r>
      <w:r w:rsidRPr="0074148F">
        <w:rPr>
          <w:rFonts w:ascii="SimSun" w:hAnsi="SimSun" w:cs="Arial" w:hint="eastAsia"/>
          <w:sz w:val="21"/>
          <w:szCs w:val="28"/>
          <w:lang w:eastAsia="zh-CN"/>
        </w:rPr>
        <w:t>工作人员</w:t>
      </w:r>
      <w:r w:rsidRPr="0074148F">
        <w:rPr>
          <w:rFonts w:ascii="SimSun" w:hAnsi="SimSun" w:hint="eastAsia"/>
          <w:sz w:val="21"/>
          <w:szCs w:val="28"/>
          <w:lang w:eastAsia="zh-CN"/>
        </w:rPr>
        <w:t>取得这些成绩感到自豪，并对他们取得这些成绩以及实现我们的共同组织目标表示由衷感谢。</w:t>
      </w:r>
    </w:p>
    <w:p w:rsidR="00B22E2B" w:rsidRDefault="00B22E2B" w:rsidP="00B22E2B">
      <w:pPr>
        <w:overflowPunct w:val="0"/>
        <w:spacing w:afterLines="50" w:after="120" w:line="340" w:lineRule="atLeast"/>
        <w:ind w:left="5534"/>
        <w:jc w:val="both"/>
        <w:textAlignment w:val="bottom"/>
        <w:rPr>
          <w:rFonts w:ascii="KaiTi" w:eastAsia="KaiTi" w:hAnsi="KaiTi"/>
          <w:sz w:val="21"/>
          <w:szCs w:val="21"/>
          <w:lang w:eastAsia="zh-CN"/>
        </w:rPr>
      </w:pPr>
    </w:p>
    <w:p w:rsidR="0091687D" w:rsidRPr="00B22E2B" w:rsidRDefault="0091687D" w:rsidP="00B22E2B">
      <w:pPr>
        <w:overflowPunct w:val="0"/>
        <w:spacing w:afterLines="50" w:after="120" w:line="340" w:lineRule="atLeast"/>
        <w:ind w:left="5534"/>
        <w:jc w:val="both"/>
        <w:textAlignment w:val="bottom"/>
        <w:rPr>
          <w:rFonts w:ascii="KaiTi" w:eastAsia="KaiTi" w:hAnsi="KaiTi"/>
          <w:sz w:val="21"/>
          <w:szCs w:val="21"/>
          <w:lang w:eastAsia="zh-CN"/>
        </w:rPr>
      </w:pPr>
      <w:r w:rsidRPr="00B22E2B">
        <w:rPr>
          <w:rFonts w:ascii="KaiTi" w:eastAsia="KaiTi" w:hAnsi="KaiTi" w:hint="eastAsia"/>
          <w:sz w:val="21"/>
          <w:szCs w:val="21"/>
          <w:lang w:eastAsia="zh-CN"/>
        </w:rPr>
        <w:t>[后接附件二]</w:t>
      </w:r>
    </w:p>
    <w:sectPr w:rsidR="0091687D" w:rsidRPr="00B22E2B" w:rsidSect="0091687D">
      <w:headerReference w:type="default" r:id="rId9"/>
      <w:headerReference w:type="first" r:id="rId10"/>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372" w:rsidRDefault="00502372" w:rsidP="00A10DFD">
      <w:pPr>
        <w:spacing w:after="0" w:line="240" w:lineRule="auto"/>
      </w:pPr>
      <w:r>
        <w:separator/>
      </w:r>
    </w:p>
  </w:endnote>
  <w:endnote w:type="continuationSeparator" w:id="0">
    <w:p w:rsidR="00502372" w:rsidRDefault="00502372" w:rsidP="00A1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372" w:rsidRDefault="00502372" w:rsidP="00A10DFD">
      <w:pPr>
        <w:spacing w:after="0" w:line="240" w:lineRule="auto"/>
      </w:pPr>
      <w:r>
        <w:separator/>
      </w:r>
    </w:p>
  </w:footnote>
  <w:footnote w:type="continuationSeparator" w:id="0">
    <w:p w:rsidR="00502372" w:rsidRDefault="00502372" w:rsidP="00A10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72" w:rsidRPr="00A10DFD" w:rsidRDefault="00502372" w:rsidP="00A10DFD">
    <w:pPr>
      <w:pStyle w:val="a5"/>
      <w:pBdr>
        <w:bottom w:val="none" w:sz="0" w:space="0" w:color="auto"/>
      </w:pBdr>
      <w:spacing w:after="0"/>
      <w:jc w:val="right"/>
      <w:rPr>
        <w:rFonts w:ascii="SimSun" w:hAnsi="SimSun"/>
        <w:sz w:val="21"/>
        <w:lang w:eastAsia="zh-CN"/>
      </w:rPr>
    </w:pPr>
    <w:r w:rsidRPr="00A10DFD">
      <w:rPr>
        <w:rFonts w:ascii="SimSun" w:hAnsi="SimSun" w:hint="eastAsia"/>
        <w:sz w:val="21"/>
        <w:lang w:eastAsia="zh-CN"/>
      </w:rPr>
      <w:t>A/5</w:t>
    </w:r>
    <w:r>
      <w:rPr>
        <w:rFonts w:ascii="SimSun" w:hAnsi="SimSun" w:hint="eastAsia"/>
        <w:sz w:val="21"/>
        <w:lang w:eastAsia="zh-CN"/>
      </w:rPr>
      <w:t>6</w:t>
    </w:r>
    <w:r w:rsidRPr="00A10DFD">
      <w:rPr>
        <w:rFonts w:ascii="SimSun" w:hAnsi="SimSun" w:hint="eastAsia"/>
        <w:sz w:val="21"/>
        <w:lang w:eastAsia="zh-CN"/>
      </w:rPr>
      <w:t>/17</w:t>
    </w:r>
  </w:p>
  <w:p w:rsidR="00502372" w:rsidRDefault="00502372" w:rsidP="00A10DF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附件</w:t>
    </w:r>
    <w:r w:rsidR="0074148F">
      <w:rPr>
        <w:rFonts w:ascii="SimSun" w:hAnsi="SimSun" w:hint="eastAsia"/>
        <w:sz w:val="21"/>
        <w:lang w:eastAsia="zh-CN"/>
      </w:rPr>
      <w:t>一</w:t>
    </w:r>
    <w:r>
      <w:rPr>
        <w:rFonts w:ascii="SimSun" w:hAnsi="SimSun" w:hint="eastAsia"/>
        <w:sz w:val="21"/>
        <w:lang w:eastAsia="zh-CN"/>
      </w:rPr>
      <w:t>第</w:t>
    </w:r>
    <w:r w:rsidRPr="00A10DFD">
      <w:rPr>
        <w:rFonts w:ascii="SimSun" w:hAnsi="SimSun"/>
        <w:sz w:val="21"/>
        <w:lang w:eastAsia="zh-CN"/>
      </w:rPr>
      <w:fldChar w:fldCharType="begin"/>
    </w:r>
    <w:r w:rsidRPr="00A10DFD">
      <w:rPr>
        <w:rFonts w:ascii="SimSun" w:hAnsi="SimSun"/>
        <w:sz w:val="21"/>
        <w:lang w:eastAsia="zh-CN"/>
      </w:rPr>
      <w:instrText>PAGE   \* MERGEFORMAT</w:instrText>
    </w:r>
    <w:r w:rsidRPr="00A10DFD">
      <w:rPr>
        <w:rFonts w:ascii="SimSun" w:hAnsi="SimSun"/>
        <w:sz w:val="21"/>
        <w:lang w:eastAsia="zh-CN"/>
      </w:rPr>
      <w:fldChar w:fldCharType="separate"/>
    </w:r>
    <w:r w:rsidR="00CA50B3" w:rsidRPr="00CA50B3">
      <w:rPr>
        <w:rFonts w:ascii="SimSun" w:hAnsi="SimSun"/>
        <w:noProof/>
        <w:sz w:val="21"/>
        <w:lang w:val="zh-CN" w:eastAsia="zh-CN"/>
      </w:rPr>
      <w:t>2</w:t>
    </w:r>
    <w:r w:rsidRPr="00A10DFD">
      <w:rPr>
        <w:rFonts w:ascii="SimSun" w:hAnsi="SimSun"/>
        <w:sz w:val="21"/>
        <w:lang w:eastAsia="zh-CN"/>
      </w:rPr>
      <w:fldChar w:fldCharType="end"/>
    </w:r>
    <w:r>
      <w:rPr>
        <w:rFonts w:ascii="SimSun" w:hAnsi="SimSun" w:hint="eastAsia"/>
        <w:sz w:val="21"/>
        <w:lang w:eastAsia="zh-CN"/>
      </w:rPr>
      <w:t>页</w:t>
    </w:r>
  </w:p>
  <w:p w:rsidR="00502372" w:rsidRPr="00A10DFD" w:rsidRDefault="00502372" w:rsidP="00A10DFD">
    <w:pPr>
      <w:pStyle w:val="a5"/>
      <w:pBdr>
        <w:bottom w:val="none" w:sz="0" w:space="0" w:color="auto"/>
      </w:pBdr>
      <w:spacing w:after="0"/>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72" w:rsidRPr="00A10DFD" w:rsidRDefault="00502372" w:rsidP="0091687D">
    <w:pPr>
      <w:pStyle w:val="a5"/>
      <w:pBdr>
        <w:bottom w:val="none" w:sz="0" w:space="0" w:color="auto"/>
      </w:pBdr>
      <w:spacing w:after="0"/>
      <w:jc w:val="right"/>
      <w:rPr>
        <w:rFonts w:ascii="SimSun" w:hAnsi="SimSun"/>
        <w:sz w:val="21"/>
        <w:lang w:eastAsia="zh-CN"/>
      </w:rPr>
    </w:pPr>
    <w:r w:rsidRPr="00A10DFD">
      <w:rPr>
        <w:rFonts w:ascii="SimSun" w:hAnsi="SimSun" w:hint="eastAsia"/>
        <w:sz w:val="21"/>
        <w:lang w:eastAsia="zh-CN"/>
      </w:rPr>
      <w:t>A/5</w:t>
    </w:r>
    <w:r>
      <w:rPr>
        <w:rFonts w:ascii="SimSun" w:hAnsi="SimSun" w:hint="eastAsia"/>
        <w:sz w:val="21"/>
        <w:lang w:eastAsia="zh-CN"/>
      </w:rPr>
      <w:t>6</w:t>
    </w:r>
    <w:r w:rsidRPr="00A10DFD">
      <w:rPr>
        <w:rFonts w:ascii="SimSun" w:hAnsi="SimSun" w:hint="eastAsia"/>
        <w:sz w:val="21"/>
        <w:lang w:eastAsia="zh-CN"/>
      </w:rPr>
      <w:t>/17</w:t>
    </w:r>
  </w:p>
  <w:p w:rsidR="00502372" w:rsidRDefault="00502372" w:rsidP="0091687D">
    <w:pPr>
      <w:pStyle w:val="a5"/>
      <w:pBdr>
        <w:bottom w:val="none" w:sz="0" w:space="0" w:color="auto"/>
      </w:pBdr>
      <w:spacing w:after="0"/>
      <w:jc w:val="right"/>
      <w:rPr>
        <w:rFonts w:ascii="SimSun" w:hAnsi="SimSun"/>
        <w:sz w:val="21"/>
        <w:lang w:eastAsia="zh-CN"/>
      </w:rPr>
    </w:pPr>
    <w:r>
      <w:rPr>
        <w:rFonts w:ascii="SimSun" w:hAnsi="SimSun" w:hint="eastAsia"/>
        <w:sz w:val="21"/>
        <w:lang w:eastAsia="zh-CN"/>
      </w:rPr>
      <w:t>附件</w:t>
    </w:r>
    <w:r w:rsidR="0074148F">
      <w:rPr>
        <w:rFonts w:ascii="SimSun" w:hAnsi="SimSun" w:hint="eastAsia"/>
        <w:sz w:val="21"/>
        <w:lang w:eastAsia="zh-CN"/>
      </w:rPr>
      <w:t>一</w:t>
    </w:r>
  </w:p>
  <w:p w:rsidR="00502372" w:rsidRPr="00A10DFD" w:rsidRDefault="00502372" w:rsidP="0091687D">
    <w:pPr>
      <w:pStyle w:val="a5"/>
      <w:pBdr>
        <w:bottom w:val="none" w:sz="0" w:space="0" w:color="auto"/>
      </w:pBdr>
      <w:spacing w:after="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741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68C507C"/>
    <w:lvl w:ilvl="0">
      <w:start w:val="1"/>
      <w:numFmt w:val="upperLetter"/>
      <w:lvlRestart w:val="0"/>
      <w:lvlText w:val="%1."/>
      <w:lvlJc w:val="left"/>
      <w:pPr>
        <w:tabs>
          <w:tab w:val="num" w:pos="567"/>
        </w:tabs>
        <w:ind w:left="0" w:firstLine="0"/>
      </w:pPr>
    </w:lvl>
  </w:abstractNum>
  <w:abstractNum w:abstractNumId="2">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1EA855E9"/>
    <w:multiLevelType w:val="hybridMultilevel"/>
    <w:tmpl w:val="AB5EC274"/>
    <w:lvl w:ilvl="0" w:tplc="8B2ED9AE">
      <w:start w:val="1"/>
      <w:numFmt w:val="decimal"/>
      <w:lvlText w:val="%1."/>
      <w:lvlJc w:val="left"/>
      <w:pPr>
        <w:ind w:left="930" w:hanging="570"/>
      </w:pPr>
      <w:rPr>
        <w:rFonts w:ascii="SimSun" w:eastAsia="SimSun" w:hAnsi="SimSu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E45E9"/>
    <w:multiLevelType w:val="hybridMultilevel"/>
    <w:tmpl w:val="8F9A78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B26FFC"/>
    <w:multiLevelType w:val="hybridMultilevel"/>
    <w:tmpl w:val="4F746F72"/>
    <w:lvl w:ilvl="0" w:tplc="30465CB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D44C47"/>
    <w:multiLevelType w:val="hybridMultilevel"/>
    <w:tmpl w:val="F2FEBC1C"/>
    <w:lvl w:ilvl="0" w:tplc="67C8EC72">
      <w:start w:val="1"/>
      <w:numFmt w:val="decimal"/>
      <w:lvlRestart w:val="0"/>
      <w:lvlText w:val="9.%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D32FDA"/>
    <w:multiLevelType w:val="hybridMultilevel"/>
    <w:tmpl w:val="E454F626"/>
    <w:lvl w:ilvl="0" w:tplc="C2ACB88A">
      <w:start w:val="1"/>
      <w:numFmt w:val="decimal"/>
      <w:lvlText w:val="%1."/>
      <w:lvlJc w:val="left"/>
      <w:pPr>
        <w:ind w:left="930" w:hanging="57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F3206"/>
    <w:multiLevelType w:val="multilevel"/>
    <w:tmpl w:val="901E543A"/>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7"/>
  </w:num>
  <w:num w:numId="2">
    <w:abstractNumId w:val="2"/>
  </w:num>
  <w:num w:numId="3">
    <w:abstractNumId w:val="20"/>
  </w:num>
  <w:num w:numId="4">
    <w:abstractNumId w:val="5"/>
  </w:num>
  <w:num w:numId="5">
    <w:abstractNumId w:val="7"/>
  </w:num>
  <w:num w:numId="6">
    <w:abstractNumId w:val="11"/>
  </w:num>
  <w:num w:numId="7">
    <w:abstractNumId w:val="6"/>
  </w:num>
  <w:num w:numId="8">
    <w:abstractNumId w:val="13"/>
  </w:num>
  <w:num w:numId="9">
    <w:abstractNumId w:val="19"/>
  </w:num>
  <w:num w:numId="10">
    <w:abstractNumId w:val="4"/>
  </w:num>
  <w:num w:numId="11">
    <w:abstractNumId w:val="1"/>
  </w:num>
  <w:num w:numId="12">
    <w:abstractNumId w:val="12"/>
  </w:num>
  <w:num w:numId="13">
    <w:abstractNumId w:val="15"/>
  </w:num>
  <w:num w:numId="14">
    <w:abstractNumId w:val="3"/>
  </w:num>
  <w:num w:numId="15">
    <w:abstractNumId w:val="9"/>
  </w:num>
  <w:num w:numId="16">
    <w:abstractNumId w:val="18"/>
  </w:num>
  <w:num w:numId="17">
    <w:abstractNumId w:val="10"/>
  </w:num>
  <w:num w:numId="18">
    <w:abstractNumId w:val="0"/>
  </w:num>
  <w:num w:numId="19">
    <w:abstractNumId w:val="14"/>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F"/>
    <w:rsid w:val="000066FB"/>
    <w:rsid w:val="0001729D"/>
    <w:rsid w:val="000B643B"/>
    <w:rsid w:val="00132DC0"/>
    <w:rsid w:val="001568DB"/>
    <w:rsid w:val="002E0A8B"/>
    <w:rsid w:val="003746EE"/>
    <w:rsid w:val="00381A6A"/>
    <w:rsid w:val="00393AB7"/>
    <w:rsid w:val="004F6059"/>
    <w:rsid w:val="00502372"/>
    <w:rsid w:val="005564CD"/>
    <w:rsid w:val="00557384"/>
    <w:rsid w:val="005D1AE4"/>
    <w:rsid w:val="00627E13"/>
    <w:rsid w:val="006C211B"/>
    <w:rsid w:val="006D51DA"/>
    <w:rsid w:val="006E1306"/>
    <w:rsid w:val="006E5969"/>
    <w:rsid w:val="007107D4"/>
    <w:rsid w:val="00713D61"/>
    <w:rsid w:val="0074148F"/>
    <w:rsid w:val="0077354E"/>
    <w:rsid w:val="007B23E8"/>
    <w:rsid w:val="007B5427"/>
    <w:rsid w:val="007E5490"/>
    <w:rsid w:val="00836DF9"/>
    <w:rsid w:val="008470FA"/>
    <w:rsid w:val="00887FFE"/>
    <w:rsid w:val="008D6C2D"/>
    <w:rsid w:val="008E7499"/>
    <w:rsid w:val="00900B2C"/>
    <w:rsid w:val="0091687D"/>
    <w:rsid w:val="00951ED9"/>
    <w:rsid w:val="00967796"/>
    <w:rsid w:val="009908F9"/>
    <w:rsid w:val="009B5D41"/>
    <w:rsid w:val="009D03D6"/>
    <w:rsid w:val="009D04F5"/>
    <w:rsid w:val="00A0181C"/>
    <w:rsid w:val="00A10DFD"/>
    <w:rsid w:val="00A10E33"/>
    <w:rsid w:val="00A1180A"/>
    <w:rsid w:val="00A863B8"/>
    <w:rsid w:val="00A9467A"/>
    <w:rsid w:val="00AA5663"/>
    <w:rsid w:val="00AF72BF"/>
    <w:rsid w:val="00AF7FD9"/>
    <w:rsid w:val="00B22E2B"/>
    <w:rsid w:val="00B25992"/>
    <w:rsid w:val="00B46AE8"/>
    <w:rsid w:val="00B57156"/>
    <w:rsid w:val="00B62BC9"/>
    <w:rsid w:val="00B77EB3"/>
    <w:rsid w:val="00B92DE4"/>
    <w:rsid w:val="00BC0FA5"/>
    <w:rsid w:val="00BD7E4E"/>
    <w:rsid w:val="00C16BB6"/>
    <w:rsid w:val="00C54625"/>
    <w:rsid w:val="00CA5076"/>
    <w:rsid w:val="00CA50B3"/>
    <w:rsid w:val="00CD0EF5"/>
    <w:rsid w:val="00CE4597"/>
    <w:rsid w:val="00D4444F"/>
    <w:rsid w:val="00DA1686"/>
    <w:rsid w:val="00DB2184"/>
    <w:rsid w:val="00DC6A7D"/>
    <w:rsid w:val="00DE75FD"/>
    <w:rsid w:val="00E62D05"/>
    <w:rsid w:val="00E7569F"/>
    <w:rsid w:val="00E83F49"/>
    <w:rsid w:val="00ED6D61"/>
    <w:rsid w:val="00EE1B5C"/>
    <w:rsid w:val="00EE26D7"/>
    <w:rsid w:val="00EF14AC"/>
    <w:rsid w:val="00F14CE8"/>
    <w:rsid w:val="00F22DFD"/>
    <w:rsid w:val="00F26AA4"/>
    <w:rsid w:val="00F540D2"/>
    <w:rsid w:val="00F9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72BF"/>
    <w:pPr>
      <w:spacing w:after="200" w:line="276" w:lineRule="auto"/>
    </w:pPr>
    <w:rPr>
      <w:sz w:val="22"/>
      <w:szCs w:val="22"/>
      <w:lang w:eastAsia="en-US"/>
    </w:rPr>
  </w:style>
  <w:style w:type="paragraph" w:styleId="1">
    <w:name w:val="heading 1"/>
    <w:basedOn w:val="a0"/>
    <w:next w:val="a0"/>
    <w:link w:val="1Char"/>
    <w:qFormat/>
    <w:rsid w:val="0091687D"/>
    <w:pPr>
      <w:keepNext/>
      <w:spacing w:before="240" w:after="60" w:line="240" w:lineRule="auto"/>
      <w:outlineLvl w:val="0"/>
    </w:pPr>
    <w:rPr>
      <w:rFonts w:ascii="Times New Roman" w:hAnsi="Times New Roman"/>
      <w:b/>
      <w:bCs/>
      <w:caps/>
      <w:kern w:val="32"/>
      <w:sz w:val="24"/>
      <w:szCs w:val="32"/>
    </w:rPr>
  </w:style>
  <w:style w:type="paragraph" w:styleId="2">
    <w:name w:val="heading 2"/>
    <w:basedOn w:val="a0"/>
    <w:next w:val="a0"/>
    <w:link w:val="2Char"/>
    <w:qFormat/>
    <w:rsid w:val="0091687D"/>
    <w:pPr>
      <w:keepNext/>
      <w:spacing w:before="240" w:after="60" w:line="240" w:lineRule="auto"/>
      <w:outlineLvl w:val="1"/>
    </w:pPr>
    <w:rPr>
      <w:rFonts w:ascii="Times New Roman" w:hAnsi="Times New Roman"/>
      <w:bCs/>
      <w:iCs/>
      <w:caps/>
      <w:sz w:val="24"/>
      <w:szCs w:val="28"/>
    </w:rPr>
  </w:style>
  <w:style w:type="paragraph" w:styleId="3">
    <w:name w:val="heading 3"/>
    <w:basedOn w:val="a0"/>
    <w:next w:val="a0"/>
    <w:link w:val="3Char"/>
    <w:qFormat/>
    <w:rsid w:val="0091687D"/>
    <w:pPr>
      <w:keepNext/>
      <w:spacing w:before="240" w:after="60" w:line="240" w:lineRule="auto"/>
      <w:outlineLvl w:val="2"/>
    </w:pPr>
    <w:rPr>
      <w:rFonts w:ascii="Times New Roman" w:hAnsi="Times New Roman"/>
      <w:bCs/>
      <w:sz w:val="24"/>
      <w:szCs w:val="26"/>
      <w:u w:val="single"/>
    </w:rPr>
  </w:style>
  <w:style w:type="paragraph" w:styleId="4">
    <w:name w:val="heading 4"/>
    <w:basedOn w:val="a0"/>
    <w:next w:val="a0"/>
    <w:link w:val="4Char"/>
    <w:qFormat/>
    <w:rsid w:val="0091687D"/>
    <w:pPr>
      <w:keepNext/>
      <w:spacing w:before="240" w:after="60" w:line="240" w:lineRule="auto"/>
      <w:outlineLvl w:val="3"/>
    </w:pPr>
    <w:rPr>
      <w:rFonts w:ascii="Times New Roman" w:hAnsi="Times New Roman"/>
      <w:bCs/>
      <w:i/>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F72BF"/>
    <w:pPr>
      <w:ind w:left="720"/>
      <w:contextualSpacing/>
    </w:pPr>
  </w:style>
  <w:style w:type="paragraph" w:styleId="a5">
    <w:name w:val="header"/>
    <w:basedOn w:val="a0"/>
    <w:link w:val="Char"/>
    <w:unhideWhenUsed/>
    <w:rsid w:val="00A10DFD"/>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1"/>
    <w:link w:val="a5"/>
    <w:uiPriority w:val="99"/>
    <w:rsid w:val="00A10DFD"/>
    <w:rPr>
      <w:sz w:val="18"/>
      <w:szCs w:val="18"/>
      <w:lang w:eastAsia="en-US"/>
    </w:rPr>
  </w:style>
  <w:style w:type="paragraph" w:styleId="a6">
    <w:name w:val="footer"/>
    <w:basedOn w:val="a0"/>
    <w:link w:val="Char0"/>
    <w:unhideWhenUsed/>
    <w:rsid w:val="00A10DFD"/>
    <w:pPr>
      <w:tabs>
        <w:tab w:val="center" w:pos="4513"/>
        <w:tab w:val="right" w:pos="9026"/>
      </w:tabs>
      <w:snapToGrid w:val="0"/>
      <w:spacing w:line="240" w:lineRule="auto"/>
    </w:pPr>
    <w:rPr>
      <w:sz w:val="18"/>
      <w:szCs w:val="18"/>
    </w:rPr>
  </w:style>
  <w:style w:type="character" w:customStyle="1" w:styleId="Char0">
    <w:name w:val="页脚 Char"/>
    <w:basedOn w:val="a1"/>
    <w:link w:val="a6"/>
    <w:uiPriority w:val="99"/>
    <w:rsid w:val="00A10DFD"/>
    <w:rPr>
      <w:sz w:val="18"/>
      <w:szCs w:val="18"/>
      <w:lang w:eastAsia="en-US"/>
    </w:rPr>
  </w:style>
  <w:style w:type="paragraph" w:styleId="a7">
    <w:name w:val="footnote text"/>
    <w:basedOn w:val="a0"/>
    <w:link w:val="Char1"/>
    <w:semiHidden/>
    <w:unhideWhenUsed/>
    <w:rsid w:val="00A10DFD"/>
    <w:pPr>
      <w:snapToGrid w:val="0"/>
    </w:pPr>
    <w:rPr>
      <w:sz w:val="18"/>
      <w:szCs w:val="18"/>
    </w:rPr>
  </w:style>
  <w:style w:type="character" w:customStyle="1" w:styleId="Char1">
    <w:name w:val="脚注文本 Char"/>
    <w:basedOn w:val="a1"/>
    <w:link w:val="a7"/>
    <w:uiPriority w:val="99"/>
    <w:semiHidden/>
    <w:rsid w:val="00A10DFD"/>
    <w:rPr>
      <w:sz w:val="18"/>
      <w:szCs w:val="18"/>
      <w:lang w:eastAsia="en-US"/>
    </w:rPr>
  </w:style>
  <w:style w:type="paragraph" w:customStyle="1" w:styleId="ONUME">
    <w:name w:val="ONUM E"/>
    <w:basedOn w:val="a8"/>
    <w:rsid w:val="00A10DFD"/>
    <w:pPr>
      <w:numPr>
        <w:numId w:val="1"/>
      </w:numPr>
      <w:spacing w:after="220" w:line="240" w:lineRule="auto"/>
    </w:pPr>
    <w:rPr>
      <w:rFonts w:ascii="Arial" w:hAnsi="Arial" w:cs="Arial"/>
      <w:szCs w:val="20"/>
      <w:lang w:eastAsia="zh-CN"/>
    </w:rPr>
  </w:style>
  <w:style w:type="character" w:styleId="a9">
    <w:name w:val="footnote reference"/>
    <w:rsid w:val="00A10DFD"/>
    <w:rPr>
      <w:vertAlign w:val="superscript"/>
    </w:rPr>
  </w:style>
  <w:style w:type="paragraph" w:styleId="a8">
    <w:name w:val="Body Text"/>
    <w:basedOn w:val="a0"/>
    <w:link w:val="Char2"/>
    <w:unhideWhenUsed/>
    <w:rsid w:val="00A10DFD"/>
    <w:pPr>
      <w:spacing w:after="120"/>
    </w:pPr>
  </w:style>
  <w:style w:type="character" w:customStyle="1" w:styleId="Char2">
    <w:name w:val="正文文本 Char"/>
    <w:basedOn w:val="a1"/>
    <w:link w:val="a8"/>
    <w:uiPriority w:val="99"/>
    <w:semiHidden/>
    <w:rsid w:val="00A10DFD"/>
    <w:rPr>
      <w:sz w:val="22"/>
      <w:szCs w:val="22"/>
      <w:lang w:eastAsia="en-US"/>
    </w:rPr>
  </w:style>
  <w:style w:type="table" w:customStyle="1" w:styleId="10">
    <w:name w:val="网格型1"/>
    <w:basedOn w:val="a2"/>
    <w:next w:val="aa"/>
    <w:rsid w:val="00A10DFD"/>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2"/>
    <w:uiPriority w:val="59"/>
    <w:rsid w:val="00A1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91687D"/>
    <w:rPr>
      <w:rFonts w:ascii="Times New Roman" w:hAnsi="Times New Roman"/>
      <w:b/>
      <w:bCs/>
      <w:caps/>
      <w:kern w:val="32"/>
      <w:sz w:val="24"/>
      <w:szCs w:val="32"/>
      <w:lang w:eastAsia="en-US"/>
    </w:rPr>
  </w:style>
  <w:style w:type="character" w:customStyle="1" w:styleId="2Char">
    <w:name w:val="标题 2 Char"/>
    <w:basedOn w:val="a1"/>
    <w:link w:val="2"/>
    <w:rsid w:val="0091687D"/>
    <w:rPr>
      <w:rFonts w:ascii="Times New Roman" w:hAnsi="Times New Roman"/>
      <w:bCs/>
      <w:iCs/>
      <w:caps/>
      <w:sz w:val="24"/>
      <w:szCs w:val="28"/>
      <w:lang w:eastAsia="en-US"/>
    </w:rPr>
  </w:style>
  <w:style w:type="character" w:customStyle="1" w:styleId="3Char">
    <w:name w:val="标题 3 Char"/>
    <w:basedOn w:val="a1"/>
    <w:link w:val="3"/>
    <w:rsid w:val="0091687D"/>
    <w:rPr>
      <w:rFonts w:ascii="Times New Roman" w:hAnsi="Times New Roman"/>
      <w:bCs/>
      <w:sz w:val="24"/>
      <w:szCs w:val="26"/>
      <w:u w:val="single"/>
      <w:lang w:eastAsia="en-US"/>
    </w:rPr>
  </w:style>
  <w:style w:type="character" w:customStyle="1" w:styleId="4Char">
    <w:name w:val="标题 4 Char"/>
    <w:basedOn w:val="a1"/>
    <w:link w:val="4"/>
    <w:rsid w:val="0091687D"/>
    <w:rPr>
      <w:rFonts w:ascii="Times New Roman" w:hAnsi="Times New Roman"/>
      <w:bCs/>
      <w:i/>
      <w:sz w:val="24"/>
      <w:szCs w:val="28"/>
      <w:lang w:eastAsia="en-US"/>
    </w:rPr>
  </w:style>
  <w:style w:type="paragraph" w:styleId="ab">
    <w:name w:val="Salutation"/>
    <w:basedOn w:val="a0"/>
    <w:next w:val="a0"/>
    <w:link w:val="Char3"/>
    <w:semiHidden/>
    <w:rsid w:val="0091687D"/>
    <w:pPr>
      <w:spacing w:after="0" w:line="240" w:lineRule="auto"/>
    </w:pPr>
    <w:rPr>
      <w:rFonts w:ascii="Times New Roman" w:hAnsi="Times New Roman"/>
      <w:sz w:val="24"/>
      <w:szCs w:val="24"/>
    </w:rPr>
  </w:style>
  <w:style w:type="character" w:customStyle="1" w:styleId="Char3">
    <w:name w:val="称呼 Char"/>
    <w:basedOn w:val="a1"/>
    <w:link w:val="ab"/>
    <w:semiHidden/>
    <w:rsid w:val="0091687D"/>
    <w:rPr>
      <w:rFonts w:ascii="Times New Roman" w:hAnsi="Times New Roman"/>
      <w:sz w:val="24"/>
      <w:szCs w:val="24"/>
      <w:lang w:eastAsia="en-US"/>
    </w:rPr>
  </w:style>
  <w:style w:type="paragraph" w:styleId="ac">
    <w:name w:val="Signature"/>
    <w:basedOn w:val="a0"/>
    <w:link w:val="Char4"/>
    <w:semiHidden/>
    <w:rsid w:val="0091687D"/>
    <w:pPr>
      <w:spacing w:after="0" w:line="240" w:lineRule="auto"/>
      <w:ind w:left="5250"/>
    </w:pPr>
    <w:rPr>
      <w:rFonts w:ascii="Times New Roman" w:hAnsi="Times New Roman"/>
      <w:sz w:val="24"/>
      <w:szCs w:val="24"/>
    </w:rPr>
  </w:style>
  <w:style w:type="character" w:customStyle="1" w:styleId="Char4">
    <w:name w:val="签名 Char"/>
    <w:basedOn w:val="a1"/>
    <w:link w:val="ac"/>
    <w:semiHidden/>
    <w:rsid w:val="0091687D"/>
    <w:rPr>
      <w:rFonts w:ascii="Times New Roman" w:hAnsi="Times New Roman"/>
      <w:sz w:val="24"/>
      <w:szCs w:val="24"/>
      <w:lang w:eastAsia="en-US"/>
    </w:rPr>
  </w:style>
  <w:style w:type="paragraph" w:styleId="ad">
    <w:name w:val="endnote text"/>
    <w:basedOn w:val="a0"/>
    <w:link w:val="Char5"/>
    <w:semiHidden/>
    <w:rsid w:val="0091687D"/>
    <w:pPr>
      <w:spacing w:after="0" w:line="240" w:lineRule="auto"/>
    </w:pPr>
    <w:rPr>
      <w:rFonts w:ascii="Times New Roman" w:hAnsi="Times New Roman"/>
      <w:sz w:val="18"/>
      <w:szCs w:val="24"/>
    </w:rPr>
  </w:style>
  <w:style w:type="character" w:customStyle="1" w:styleId="Char5">
    <w:name w:val="尾注文本 Char"/>
    <w:basedOn w:val="a1"/>
    <w:link w:val="ad"/>
    <w:semiHidden/>
    <w:rsid w:val="0091687D"/>
    <w:rPr>
      <w:rFonts w:ascii="Times New Roman" w:hAnsi="Times New Roman"/>
      <w:sz w:val="18"/>
      <w:szCs w:val="24"/>
      <w:lang w:eastAsia="en-US"/>
    </w:rPr>
  </w:style>
  <w:style w:type="paragraph" w:styleId="ae">
    <w:name w:val="caption"/>
    <w:basedOn w:val="a0"/>
    <w:next w:val="a0"/>
    <w:qFormat/>
    <w:rsid w:val="0091687D"/>
    <w:pPr>
      <w:spacing w:after="0" w:line="240" w:lineRule="auto"/>
    </w:pPr>
    <w:rPr>
      <w:rFonts w:ascii="Times New Roman" w:hAnsi="Times New Roman"/>
      <w:b/>
      <w:bCs/>
      <w:sz w:val="18"/>
      <w:szCs w:val="24"/>
    </w:rPr>
  </w:style>
  <w:style w:type="paragraph" w:styleId="af">
    <w:name w:val="annotation text"/>
    <w:basedOn w:val="a0"/>
    <w:link w:val="Char6"/>
    <w:semiHidden/>
    <w:rsid w:val="0091687D"/>
    <w:pPr>
      <w:spacing w:after="0" w:line="240" w:lineRule="auto"/>
    </w:pPr>
    <w:rPr>
      <w:rFonts w:ascii="Times New Roman" w:hAnsi="Times New Roman"/>
      <w:sz w:val="18"/>
      <w:szCs w:val="24"/>
    </w:rPr>
  </w:style>
  <w:style w:type="character" w:customStyle="1" w:styleId="Char6">
    <w:name w:val="批注文字 Char"/>
    <w:basedOn w:val="a1"/>
    <w:link w:val="af"/>
    <w:semiHidden/>
    <w:rsid w:val="0091687D"/>
    <w:rPr>
      <w:rFonts w:ascii="Times New Roman" w:hAnsi="Times New Roman"/>
      <w:sz w:val="18"/>
      <w:szCs w:val="24"/>
      <w:lang w:eastAsia="en-US"/>
    </w:rPr>
  </w:style>
  <w:style w:type="paragraph" w:customStyle="1" w:styleId="ONUMFS">
    <w:name w:val="ONUM FS"/>
    <w:basedOn w:val="a8"/>
    <w:rsid w:val="0091687D"/>
    <w:pPr>
      <w:numPr>
        <w:numId w:val="10"/>
      </w:numPr>
      <w:spacing w:after="220" w:line="240" w:lineRule="auto"/>
    </w:pPr>
    <w:rPr>
      <w:rFonts w:ascii="Times New Roman" w:hAnsi="Times New Roman"/>
      <w:sz w:val="24"/>
      <w:szCs w:val="24"/>
    </w:rPr>
  </w:style>
  <w:style w:type="paragraph" w:styleId="a">
    <w:name w:val="List Number"/>
    <w:basedOn w:val="a0"/>
    <w:semiHidden/>
    <w:rsid w:val="0091687D"/>
    <w:pPr>
      <w:numPr>
        <w:numId w:val="12"/>
      </w:numPr>
      <w:spacing w:after="0" w:line="240" w:lineRule="auto"/>
    </w:pPr>
    <w:rPr>
      <w:rFonts w:ascii="Times New Roman" w:hAnsi="Times New Roman"/>
      <w:sz w:val="24"/>
      <w:szCs w:val="24"/>
    </w:rPr>
  </w:style>
  <w:style w:type="character" w:styleId="af0">
    <w:name w:val="Hyperlink"/>
    <w:rsid w:val="0091687D"/>
    <w:rPr>
      <w:color w:val="0000FF"/>
      <w:u w:val="single"/>
    </w:rPr>
  </w:style>
  <w:style w:type="character" w:customStyle="1" w:styleId="Thom">
    <w:name w:val="Thom"/>
    <w:semiHidden/>
    <w:rsid w:val="0091687D"/>
    <w:rPr>
      <w:rFonts w:ascii="Arial" w:hAnsi="Arial" w:cs="Arial"/>
      <w:color w:val="000080"/>
      <w:sz w:val="20"/>
      <w:szCs w:val="20"/>
    </w:rPr>
  </w:style>
  <w:style w:type="character" w:styleId="af1">
    <w:name w:val="Emphasis"/>
    <w:qFormat/>
    <w:rsid w:val="0091687D"/>
    <w:rPr>
      <w:i/>
      <w:iCs/>
    </w:rPr>
  </w:style>
  <w:style w:type="paragraph" w:styleId="af2">
    <w:name w:val="Balloon Text"/>
    <w:basedOn w:val="a0"/>
    <w:link w:val="Char7"/>
    <w:semiHidden/>
    <w:rsid w:val="0091687D"/>
    <w:pPr>
      <w:spacing w:after="0" w:line="240" w:lineRule="auto"/>
    </w:pPr>
    <w:rPr>
      <w:rFonts w:ascii="Tahoma" w:hAnsi="Tahoma" w:cs="Tahoma"/>
      <w:sz w:val="16"/>
      <w:szCs w:val="16"/>
    </w:rPr>
  </w:style>
  <w:style w:type="character" w:customStyle="1" w:styleId="Char7">
    <w:name w:val="批注框文本 Char"/>
    <w:basedOn w:val="a1"/>
    <w:link w:val="af2"/>
    <w:semiHidden/>
    <w:rsid w:val="0091687D"/>
    <w:rPr>
      <w:rFonts w:ascii="Tahoma" w:hAnsi="Tahoma" w:cs="Tahoma"/>
      <w:sz w:val="16"/>
      <w:szCs w:val="16"/>
      <w:lang w:eastAsia="en-US"/>
    </w:rPr>
  </w:style>
  <w:style w:type="character" w:styleId="af3">
    <w:name w:val="page number"/>
    <w:basedOn w:val="a1"/>
    <w:rsid w:val="0091687D"/>
  </w:style>
  <w:style w:type="character" w:styleId="af4">
    <w:name w:val="annotation reference"/>
    <w:basedOn w:val="a1"/>
    <w:rsid w:val="0091687D"/>
    <w:rPr>
      <w:sz w:val="16"/>
      <w:szCs w:val="16"/>
    </w:rPr>
  </w:style>
  <w:style w:type="paragraph" w:styleId="af5">
    <w:name w:val="annotation subject"/>
    <w:basedOn w:val="af"/>
    <w:next w:val="af"/>
    <w:link w:val="Char8"/>
    <w:rsid w:val="0091687D"/>
    <w:rPr>
      <w:b/>
      <w:bCs/>
      <w:sz w:val="20"/>
      <w:szCs w:val="20"/>
    </w:rPr>
  </w:style>
  <w:style w:type="character" w:customStyle="1" w:styleId="Char8">
    <w:name w:val="批注主题 Char"/>
    <w:basedOn w:val="Char6"/>
    <w:link w:val="af5"/>
    <w:rsid w:val="0091687D"/>
    <w:rPr>
      <w:rFonts w:ascii="Times New Roman" w:hAnsi="Times New Roman"/>
      <w:b/>
      <w:bCs/>
      <w:sz w:val="18"/>
      <w:szCs w:val="24"/>
      <w:lang w:eastAsia="en-US"/>
    </w:rPr>
  </w:style>
  <w:style w:type="paragraph" w:styleId="af6">
    <w:name w:val="Revision"/>
    <w:hidden/>
    <w:uiPriority w:val="99"/>
    <w:semiHidden/>
    <w:rsid w:val="0091687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CA93-C786-4F7E-A7B7-FC9C7516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11174</Words>
  <Characters>11958</Characters>
  <Application>Microsoft Office Word</Application>
  <DocSecurity>0</DocSecurity>
  <Lines>332</Lines>
  <Paragraphs>191</Paragraphs>
  <ScaleCrop>false</ScaleCrop>
  <Company>World Intellectual Property Organization</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A/56/17 Annex I</dc:title>
  <dc:subject>总干事提交2016年WIPO成员国大会的报告</dc:subject>
  <dc:creator/>
  <cp:lastModifiedBy>MA Weihai</cp:lastModifiedBy>
  <cp:revision>3</cp:revision>
  <dcterms:created xsi:type="dcterms:W3CDTF">2016-12-09T13:38:00Z</dcterms:created>
  <dcterms:modified xsi:type="dcterms:W3CDTF">2016-12-09T13:39:00Z</dcterms:modified>
</cp:coreProperties>
</file>