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eastAsia="ja-JP"/>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0D6838">
            <w:pPr>
              <w:pStyle w:val="DocumentCodeAR"/>
              <w:bidi/>
              <w:rPr>
                <w:rtl/>
              </w:rPr>
            </w:pPr>
            <w:r>
              <w:t>H/LD/WG/</w:t>
            </w:r>
            <w:r w:rsidR="00F631EA">
              <w:t>5</w:t>
            </w:r>
            <w:r>
              <w:t>/</w:t>
            </w:r>
            <w:r w:rsidR="003465CE">
              <w:t>7</w:t>
            </w:r>
          </w:p>
        </w:tc>
      </w:tr>
      <w:tr w:rsidR="001667B6" w:rsidTr="00BF164F">
        <w:tc>
          <w:tcPr>
            <w:tcW w:w="9571" w:type="dxa"/>
            <w:gridSpan w:val="3"/>
          </w:tcPr>
          <w:p w:rsidR="001667B6" w:rsidRPr="00B6101C" w:rsidRDefault="00B6101C" w:rsidP="003465CE">
            <w:pPr>
              <w:pStyle w:val="DocumentLanguageAR"/>
              <w:bidi/>
              <w:rPr>
                <w:rtl/>
              </w:rPr>
            </w:pPr>
            <w:r w:rsidRPr="00B6101C">
              <w:rPr>
                <w:rFonts w:hint="cs"/>
                <w:rtl/>
              </w:rPr>
              <w:t xml:space="preserve">الأصل: </w:t>
            </w:r>
            <w:r w:rsidR="003465CE">
              <w:rPr>
                <w:rFonts w:hint="cs"/>
                <w:rtl/>
              </w:rPr>
              <w:t>بالإنكليزية</w:t>
            </w:r>
          </w:p>
        </w:tc>
      </w:tr>
      <w:tr w:rsidR="001667B6" w:rsidTr="00BF164F">
        <w:tc>
          <w:tcPr>
            <w:tcW w:w="9571" w:type="dxa"/>
            <w:gridSpan w:val="3"/>
          </w:tcPr>
          <w:p w:rsidR="001667B6" w:rsidRPr="00B6101C" w:rsidRDefault="00B6101C" w:rsidP="003465CE">
            <w:pPr>
              <w:pStyle w:val="DocumentDateAR"/>
              <w:bidi/>
              <w:rPr>
                <w:rtl/>
              </w:rPr>
            </w:pPr>
            <w:r w:rsidRPr="00B6101C">
              <w:rPr>
                <w:rFonts w:hint="cs"/>
                <w:rtl/>
              </w:rPr>
              <w:t xml:space="preserve">التاريخ: </w:t>
            </w:r>
            <w:r w:rsidR="003465CE">
              <w:rPr>
                <w:rFonts w:hint="cs"/>
                <w:rtl/>
              </w:rPr>
              <w:t>16</w:t>
            </w:r>
            <w:r w:rsidRPr="00B6101C">
              <w:rPr>
                <w:rFonts w:hint="cs"/>
                <w:rtl/>
              </w:rPr>
              <w:t xml:space="preserve"> </w:t>
            </w:r>
            <w:r w:rsidR="003465CE">
              <w:rPr>
                <w:rFonts w:hint="cs"/>
                <w:rtl/>
              </w:rPr>
              <w:t>ديسمبر</w:t>
            </w:r>
            <w:r w:rsidRPr="00B6101C">
              <w:rPr>
                <w:rFonts w:hint="cs"/>
                <w:rtl/>
              </w:rPr>
              <w:t xml:space="preserve">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465CE" w:rsidP="00FB7EC9">
      <w:pPr>
        <w:pStyle w:val="DocumentTitleAR"/>
        <w:bidi/>
        <w:rPr>
          <w:rtl/>
        </w:rPr>
      </w:pPr>
      <w:r>
        <w:rPr>
          <w:rFonts w:hint="cs"/>
          <w:rtl/>
        </w:rPr>
        <w:t>ملخص الرئيس</w:t>
      </w:r>
    </w:p>
    <w:p w:rsidR="00D61541" w:rsidRPr="00D61541" w:rsidRDefault="00514157" w:rsidP="00931859">
      <w:pPr>
        <w:pStyle w:val="PreparedbyAR"/>
        <w:bidi/>
        <w:rPr>
          <w:rtl/>
        </w:rPr>
      </w:pPr>
      <w:r>
        <w:rPr>
          <w:rFonts w:hint="cs"/>
          <w:rtl/>
        </w:rPr>
        <w:t>الذي اعتمده الفريق العامل</w:t>
      </w:r>
    </w:p>
    <w:p w:rsidR="005822A0" w:rsidRDefault="005822A0" w:rsidP="005822A0">
      <w:pPr>
        <w:pStyle w:val="NumberedParaAR"/>
      </w:pPr>
      <w:r>
        <w:rPr>
          <w:rFonts w:hint="cs"/>
          <w:rtl/>
        </w:rPr>
        <w:t>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14 إلى 16 ديسمبر 2015.</w:t>
      </w:r>
    </w:p>
    <w:p w:rsidR="005822A0" w:rsidRDefault="005822A0" w:rsidP="005822A0">
      <w:pPr>
        <w:pStyle w:val="NumberedParaAR"/>
        <w:rPr>
          <w:rtl/>
        </w:rPr>
      </w:pPr>
      <w:r>
        <w:rPr>
          <w:rFonts w:hint="cs"/>
          <w:rtl/>
        </w:rPr>
        <w:t>و</w:t>
      </w:r>
      <w:r>
        <w:rPr>
          <w:rtl/>
        </w:rPr>
        <w:t>كان</w:t>
      </w:r>
      <w:r>
        <w:rPr>
          <w:rFonts w:hint="cs"/>
          <w:rtl/>
        </w:rPr>
        <w:t>ت</w:t>
      </w:r>
      <w:r>
        <w:rPr>
          <w:rtl/>
        </w:rPr>
        <w:t xml:space="preserve"> الأعضاء</w:t>
      </w:r>
      <w:r>
        <w:rPr>
          <w:rFonts w:hint="cs"/>
          <w:rtl/>
        </w:rPr>
        <w:t xml:space="preserve"> التالية</w:t>
      </w:r>
      <w:r>
        <w:rPr>
          <w:rtl/>
        </w:rPr>
        <w:t xml:space="preserve"> في اتحاد لاهاي ممثلة في الدورة: </w:t>
      </w:r>
      <w:r>
        <w:rPr>
          <w:rFonts w:hint="cs"/>
          <w:rtl/>
        </w:rPr>
        <w:t>ال</w:t>
      </w:r>
      <w:r>
        <w:rPr>
          <w:rtl/>
        </w:rPr>
        <w:t>منظمة الأفريقية للملكية الفكرية</w:t>
      </w:r>
      <w:r>
        <w:rPr>
          <w:rFonts w:hint="cs"/>
          <w:rtl/>
        </w:rPr>
        <w:t xml:space="preserve"> </w:t>
      </w:r>
      <w:r>
        <w:rPr>
          <w:rtl/>
        </w:rPr>
        <w:t>(</w:t>
      </w:r>
      <w:r>
        <w:t>OAPI</w:t>
      </w:r>
      <w:r>
        <w:rPr>
          <w:rtl/>
        </w:rPr>
        <w:t xml:space="preserve">) </w:t>
      </w:r>
      <w:r w:rsidRPr="005822A0">
        <w:rPr>
          <w:rtl/>
        </w:rPr>
        <w:t xml:space="preserve">أذربيجان </w:t>
      </w:r>
      <w:r>
        <w:rPr>
          <w:rFonts w:hint="cs"/>
          <w:rtl/>
        </w:rPr>
        <w:t>و</w:t>
      </w:r>
      <w:r w:rsidRPr="005822A0">
        <w:rPr>
          <w:rtl/>
        </w:rPr>
        <w:t>الدانمرك</w:t>
      </w:r>
      <w:r>
        <w:rPr>
          <w:rFonts w:hint="cs"/>
          <w:rtl/>
        </w:rPr>
        <w:t xml:space="preserve"> و</w:t>
      </w:r>
      <w:r w:rsidRPr="005822A0">
        <w:rPr>
          <w:rtl/>
        </w:rPr>
        <w:t xml:space="preserve">مصر </w:t>
      </w:r>
      <w:r>
        <w:rPr>
          <w:rFonts w:hint="cs"/>
          <w:rtl/>
        </w:rPr>
        <w:t>و</w:t>
      </w:r>
      <w:r w:rsidRPr="005822A0">
        <w:rPr>
          <w:rtl/>
        </w:rPr>
        <w:t xml:space="preserve">إستونيا </w:t>
      </w:r>
      <w:r>
        <w:rPr>
          <w:rFonts w:hint="cs"/>
          <w:rtl/>
        </w:rPr>
        <w:t>والاتحاد الأوروبي و</w:t>
      </w:r>
      <w:r w:rsidRPr="005822A0">
        <w:rPr>
          <w:rtl/>
        </w:rPr>
        <w:t xml:space="preserve">فنلندا </w:t>
      </w:r>
      <w:r>
        <w:rPr>
          <w:rFonts w:hint="cs"/>
          <w:rtl/>
        </w:rPr>
        <w:t>و</w:t>
      </w:r>
      <w:r w:rsidRPr="005822A0">
        <w:rPr>
          <w:rtl/>
        </w:rPr>
        <w:t xml:space="preserve">فرنسا </w:t>
      </w:r>
      <w:r>
        <w:rPr>
          <w:rFonts w:hint="cs"/>
          <w:rtl/>
        </w:rPr>
        <w:t>و</w:t>
      </w:r>
      <w:r w:rsidRPr="005822A0">
        <w:rPr>
          <w:rtl/>
        </w:rPr>
        <w:t xml:space="preserve">ألمانيا </w:t>
      </w:r>
      <w:r>
        <w:rPr>
          <w:rFonts w:hint="cs"/>
          <w:rtl/>
        </w:rPr>
        <w:t>و</w:t>
      </w:r>
      <w:r w:rsidRPr="005822A0">
        <w:rPr>
          <w:rtl/>
        </w:rPr>
        <w:t xml:space="preserve">اليونان </w:t>
      </w:r>
      <w:r>
        <w:rPr>
          <w:rFonts w:hint="cs"/>
          <w:rtl/>
        </w:rPr>
        <w:t>و</w:t>
      </w:r>
      <w:r w:rsidRPr="005822A0">
        <w:rPr>
          <w:rtl/>
        </w:rPr>
        <w:t xml:space="preserve">هنغاريا </w:t>
      </w:r>
      <w:r>
        <w:rPr>
          <w:rFonts w:hint="cs"/>
          <w:rtl/>
        </w:rPr>
        <w:t>و</w:t>
      </w:r>
      <w:r w:rsidRPr="005822A0">
        <w:rPr>
          <w:rtl/>
        </w:rPr>
        <w:t>إيطاليا</w:t>
      </w:r>
      <w:r>
        <w:rPr>
          <w:rFonts w:hint="cs"/>
          <w:rtl/>
        </w:rPr>
        <w:t xml:space="preserve"> و</w:t>
      </w:r>
      <w:r w:rsidRPr="005822A0">
        <w:rPr>
          <w:rtl/>
        </w:rPr>
        <w:t xml:space="preserve">اليابان </w:t>
      </w:r>
      <w:r>
        <w:rPr>
          <w:rFonts w:hint="cs"/>
          <w:rtl/>
        </w:rPr>
        <w:t>و</w:t>
      </w:r>
      <w:r w:rsidRPr="005822A0">
        <w:rPr>
          <w:rtl/>
        </w:rPr>
        <w:t xml:space="preserve">ليتوانيا </w:t>
      </w:r>
      <w:r>
        <w:rPr>
          <w:rFonts w:hint="cs"/>
          <w:rtl/>
        </w:rPr>
        <w:t>و</w:t>
      </w:r>
      <w:r w:rsidRPr="005822A0">
        <w:rPr>
          <w:rtl/>
        </w:rPr>
        <w:t xml:space="preserve">المغرب </w:t>
      </w:r>
      <w:r>
        <w:rPr>
          <w:rFonts w:hint="cs"/>
          <w:rtl/>
        </w:rPr>
        <w:t>و</w:t>
      </w:r>
      <w:r w:rsidRPr="005822A0">
        <w:rPr>
          <w:rtl/>
        </w:rPr>
        <w:t xml:space="preserve">النرويج </w:t>
      </w:r>
      <w:r>
        <w:rPr>
          <w:rFonts w:hint="cs"/>
          <w:rtl/>
        </w:rPr>
        <w:t>و</w:t>
      </w:r>
      <w:r w:rsidRPr="005822A0">
        <w:rPr>
          <w:rtl/>
        </w:rPr>
        <w:t>ع</w:t>
      </w:r>
      <w:r>
        <w:rPr>
          <w:rFonts w:hint="cs"/>
          <w:rtl/>
        </w:rPr>
        <w:t>ُ</w:t>
      </w:r>
      <w:r w:rsidRPr="005822A0">
        <w:rPr>
          <w:rtl/>
        </w:rPr>
        <w:t xml:space="preserve">مان </w:t>
      </w:r>
      <w:r>
        <w:rPr>
          <w:rFonts w:hint="cs"/>
          <w:rtl/>
        </w:rPr>
        <w:t>و</w:t>
      </w:r>
      <w:r w:rsidRPr="005822A0">
        <w:rPr>
          <w:rtl/>
        </w:rPr>
        <w:t xml:space="preserve">بولندا </w:t>
      </w:r>
      <w:r>
        <w:rPr>
          <w:rFonts w:hint="cs"/>
          <w:rtl/>
        </w:rPr>
        <w:t>و</w:t>
      </w:r>
      <w:r w:rsidRPr="005822A0">
        <w:rPr>
          <w:rtl/>
        </w:rPr>
        <w:t xml:space="preserve">جمهورية كوريا </w:t>
      </w:r>
      <w:r>
        <w:rPr>
          <w:rFonts w:hint="cs"/>
          <w:rtl/>
        </w:rPr>
        <w:t>و</w:t>
      </w:r>
      <w:r w:rsidRPr="005822A0">
        <w:rPr>
          <w:rtl/>
        </w:rPr>
        <w:t xml:space="preserve">جمهورية مولدوفا </w:t>
      </w:r>
      <w:r>
        <w:rPr>
          <w:rFonts w:hint="cs"/>
          <w:rtl/>
        </w:rPr>
        <w:t>و</w:t>
      </w:r>
      <w:r w:rsidRPr="005822A0">
        <w:rPr>
          <w:rtl/>
        </w:rPr>
        <w:t xml:space="preserve">رومانيا </w:t>
      </w:r>
      <w:r>
        <w:rPr>
          <w:rFonts w:hint="cs"/>
          <w:rtl/>
        </w:rPr>
        <w:t>و</w:t>
      </w:r>
      <w:r w:rsidRPr="005822A0">
        <w:rPr>
          <w:rtl/>
        </w:rPr>
        <w:t xml:space="preserve">السنغال </w:t>
      </w:r>
      <w:r>
        <w:rPr>
          <w:rFonts w:hint="cs"/>
          <w:rtl/>
        </w:rPr>
        <w:t>و</w:t>
      </w:r>
      <w:r w:rsidRPr="005822A0">
        <w:rPr>
          <w:rtl/>
        </w:rPr>
        <w:t xml:space="preserve">إسبانيا </w:t>
      </w:r>
      <w:r>
        <w:rPr>
          <w:rFonts w:hint="cs"/>
          <w:rtl/>
        </w:rPr>
        <w:t>و</w:t>
      </w:r>
      <w:r w:rsidRPr="005822A0">
        <w:rPr>
          <w:rtl/>
        </w:rPr>
        <w:t xml:space="preserve">سويسرا </w:t>
      </w:r>
      <w:r>
        <w:rPr>
          <w:rFonts w:hint="cs"/>
          <w:rtl/>
        </w:rPr>
        <w:t>و</w:t>
      </w:r>
      <w:r w:rsidRPr="005822A0">
        <w:rPr>
          <w:rtl/>
        </w:rPr>
        <w:t xml:space="preserve">تركيا </w:t>
      </w:r>
      <w:r>
        <w:rPr>
          <w:rFonts w:hint="cs"/>
          <w:rtl/>
        </w:rPr>
        <w:t>و</w:t>
      </w:r>
      <w:r w:rsidRPr="005822A0">
        <w:rPr>
          <w:rtl/>
        </w:rPr>
        <w:t xml:space="preserve">أوكرانيا </w:t>
      </w:r>
      <w:r>
        <w:rPr>
          <w:rFonts w:hint="cs"/>
          <w:rtl/>
        </w:rPr>
        <w:t>و</w:t>
      </w:r>
      <w:r w:rsidRPr="005822A0">
        <w:rPr>
          <w:rtl/>
        </w:rPr>
        <w:t xml:space="preserve">الولايات المتحدة الأمريكية </w:t>
      </w:r>
      <w:r>
        <w:rPr>
          <w:rtl/>
        </w:rPr>
        <w:t>(</w:t>
      </w:r>
      <w:r>
        <w:rPr>
          <w:rFonts w:hint="cs"/>
          <w:rtl/>
        </w:rPr>
        <w:t>27</w:t>
      </w:r>
      <w:r>
        <w:rPr>
          <w:rtl/>
        </w:rPr>
        <w:t>).</w:t>
      </w:r>
    </w:p>
    <w:p w:rsidR="005822A0" w:rsidRDefault="005822A0" w:rsidP="00B50E06">
      <w:pPr>
        <w:pStyle w:val="NumberedParaAR"/>
      </w:pPr>
      <w:r>
        <w:rPr>
          <w:rFonts w:hint="cs"/>
          <w:rtl/>
        </w:rPr>
        <w:t>و</w:t>
      </w:r>
      <w:r>
        <w:rPr>
          <w:rFonts w:hint="cs"/>
          <w:rtl/>
          <w:lang w:val="fr-CH"/>
        </w:rPr>
        <w:t xml:space="preserve">كانت </w:t>
      </w:r>
      <w:r>
        <w:rPr>
          <w:rtl/>
        </w:rPr>
        <w:t xml:space="preserve">الدول التالية </w:t>
      </w:r>
      <w:r>
        <w:rPr>
          <w:rFonts w:hint="cs"/>
          <w:rtl/>
        </w:rPr>
        <w:t xml:space="preserve">ممثَّلة </w:t>
      </w:r>
      <w:r>
        <w:rPr>
          <w:rtl/>
        </w:rPr>
        <w:t xml:space="preserve">بصفة مراقب: </w:t>
      </w:r>
      <w:r w:rsidR="00A138D4" w:rsidRPr="00A138D4">
        <w:rPr>
          <w:rtl/>
        </w:rPr>
        <w:t>الجزائر وبيلاروس وكندا والصين وكولومبيا والجمهورية التشيكية وإندونيسيا وكازاخستان ومدغشقر والمكسيك وبنما والبرتغال والاتحاد الروسي والمملكة العربية السعودية</w:t>
      </w:r>
      <w:r w:rsidR="00A138D4">
        <w:rPr>
          <w:rtl/>
        </w:rPr>
        <w:t xml:space="preserve"> وتركمانستان والمملكة المتحدة</w:t>
      </w:r>
      <w:r w:rsidR="00A138D4" w:rsidRPr="00A138D4">
        <w:rPr>
          <w:rtl/>
        </w:rPr>
        <w:t xml:space="preserve"> وفييت نام واليمن وزمبابوي</w:t>
      </w:r>
      <w:r>
        <w:rPr>
          <w:rFonts w:hint="cs"/>
          <w:rtl/>
        </w:rPr>
        <w:t xml:space="preserve"> </w:t>
      </w:r>
      <w:r w:rsidR="00A138D4">
        <w:rPr>
          <w:rtl/>
        </w:rPr>
        <w:t>(</w:t>
      </w:r>
      <w:r w:rsidR="00B50E06">
        <w:rPr>
          <w:rFonts w:hint="cs"/>
          <w:rtl/>
        </w:rPr>
        <w:t>19</w:t>
      </w:r>
      <w:r w:rsidR="00A138D4">
        <w:rPr>
          <w:rtl/>
        </w:rPr>
        <w:t>).</w:t>
      </w:r>
    </w:p>
    <w:p w:rsidR="00CE2147" w:rsidRDefault="00CE2147" w:rsidP="00CE2147">
      <w:pPr>
        <w:pStyle w:val="NumberedParaAR"/>
        <w:rPr>
          <w:rtl/>
        </w:rPr>
      </w:pPr>
      <w:r>
        <w:rPr>
          <w:rFonts w:hint="cs"/>
          <w:rtl/>
        </w:rPr>
        <w:t>وشاركت بعثة فلسطين المراقبة الدائمة في الدورة بصفة مراقب.</w:t>
      </w:r>
    </w:p>
    <w:p w:rsidR="005822A0" w:rsidRDefault="005822A0" w:rsidP="00163318">
      <w:pPr>
        <w:pStyle w:val="NumberedParaAR"/>
      </w:pPr>
      <w:r>
        <w:rPr>
          <w:rFonts w:hint="cs"/>
          <w:rtl/>
        </w:rPr>
        <w:t xml:space="preserve">وشارك </w:t>
      </w:r>
      <w:r>
        <w:rPr>
          <w:rtl/>
        </w:rPr>
        <w:t>ممثلو المنظمات غير الحكومية التالية</w:t>
      </w:r>
      <w:r>
        <w:rPr>
          <w:rFonts w:hint="cs"/>
          <w:rtl/>
        </w:rPr>
        <w:t xml:space="preserve"> </w:t>
      </w:r>
      <w:r>
        <w:rPr>
          <w:rtl/>
        </w:rPr>
        <w:t xml:space="preserve">في الدورة بصفة مراقب: </w:t>
      </w:r>
      <w:r w:rsidR="00A138D4" w:rsidRPr="00A138D4">
        <w:rPr>
          <w:rtl/>
        </w:rPr>
        <w:t>الجمعية الأمريكية لقانون الملكية الفكرية</w:t>
      </w:r>
      <w:r w:rsidR="00A138D4">
        <w:rPr>
          <w:rFonts w:hint="cs"/>
          <w:rtl/>
        </w:rPr>
        <w:t> </w:t>
      </w:r>
      <w:r w:rsidR="00A138D4" w:rsidRPr="00A138D4">
        <w:rPr>
          <w:rtl/>
        </w:rPr>
        <w:t>(</w:t>
      </w:r>
      <w:r w:rsidR="00A138D4" w:rsidRPr="00A138D4">
        <w:t>AIPLA</w:t>
      </w:r>
      <w:r w:rsidR="00A138D4" w:rsidRPr="00A138D4">
        <w:rPr>
          <w:rtl/>
        </w:rPr>
        <w:t xml:space="preserve">) </w:t>
      </w:r>
      <w:r w:rsidR="00A138D4">
        <w:rPr>
          <w:rFonts w:hint="cs"/>
          <w:rtl/>
        </w:rPr>
        <w:t>و</w:t>
      </w:r>
      <w:r w:rsidRPr="00334D61">
        <w:rPr>
          <w:rtl/>
        </w:rPr>
        <w:t>جمعية مالكي العلامات التجارية الأوروبيين</w:t>
      </w:r>
      <w:r>
        <w:rPr>
          <w:rFonts w:hint="cs"/>
          <w:rtl/>
        </w:rPr>
        <w:t> </w:t>
      </w:r>
      <w:r w:rsidRPr="00334D61">
        <w:rPr>
          <w:rtl/>
        </w:rPr>
        <w:t>(</w:t>
      </w:r>
      <w:r w:rsidRPr="00334D61">
        <w:t>MARQUES</w:t>
      </w:r>
      <w:r w:rsidRPr="00334D61">
        <w:rPr>
          <w:rtl/>
        </w:rPr>
        <w:t>)</w:t>
      </w:r>
      <w:r>
        <w:rPr>
          <w:rtl/>
        </w:rPr>
        <w:t xml:space="preserve"> </w:t>
      </w:r>
      <w:r w:rsidR="00A138D4">
        <w:rPr>
          <w:rFonts w:hint="cs"/>
          <w:rtl/>
        </w:rPr>
        <w:t>و</w:t>
      </w:r>
      <w:r w:rsidR="00A138D4" w:rsidRPr="00A138D4">
        <w:rPr>
          <w:rtl/>
        </w:rPr>
        <w:t xml:space="preserve">مركز الدراسات الدولية للملكية </w:t>
      </w:r>
      <w:r w:rsidR="00A138D4">
        <w:rPr>
          <w:rFonts w:hint="cs"/>
          <w:rtl/>
        </w:rPr>
        <w:t>الفكرية </w:t>
      </w:r>
      <w:r w:rsidR="00A138D4" w:rsidRPr="00A138D4">
        <w:rPr>
          <w:rtl/>
        </w:rPr>
        <w:t>(</w:t>
      </w:r>
      <w:r w:rsidR="00A138D4" w:rsidRPr="00A138D4">
        <w:t>CEIPI</w:t>
      </w:r>
      <w:r w:rsidR="00A138D4" w:rsidRPr="00A138D4">
        <w:rPr>
          <w:rtl/>
        </w:rPr>
        <w:t>)</w:t>
      </w:r>
      <w:r w:rsidR="00A138D4" w:rsidRPr="00A138D4">
        <w:rPr>
          <w:rFonts w:hint="cs"/>
          <w:rtl/>
        </w:rPr>
        <w:t xml:space="preserve"> </w:t>
      </w:r>
      <w:r w:rsidR="00A138D4">
        <w:rPr>
          <w:rFonts w:hint="cs"/>
          <w:rtl/>
        </w:rPr>
        <w:t>و</w:t>
      </w:r>
      <w:r w:rsidR="00A138D4" w:rsidRPr="00A138D4">
        <w:rPr>
          <w:rtl/>
        </w:rPr>
        <w:t>جمعية الاتحادات الأوروبية للعاملين في مجال العلامات التجارية</w:t>
      </w:r>
      <w:r w:rsidR="00163318">
        <w:rPr>
          <w:rFonts w:hint="cs"/>
          <w:rtl/>
        </w:rPr>
        <w:t> </w:t>
      </w:r>
      <w:r w:rsidR="00A138D4" w:rsidRPr="00A138D4">
        <w:rPr>
          <w:rtl/>
        </w:rPr>
        <w:t>(</w:t>
      </w:r>
      <w:r w:rsidR="00A138D4" w:rsidRPr="00A138D4">
        <w:t>ECTA</w:t>
      </w:r>
      <w:r w:rsidR="00A138D4" w:rsidRPr="00A138D4">
        <w:rPr>
          <w:rtl/>
        </w:rPr>
        <w:t>)</w:t>
      </w:r>
      <w:r w:rsidR="00A138D4" w:rsidRPr="00A138D4">
        <w:rPr>
          <w:rFonts w:hint="cs"/>
          <w:rtl/>
        </w:rPr>
        <w:t xml:space="preserve"> </w:t>
      </w:r>
      <w:r w:rsidR="00A138D4">
        <w:rPr>
          <w:rFonts w:hint="cs"/>
          <w:rtl/>
        </w:rPr>
        <w:t>و</w:t>
      </w:r>
      <w:r w:rsidR="00A138D4" w:rsidRPr="00A138D4">
        <w:rPr>
          <w:rtl/>
        </w:rPr>
        <w:t xml:space="preserve">الجمعية الأوروبية لطلاب </w:t>
      </w:r>
      <w:r w:rsidR="00A138D4" w:rsidRPr="00A138D4">
        <w:rPr>
          <w:rtl/>
        </w:rPr>
        <w:lastRenderedPageBreak/>
        <w:t>الحقوق</w:t>
      </w:r>
      <w:r w:rsidR="00163318">
        <w:rPr>
          <w:rFonts w:hint="cs"/>
          <w:rtl/>
        </w:rPr>
        <w:t> </w:t>
      </w:r>
      <w:r w:rsidR="00A138D4" w:rsidRPr="00A138D4">
        <w:rPr>
          <w:rtl/>
        </w:rPr>
        <w:t>(</w:t>
      </w:r>
      <w:r w:rsidR="00A138D4" w:rsidRPr="00A138D4">
        <w:t>ELSA International</w:t>
      </w:r>
      <w:r w:rsidR="00A138D4" w:rsidRPr="00A138D4">
        <w:rPr>
          <w:rtl/>
        </w:rPr>
        <w:t>)</w:t>
      </w:r>
      <w:r w:rsidR="00A138D4" w:rsidRPr="00A138D4">
        <w:rPr>
          <w:rFonts w:hint="cs"/>
          <w:rtl/>
        </w:rPr>
        <w:t xml:space="preserve"> </w:t>
      </w:r>
      <w:r w:rsidR="00A138D4">
        <w:rPr>
          <w:rFonts w:hint="cs"/>
          <w:rtl/>
        </w:rPr>
        <w:t>و</w:t>
      </w:r>
      <w:r w:rsidR="00A138D4" w:rsidRPr="00A138D4">
        <w:rPr>
          <w:rtl/>
        </w:rPr>
        <w:t xml:space="preserve">الجمعية الدولية لحماية الملكية </w:t>
      </w:r>
      <w:r w:rsidR="00A138D4">
        <w:rPr>
          <w:rFonts w:hint="cs"/>
          <w:rtl/>
        </w:rPr>
        <w:t>الفكرية</w:t>
      </w:r>
      <w:r w:rsidR="00163318">
        <w:rPr>
          <w:rFonts w:hint="cs"/>
          <w:rtl/>
        </w:rPr>
        <w:t> </w:t>
      </w:r>
      <w:r w:rsidR="00A138D4" w:rsidRPr="00A138D4">
        <w:rPr>
          <w:rtl/>
        </w:rPr>
        <w:t>(</w:t>
      </w:r>
      <w:r w:rsidR="00A138D4" w:rsidRPr="00A138D4">
        <w:t>AIPPI</w:t>
      </w:r>
      <w:r w:rsidR="00A138D4" w:rsidRPr="00A138D4">
        <w:rPr>
          <w:rtl/>
        </w:rPr>
        <w:t>)</w:t>
      </w:r>
      <w:r w:rsidR="00163318">
        <w:rPr>
          <w:rFonts w:hint="cs"/>
          <w:rtl/>
        </w:rPr>
        <w:t xml:space="preserve"> و</w:t>
      </w:r>
      <w:r w:rsidR="00163318" w:rsidRPr="00163318">
        <w:rPr>
          <w:rtl/>
        </w:rPr>
        <w:t>الاتحاد الدولي لوكلاء الملكية الصناعية</w:t>
      </w:r>
      <w:r w:rsidR="00163318">
        <w:rPr>
          <w:rFonts w:hint="cs"/>
          <w:rtl/>
        </w:rPr>
        <w:t> </w:t>
      </w:r>
      <w:r w:rsidR="00163318" w:rsidRPr="00163318">
        <w:rPr>
          <w:rtl/>
        </w:rPr>
        <w:t>(</w:t>
      </w:r>
      <w:r w:rsidR="00163318" w:rsidRPr="00163318">
        <w:t>FICPI</w:t>
      </w:r>
      <w:r w:rsidR="00163318" w:rsidRPr="00163318">
        <w:rPr>
          <w:rtl/>
        </w:rPr>
        <w:t>)</w:t>
      </w:r>
      <w:r w:rsidR="00163318">
        <w:rPr>
          <w:rFonts w:hint="cs"/>
          <w:rtl/>
        </w:rPr>
        <w:t xml:space="preserve"> </w:t>
      </w:r>
      <w:r>
        <w:rPr>
          <w:rFonts w:hint="cs"/>
          <w:rtl/>
        </w:rPr>
        <w:t>(</w:t>
      </w:r>
      <w:r w:rsidR="00163318">
        <w:rPr>
          <w:rFonts w:hint="cs"/>
          <w:rtl/>
        </w:rPr>
        <w:t>7</w:t>
      </w:r>
      <w:r>
        <w:rPr>
          <w:rFonts w:hint="cs"/>
          <w:rtl/>
        </w:rPr>
        <w:t>).</w:t>
      </w:r>
    </w:p>
    <w:p w:rsidR="005822A0" w:rsidRDefault="005822A0" w:rsidP="005822A0">
      <w:pPr>
        <w:pStyle w:val="Heading1AR"/>
        <w:spacing w:before="360" w:after="240"/>
        <w:rPr>
          <w:rtl/>
        </w:rPr>
      </w:pPr>
      <w:r>
        <w:rPr>
          <w:rFonts w:hint="cs"/>
          <w:rtl/>
        </w:rPr>
        <w:t>البند 1 من جدول الأعمال:  افتتاح الدورة</w:t>
      </w:r>
    </w:p>
    <w:p w:rsidR="005822A0" w:rsidRDefault="005822A0" w:rsidP="00163318">
      <w:pPr>
        <w:pStyle w:val="NumberedParaAR"/>
        <w:rPr>
          <w:rtl/>
        </w:rPr>
      </w:pPr>
      <w:r>
        <w:rPr>
          <w:rFonts w:hint="cs"/>
          <w:rtl/>
        </w:rPr>
        <w:t>افتتح</w:t>
      </w:r>
      <w:r>
        <w:rPr>
          <w:rtl/>
        </w:rPr>
        <w:t xml:space="preserve"> </w:t>
      </w:r>
      <w:r w:rsidR="00163318">
        <w:rPr>
          <w:rFonts w:hint="cs"/>
          <w:rtl/>
        </w:rPr>
        <w:t xml:space="preserve">السيد فرانسس غري، المدير العام للمنظمة العالمية للملكية الفكرية (الويبو)، </w:t>
      </w:r>
      <w:r>
        <w:rPr>
          <w:rtl/>
        </w:rPr>
        <w:t>دورة الفريق العامل</w:t>
      </w:r>
      <w:r>
        <w:rPr>
          <w:rFonts w:hint="cs"/>
          <w:rtl/>
        </w:rPr>
        <w:t xml:space="preserve"> </w:t>
      </w:r>
      <w:r w:rsidR="00163318">
        <w:rPr>
          <w:rtl/>
        </w:rPr>
        <w:t>ورحب بالمشاركين.</w:t>
      </w:r>
    </w:p>
    <w:p w:rsidR="00163318" w:rsidRDefault="00163318" w:rsidP="00163318">
      <w:pPr>
        <w:pStyle w:val="Heading1AR"/>
        <w:spacing w:before="360" w:after="240"/>
        <w:rPr>
          <w:rtl/>
        </w:rPr>
      </w:pPr>
      <w:r>
        <w:rPr>
          <w:rFonts w:hint="cs"/>
          <w:rtl/>
        </w:rPr>
        <w:t>البند 2 من جدول الأعمال:  انتخاب الرئيس ونائبي الرئيس</w:t>
      </w:r>
    </w:p>
    <w:p w:rsidR="00163318" w:rsidRDefault="00163318" w:rsidP="00163318">
      <w:pPr>
        <w:pStyle w:val="NumberedParaAR"/>
      </w:pPr>
      <w:r>
        <w:rPr>
          <w:rFonts w:hint="cs"/>
          <w:rtl/>
        </w:rPr>
        <w:t>انتُخبت السيدة ماري كروس (سويسرا)، بالإجماع، رئيسة للفريق العامل وانتُخبت السيدة أون ريم شوي (جمهورية</w:t>
      </w:r>
      <w:r>
        <w:rPr>
          <w:rFonts w:hint="eastAsia"/>
          <w:rtl/>
        </w:rPr>
        <w:t> </w:t>
      </w:r>
      <w:r>
        <w:rPr>
          <w:rFonts w:hint="cs"/>
          <w:rtl/>
        </w:rPr>
        <w:t>كور</w:t>
      </w:r>
      <w:r w:rsidR="008C4C7D">
        <w:rPr>
          <w:rFonts w:hint="cs"/>
          <w:rtl/>
        </w:rPr>
        <w:t>يا) والسيدة سينغول كولتوفان بيلج</w:t>
      </w:r>
      <w:r w:rsidR="005B4891">
        <w:rPr>
          <w:rFonts w:hint="cs"/>
          <w:rtl/>
        </w:rPr>
        <w:t xml:space="preserve">يلي (تركيا)، بالإجماع، </w:t>
      </w:r>
      <w:r>
        <w:rPr>
          <w:rFonts w:hint="cs"/>
          <w:rtl/>
        </w:rPr>
        <w:t>نائبتين للرئيسة.</w:t>
      </w:r>
    </w:p>
    <w:p w:rsidR="00163318" w:rsidRPr="00163318" w:rsidRDefault="00163318" w:rsidP="00163318">
      <w:pPr>
        <w:pStyle w:val="NumberedParaAR"/>
        <w:rPr>
          <w:rtl/>
        </w:rPr>
      </w:pPr>
      <w:r w:rsidRPr="00163318">
        <w:rPr>
          <w:rFonts w:hint="cs"/>
          <w:rtl/>
        </w:rPr>
        <w:t xml:space="preserve">وتولت </w:t>
      </w:r>
      <w:r w:rsidRPr="00163318">
        <w:rPr>
          <w:rtl/>
        </w:rPr>
        <w:t xml:space="preserve">السيدة بايفي لادسماكي (الويبو) </w:t>
      </w:r>
      <w:r w:rsidRPr="00163318">
        <w:rPr>
          <w:rFonts w:hint="cs"/>
          <w:rtl/>
        </w:rPr>
        <w:t xml:space="preserve">مهمة </w:t>
      </w:r>
      <w:r w:rsidRPr="00163318">
        <w:rPr>
          <w:rtl/>
        </w:rPr>
        <w:t>أمين</w:t>
      </w:r>
      <w:r w:rsidRPr="00163318">
        <w:rPr>
          <w:rFonts w:hint="cs"/>
          <w:rtl/>
        </w:rPr>
        <w:t>ة</w:t>
      </w:r>
      <w:r w:rsidRPr="00163318">
        <w:rPr>
          <w:rtl/>
        </w:rPr>
        <w:t xml:space="preserve"> </w:t>
      </w:r>
      <w:r w:rsidRPr="00163318">
        <w:rPr>
          <w:rFonts w:hint="cs"/>
          <w:rtl/>
        </w:rPr>
        <w:t>ا</w:t>
      </w:r>
      <w:r w:rsidRPr="00163318">
        <w:rPr>
          <w:rtl/>
        </w:rPr>
        <w:t>لفريق العامل.</w:t>
      </w:r>
    </w:p>
    <w:p w:rsidR="005822A0" w:rsidRDefault="005822A0" w:rsidP="00163318">
      <w:pPr>
        <w:pStyle w:val="Heading1AR"/>
        <w:spacing w:before="360" w:after="240"/>
        <w:rPr>
          <w:rtl/>
        </w:rPr>
      </w:pPr>
      <w:r>
        <w:rPr>
          <w:rFonts w:hint="cs"/>
          <w:rtl/>
        </w:rPr>
        <w:t xml:space="preserve">البند </w:t>
      </w:r>
      <w:r w:rsidR="00163318">
        <w:rPr>
          <w:rFonts w:hint="cs"/>
          <w:rtl/>
        </w:rPr>
        <w:t>3</w:t>
      </w:r>
      <w:r>
        <w:rPr>
          <w:rFonts w:hint="cs"/>
          <w:rtl/>
        </w:rPr>
        <w:t xml:space="preserve"> من جدول الأعمال:  </w:t>
      </w:r>
      <w:r>
        <w:rPr>
          <w:rtl/>
        </w:rPr>
        <w:t>اعتماد جدول الأعمال</w:t>
      </w:r>
    </w:p>
    <w:p w:rsidR="005822A0" w:rsidRDefault="005822A0" w:rsidP="00163318">
      <w:pPr>
        <w:pStyle w:val="NumberedParaAR"/>
        <w:ind w:left="566"/>
        <w:rPr>
          <w:rtl/>
        </w:rPr>
      </w:pPr>
      <w:r>
        <w:rPr>
          <w:rFonts w:hint="cs"/>
          <w:rtl/>
        </w:rPr>
        <w:t>اعتمد الفريق العامل مشروع جدول الأعمال (الوثيقة </w:t>
      </w:r>
      <w:r w:rsidRPr="00CC4D2B">
        <w:t>H/LD/WG/</w:t>
      </w:r>
      <w:r w:rsidR="00163318">
        <w:t>5</w:t>
      </w:r>
      <w:r w:rsidRPr="00CC4D2B">
        <w:t>/1 Prov.</w:t>
      </w:r>
      <w:r>
        <w:rPr>
          <w:rFonts w:hint="cs"/>
          <w:rtl/>
        </w:rPr>
        <w:t>) دون تغيير.</w:t>
      </w:r>
    </w:p>
    <w:p w:rsidR="005822A0" w:rsidRDefault="005822A0" w:rsidP="003D5EF0">
      <w:pPr>
        <w:pStyle w:val="Heading1AR"/>
        <w:spacing w:before="360" w:after="240"/>
        <w:rPr>
          <w:rtl/>
        </w:rPr>
      </w:pPr>
      <w:r>
        <w:rPr>
          <w:rFonts w:hint="cs"/>
          <w:rtl/>
        </w:rPr>
        <w:t xml:space="preserve">البند </w:t>
      </w:r>
      <w:r w:rsidR="00163318">
        <w:rPr>
          <w:rFonts w:hint="cs"/>
          <w:rtl/>
        </w:rPr>
        <w:t>4</w:t>
      </w:r>
      <w:r>
        <w:rPr>
          <w:rFonts w:hint="cs"/>
          <w:rtl/>
        </w:rPr>
        <w:t xml:space="preserve"> من جدول الأعمال:  </w:t>
      </w:r>
      <w:r>
        <w:rPr>
          <w:rtl/>
        </w:rPr>
        <w:t xml:space="preserve">اعتماد مشروع تقرير الدورة </w:t>
      </w:r>
      <w:r w:rsidR="003D5EF0">
        <w:rPr>
          <w:rFonts w:hint="cs"/>
          <w:rtl/>
        </w:rPr>
        <w:t>الرابعة</w:t>
      </w:r>
      <w:r>
        <w:rPr>
          <w:rtl/>
        </w:rPr>
        <w:t xml:space="preserve"> للفريق العامل المعني بالتطوير القانوني لنظام لاهاي بشأن التسجيل الدولي للتصاميم الصناعية</w:t>
      </w:r>
    </w:p>
    <w:p w:rsidR="005822A0" w:rsidRDefault="006947E9" w:rsidP="006947E9">
      <w:pPr>
        <w:pStyle w:val="NumberedParaAR"/>
      </w:pPr>
      <w:r>
        <w:rPr>
          <w:rFonts w:hint="cs"/>
          <w:rtl/>
        </w:rPr>
        <w:t>استندت المناقشات إ</w:t>
      </w:r>
      <w:r w:rsidR="005822A0">
        <w:rPr>
          <w:rFonts w:hint="cs"/>
          <w:rtl/>
        </w:rPr>
        <w:t xml:space="preserve">لى </w:t>
      </w:r>
      <w:r w:rsidR="005822A0">
        <w:rPr>
          <w:rtl/>
        </w:rPr>
        <w:t>الوثيقة</w:t>
      </w:r>
      <w:r>
        <w:rPr>
          <w:rFonts w:hint="cs"/>
          <w:rtl/>
        </w:rPr>
        <w:t> </w:t>
      </w:r>
      <w:r w:rsidRPr="006947E9">
        <w:t>H/LD/WG/4/7 Prov.</w:t>
      </w:r>
      <w:r w:rsidR="005822A0">
        <w:rPr>
          <w:rtl/>
        </w:rPr>
        <w:t>.</w:t>
      </w:r>
    </w:p>
    <w:p w:rsidR="005822A0" w:rsidRDefault="005822A0" w:rsidP="006947E9">
      <w:pPr>
        <w:pStyle w:val="NumberedParaAR"/>
        <w:ind w:left="566"/>
        <w:rPr>
          <w:rtl/>
        </w:rPr>
      </w:pPr>
      <w:r>
        <w:rPr>
          <w:rFonts w:hint="cs"/>
          <w:rtl/>
        </w:rPr>
        <w:t>واعتمد الفريق العامل مشروع التقرير (</w:t>
      </w:r>
      <w:r w:rsidR="006947E9">
        <w:rPr>
          <w:rtl/>
        </w:rPr>
        <w:t>الوثيقة</w:t>
      </w:r>
      <w:r w:rsidR="006947E9">
        <w:rPr>
          <w:rFonts w:hint="cs"/>
          <w:rtl/>
        </w:rPr>
        <w:t> </w:t>
      </w:r>
      <w:r w:rsidR="006947E9" w:rsidRPr="006947E9">
        <w:t>H/LD/WG/4/7 Prov.</w:t>
      </w:r>
      <w:r>
        <w:rPr>
          <w:rFonts w:hint="cs"/>
          <w:rtl/>
        </w:rPr>
        <w:t xml:space="preserve">) </w:t>
      </w:r>
      <w:r w:rsidR="006947E9">
        <w:rPr>
          <w:rFonts w:hint="cs"/>
          <w:rtl/>
        </w:rPr>
        <w:t>دون تغيير</w:t>
      </w:r>
      <w:r>
        <w:rPr>
          <w:rFonts w:hint="cs"/>
          <w:rtl/>
        </w:rPr>
        <w:t>.</w:t>
      </w:r>
    </w:p>
    <w:p w:rsidR="005822A0" w:rsidRDefault="005822A0" w:rsidP="006947E9">
      <w:pPr>
        <w:pStyle w:val="Heading1AR"/>
        <w:spacing w:before="360" w:after="240"/>
        <w:rPr>
          <w:rtl/>
        </w:rPr>
      </w:pPr>
      <w:r>
        <w:rPr>
          <w:rFonts w:hint="cs"/>
          <w:rtl/>
        </w:rPr>
        <w:t xml:space="preserve">البند </w:t>
      </w:r>
      <w:r w:rsidR="006947E9">
        <w:rPr>
          <w:rFonts w:hint="cs"/>
          <w:rtl/>
        </w:rPr>
        <w:t>5</w:t>
      </w:r>
      <w:r>
        <w:rPr>
          <w:rFonts w:hint="cs"/>
          <w:rtl/>
        </w:rPr>
        <w:t xml:space="preserve"> من جدول الأعمال:  </w:t>
      </w:r>
      <w:r w:rsidR="006947E9" w:rsidRPr="006947E9">
        <w:rPr>
          <w:rFonts w:hint="cs"/>
          <w:rtl/>
        </w:rPr>
        <w:t>اقتراح تعديلات على القاعدة 5 من اللائحة التنفيذية</w:t>
      </w:r>
      <w:r w:rsidR="006947E9">
        <w:rPr>
          <w:rFonts w:hint="cs"/>
          <w:rtl/>
        </w:rPr>
        <w:t xml:space="preserve"> </w:t>
      </w:r>
      <w:r w:rsidR="006947E9" w:rsidRPr="006947E9">
        <w:rPr>
          <w:rFonts w:hint="cs"/>
          <w:rtl/>
        </w:rPr>
        <w:t>المشتركة</w:t>
      </w:r>
      <w:r w:rsidR="00F25CF3">
        <w:rPr>
          <w:rFonts w:hint="cs"/>
          <w:rtl/>
        </w:rPr>
        <w:t xml:space="preserve"> ل</w:t>
      </w:r>
      <w:r w:rsidR="006947E9">
        <w:rPr>
          <w:rFonts w:hint="cs"/>
          <w:rtl/>
        </w:rPr>
        <w:t>وثيقة</w:t>
      </w:r>
      <w:r w:rsidR="006947E9">
        <w:rPr>
          <w:rFonts w:hint="eastAsia"/>
          <w:rtl/>
        </w:rPr>
        <w:t> </w:t>
      </w:r>
      <w:r w:rsidR="006947E9">
        <w:rPr>
          <w:rFonts w:hint="cs"/>
          <w:rtl/>
        </w:rPr>
        <w:t>1999 ووثيقة</w:t>
      </w:r>
      <w:r w:rsidR="006947E9">
        <w:rPr>
          <w:rFonts w:hint="eastAsia"/>
          <w:rtl/>
        </w:rPr>
        <w:t> </w:t>
      </w:r>
      <w:r w:rsidR="006947E9">
        <w:rPr>
          <w:rFonts w:hint="cs"/>
          <w:rtl/>
        </w:rPr>
        <w:t>1960 لاتفاق لاهاي</w:t>
      </w:r>
    </w:p>
    <w:p w:rsidR="005822A0" w:rsidRDefault="005822A0" w:rsidP="006947E9">
      <w:pPr>
        <w:pStyle w:val="NumberedParaAR"/>
      </w:pPr>
      <w:r>
        <w:rPr>
          <w:rFonts w:hint="cs"/>
          <w:rtl/>
        </w:rPr>
        <w:t>استندت المناقشات إلى</w:t>
      </w:r>
      <w:r>
        <w:rPr>
          <w:rtl/>
        </w:rPr>
        <w:t xml:space="preserve"> الوثيقة</w:t>
      </w:r>
      <w:r w:rsidR="006947E9">
        <w:rPr>
          <w:rFonts w:hint="cs"/>
          <w:rtl/>
        </w:rPr>
        <w:t> </w:t>
      </w:r>
      <w:r>
        <w:t>H/LD/WG/</w:t>
      </w:r>
      <w:r w:rsidR="006947E9">
        <w:t>5</w:t>
      </w:r>
      <w:r>
        <w:t>/2</w:t>
      </w:r>
      <w:r>
        <w:rPr>
          <w:rtl/>
        </w:rPr>
        <w:t>.</w:t>
      </w:r>
    </w:p>
    <w:p w:rsidR="005822A0" w:rsidRDefault="006947E9" w:rsidP="00836697">
      <w:pPr>
        <w:pStyle w:val="NumberedParaAR"/>
      </w:pPr>
      <w:r>
        <w:rPr>
          <w:rFonts w:hint="cs"/>
          <w:rtl/>
        </w:rPr>
        <w:t>وبعد مداخلة من وفد الولايات المتحدة الأمريكية، قدمت الأمانة اقتراحين بديلين بخصوص التعديلات، وهما إما إضافة فقرة جديدة إلى القاعدة</w:t>
      </w:r>
      <w:r>
        <w:rPr>
          <w:rFonts w:hint="eastAsia"/>
          <w:rtl/>
        </w:rPr>
        <w:t> </w:t>
      </w:r>
      <w:r>
        <w:rPr>
          <w:rFonts w:hint="cs"/>
          <w:rtl/>
        </w:rPr>
        <w:t>5 أو إضافة فقرة فرعية جديدة إلى القاعدة 12(3)</w:t>
      </w:r>
      <w:r w:rsidR="005822A0">
        <w:rPr>
          <w:rFonts w:hint="cs"/>
          <w:rtl/>
        </w:rPr>
        <w:t>.</w:t>
      </w:r>
    </w:p>
    <w:p w:rsidR="005822A0" w:rsidRDefault="005822A0" w:rsidP="00F16800">
      <w:pPr>
        <w:pStyle w:val="NumberedParaAR"/>
        <w:ind w:left="566"/>
        <w:rPr>
          <w:rtl/>
        </w:rPr>
      </w:pPr>
      <w:r>
        <w:rPr>
          <w:rtl/>
        </w:rPr>
        <w:t>وخلص</w:t>
      </w:r>
      <w:r w:rsidR="00641AB6">
        <w:rPr>
          <w:rFonts w:hint="cs"/>
          <w:rtl/>
        </w:rPr>
        <w:t>ت</w:t>
      </w:r>
      <w:r>
        <w:rPr>
          <w:rtl/>
        </w:rPr>
        <w:t xml:space="preserve"> الرئيس</w:t>
      </w:r>
      <w:r w:rsidR="00641AB6">
        <w:rPr>
          <w:rFonts w:hint="cs"/>
          <w:rtl/>
        </w:rPr>
        <w:t>ة</w:t>
      </w:r>
      <w:r>
        <w:rPr>
          <w:rtl/>
        </w:rPr>
        <w:t xml:space="preserve"> </w:t>
      </w:r>
      <w:r>
        <w:rPr>
          <w:rFonts w:hint="cs"/>
          <w:rtl/>
        </w:rPr>
        <w:t xml:space="preserve">إلى </w:t>
      </w:r>
      <w:r>
        <w:rPr>
          <w:rtl/>
        </w:rPr>
        <w:t xml:space="preserve">أن الفريق العامل </w:t>
      </w:r>
      <w:r>
        <w:rPr>
          <w:rFonts w:hint="cs"/>
          <w:rtl/>
        </w:rPr>
        <w:t>وافق على</w:t>
      </w:r>
      <w:r>
        <w:rPr>
          <w:rtl/>
        </w:rPr>
        <w:t xml:space="preserve"> تقديم </w:t>
      </w:r>
      <w:r>
        <w:rPr>
          <w:rFonts w:hint="cs"/>
          <w:rtl/>
        </w:rPr>
        <w:t>ا</w:t>
      </w:r>
      <w:r>
        <w:rPr>
          <w:rtl/>
        </w:rPr>
        <w:t>قتر</w:t>
      </w:r>
      <w:r>
        <w:rPr>
          <w:rFonts w:hint="cs"/>
          <w:rtl/>
        </w:rPr>
        <w:t>ا</w:t>
      </w:r>
      <w:r>
        <w:rPr>
          <w:rtl/>
        </w:rPr>
        <w:t xml:space="preserve">ح لتعديل اللائحة التنفيذية المشتركة فيما يتعلق </w:t>
      </w:r>
      <w:r>
        <w:rPr>
          <w:rFonts w:hint="cs"/>
          <w:rtl/>
        </w:rPr>
        <w:t>ب</w:t>
      </w:r>
      <w:r w:rsidR="006947E9">
        <w:rPr>
          <w:rFonts w:hint="cs"/>
          <w:rtl/>
        </w:rPr>
        <w:t>القاعدة</w:t>
      </w:r>
      <w:r w:rsidR="00F25CF3">
        <w:rPr>
          <w:rFonts w:hint="eastAsia"/>
          <w:rtl/>
        </w:rPr>
        <w:t> </w:t>
      </w:r>
      <w:r w:rsidR="006947E9">
        <w:rPr>
          <w:rFonts w:hint="cs"/>
          <w:rtl/>
        </w:rPr>
        <w:t>5</w:t>
      </w:r>
      <w:r>
        <w:rPr>
          <w:rtl/>
        </w:rPr>
        <w:t xml:space="preserve">، </w:t>
      </w:r>
      <w:r>
        <w:rPr>
          <w:rFonts w:hint="cs"/>
          <w:rtl/>
        </w:rPr>
        <w:t xml:space="preserve">كما هو وارد </w:t>
      </w:r>
      <w:r w:rsidR="006947E9">
        <w:rPr>
          <w:rtl/>
        </w:rPr>
        <w:t xml:space="preserve">في </w:t>
      </w:r>
      <w:r w:rsidR="006947E9">
        <w:rPr>
          <w:rFonts w:hint="cs"/>
          <w:rtl/>
        </w:rPr>
        <w:t>م</w:t>
      </w:r>
      <w:r>
        <w:rPr>
          <w:rtl/>
        </w:rPr>
        <w:t xml:space="preserve">رفق </w:t>
      </w:r>
      <w:r w:rsidR="006947E9">
        <w:rPr>
          <w:rFonts w:hint="cs"/>
          <w:rtl/>
        </w:rPr>
        <w:t>ا</w:t>
      </w:r>
      <w:r>
        <w:rPr>
          <w:rtl/>
        </w:rPr>
        <w:t>لوثيقة</w:t>
      </w:r>
      <w:r w:rsidR="00641AB6">
        <w:rPr>
          <w:rFonts w:hint="cs"/>
          <w:rtl/>
        </w:rPr>
        <w:t> </w:t>
      </w:r>
      <w:r>
        <w:t>H/LD/WG/</w:t>
      </w:r>
      <w:r w:rsidR="006947E9">
        <w:t>5</w:t>
      </w:r>
      <w:r>
        <w:t>/2</w:t>
      </w:r>
      <w:r>
        <w:rPr>
          <w:rtl/>
        </w:rPr>
        <w:t xml:space="preserve">، </w:t>
      </w:r>
      <w:r w:rsidR="006947E9">
        <w:rPr>
          <w:rFonts w:hint="cs"/>
          <w:rtl/>
        </w:rPr>
        <w:t xml:space="preserve">مع إضافة </w:t>
      </w:r>
      <w:r w:rsidR="00F16800">
        <w:rPr>
          <w:rFonts w:hint="cs"/>
          <w:rtl/>
        </w:rPr>
        <w:t>فقرة</w:t>
      </w:r>
      <w:r w:rsidR="00641AB6">
        <w:rPr>
          <w:rFonts w:hint="cs"/>
          <w:rtl/>
        </w:rPr>
        <w:t xml:space="preserve"> جديدة</w:t>
      </w:r>
      <w:r w:rsidR="00F16800">
        <w:rPr>
          <w:rFonts w:hint="eastAsia"/>
          <w:rtl/>
        </w:rPr>
        <w:t> </w:t>
      </w:r>
      <w:r w:rsidR="00641AB6">
        <w:rPr>
          <w:rFonts w:hint="cs"/>
          <w:rtl/>
        </w:rPr>
        <w:t xml:space="preserve">(5) </w:t>
      </w:r>
      <w:r w:rsidR="00F16800">
        <w:rPr>
          <w:rFonts w:hint="cs"/>
          <w:rtl/>
        </w:rPr>
        <w:t>إلى القاعدة</w:t>
      </w:r>
      <w:r w:rsidR="00F16800">
        <w:rPr>
          <w:rFonts w:hint="eastAsia"/>
          <w:rtl/>
        </w:rPr>
        <w:t> </w:t>
      </w:r>
      <w:r w:rsidR="00F16800">
        <w:rPr>
          <w:rFonts w:hint="cs"/>
          <w:rtl/>
        </w:rPr>
        <w:t xml:space="preserve">5، </w:t>
      </w:r>
      <w:r w:rsidR="00641AB6">
        <w:rPr>
          <w:rFonts w:hint="cs"/>
          <w:rtl/>
        </w:rPr>
        <w:t>كما هو مبيّن في مرفق ملخص الرئيس</w:t>
      </w:r>
      <w:r w:rsidR="00F16800">
        <w:rPr>
          <w:rFonts w:hint="cs"/>
          <w:rtl/>
        </w:rPr>
        <w:t>،</w:t>
      </w:r>
      <w:r w:rsidR="00641AB6">
        <w:rPr>
          <w:rFonts w:hint="cs"/>
          <w:rtl/>
        </w:rPr>
        <w:t xml:space="preserve"> </w:t>
      </w:r>
      <w:r>
        <w:rPr>
          <w:rFonts w:hint="cs"/>
          <w:rtl/>
        </w:rPr>
        <w:t>لتعتمده</w:t>
      </w:r>
      <w:r w:rsidR="00641AB6">
        <w:rPr>
          <w:rFonts w:hint="cs"/>
          <w:rtl/>
        </w:rPr>
        <w:t>ا</w:t>
      </w:r>
      <w:r>
        <w:rPr>
          <w:rFonts w:hint="cs"/>
          <w:rtl/>
        </w:rPr>
        <w:t xml:space="preserve"> ج</w:t>
      </w:r>
      <w:r>
        <w:rPr>
          <w:rtl/>
        </w:rPr>
        <w:t xml:space="preserve">معية اتحاد لاهاي، مع </w:t>
      </w:r>
      <w:r>
        <w:rPr>
          <w:rFonts w:hint="cs"/>
          <w:rtl/>
        </w:rPr>
        <w:t>التاريخ المقترح ل</w:t>
      </w:r>
      <w:r>
        <w:rPr>
          <w:rtl/>
        </w:rPr>
        <w:t xml:space="preserve">بدء </w:t>
      </w:r>
      <w:r>
        <w:rPr>
          <w:rFonts w:hint="cs"/>
          <w:rtl/>
        </w:rPr>
        <w:t>ال</w:t>
      </w:r>
      <w:r>
        <w:rPr>
          <w:rtl/>
        </w:rPr>
        <w:t>نفاذ</w:t>
      </w:r>
      <w:r>
        <w:rPr>
          <w:rFonts w:hint="cs"/>
          <w:rtl/>
        </w:rPr>
        <w:t xml:space="preserve"> في</w:t>
      </w:r>
      <w:r>
        <w:rPr>
          <w:rtl/>
        </w:rPr>
        <w:t xml:space="preserve"> 1</w:t>
      </w:r>
      <w:r w:rsidR="00F16800">
        <w:rPr>
          <w:rFonts w:hint="cs"/>
          <w:rtl/>
        </w:rPr>
        <w:t> </w:t>
      </w:r>
      <w:r>
        <w:rPr>
          <w:rtl/>
        </w:rPr>
        <w:t>يناير</w:t>
      </w:r>
      <w:r w:rsidR="00F16800">
        <w:rPr>
          <w:rFonts w:hint="cs"/>
          <w:rtl/>
        </w:rPr>
        <w:t> </w:t>
      </w:r>
      <w:r w:rsidR="00641AB6">
        <w:rPr>
          <w:rFonts w:hint="cs"/>
          <w:rtl/>
        </w:rPr>
        <w:t>2017</w:t>
      </w:r>
      <w:r>
        <w:rPr>
          <w:rtl/>
        </w:rPr>
        <w:t>.</w:t>
      </w:r>
    </w:p>
    <w:p w:rsidR="005822A0" w:rsidRDefault="005822A0" w:rsidP="00641AB6">
      <w:pPr>
        <w:pStyle w:val="Heading1AR"/>
        <w:spacing w:before="360" w:after="240"/>
      </w:pPr>
      <w:r>
        <w:rPr>
          <w:rFonts w:hint="cs"/>
          <w:rtl/>
        </w:rPr>
        <w:t xml:space="preserve">البند </w:t>
      </w:r>
      <w:r w:rsidR="00641AB6">
        <w:rPr>
          <w:rFonts w:hint="cs"/>
          <w:rtl/>
        </w:rPr>
        <w:t>6</w:t>
      </w:r>
      <w:r>
        <w:rPr>
          <w:rFonts w:hint="cs"/>
          <w:rtl/>
        </w:rPr>
        <w:t xml:space="preserve"> من جدول الأعمال:  </w:t>
      </w:r>
      <w:r w:rsidR="00641AB6" w:rsidRPr="00641AB6">
        <w:rPr>
          <w:rFonts w:hint="cs"/>
          <w:rtl/>
          <w:lang w:bidi="ar-EG"/>
        </w:rPr>
        <w:t>اقتراح قاعدة جديدة تتعلق بتعديلات على البيانات المتعلقة بهوية المبتكر</w:t>
      </w:r>
    </w:p>
    <w:p w:rsidR="005822A0" w:rsidRDefault="005822A0" w:rsidP="00641AB6">
      <w:pPr>
        <w:pStyle w:val="NumberedParaAR"/>
      </w:pPr>
      <w:r>
        <w:rPr>
          <w:rFonts w:hint="cs"/>
          <w:rtl/>
        </w:rPr>
        <w:t xml:space="preserve">استندت المناقشات إلى </w:t>
      </w:r>
      <w:r>
        <w:rPr>
          <w:rtl/>
        </w:rPr>
        <w:t>الوثيقة</w:t>
      </w:r>
      <w:r w:rsidR="00641AB6">
        <w:rPr>
          <w:rFonts w:hint="cs"/>
          <w:rtl/>
        </w:rPr>
        <w:t> </w:t>
      </w:r>
      <w:r>
        <w:t>H/LD/WG/</w:t>
      </w:r>
      <w:r w:rsidR="00641AB6">
        <w:t>5</w:t>
      </w:r>
      <w:r>
        <w:t>/3</w:t>
      </w:r>
      <w:r>
        <w:rPr>
          <w:rtl/>
        </w:rPr>
        <w:t>.</w:t>
      </w:r>
    </w:p>
    <w:p w:rsidR="005822A0" w:rsidRDefault="00641AB6" w:rsidP="00095442">
      <w:pPr>
        <w:pStyle w:val="NumberedParaAR"/>
      </w:pPr>
      <w:r>
        <w:rPr>
          <w:rFonts w:hint="cs"/>
          <w:rtl/>
        </w:rPr>
        <w:lastRenderedPageBreak/>
        <w:t xml:space="preserve">وعقب مداخلة من أحد الوفود، الذي أبدى عدم ارتياحه حيال الاقتراح بالنظر إلى القيود المرتبطة بالفحص الموضوعي الذي يجريه مكتبه، </w:t>
      </w:r>
      <w:r w:rsidR="00095442">
        <w:rPr>
          <w:rFonts w:hint="cs"/>
          <w:rtl/>
        </w:rPr>
        <w:t>أفادت</w:t>
      </w:r>
      <w:r>
        <w:rPr>
          <w:rFonts w:hint="cs"/>
          <w:rtl/>
        </w:rPr>
        <w:t xml:space="preserve"> الرئيسة </w:t>
      </w:r>
      <w:r w:rsidR="00095442">
        <w:rPr>
          <w:rFonts w:hint="cs"/>
          <w:rtl/>
        </w:rPr>
        <w:t>بأنه</w:t>
      </w:r>
      <w:r>
        <w:rPr>
          <w:rFonts w:hint="cs"/>
          <w:rtl/>
        </w:rPr>
        <w:t xml:space="preserve"> يمكن مواصلة مناقشة الاقتراح في الدورة القادمة</w:t>
      </w:r>
      <w:r w:rsidR="005822A0">
        <w:rPr>
          <w:rFonts w:hint="cs"/>
          <w:rtl/>
        </w:rPr>
        <w:t>.</w:t>
      </w:r>
    </w:p>
    <w:p w:rsidR="005822A0" w:rsidRDefault="005822A0" w:rsidP="00641AB6">
      <w:pPr>
        <w:pStyle w:val="NumberedParaAR"/>
        <w:ind w:left="566"/>
        <w:rPr>
          <w:rtl/>
        </w:rPr>
      </w:pPr>
      <w:r>
        <w:rPr>
          <w:rtl/>
        </w:rPr>
        <w:t>وخلص</w:t>
      </w:r>
      <w:r w:rsidR="00641AB6">
        <w:rPr>
          <w:rFonts w:hint="cs"/>
          <w:rtl/>
        </w:rPr>
        <w:t>ت</w:t>
      </w:r>
      <w:r>
        <w:rPr>
          <w:rtl/>
        </w:rPr>
        <w:t xml:space="preserve"> الرئيس</w:t>
      </w:r>
      <w:r w:rsidR="00641AB6">
        <w:rPr>
          <w:rFonts w:hint="cs"/>
          <w:rtl/>
        </w:rPr>
        <w:t>ة</w:t>
      </w:r>
      <w:r>
        <w:rPr>
          <w:rtl/>
        </w:rPr>
        <w:t xml:space="preserve"> </w:t>
      </w:r>
      <w:r>
        <w:rPr>
          <w:rFonts w:hint="cs"/>
          <w:rtl/>
        </w:rPr>
        <w:t xml:space="preserve">إلى </w:t>
      </w:r>
      <w:r w:rsidR="00641AB6">
        <w:rPr>
          <w:rFonts w:hint="cs"/>
          <w:rtl/>
        </w:rPr>
        <w:t>أن الأمانة ست</w:t>
      </w:r>
      <w:r w:rsidR="00095442">
        <w:rPr>
          <w:rFonts w:hint="cs"/>
          <w:rtl/>
        </w:rPr>
        <w:t>ُ</w:t>
      </w:r>
      <w:r w:rsidR="00641AB6">
        <w:rPr>
          <w:rFonts w:hint="cs"/>
          <w:rtl/>
        </w:rPr>
        <w:t>عد وثيقة مراجعة تراعي فيها مختلف المواقف التي أبدتها الوفود بغرض النظر في هذا الاقتراح بتعمّق في الدورة السادسة للفريق العامل، التي ستُعقد في الفترة من 20 إلى 22</w:t>
      </w:r>
      <w:r w:rsidR="00641AB6">
        <w:rPr>
          <w:rFonts w:hint="eastAsia"/>
          <w:rtl/>
        </w:rPr>
        <w:t> </w:t>
      </w:r>
      <w:r w:rsidR="00641AB6">
        <w:rPr>
          <w:rFonts w:hint="cs"/>
          <w:rtl/>
        </w:rPr>
        <w:t>يونيو</w:t>
      </w:r>
      <w:r w:rsidR="00641AB6">
        <w:rPr>
          <w:rFonts w:hint="eastAsia"/>
          <w:rtl/>
        </w:rPr>
        <w:t> </w:t>
      </w:r>
      <w:r w:rsidR="00641AB6">
        <w:rPr>
          <w:rFonts w:hint="cs"/>
          <w:rtl/>
        </w:rPr>
        <w:t>2016.</w:t>
      </w:r>
    </w:p>
    <w:p w:rsidR="005822A0" w:rsidRDefault="005822A0" w:rsidP="00641AB6">
      <w:pPr>
        <w:pStyle w:val="Heading1AR"/>
        <w:spacing w:before="360" w:after="240"/>
        <w:rPr>
          <w:rtl/>
        </w:rPr>
      </w:pPr>
      <w:r>
        <w:rPr>
          <w:rFonts w:hint="cs"/>
          <w:rtl/>
        </w:rPr>
        <w:t xml:space="preserve">البند </w:t>
      </w:r>
      <w:r w:rsidR="00641AB6">
        <w:rPr>
          <w:rFonts w:hint="cs"/>
          <w:rtl/>
        </w:rPr>
        <w:t>7</w:t>
      </w:r>
      <w:r>
        <w:rPr>
          <w:rFonts w:hint="cs"/>
          <w:rtl/>
        </w:rPr>
        <w:t xml:space="preserve"> من جدول الأعمال:  </w:t>
      </w:r>
      <w:r w:rsidR="00641AB6" w:rsidRPr="00641AB6">
        <w:rPr>
          <w:rFonts w:hint="cs"/>
          <w:rtl/>
          <w:lang w:bidi="ar-EG"/>
        </w:rPr>
        <w:t>اقتراح توصيات تتعلق بالكشف عن التصميم الصناعي في الطلب الدولي</w:t>
      </w:r>
    </w:p>
    <w:p w:rsidR="005822A0" w:rsidRDefault="005822A0" w:rsidP="00095442">
      <w:pPr>
        <w:pStyle w:val="NumberedParaAR"/>
      </w:pPr>
      <w:r>
        <w:rPr>
          <w:rFonts w:hint="cs"/>
          <w:rtl/>
        </w:rPr>
        <w:t>استندت المناقشات إلى</w:t>
      </w:r>
      <w:r>
        <w:rPr>
          <w:rtl/>
        </w:rPr>
        <w:t xml:space="preserve"> الوثيقة</w:t>
      </w:r>
      <w:r w:rsidR="00095442">
        <w:rPr>
          <w:rFonts w:hint="cs"/>
          <w:rtl/>
        </w:rPr>
        <w:t> </w:t>
      </w:r>
      <w:r>
        <w:t>H/LD/WG/</w:t>
      </w:r>
      <w:r w:rsidR="00095442">
        <w:t>5</w:t>
      </w:r>
      <w:r>
        <w:t>/4</w:t>
      </w:r>
      <w:r>
        <w:rPr>
          <w:rtl/>
        </w:rPr>
        <w:t>.</w:t>
      </w:r>
    </w:p>
    <w:p w:rsidR="005822A0" w:rsidRDefault="00095442" w:rsidP="00095442">
      <w:pPr>
        <w:pStyle w:val="NumberedParaAR"/>
        <w:rPr>
          <w:rtl/>
        </w:rPr>
      </w:pPr>
      <w:r>
        <w:rPr>
          <w:rFonts w:hint="cs"/>
          <w:rtl/>
        </w:rPr>
        <w:t>وأيّد جميع الوفود وممثلي مجموعات المستخدمين فكرة وضع الإرشادات المقترحة، وقدموا تعليقات على الإرشادات المقترحة التي أعدتها الأمانة</w:t>
      </w:r>
      <w:r w:rsidR="005822A0">
        <w:rPr>
          <w:rFonts w:hint="cs"/>
          <w:rtl/>
        </w:rPr>
        <w:t>.</w:t>
      </w:r>
    </w:p>
    <w:p w:rsidR="005822A0" w:rsidRDefault="005822A0" w:rsidP="00890E40">
      <w:pPr>
        <w:pStyle w:val="NumberedParaAR"/>
        <w:ind w:left="566"/>
      </w:pPr>
      <w:r>
        <w:rPr>
          <w:rtl/>
        </w:rPr>
        <w:t>وخلص</w:t>
      </w:r>
      <w:r w:rsidR="00095442">
        <w:rPr>
          <w:rFonts w:hint="cs"/>
          <w:rtl/>
        </w:rPr>
        <w:t>ت</w:t>
      </w:r>
      <w:r>
        <w:rPr>
          <w:rtl/>
        </w:rPr>
        <w:t xml:space="preserve"> الرئيس</w:t>
      </w:r>
      <w:r w:rsidR="00095442">
        <w:rPr>
          <w:rFonts w:hint="cs"/>
          <w:rtl/>
        </w:rPr>
        <w:t>ة</w:t>
      </w:r>
      <w:r>
        <w:rPr>
          <w:rtl/>
        </w:rPr>
        <w:t xml:space="preserve"> </w:t>
      </w:r>
      <w:r>
        <w:rPr>
          <w:rFonts w:hint="cs"/>
          <w:rtl/>
        </w:rPr>
        <w:t xml:space="preserve">إلى </w:t>
      </w:r>
      <w:r>
        <w:rPr>
          <w:rtl/>
        </w:rPr>
        <w:t>أن</w:t>
      </w:r>
      <w:r w:rsidR="00095442">
        <w:rPr>
          <w:rFonts w:hint="cs"/>
          <w:rtl/>
        </w:rPr>
        <w:t xml:space="preserve"> كل التعليقات التي قدمتها الوفود وقدمها ممثلو مجموعات المستخدمين ستُؤخذ في الحسبان وأنه يمكن تقديم المزيد من التعليقات كتابةً إلى الأمانة في أجل أقصاه 31 ديسمبر 2015. وستُعد الأمانة إرشادات مراجعة وتوزّعها على </w:t>
      </w:r>
      <w:r w:rsidR="00890E40">
        <w:rPr>
          <w:rFonts w:hint="cs"/>
          <w:rtl/>
        </w:rPr>
        <w:t>جميع الأطراف المتعاقدة التي يدخل مكتبها ضمن تعريف "المكتب الفاحص"، كما هو مبيّن في الحاشية</w:t>
      </w:r>
      <w:r w:rsidR="00890E40">
        <w:rPr>
          <w:rFonts w:hint="eastAsia"/>
          <w:rtl/>
        </w:rPr>
        <w:t> </w:t>
      </w:r>
      <w:r w:rsidR="00890E40">
        <w:rPr>
          <w:rFonts w:hint="cs"/>
          <w:rtl/>
        </w:rPr>
        <w:t>1 من الوثيقة</w:t>
      </w:r>
      <w:r w:rsidR="00890E40">
        <w:rPr>
          <w:rFonts w:hint="eastAsia"/>
          <w:rtl/>
        </w:rPr>
        <w:t> </w:t>
      </w:r>
      <w:r w:rsidR="00890E40" w:rsidRPr="00890E40">
        <w:t>H/LD/WG/5/4</w:t>
      </w:r>
      <w:r w:rsidR="00890E40">
        <w:rPr>
          <w:rFonts w:hint="cs"/>
          <w:rtl/>
        </w:rPr>
        <w:t>، وكذلك على مجموعات المستخدمين، كي تقدم تعليقات عليها. وستُنشر الإرشادات النهائية، المُعدة بالتشاور مع المكاتب الفاحصة، على موقع الويبو الإلكتروني. وستُحدّث القائمة الواردة في آخر صفحة من تلك الإرشادات مع انضمام المزيد من الأطراف المتعاقدة التي لديها مكتب فاحص إلى نظام لاهاي.</w:t>
      </w:r>
    </w:p>
    <w:p w:rsidR="005822A0" w:rsidRPr="00711669" w:rsidRDefault="005822A0" w:rsidP="00890E40">
      <w:pPr>
        <w:pStyle w:val="Heading1AR"/>
        <w:spacing w:before="360" w:after="240"/>
        <w:rPr>
          <w:rtl/>
        </w:rPr>
      </w:pPr>
      <w:r w:rsidRPr="00711669">
        <w:rPr>
          <w:rFonts w:hint="cs"/>
          <w:rtl/>
        </w:rPr>
        <w:t xml:space="preserve">البند </w:t>
      </w:r>
      <w:r w:rsidR="00890E40">
        <w:rPr>
          <w:rFonts w:hint="cs"/>
          <w:rtl/>
        </w:rPr>
        <w:t>8</w:t>
      </w:r>
      <w:r w:rsidRPr="00711669">
        <w:rPr>
          <w:rFonts w:hint="cs"/>
          <w:rtl/>
        </w:rPr>
        <w:t xml:space="preserve"> من جدول الأعمال:  </w:t>
      </w:r>
      <w:r w:rsidR="00890E40" w:rsidRPr="00890E40">
        <w:rPr>
          <w:rFonts w:hint="cs"/>
          <w:rtl/>
          <w:lang w:bidi="ar-EG"/>
        </w:rPr>
        <w:t>اعتبارات تتعلق بإمكانية تضمين اللائحة التنفيذية المشتركة تقييدات متزامنة في الطلبات الدولية وغيرها من</w:t>
      </w:r>
      <w:r w:rsidR="00890E40">
        <w:rPr>
          <w:rFonts w:hint="cs"/>
          <w:rtl/>
          <w:lang w:bidi="ar-EG"/>
        </w:rPr>
        <w:t xml:space="preserve"> </w:t>
      </w:r>
      <w:r w:rsidR="00890E40" w:rsidRPr="00890E40">
        <w:rPr>
          <w:rFonts w:hint="cs"/>
          <w:rtl/>
          <w:lang w:bidi="ar-EG"/>
        </w:rPr>
        <w:t>التعديلات</w:t>
      </w:r>
    </w:p>
    <w:p w:rsidR="005822A0" w:rsidRDefault="005822A0" w:rsidP="00E279DF">
      <w:pPr>
        <w:pStyle w:val="NumberedParaAR"/>
      </w:pPr>
      <w:r>
        <w:rPr>
          <w:rFonts w:hint="cs"/>
          <w:rtl/>
          <w:lang w:val="fr-CH"/>
        </w:rPr>
        <w:t>استندت المناقشات إلى الوثيقة</w:t>
      </w:r>
      <w:r w:rsidR="00E279DF">
        <w:rPr>
          <w:rFonts w:hint="eastAsia"/>
          <w:rtl/>
          <w:lang w:val="fr-CH"/>
        </w:rPr>
        <w:t> </w:t>
      </w:r>
      <w:r>
        <w:t>H/LD/WG/</w:t>
      </w:r>
      <w:r w:rsidR="00E279DF">
        <w:t>5</w:t>
      </w:r>
      <w:r>
        <w:t>/5</w:t>
      </w:r>
      <w:r>
        <w:rPr>
          <w:rFonts w:hint="cs"/>
          <w:rtl/>
        </w:rPr>
        <w:t>.</w:t>
      </w:r>
    </w:p>
    <w:p w:rsidR="005822A0" w:rsidRDefault="00E279DF" w:rsidP="0073371A">
      <w:pPr>
        <w:pStyle w:val="NumberedParaAR"/>
        <w:ind w:left="566"/>
      </w:pPr>
      <w:r>
        <w:rPr>
          <w:rFonts w:hint="cs"/>
          <w:rtl/>
        </w:rPr>
        <w:t xml:space="preserve">وخلصت الرئيسة إلى أن </w:t>
      </w:r>
      <w:r w:rsidR="0073371A">
        <w:rPr>
          <w:rFonts w:hint="cs"/>
          <w:rtl/>
        </w:rPr>
        <w:t>بعض الوفود ي</w:t>
      </w:r>
      <w:r>
        <w:rPr>
          <w:rFonts w:hint="cs"/>
          <w:rtl/>
        </w:rPr>
        <w:t xml:space="preserve">ؤيّد فكرة إدراج مفهوم التقييدات المتزامنة في الطلبات الدولية. غير أن الرئيسة أشارت إلى </w:t>
      </w:r>
      <w:r w:rsidR="00F43BE3">
        <w:rPr>
          <w:rFonts w:hint="cs"/>
          <w:rtl/>
        </w:rPr>
        <w:t>أنه من السابق لأوانه مناقشة الموضوع في هذه الدورة بالنظر إلى عدم وجود تجربة كافية فيما يخص حالات الرفض الصادرة عن المكاتب الفاحصة. وعليه، يمكن تقدير الحاجة إلى الأخذ بهذا المفهوم في الدورات القادمة</w:t>
      </w:r>
      <w:r w:rsidR="005822A0">
        <w:rPr>
          <w:rFonts w:hint="cs"/>
          <w:rtl/>
        </w:rPr>
        <w:t>.</w:t>
      </w:r>
    </w:p>
    <w:p w:rsidR="00F43BE3" w:rsidRDefault="00F43BE3" w:rsidP="00F43BE3">
      <w:pPr>
        <w:pStyle w:val="Heading1AR"/>
        <w:spacing w:before="360" w:after="240"/>
        <w:rPr>
          <w:rtl/>
          <w:lang w:bidi="ar-EG"/>
        </w:rPr>
      </w:pPr>
      <w:r w:rsidRPr="00711669">
        <w:rPr>
          <w:rFonts w:hint="cs"/>
          <w:rtl/>
        </w:rPr>
        <w:t xml:space="preserve">البند </w:t>
      </w:r>
      <w:r>
        <w:rPr>
          <w:rFonts w:hint="cs"/>
          <w:rtl/>
        </w:rPr>
        <w:t>9</w:t>
      </w:r>
      <w:r w:rsidRPr="00711669">
        <w:rPr>
          <w:rFonts w:hint="cs"/>
          <w:rtl/>
        </w:rPr>
        <w:t xml:space="preserve"> من جدول الأعمال:  </w:t>
      </w:r>
      <w:r w:rsidRPr="00F43BE3">
        <w:rPr>
          <w:rFonts w:hint="cs"/>
          <w:rtl/>
          <w:lang w:bidi="ar-EG"/>
        </w:rPr>
        <w:t>اعتبارات تتعلق بإمكانية مراجعة جدول الرسوم</w:t>
      </w:r>
    </w:p>
    <w:p w:rsidR="00F43BE3" w:rsidRDefault="00F43BE3" w:rsidP="00F43BE3">
      <w:pPr>
        <w:pStyle w:val="NumberedParaAR"/>
        <w:rPr>
          <w:lang w:bidi="ar-EG"/>
        </w:rPr>
      </w:pPr>
      <w:r>
        <w:rPr>
          <w:rFonts w:hint="cs"/>
          <w:rtl/>
          <w:lang w:val="fr-CH"/>
        </w:rPr>
        <w:t>استندت المناقشات إلى الوثيقة</w:t>
      </w:r>
      <w:r>
        <w:rPr>
          <w:rFonts w:hint="eastAsia"/>
          <w:rtl/>
          <w:lang w:val="fr-CH"/>
        </w:rPr>
        <w:t> </w:t>
      </w:r>
      <w:r>
        <w:t>H/LD/WG/5/6</w:t>
      </w:r>
      <w:r>
        <w:rPr>
          <w:rFonts w:hint="cs"/>
          <w:rtl/>
        </w:rPr>
        <w:t>.</w:t>
      </w:r>
    </w:p>
    <w:p w:rsidR="00F43BE3" w:rsidRDefault="00F43BE3" w:rsidP="00F43BE3">
      <w:pPr>
        <w:pStyle w:val="NumberedParaAR"/>
        <w:rPr>
          <w:lang w:bidi="ar-EG"/>
        </w:rPr>
      </w:pPr>
      <w:r>
        <w:rPr>
          <w:rFonts w:hint="cs"/>
          <w:rtl/>
        </w:rPr>
        <w:t>ودعمت بعض الوفود اقتراح إضافة فقرة فرعية</w:t>
      </w:r>
      <w:r>
        <w:rPr>
          <w:rFonts w:hint="eastAsia"/>
          <w:rtl/>
        </w:rPr>
        <w:t> </w:t>
      </w:r>
      <w:r>
        <w:rPr>
          <w:rFonts w:hint="cs"/>
          <w:rtl/>
        </w:rPr>
        <w:t>(ب) إلى القاعدة</w:t>
      </w:r>
      <w:r>
        <w:rPr>
          <w:rFonts w:hint="eastAsia"/>
          <w:rtl/>
        </w:rPr>
        <w:t> </w:t>
      </w:r>
      <w:r>
        <w:rPr>
          <w:rFonts w:hint="cs"/>
          <w:rtl/>
        </w:rPr>
        <w:t>14(1) من اللائحة التنفيذية المشتركة، ولكن أحد الوفود أبدى عدم ارتياحه إزاء الاقتراح. وفيما يخص إمكانية مراجعة جدول الرسوم، أبدت عدة وفود دعمها لفكرة مراجعة الرسوم لتمكين المكتب الدولي من تغطية مصروفاته، واقترحت نُهجا بديلة لتحقيق هذ</w:t>
      </w:r>
      <w:r w:rsidR="00F67939">
        <w:rPr>
          <w:rFonts w:hint="cs"/>
          <w:rtl/>
        </w:rPr>
        <w:t xml:space="preserve">ا الهدف، ولكن وفودا كثيرة أشارت </w:t>
      </w:r>
      <w:r>
        <w:rPr>
          <w:rFonts w:hint="cs"/>
          <w:rtl/>
        </w:rPr>
        <w:t xml:space="preserve">إلى أنه لا يمكنها دعم فكرة </w:t>
      </w:r>
      <w:r w:rsidRPr="00F43BE3">
        <w:rPr>
          <w:rFonts w:hint="cs"/>
          <w:rtl/>
          <w:lang w:bidi="ar-EG"/>
        </w:rPr>
        <w:t>إمكانية تحديد رسم أساسي مرتبط بالتعيين</w:t>
      </w:r>
      <w:r w:rsidR="00F67939">
        <w:rPr>
          <w:rFonts w:hint="cs"/>
          <w:rtl/>
          <w:lang w:bidi="ar-EG"/>
        </w:rPr>
        <w:t>.</w:t>
      </w:r>
    </w:p>
    <w:p w:rsidR="00F67939" w:rsidRDefault="00F67939" w:rsidP="00F67939">
      <w:pPr>
        <w:pStyle w:val="NumberedParaAR"/>
        <w:ind w:left="566"/>
        <w:rPr>
          <w:lang w:bidi="ar-EG"/>
        </w:rPr>
      </w:pPr>
      <w:r>
        <w:rPr>
          <w:rFonts w:hint="cs"/>
          <w:rtl/>
          <w:lang w:bidi="ar-EG"/>
        </w:rPr>
        <w:lastRenderedPageBreak/>
        <w:t>وخلصت الرئيسة إلى أن المناقشة حول اقتراح إضافة فقرة فرعية</w:t>
      </w:r>
      <w:r>
        <w:rPr>
          <w:rFonts w:hint="eastAsia"/>
          <w:rtl/>
          <w:lang w:bidi="ar-EG"/>
        </w:rPr>
        <w:t> </w:t>
      </w:r>
      <w:r>
        <w:rPr>
          <w:rFonts w:hint="cs"/>
          <w:rtl/>
          <w:lang w:bidi="ar-EG"/>
        </w:rPr>
        <w:t>(ب) إلى القاعدة</w:t>
      </w:r>
      <w:r>
        <w:rPr>
          <w:rFonts w:hint="eastAsia"/>
          <w:rtl/>
          <w:lang w:bidi="ar-EG"/>
        </w:rPr>
        <w:t> </w:t>
      </w:r>
      <w:r>
        <w:rPr>
          <w:rFonts w:hint="cs"/>
          <w:rtl/>
          <w:lang w:bidi="ar-EG"/>
        </w:rPr>
        <w:t>14(1) ستُواصل في الدورة السادسة للفريق العامل.</w:t>
      </w:r>
    </w:p>
    <w:p w:rsidR="00F67939" w:rsidRPr="00F43BE3" w:rsidRDefault="00F67939" w:rsidP="00F67939">
      <w:pPr>
        <w:pStyle w:val="NumberedParaAR"/>
        <w:ind w:left="566"/>
        <w:rPr>
          <w:rtl/>
          <w:lang w:bidi="ar-EG"/>
        </w:rPr>
      </w:pPr>
      <w:r>
        <w:rPr>
          <w:rFonts w:hint="cs"/>
          <w:rtl/>
          <w:lang w:bidi="ar-EG"/>
        </w:rPr>
        <w:t xml:space="preserve">وخلصت الرئيسة </w:t>
      </w:r>
      <w:r w:rsidR="008C4C7D">
        <w:rPr>
          <w:rFonts w:hint="cs"/>
          <w:rtl/>
          <w:lang w:bidi="ar-EG"/>
        </w:rPr>
        <w:t xml:space="preserve">إلى </w:t>
      </w:r>
      <w:r>
        <w:rPr>
          <w:rFonts w:hint="cs"/>
          <w:rtl/>
          <w:lang w:bidi="ar-EG"/>
        </w:rPr>
        <w:t>أن الأمانة ستُعد، لأغراض الدورة السادسة، بعض السيناريوهات الممكنة بخصوص مراجعة جدول الرسوم سيُستند إليها لإجراء المزيد من المناقشات.</w:t>
      </w:r>
    </w:p>
    <w:p w:rsidR="00F67939" w:rsidRDefault="00B529BD" w:rsidP="00F67939">
      <w:pPr>
        <w:pStyle w:val="Heading1AR"/>
        <w:spacing w:before="360" w:after="240"/>
        <w:rPr>
          <w:rtl/>
        </w:rPr>
      </w:pPr>
      <w:r>
        <w:rPr>
          <w:rFonts w:hint="cs"/>
          <w:rtl/>
        </w:rPr>
        <w:t>ا</w:t>
      </w:r>
      <w:r w:rsidR="00F67939" w:rsidRPr="00711669">
        <w:rPr>
          <w:rFonts w:hint="cs"/>
          <w:rtl/>
        </w:rPr>
        <w:t xml:space="preserve">لبند </w:t>
      </w:r>
      <w:r w:rsidR="00F67939">
        <w:rPr>
          <w:rFonts w:hint="cs"/>
          <w:rtl/>
        </w:rPr>
        <w:t>10</w:t>
      </w:r>
      <w:r w:rsidR="00F67939" w:rsidRPr="00711669">
        <w:rPr>
          <w:rFonts w:hint="cs"/>
          <w:rtl/>
        </w:rPr>
        <w:t xml:space="preserve"> من جدول الأعمال:  </w:t>
      </w:r>
      <w:r w:rsidR="00F67939">
        <w:rPr>
          <w:rFonts w:hint="cs"/>
          <w:rtl/>
        </w:rPr>
        <w:t>مسائل أخرى</w:t>
      </w:r>
    </w:p>
    <w:p w:rsidR="00F67939" w:rsidRPr="00F67939" w:rsidRDefault="000F3E1E" w:rsidP="000F3E1E">
      <w:pPr>
        <w:pStyle w:val="NumberedParaAR"/>
        <w:rPr>
          <w:rtl/>
        </w:rPr>
      </w:pPr>
      <w:r>
        <w:rPr>
          <w:rFonts w:hint="cs"/>
          <w:rtl/>
        </w:rPr>
        <w:t>أشارت الأمانة إلى التعليقات التي قدمتها بعض الوفود والتمست فيها إدراج بيانات أكثر دقة في التسجيل الدولي، فيما يتعلق مثلا ب</w:t>
      </w:r>
      <w:r w:rsidR="00CD7E11">
        <w:rPr>
          <w:rFonts w:hint="cs"/>
          <w:rtl/>
        </w:rPr>
        <w:t>أوصاف التصاميم. وفي هذا الصدد، أبلغت الأمانة الفريق العامل بأنها تعتزم إصدار استقصاء من أجل تقييم مستوى الدقة الذي يكون مفيدا للمكاتب.</w:t>
      </w:r>
    </w:p>
    <w:p w:rsidR="005822A0" w:rsidRPr="00711669" w:rsidRDefault="005822A0" w:rsidP="00F67939">
      <w:pPr>
        <w:pStyle w:val="Heading1AR"/>
        <w:spacing w:before="360" w:after="240"/>
        <w:rPr>
          <w:rtl/>
        </w:rPr>
      </w:pPr>
      <w:r w:rsidRPr="00711669">
        <w:rPr>
          <w:rFonts w:hint="cs"/>
          <w:rtl/>
        </w:rPr>
        <w:t xml:space="preserve">البند </w:t>
      </w:r>
      <w:r w:rsidR="00F67939">
        <w:rPr>
          <w:rFonts w:hint="cs"/>
          <w:rtl/>
        </w:rPr>
        <w:t>11</w:t>
      </w:r>
      <w:r w:rsidRPr="00711669">
        <w:rPr>
          <w:rFonts w:hint="cs"/>
          <w:rtl/>
        </w:rPr>
        <w:t xml:space="preserve"> من جدول الأعمال:  ملخص الرئيس</w:t>
      </w:r>
    </w:p>
    <w:p w:rsidR="005822A0" w:rsidRPr="00FF5CD8" w:rsidRDefault="005822A0" w:rsidP="00360F73">
      <w:pPr>
        <w:pStyle w:val="NumberedParaAR"/>
        <w:ind w:left="566"/>
        <w:rPr>
          <w:rtl/>
          <w:lang w:val="fr-CH"/>
        </w:rPr>
      </w:pPr>
      <w:r w:rsidRPr="00360F73">
        <w:rPr>
          <w:rFonts w:hint="cs"/>
          <w:rtl/>
          <w:lang w:bidi="ar-EG"/>
        </w:rPr>
        <w:t>وافق</w:t>
      </w:r>
      <w:r>
        <w:rPr>
          <w:rFonts w:hint="cs"/>
          <w:rtl/>
          <w:lang w:val="fr-CH"/>
        </w:rPr>
        <w:t xml:space="preserve"> الفريق العامل على ملخص الرئيس، كما هو وارد في هذه الوثيقة.</w:t>
      </w:r>
    </w:p>
    <w:p w:rsidR="005822A0" w:rsidRDefault="005822A0" w:rsidP="00F67939">
      <w:pPr>
        <w:pStyle w:val="Heading1AR"/>
        <w:spacing w:before="360" w:after="240"/>
        <w:rPr>
          <w:rtl/>
        </w:rPr>
      </w:pPr>
      <w:r>
        <w:rPr>
          <w:rFonts w:hint="cs"/>
          <w:rtl/>
        </w:rPr>
        <w:t xml:space="preserve">البند </w:t>
      </w:r>
      <w:r w:rsidR="00F67939">
        <w:rPr>
          <w:rFonts w:hint="cs"/>
          <w:rtl/>
        </w:rPr>
        <w:t>12</w:t>
      </w:r>
      <w:r>
        <w:rPr>
          <w:rFonts w:hint="cs"/>
          <w:rtl/>
        </w:rPr>
        <w:t xml:space="preserve"> من جدول الأعمال:  اختتام الدورة</w:t>
      </w:r>
    </w:p>
    <w:p w:rsidR="005822A0" w:rsidRDefault="008C4C7D" w:rsidP="00360F73">
      <w:pPr>
        <w:pStyle w:val="NumberedParaAR"/>
        <w:rPr>
          <w:rtl/>
        </w:rPr>
      </w:pPr>
      <w:r>
        <w:rPr>
          <w:rFonts w:hint="cs"/>
          <w:rtl/>
        </w:rPr>
        <w:t>اختتم</w:t>
      </w:r>
      <w:r w:rsidR="00CD7E11">
        <w:rPr>
          <w:rFonts w:hint="cs"/>
          <w:rtl/>
        </w:rPr>
        <w:t>ت</w:t>
      </w:r>
      <w:r w:rsidR="005822A0">
        <w:rPr>
          <w:rFonts w:hint="cs"/>
          <w:rtl/>
        </w:rPr>
        <w:t xml:space="preserve"> الرئيس</w:t>
      </w:r>
      <w:r w:rsidR="00CD7E11">
        <w:rPr>
          <w:rFonts w:hint="cs"/>
          <w:rtl/>
        </w:rPr>
        <w:t>ة</w:t>
      </w:r>
      <w:r w:rsidR="005822A0">
        <w:rPr>
          <w:rFonts w:hint="cs"/>
          <w:rtl/>
        </w:rPr>
        <w:t xml:space="preserve"> أعمال الدورة في </w:t>
      </w:r>
      <w:r w:rsidR="00CD7E11">
        <w:rPr>
          <w:rFonts w:hint="cs"/>
          <w:rtl/>
        </w:rPr>
        <w:t>16</w:t>
      </w:r>
      <w:r w:rsidR="005822A0">
        <w:rPr>
          <w:rFonts w:hint="cs"/>
          <w:rtl/>
        </w:rPr>
        <w:t xml:space="preserve"> </w:t>
      </w:r>
      <w:r w:rsidR="00CD7E11">
        <w:rPr>
          <w:rFonts w:hint="cs"/>
          <w:rtl/>
        </w:rPr>
        <w:t>ديسمبر</w:t>
      </w:r>
      <w:r w:rsidR="005822A0">
        <w:rPr>
          <w:rFonts w:hint="cs"/>
          <w:rtl/>
        </w:rPr>
        <w:t xml:space="preserve"> </w:t>
      </w:r>
      <w:r w:rsidR="00CD7E11">
        <w:rPr>
          <w:rFonts w:hint="cs"/>
          <w:rtl/>
        </w:rPr>
        <w:t>2015</w:t>
      </w:r>
      <w:r w:rsidR="005822A0">
        <w:rPr>
          <w:rFonts w:hint="cs"/>
          <w:rtl/>
        </w:rPr>
        <w:t>.</w:t>
      </w:r>
    </w:p>
    <w:p w:rsidR="00CD7E11" w:rsidRDefault="005822A0" w:rsidP="008C4C7D">
      <w:pPr>
        <w:pStyle w:val="EndofDocumentAR"/>
        <w:rPr>
          <w:rtl/>
          <w:lang w:val="fr-CH"/>
        </w:rPr>
        <w:sectPr w:rsidR="00CD7E11" w:rsidSect="00EB7752">
          <w:headerReference w:type="default" r:id="rId10"/>
          <w:pgSz w:w="11907" w:h="16840" w:code="9"/>
          <w:pgMar w:top="567" w:right="1418" w:bottom="1418" w:left="1134" w:header="510" w:footer="1021" w:gutter="0"/>
          <w:cols w:space="720"/>
          <w:titlePg/>
          <w:docGrid w:linePitch="299"/>
        </w:sectPr>
      </w:pPr>
      <w:r>
        <w:rPr>
          <w:rFonts w:hint="cs"/>
          <w:rtl/>
          <w:lang w:val="fr-CH"/>
        </w:rPr>
        <w:t>[يلي ذلك المرفق]</w:t>
      </w:r>
    </w:p>
    <w:p w:rsidR="00F25CF3" w:rsidRPr="00AF19A5" w:rsidRDefault="00F25CF3" w:rsidP="00F25CF3">
      <w:pPr>
        <w:pStyle w:val="NormalParaAR"/>
        <w:spacing w:after="0"/>
        <w:jc w:val="center"/>
        <w:rPr>
          <w:b/>
          <w:bCs/>
          <w:lang w:bidi="ar-EG"/>
        </w:rPr>
      </w:pPr>
      <w:r w:rsidRPr="00AF19A5">
        <w:rPr>
          <w:b/>
          <w:bCs/>
          <w:rtl/>
          <w:lang w:bidi="ar-LB"/>
        </w:rPr>
        <w:lastRenderedPageBreak/>
        <w:t>اللائحة التنفيذية المشتركة</w:t>
      </w:r>
    </w:p>
    <w:p w:rsidR="00F25CF3" w:rsidRPr="00AF19A5" w:rsidRDefault="00F25CF3" w:rsidP="00F25CF3">
      <w:pPr>
        <w:pStyle w:val="NormalParaAR"/>
        <w:jc w:val="center"/>
        <w:rPr>
          <w:b/>
          <w:bCs/>
          <w:rtl/>
          <w:lang w:bidi="ar-LB"/>
        </w:rPr>
      </w:pPr>
      <w:r w:rsidRPr="00AF19A5">
        <w:rPr>
          <w:b/>
          <w:bCs/>
          <w:rtl/>
          <w:lang w:bidi="ar-LB"/>
        </w:rPr>
        <w:t>لوثيقة 1999 ووثيقة 1960 لاتفاق لاهاي</w:t>
      </w:r>
    </w:p>
    <w:p w:rsidR="00F25CF3" w:rsidRPr="00AF19A5" w:rsidRDefault="00F25CF3" w:rsidP="00F25CF3">
      <w:pPr>
        <w:pStyle w:val="NormalParaAR"/>
        <w:jc w:val="center"/>
        <w:rPr>
          <w:rtl/>
          <w:lang w:bidi="ar-LB"/>
        </w:rPr>
      </w:pPr>
      <w:r w:rsidRPr="00AF19A5">
        <w:rPr>
          <w:rFonts w:hint="cs"/>
          <w:rtl/>
          <w:lang w:bidi="ar-LB"/>
        </w:rPr>
        <w:t>(</w:t>
      </w:r>
      <w:r>
        <w:rPr>
          <w:rFonts w:hint="cs"/>
          <w:rtl/>
          <w:lang w:bidi="ar-LB"/>
        </w:rPr>
        <w:t>نص</w:t>
      </w:r>
      <w:r w:rsidRPr="00AF19A5">
        <w:rPr>
          <w:rFonts w:hint="cs"/>
          <w:rtl/>
          <w:lang w:bidi="ar-LB"/>
        </w:rPr>
        <w:t xml:space="preserve"> نافذ اعتبارا من</w:t>
      </w:r>
      <w:r>
        <w:rPr>
          <w:rFonts w:hint="cs"/>
          <w:rtl/>
          <w:lang w:bidi="ar-LB"/>
        </w:rPr>
        <w:t>[</w:t>
      </w:r>
      <w:r w:rsidRPr="00AF19A5">
        <w:rPr>
          <w:rFonts w:hint="cs"/>
          <w:rtl/>
          <w:lang w:bidi="ar-LB"/>
        </w:rPr>
        <w:t xml:space="preserve">1 يناير </w:t>
      </w:r>
      <w:r>
        <w:rPr>
          <w:rFonts w:hint="cs"/>
          <w:rtl/>
          <w:lang w:bidi="ar-LB"/>
        </w:rPr>
        <w:t>2017]</w:t>
      </w:r>
      <w:r w:rsidRPr="00AF19A5">
        <w:rPr>
          <w:rFonts w:hint="cs"/>
          <w:rtl/>
          <w:lang w:bidi="ar-LB"/>
        </w:rPr>
        <w:t>)</w:t>
      </w:r>
    </w:p>
    <w:p w:rsidR="00F25CF3" w:rsidRPr="00AF19A5" w:rsidRDefault="00F25CF3" w:rsidP="00F25CF3">
      <w:pPr>
        <w:pStyle w:val="NormalParaAR"/>
        <w:spacing w:after="0"/>
        <w:jc w:val="center"/>
        <w:rPr>
          <w:i/>
          <w:iCs/>
          <w:rtl/>
          <w:lang w:bidi="ar-EG"/>
        </w:rPr>
      </w:pPr>
      <w:r w:rsidRPr="00AF19A5">
        <w:rPr>
          <w:i/>
          <w:iCs/>
          <w:rtl/>
          <w:lang w:bidi="ar-EG"/>
        </w:rPr>
        <w:t>القاعدة 5</w:t>
      </w:r>
    </w:p>
    <w:p w:rsidR="00F25CF3" w:rsidRPr="00AF19A5" w:rsidRDefault="00F25CF3" w:rsidP="00F25CF3">
      <w:pPr>
        <w:pStyle w:val="NormalParaAR"/>
        <w:spacing w:after="0"/>
        <w:jc w:val="center"/>
        <w:rPr>
          <w:i/>
          <w:iCs/>
          <w:rtl/>
          <w:lang w:bidi="ar-EG"/>
        </w:rPr>
      </w:pPr>
      <w:r w:rsidRPr="00AF19A5">
        <w:rPr>
          <w:i/>
          <w:iCs/>
          <w:strike/>
          <w:color w:val="FF0000"/>
          <w:rtl/>
          <w:lang w:bidi="ar-EG"/>
        </w:rPr>
        <w:t>تعطل خدمات إدارة البريد ومؤسسات البريد الخاصة</w:t>
      </w:r>
      <w:r>
        <w:rPr>
          <w:rFonts w:hint="cs"/>
          <w:i/>
          <w:iCs/>
          <w:rtl/>
          <w:lang w:bidi="ar-EG"/>
        </w:rPr>
        <w:t xml:space="preserve"> </w:t>
      </w:r>
      <w:r w:rsidRPr="00AF19A5">
        <w:rPr>
          <w:rFonts w:hint="cs"/>
          <w:i/>
          <w:iCs/>
          <w:color w:val="0000FF"/>
          <w:rtl/>
          <w:lang w:bidi="ar-EG"/>
        </w:rPr>
        <w:t>عذر التأخر في مراعاة المُهل</w:t>
      </w:r>
    </w:p>
    <w:p w:rsidR="00F25CF3" w:rsidRDefault="00F25CF3" w:rsidP="00F25CF3">
      <w:pPr>
        <w:pStyle w:val="NormalParaAR"/>
        <w:ind w:firstLine="566"/>
        <w:rPr>
          <w:rtl/>
          <w:lang w:bidi="ar-EG"/>
        </w:rPr>
      </w:pPr>
      <w:r>
        <w:rPr>
          <w:rFonts w:hint="cs"/>
          <w:rtl/>
          <w:lang w:bidi="ar-EG"/>
        </w:rPr>
        <w:t>[...]</w:t>
      </w:r>
    </w:p>
    <w:p w:rsidR="00F25CF3" w:rsidRPr="002F3749" w:rsidRDefault="00F25CF3" w:rsidP="00F25CF3">
      <w:pPr>
        <w:pStyle w:val="NormalParaAR"/>
        <w:ind w:left="566" w:firstLine="567"/>
        <w:rPr>
          <w:color w:val="0000FF"/>
          <w:rtl/>
        </w:rPr>
      </w:pPr>
      <w:r w:rsidRPr="002F3749">
        <w:rPr>
          <w:rFonts w:hint="cs"/>
          <w:color w:val="0000FF"/>
          <w:rtl/>
        </w:rPr>
        <w:t>(3)</w:t>
      </w:r>
      <w:r w:rsidRPr="002F3749">
        <w:rPr>
          <w:color w:val="0000FF"/>
          <w:rtl/>
        </w:rPr>
        <w:tab/>
      </w:r>
      <w:r w:rsidRPr="00AF19A5">
        <w:rPr>
          <w:rFonts w:hint="cs"/>
          <w:i/>
          <w:iCs/>
          <w:color w:val="0000FF"/>
          <w:u w:val="single"/>
          <w:rtl/>
        </w:rPr>
        <w:t>[التبليغات المرسلة إلكترونيا]</w:t>
      </w:r>
      <w:r w:rsidRPr="002F3749">
        <w:rPr>
          <w:rFonts w:hint="cs"/>
          <w:color w:val="0000FF"/>
          <w:u w:val="single"/>
          <w:rtl/>
        </w:rPr>
        <w:t xml:space="preserve">  </w:t>
      </w:r>
      <w:r w:rsidRPr="002F3749">
        <w:rPr>
          <w:color w:val="0000FF"/>
          <w:u w:val="single"/>
          <w:rtl/>
        </w:rPr>
        <w:t>إذا لم يتقيد أي طرف معني بالمهلة المحددة لإ</w:t>
      </w:r>
      <w:r w:rsidRPr="002F3749">
        <w:rPr>
          <w:rFonts w:hint="cs"/>
          <w:color w:val="0000FF"/>
          <w:u w:val="single"/>
          <w:rtl/>
        </w:rPr>
        <w:t xml:space="preserve">رسال </w:t>
      </w:r>
      <w:r w:rsidRPr="002F3749">
        <w:rPr>
          <w:color w:val="0000FF"/>
          <w:u w:val="single"/>
          <w:rtl/>
        </w:rPr>
        <w:t xml:space="preserve">تبليغ للمكتب الدولي </w:t>
      </w:r>
      <w:r w:rsidRPr="002F3749">
        <w:rPr>
          <w:rFonts w:hint="cs"/>
          <w:color w:val="0000FF"/>
          <w:u w:val="single"/>
          <w:rtl/>
        </w:rPr>
        <w:t>موجه بالوسائل الإلكترونية</w:t>
      </w:r>
      <w:r w:rsidRPr="002F3749">
        <w:rPr>
          <w:color w:val="0000FF"/>
          <w:u w:val="single"/>
          <w:rtl/>
        </w:rPr>
        <w:t>، فإنه يعذر عن تأخره إذا برهن بشكل مُرضٍ للمكتب الدولي أن</w:t>
      </w:r>
      <w:r w:rsidRPr="002F3749">
        <w:rPr>
          <w:rFonts w:hint="cs"/>
          <w:color w:val="0000FF"/>
          <w:u w:val="single"/>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Pr="002F3749">
        <w:rPr>
          <w:color w:val="0000FF"/>
          <w:u w:val="single"/>
          <w:rtl/>
        </w:rPr>
        <w:t xml:space="preserve">بعد استئناف خدمات </w:t>
      </w:r>
      <w:r w:rsidRPr="002F3749">
        <w:rPr>
          <w:rFonts w:hint="cs"/>
          <w:color w:val="0000FF"/>
          <w:u w:val="single"/>
          <w:rtl/>
        </w:rPr>
        <w:t>التواصل الإلكتروني</w:t>
      </w:r>
      <w:r w:rsidRPr="002F3749">
        <w:rPr>
          <w:color w:val="0000FF"/>
          <w:u w:val="single"/>
          <w:rtl/>
        </w:rPr>
        <w:t xml:space="preserve"> بخمسة أيام على الأكثر</w:t>
      </w:r>
      <w:r w:rsidRPr="002F3749">
        <w:rPr>
          <w:rFonts w:hint="cs"/>
          <w:color w:val="0000FF"/>
          <w:u w:val="single"/>
          <w:rtl/>
        </w:rPr>
        <w:t>.</w:t>
      </w:r>
      <w:r w:rsidRPr="002F3749">
        <w:rPr>
          <w:rFonts w:hint="cs"/>
          <w:color w:val="0000FF"/>
          <w:rtl/>
        </w:rPr>
        <w:t>"</w:t>
      </w:r>
    </w:p>
    <w:p w:rsidR="00F25CF3" w:rsidRPr="002F3749" w:rsidRDefault="00F25CF3" w:rsidP="00F25CF3">
      <w:pPr>
        <w:pStyle w:val="NormalParaAR"/>
        <w:spacing w:after="480"/>
        <w:ind w:left="567" w:firstLine="566"/>
      </w:pPr>
      <w:r w:rsidRPr="002F3749">
        <w:rPr>
          <w:rFonts w:hint="cs"/>
          <w:color w:val="0000FF"/>
          <w:u w:val="single"/>
          <w:rtl/>
          <w:lang w:bidi="ar-EG"/>
        </w:rPr>
        <w:t>(</w:t>
      </w:r>
      <w:r w:rsidRPr="00AF19A5">
        <w:rPr>
          <w:rFonts w:hint="cs"/>
          <w:strike/>
          <w:color w:val="FF0000"/>
          <w:u w:val="single"/>
          <w:rtl/>
          <w:lang w:bidi="ar-EG"/>
        </w:rPr>
        <w:t>3</w:t>
      </w:r>
      <w:r>
        <w:rPr>
          <w:rFonts w:hint="cs"/>
          <w:color w:val="0000FF"/>
          <w:u w:val="single"/>
          <w:rtl/>
          <w:lang w:bidi="ar-EG"/>
        </w:rPr>
        <w:t xml:space="preserve"> </w:t>
      </w:r>
      <w:r w:rsidRPr="002F3749">
        <w:rPr>
          <w:rFonts w:hint="cs"/>
          <w:color w:val="0000FF"/>
          <w:u w:val="single"/>
          <w:rtl/>
          <w:lang w:bidi="ar-EG"/>
        </w:rPr>
        <w:t>4)</w:t>
      </w:r>
      <w:r w:rsidRPr="002F3749">
        <w:tab/>
      </w:r>
      <w:r w:rsidRPr="00AF19A5">
        <w:rPr>
          <w:i/>
          <w:iCs/>
          <w:rtl/>
          <w:lang w:bidi="ar-EG"/>
        </w:rPr>
        <w:t>[حدود العذر]</w:t>
      </w:r>
      <w:r w:rsidRPr="002F3749">
        <w:rPr>
          <w:rtl/>
          <w:lang w:bidi="ar-EG"/>
        </w:rPr>
        <w:t xml:space="preserve">  لا يقبل العذر عن عدم التقيد بأية </w:t>
      </w:r>
      <w:r>
        <w:rPr>
          <w:rtl/>
          <w:lang w:bidi="ar-EG"/>
        </w:rPr>
        <w:t>مهلة بناء على أحكام هذه القاعدة</w:t>
      </w:r>
      <w:r w:rsidRPr="002F3749">
        <w:rPr>
          <w:rtl/>
          <w:lang w:bidi="ar-EG"/>
        </w:rPr>
        <w:t xml:space="preserve"> </w:t>
      </w:r>
      <w:r w:rsidRPr="00AF19A5">
        <w:rPr>
          <w:rtl/>
          <w:lang w:bidi="ar-EG"/>
        </w:rPr>
        <w:t>إلا إذا تسل</w:t>
      </w:r>
      <w:r w:rsidRPr="00AF19A5">
        <w:rPr>
          <w:rFonts w:hint="cs"/>
          <w:rtl/>
          <w:lang w:bidi="ar-EG"/>
        </w:rPr>
        <w:t>ّ</w:t>
      </w:r>
      <w:r w:rsidRPr="00AF19A5">
        <w:rPr>
          <w:rtl/>
          <w:lang w:bidi="ar-EG"/>
        </w:rPr>
        <w:t xml:space="preserve">م </w:t>
      </w:r>
      <w:r w:rsidRPr="002F3749">
        <w:rPr>
          <w:rtl/>
          <w:lang w:bidi="ar-EG"/>
        </w:rPr>
        <w:t xml:space="preserve">المكتب الدولي البرهان المشار إليه في الفقرة (1) أو (2) </w:t>
      </w:r>
      <w:r w:rsidRPr="002F3749">
        <w:rPr>
          <w:rFonts w:hint="cs"/>
          <w:color w:val="0000FF"/>
          <w:u w:val="single"/>
          <w:rtl/>
          <w:lang w:bidi="ar-EG"/>
        </w:rPr>
        <w:t>أو (3)</w:t>
      </w:r>
      <w:r w:rsidRPr="002F3749">
        <w:rPr>
          <w:rFonts w:hint="cs"/>
          <w:rtl/>
          <w:lang w:bidi="ar-EG"/>
        </w:rPr>
        <w:t xml:space="preserve"> </w:t>
      </w:r>
      <w:r w:rsidRPr="002F3749">
        <w:rPr>
          <w:rtl/>
          <w:lang w:bidi="ar-EG"/>
        </w:rPr>
        <w:t>والتبليغ أو</w:t>
      </w:r>
      <w:r w:rsidRPr="002F3749">
        <w:rPr>
          <w:rFonts w:hint="cs"/>
          <w:color w:val="0000FF"/>
          <w:u w:val="single"/>
          <w:rtl/>
          <w:lang w:bidi="ar-EG"/>
        </w:rPr>
        <w:t>، حسب الاقتضاء،</w:t>
      </w:r>
      <w:r w:rsidRPr="002F3749">
        <w:rPr>
          <w:rFonts w:hint="cs"/>
          <w:rtl/>
          <w:lang w:bidi="ar-EG"/>
        </w:rPr>
        <w:t xml:space="preserve"> </w:t>
      </w:r>
      <w:r w:rsidRPr="002F3749">
        <w:rPr>
          <w:rtl/>
          <w:lang w:bidi="ar-EG"/>
        </w:rPr>
        <w:t>نسخة طبق الأصل عنه بعد انقضاء المهلة بستة أشهر على الأكثر.</w:t>
      </w:r>
    </w:p>
    <w:p w:rsidR="00CB79E4" w:rsidRPr="00DE1DB1" w:rsidRDefault="00DE1DB1" w:rsidP="00F6779C">
      <w:pPr>
        <w:pStyle w:val="NormalParaAR"/>
        <w:spacing w:after="480"/>
        <w:ind w:left="567" w:firstLine="567"/>
        <w:rPr>
          <w:color w:val="0000FF"/>
          <w:rtl/>
        </w:rPr>
      </w:pPr>
      <w:r w:rsidRPr="00DE1DB1">
        <w:rPr>
          <w:rFonts w:hint="cs"/>
          <w:color w:val="0000FF"/>
          <w:rtl/>
        </w:rPr>
        <w:t>(5)</w:t>
      </w:r>
      <w:r w:rsidRPr="00DE1DB1">
        <w:rPr>
          <w:color w:val="0000FF"/>
          <w:rtl/>
        </w:rPr>
        <w:tab/>
      </w:r>
      <w:r w:rsidRPr="00DE1DB1">
        <w:rPr>
          <w:rFonts w:hint="cs"/>
          <w:color w:val="0000FF"/>
          <w:rtl/>
        </w:rPr>
        <w:t>[</w:t>
      </w:r>
      <w:r w:rsidRPr="00DE1DB1">
        <w:rPr>
          <w:rFonts w:hint="cs"/>
          <w:i/>
          <w:iCs/>
          <w:color w:val="0000FF"/>
          <w:rtl/>
        </w:rPr>
        <w:t>استثناء</w:t>
      </w:r>
      <w:r w:rsidRPr="00DE1DB1">
        <w:rPr>
          <w:rFonts w:hint="cs"/>
          <w:color w:val="0000FF"/>
          <w:rtl/>
        </w:rPr>
        <w:t>]  لا تنطبق هذه القاعدة على تسديد الدفعة الثانية من رسم التعيين الفردي عن طريق المكتب الدولي كما هو منصوص عليه في القاعدة 12(3)(ج).</w:t>
      </w:r>
    </w:p>
    <w:p w:rsidR="00DE1DB1" w:rsidRPr="00F25CF3" w:rsidRDefault="00F6779C" w:rsidP="00F6779C">
      <w:pPr>
        <w:pStyle w:val="EndofDocumentAR"/>
      </w:pPr>
      <w:r>
        <w:rPr>
          <w:rFonts w:hint="cs"/>
          <w:rtl/>
        </w:rPr>
        <w:t>[نهاية المرفق والوثيقة]</w:t>
      </w:r>
    </w:p>
    <w:sectPr w:rsidR="00DE1DB1" w:rsidRPr="00F25CF3"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01" w:rsidRDefault="00212001">
      <w:r>
        <w:separator/>
      </w:r>
    </w:p>
  </w:endnote>
  <w:endnote w:type="continuationSeparator" w:id="0">
    <w:p w:rsidR="00212001" w:rsidRDefault="0021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01" w:rsidRDefault="00212001" w:rsidP="009622BF">
      <w:pPr>
        <w:bidi/>
      </w:pPr>
      <w:bookmarkStart w:id="0" w:name="OLE_LINK1"/>
      <w:bookmarkStart w:id="1" w:name="OLE_LINK2"/>
      <w:r>
        <w:separator/>
      </w:r>
      <w:bookmarkEnd w:id="0"/>
      <w:bookmarkEnd w:id="1"/>
    </w:p>
  </w:footnote>
  <w:footnote w:type="continuationSeparator" w:id="0">
    <w:p w:rsidR="00212001" w:rsidRDefault="0021200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5822A0">
    <w:r>
      <w:t>H</w:t>
    </w:r>
    <w:r w:rsidR="00772E46">
      <w:t>/</w:t>
    </w:r>
    <w:r>
      <w:t>LD/WG</w:t>
    </w:r>
    <w:r w:rsidR="002F77FC">
      <w:t>/</w:t>
    </w:r>
    <w:r w:rsidR="00F16800">
      <w:t>5/7</w:t>
    </w:r>
  </w:p>
  <w:p w:rsidR="002F77FC" w:rsidRDefault="002F77FC" w:rsidP="00D61541">
    <w:r>
      <w:fldChar w:fldCharType="begin"/>
    </w:r>
    <w:r>
      <w:instrText xml:space="preserve"> PAGE  \* MERGEFORMAT </w:instrText>
    </w:r>
    <w:r>
      <w:fldChar w:fldCharType="separate"/>
    </w:r>
    <w:r w:rsidR="00E81518">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C65" w:rsidRDefault="00360F73" w:rsidP="00367C65">
    <w:r>
      <w:t>H/LD/WG/5/7</w:t>
    </w:r>
  </w:p>
  <w:p w:rsidR="00367C65" w:rsidRDefault="00367C65" w:rsidP="00367C65">
    <w:pPr>
      <w:pStyle w:val="Header"/>
    </w:pPr>
    <w:r>
      <w:t>ANNEX</w:t>
    </w:r>
  </w:p>
  <w:p w:rsidR="00367C65" w:rsidRPr="00367C65" w:rsidRDefault="00367C65" w:rsidP="00367C65">
    <w:pPr>
      <w:pStyle w:val="Header"/>
      <w:bidi/>
      <w:jc w:val="right"/>
      <w:rPr>
        <w:rFonts w:ascii="Arabic Typesetting" w:hAnsi="Arabic Typesetting" w:cs="Arabic Typesetting"/>
        <w:sz w:val="36"/>
        <w:szCs w:val="36"/>
        <w:rtl/>
      </w:rPr>
    </w:pPr>
    <w:r w:rsidRPr="00367C65">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0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442"/>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838"/>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E1E"/>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18"/>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001"/>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372A"/>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5CE"/>
    <w:rsid w:val="0034789E"/>
    <w:rsid w:val="003501DA"/>
    <w:rsid w:val="003503E2"/>
    <w:rsid w:val="00351DC1"/>
    <w:rsid w:val="003534EE"/>
    <w:rsid w:val="003600A2"/>
    <w:rsid w:val="00360F73"/>
    <w:rsid w:val="003612D8"/>
    <w:rsid w:val="003637B6"/>
    <w:rsid w:val="00363F89"/>
    <w:rsid w:val="00363FB0"/>
    <w:rsid w:val="003646D6"/>
    <w:rsid w:val="00364FC6"/>
    <w:rsid w:val="0036541D"/>
    <w:rsid w:val="00367C65"/>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6FDA"/>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5EF0"/>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15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47A6A"/>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2A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1"/>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AB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7E9"/>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1A"/>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DE2"/>
    <w:rsid w:val="008362AE"/>
    <w:rsid w:val="00836697"/>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344"/>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E40"/>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C7D"/>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90A"/>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8D4"/>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1BB"/>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AE1"/>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0E06"/>
    <w:rsid w:val="00B52081"/>
    <w:rsid w:val="00B52695"/>
    <w:rsid w:val="00B529BD"/>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AC9"/>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E11"/>
    <w:rsid w:val="00CE130A"/>
    <w:rsid w:val="00CE2147"/>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BD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E05"/>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DB1"/>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9DF"/>
    <w:rsid w:val="00E27D23"/>
    <w:rsid w:val="00E30A8A"/>
    <w:rsid w:val="00E31BC7"/>
    <w:rsid w:val="00E31E7F"/>
    <w:rsid w:val="00E331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518"/>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800"/>
    <w:rsid w:val="00F1738D"/>
    <w:rsid w:val="00F20706"/>
    <w:rsid w:val="00F21496"/>
    <w:rsid w:val="00F21E77"/>
    <w:rsid w:val="00F24D27"/>
    <w:rsid w:val="00F2520C"/>
    <w:rsid w:val="00F25BCB"/>
    <w:rsid w:val="00F25CF3"/>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BE3"/>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79C"/>
    <w:rsid w:val="00F6793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67C6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67C6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D174-959F-4E93-985C-7BA4E229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H/LD/WG/5/7 (Arabic)</vt:lpstr>
    </vt:vector>
  </TitlesOfParts>
  <Company>World Intellectual Property Organization</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H/LD/WG/5/7 (Arabic)</dc:title>
  <dc:creator>MERZOUK Fawzi</dc:creator>
  <cp:lastModifiedBy>FRICOT Karine</cp:lastModifiedBy>
  <cp:revision>3</cp:revision>
  <cp:lastPrinted>2015-12-23T07:21:00Z</cp:lastPrinted>
  <dcterms:created xsi:type="dcterms:W3CDTF">2015-12-23T07:21:00Z</dcterms:created>
  <dcterms:modified xsi:type="dcterms:W3CDTF">2015-12-23T07:21:00Z</dcterms:modified>
</cp:coreProperties>
</file>