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eastAsia="ko-K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F631EA">
            <w:pPr>
              <w:pStyle w:val="DocumentCodeAR"/>
              <w:bidi/>
              <w:rPr>
                <w:rtl/>
              </w:rPr>
            </w:pPr>
            <w:r>
              <w:t>H/LD/WG/</w:t>
            </w:r>
            <w:r w:rsidR="004B62BC">
              <w:t>6</w:t>
            </w:r>
            <w:r>
              <w:t>/</w:t>
            </w:r>
            <w:r w:rsidR="00A52A6B">
              <w:t>4</w:t>
            </w:r>
          </w:p>
        </w:tc>
      </w:tr>
      <w:tr w:rsidR="001667B6" w:rsidTr="00BF164F">
        <w:tc>
          <w:tcPr>
            <w:tcW w:w="9571" w:type="dxa"/>
            <w:gridSpan w:val="3"/>
          </w:tcPr>
          <w:p w:rsidR="001667B6" w:rsidRPr="00B6101C" w:rsidRDefault="00B6101C" w:rsidP="00A52A6B">
            <w:pPr>
              <w:pStyle w:val="DocumentLanguageAR"/>
              <w:bidi/>
              <w:rPr>
                <w:rtl/>
              </w:rPr>
            </w:pPr>
            <w:r w:rsidRPr="00B6101C">
              <w:rPr>
                <w:rFonts w:hint="cs"/>
                <w:rtl/>
              </w:rPr>
              <w:t xml:space="preserve">الأصل: </w:t>
            </w:r>
            <w:r w:rsidR="00A52A6B">
              <w:rPr>
                <w:rFonts w:hint="cs"/>
                <w:rtl/>
              </w:rPr>
              <w:t>بالإنكليزية</w:t>
            </w:r>
          </w:p>
        </w:tc>
      </w:tr>
      <w:tr w:rsidR="001667B6" w:rsidTr="00BF164F">
        <w:tc>
          <w:tcPr>
            <w:tcW w:w="9571" w:type="dxa"/>
            <w:gridSpan w:val="3"/>
          </w:tcPr>
          <w:p w:rsidR="001667B6" w:rsidRPr="00B6101C" w:rsidRDefault="00B6101C" w:rsidP="00A52A6B">
            <w:pPr>
              <w:pStyle w:val="DocumentDateAR"/>
              <w:bidi/>
              <w:rPr>
                <w:rtl/>
              </w:rPr>
            </w:pPr>
            <w:r w:rsidRPr="00B6101C">
              <w:rPr>
                <w:rFonts w:hint="cs"/>
                <w:rtl/>
              </w:rPr>
              <w:t xml:space="preserve">التاريخ: </w:t>
            </w:r>
            <w:r w:rsidR="00A52A6B">
              <w:rPr>
                <w:rFonts w:hint="cs"/>
                <w:rtl/>
              </w:rPr>
              <w:t>15</w:t>
            </w:r>
            <w:r w:rsidRPr="00B6101C">
              <w:rPr>
                <w:rFonts w:hint="cs"/>
                <w:rtl/>
              </w:rPr>
              <w:t xml:space="preserve"> </w:t>
            </w:r>
            <w:r w:rsidR="00A52A6B">
              <w:rPr>
                <w:rFonts w:hint="cs"/>
                <w:rtl/>
              </w:rPr>
              <w:t>أبريل</w:t>
            </w:r>
            <w:r w:rsidRPr="00B6101C">
              <w:rPr>
                <w:rFonts w:hint="cs"/>
                <w:rtl/>
              </w:rPr>
              <w:t xml:space="preserve"> </w:t>
            </w:r>
            <w:r w:rsidR="004B62BC">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4B62BC">
      <w:pPr>
        <w:pStyle w:val="MeetingSessionAR"/>
        <w:bidi/>
        <w:rPr>
          <w:rFonts w:ascii="Cambria Math" w:hAnsi="Cambria Math"/>
        </w:rPr>
      </w:pPr>
      <w:r w:rsidRPr="00783D11">
        <w:rPr>
          <w:rFonts w:ascii="Cambria Math" w:hAnsi="Cambria Math"/>
          <w:rtl/>
        </w:rPr>
        <w:t xml:space="preserve">الدورة </w:t>
      </w:r>
      <w:r w:rsidR="004B62BC">
        <w:rPr>
          <w:rFonts w:ascii="Cambria Math" w:hAnsi="Cambria Math" w:hint="cs"/>
          <w:rtl/>
        </w:rPr>
        <w:t>السادسة</w:t>
      </w:r>
    </w:p>
    <w:p w:rsidR="00D61541" w:rsidRPr="00D61541" w:rsidRDefault="00D61541" w:rsidP="004B62BC">
      <w:pPr>
        <w:pStyle w:val="MeetingDatesAR"/>
        <w:bidi/>
        <w:rPr>
          <w:rtl/>
        </w:rPr>
      </w:pPr>
      <w:r w:rsidRPr="00D61541">
        <w:rPr>
          <w:rFonts w:hint="cs"/>
          <w:rtl/>
        </w:rPr>
        <w:t xml:space="preserve">جنيف، من </w:t>
      </w:r>
      <w:r w:rsidR="004B62BC">
        <w:rPr>
          <w:rFonts w:hint="cs"/>
          <w:rtl/>
        </w:rPr>
        <w:t>20</w:t>
      </w:r>
      <w:r w:rsidR="00983389">
        <w:rPr>
          <w:rFonts w:hint="cs"/>
          <w:rtl/>
        </w:rPr>
        <w:t xml:space="preserve"> </w:t>
      </w:r>
      <w:r w:rsidR="00100F97">
        <w:rPr>
          <w:rFonts w:hint="cs"/>
          <w:rtl/>
        </w:rPr>
        <w:t xml:space="preserve">إلى </w:t>
      </w:r>
      <w:r w:rsidR="004B62BC">
        <w:rPr>
          <w:rFonts w:hint="cs"/>
          <w:rtl/>
        </w:rPr>
        <w:t>22</w:t>
      </w:r>
      <w:r w:rsidR="00783D11">
        <w:rPr>
          <w:rFonts w:hint="cs"/>
          <w:rtl/>
        </w:rPr>
        <w:t xml:space="preserve"> </w:t>
      </w:r>
      <w:r w:rsidR="004B62BC">
        <w:rPr>
          <w:rFonts w:hint="cs"/>
          <w:rtl/>
        </w:rPr>
        <w:t>يونيو</w:t>
      </w:r>
      <w:r w:rsidR="005457EB">
        <w:rPr>
          <w:rFonts w:hint="cs"/>
          <w:rtl/>
        </w:rPr>
        <w:t xml:space="preserve"> </w:t>
      </w:r>
      <w:r w:rsidR="004B62BC">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47C15" w:rsidP="00FB7EC9">
      <w:pPr>
        <w:pStyle w:val="DocumentTitleAR"/>
        <w:bidi/>
        <w:rPr>
          <w:rtl/>
        </w:rPr>
      </w:pPr>
      <w:r w:rsidRPr="00147C15">
        <w:rPr>
          <w:rtl/>
        </w:rPr>
        <w:t>المشروع الخاص بزيادة دقة البيانات المُدوّنة في السجل الدولي</w:t>
      </w:r>
      <w:r>
        <w:rPr>
          <w:rFonts w:hint="cs"/>
          <w:rtl/>
        </w:rPr>
        <w:t>: اقتراح تعزيز بنية المعلومات الخاصة بالتسجيلات الدولية</w:t>
      </w:r>
    </w:p>
    <w:p w:rsidR="00D61541" w:rsidRPr="00D61541" w:rsidRDefault="00A52A6B"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4B62BC" w:rsidRPr="00E24DE8" w:rsidRDefault="00147C15" w:rsidP="00D14465">
      <w:pPr>
        <w:pStyle w:val="NormalParaAR"/>
        <w:keepNext/>
        <w:rPr>
          <w:b/>
          <w:bCs/>
          <w:sz w:val="40"/>
          <w:szCs w:val="40"/>
          <w:rtl/>
        </w:rPr>
      </w:pPr>
      <w:r w:rsidRPr="00E24DE8">
        <w:rPr>
          <w:rFonts w:hint="cs"/>
          <w:b/>
          <w:bCs/>
          <w:sz w:val="40"/>
          <w:szCs w:val="40"/>
          <w:rtl/>
        </w:rPr>
        <w:t>أولا.</w:t>
      </w:r>
      <w:r w:rsidRPr="00E24DE8">
        <w:rPr>
          <w:b/>
          <w:bCs/>
          <w:sz w:val="40"/>
          <w:szCs w:val="40"/>
          <w:rtl/>
        </w:rPr>
        <w:tab/>
      </w:r>
      <w:r w:rsidRPr="00E24DE8">
        <w:rPr>
          <w:rFonts w:hint="cs"/>
          <w:b/>
          <w:bCs/>
          <w:sz w:val="40"/>
          <w:szCs w:val="40"/>
          <w:rtl/>
        </w:rPr>
        <w:t>معلومات أساسية</w:t>
      </w:r>
    </w:p>
    <w:p w:rsidR="00147C15" w:rsidRDefault="00DB777E" w:rsidP="00A50615">
      <w:pPr>
        <w:pStyle w:val="NumberedParaAR"/>
      </w:pPr>
      <w:r>
        <w:rPr>
          <w:rFonts w:hint="cs"/>
          <w:rtl/>
        </w:rPr>
        <w:t>طبقا للمادة</w:t>
      </w:r>
      <w:r>
        <w:rPr>
          <w:rFonts w:hint="eastAsia"/>
          <w:rtl/>
        </w:rPr>
        <w:t> </w:t>
      </w:r>
      <w:r>
        <w:rPr>
          <w:rFonts w:hint="cs"/>
          <w:rtl/>
        </w:rPr>
        <w:t>5(4) من وثيقة</w:t>
      </w:r>
      <w:r>
        <w:rPr>
          <w:rFonts w:hint="eastAsia"/>
          <w:rtl/>
        </w:rPr>
        <w:t> </w:t>
      </w:r>
      <w:r>
        <w:rPr>
          <w:rFonts w:hint="cs"/>
          <w:rtl/>
        </w:rPr>
        <w:t xml:space="preserve">1999 لاتفاق لاهاي بشأن </w:t>
      </w:r>
      <w:r w:rsidRPr="00DB777E">
        <w:rPr>
          <w:rtl/>
        </w:rPr>
        <w:t xml:space="preserve">التسجيل الدولي </w:t>
      </w:r>
      <w:r w:rsidRPr="00DB777E">
        <w:rPr>
          <w:rFonts w:hint="cs"/>
          <w:rtl/>
        </w:rPr>
        <w:t xml:space="preserve">للتصاميم </w:t>
      </w:r>
      <w:r w:rsidRPr="00DB777E">
        <w:rPr>
          <w:rtl/>
        </w:rPr>
        <w:t>الصناعية</w:t>
      </w:r>
      <w:r>
        <w:rPr>
          <w:rFonts w:hint="cs"/>
          <w:rtl/>
        </w:rPr>
        <w:t xml:space="preserve"> (المشار إليها فيما يلي بعبارة "وثيقة</w:t>
      </w:r>
      <w:r>
        <w:rPr>
          <w:rFonts w:hint="eastAsia"/>
          <w:rtl/>
        </w:rPr>
        <w:t> </w:t>
      </w:r>
      <w:r>
        <w:rPr>
          <w:rFonts w:hint="cs"/>
          <w:rtl/>
        </w:rPr>
        <w:t>1999</w:t>
      </w:r>
      <w:r w:rsidR="00163FD8">
        <w:rPr>
          <w:rFonts w:hint="cs"/>
          <w:rtl/>
        </w:rPr>
        <w:t>") والقاعدة</w:t>
      </w:r>
      <w:r w:rsidR="00163FD8">
        <w:rPr>
          <w:rFonts w:hint="eastAsia"/>
          <w:rtl/>
        </w:rPr>
        <w:t> </w:t>
      </w:r>
      <w:r w:rsidR="00163FD8">
        <w:rPr>
          <w:rFonts w:hint="cs"/>
          <w:rtl/>
        </w:rPr>
        <w:t>7(3)"5" من اللائحة التنفيذية المشتركة لوثيقة</w:t>
      </w:r>
      <w:r w:rsidR="00A50615">
        <w:rPr>
          <w:rFonts w:hint="eastAsia"/>
          <w:rtl/>
        </w:rPr>
        <w:t> </w:t>
      </w:r>
      <w:r w:rsidR="00163FD8">
        <w:rPr>
          <w:rFonts w:hint="cs"/>
          <w:rtl/>
        </w:rPr>
        <w:t>1999 ووثيقة</w:t>
      </w:r>
      <w:r w:rsidR="00A50615">
        <w:rPr>
          <w:rFonts w:hint="eastAsia"/>
          <w:rtl/>
        </w:rPr>
        <w:t> </w:t>
      </w:r>
      <w:r w:rsidR="00163FD8">
        <w:rPr>
          <w:rFonts w:hint="cs"/>
          <w:rtl/>
        </w:rPr>
        <w:t>1960 لاتفاق لاهاي (المشار إليها فيما يلي بعبارة "اللائحة التنفيذية المشتركة")، يجوز أن يحتوي الطلب الدولي على 100</w:t>
      </w:r>
      <w:r w:rsidR="00A50615">
        <w:rPr>
          <w:rFonts w:hint="eastAsia"/>
          <w:rtl/>
        </w:rPr>
        <w:t> </w:t>
      </w:r>
      <w:r w:rsidR="00163FD8">
        <w:rPr>
          <w:rFonts w:hint="cs"/>
          <w:rtl/>
        </w:rPr>
        <w:t>تصميم كحد أقصى، شرط أن تتعلق تلك التصاميم بمنتجات تنتمي كلها إلى الصنف ذاته ضمن التصنيف الدولي للتصاميم الصناعية (المشار إليه فيما يلي بعبارة "تصنيف لوكارنو"). ويستخدم المودعون، على نطاق واسع، إمكانية إدراج عدة تصاميم في طلب دولي واحد، وفي عام</w:t>
      </w:r>
      <w:r w:rsidR="00A50615">
        <w:rPr>
          <w:rFonts w:hint="eastAsia"/>
          <w:rtl/>
        </w:rPr>
        <w:t> </w:t>
      </w:r>
      <w:r w:rsidR="00163FD8">
        <w:rPr>
          <w:rFonts w:hint="cs"/>
          <w:rtl/>
        </w:rPr>
        <w:t>2015، احتوى 55</w:t>
      </w:r>
      <w:r w:rsidR="00163FD8">
        <w:rPr>
          <w:rFonts w:hint="eastAsia"/>
          <w:rtl/>
        </w:rPr>
        <w:t> </w:t>
      </w:r>
      <w:r w:rsidR="00163FD8">
        <w:rPr>
          <w:rFonts w:hint="cs"/>
          <w:rtl/>
        </w:rPr>
        <w:t>بالمائة من التسجيلات الدولية على عدة تصاميم، في حين تألّف 45</w:t>
      </w:r>
      <w:r w:rsidR="00163FD8">
        <w:rPr>
          <w:rFonts w:hint="eastAsia"/>
          <w:rtl/>
        </w:rPr>
        <w:t> </w:t>
      </w:r>
      <w:r w:rsidR="00163FD8">
        <w:rPr>
          <w:rFonts w:hint="cs"/>
          <w:rtl/>
        </w:rPr>
        <w:t>بالمائة من التسجيلات الدولية من تصميم واحد فقط.</w:t>
      </w:r>
    </w:p>
    <w:p w:rsidR="00163FD8" w:rsidRDefault="00163FD8" w:rsidP="00A50615">
      <w:pPr>
        <w:pStyle w:val="NumberedParaAR"/>
      </w:pPr>
      <w:r>
        <w:rPr>
          <w:rFonts w:hint="cs"/>
          <w:rtl/>
        </w:rPr>
        <w:t>و</w:t>
      </w:r>
      <w:r w:rsidR="006F17F4">
        <w:rPr>
          <w:rFonts w:hint="cs"/>
          <w:rtl/>
        </w:rPr>
        <w:t>تُنظّم المعلومات المُدوّنة في السجل الدولي وتُخزّن حاليا</w:t>
      </w:r>
      <w:r>
        <w:rPr>
          <w:rFonts w:hint="cs"/>
          <w:rtl/>
        </w:rPr>
        <w:t xml:space="preserve"> </w:t>
      </w:r>
      <w:r w:rsidR="006F17F4">
        <w:rPr>
          <w:rFonts w:hint="cs"/>
          <w:rtl/>
        </w:rPr>
        <w:t>بطريقة تصف التسجيل الدولي بشكل عام. وتعني هذه</w:t>
      </w:r>
      <w:r w:rsidR="00A50615">
        <w:rPr>
          <w:rFonts w:hint="eastAsia"/>
          <w:rtl/>
        </w:rPr>
        <w:t> </w:t>
      </w:r>
      <w:r w:rsidR="006F17F4">
        <w:rPr>
          <w:rFonts w:hint="cs"/>
          <w:rtl/>
        </w:rPr>
        <w:t>الطريقة لتخزين المعلومات أنه في حال وجود طلب يحتوي على تصاميم متعدّدة، فإن التصاميم لا توصف كل على حدة. ويمكن، باستعراض التسلسل التاريخ</w:t>
      </w:r>
      <w:r w:rsidR="00A50615">
        <w:rPr>
          <w:rFonts w:hint="cs"/>
          <w:rtl/>
        </w:rPr>
        <w:t>ي، تفسير ذلك بأن نظام لاهاي كان</w:t>
      </w:r>
      <w:r w:rsidR="006F17F4">
        <w:rPr>
          <w:rFonts w:hint="cs"/>
          <w:rtl/>
        </w:rPr>
        <w:t>، حتى مارس</w:t>
      </w:r>
      <w:r w:rsidR="006F17F4">
        <w:rPr>
          <w:rFonts w:hint="eastAsia"/>
          <w:rtl/>
        </w:rPr>
        <w:t> </w:t>
      </w:r>
      <w:r w:rsidR="006F17F4">
        <w:rPr>
          <w:rFonts w:hint="cs"/>
          <w:rtl/>
        </w:rPr>
        <w:t>2016</w:t>
      </w:r>
      <w:r w:rsidR="006F17F4">
        <w:rPr>
          <w:rStyle w:val="FootnoteReference"/>
          <w:rtl/>
        </w:rPr>
        <w:footnoteReference w:id="1"/>
      </w:r>
      <w:r w:rsidR="006F17F4">
        <w:rPr>
          <w:rFonts w:hint="cs"/>
          <w:rtl/>
        </w:rPr>
        <w:t>، يتقاسم بنية تحتية لتكنولوجيا المعلومات مع نظام مدريد للتسجيل الدولي للعلامات.</w:t>
      </w:r>
      <w:r w:rsidR="00CC6163">
        <w:rPr>
          <w:rFonts w:hint="cs"/>
          <w:rtl/>
        </w:rPr>
        <w:t xml:space="preserve"> ويجدر التذكير بأن الفرق الأساسي بين نظام لاهاي ونظام مدريد </w:t>
      </w:r>
      <w:r w:rsidR="00CC6163">
        <w:rPr>
          <w:rFonts w:hint="cs"/>
          <w:rtl/>
        </w:rPr>
        <w:lastRenderedPageBreak/>
        <w:t>هو</w:t>
      </w:r>
      <w:r w:rsidR="00A50615">
        <w:rPr>
          <w:rFonts w:hint="eastAsia"/>
          <w:rtl/>
        </w:rPr>
        <w:t> </w:t>
      </w:r>
      <w:r w:rsidR="00CC6163">
        <w:rPr>
          <w:rFonts w:hint="cs"/>
          <w:rtl/>
        </w:rPr>
        <w:t>أن التسجيل الدولي بناء على نظام مدريد لا يجوز أن يحتوي سوى على علامة واحدة. ويبيّن المرفق الأول من هذه</w:t>
      </w:r>
      <w:r w:rsidR="00A50615">
        <w:rPr>
          <w:rFonts w:hint="eastAsia"/>
          <w:rtl/>
        </w:rPr>
        <w:t> </w:t>
      </w:r>
      <w:r w:rsidR="00CC6163">
        <w:rPr>
          <w:rFonts w:hint="cs"/>
          <w:rtl/>
        </w:rPr>
        <w:t>الوثيقة بينة المعلومات الحالية لنظام لاهاي.</w:t>
      </w:r>
    </w:p>
    <w:p w:rsidR="00CC6163" w:rsidRDefault="00CC6163" w:rsidP="0034636A">
      <w:pPr>
        <w:pStyle w:val="NumberedParaAR"/>
      </w:pPr>
      <w:r>
        <w:rPr>
          <w:rFonts w:hint="cs"/>
          <w:rtl/>
        </w:rPr>
        <w:t>ومن المزمع أن يُنشر، خلال عام</w:t>
      </w:r>
      <w:r w:rsidR="0034636A">
        <w:rPr>
          <w:rFonts w:hint="eastAsia"/>
          <w:rtl/>
        </w:rPr>
        <w:t> </w:t>
      </w:r>
      <w:r>
        <w:rPr>
          <w:rFonts w:hint="cs"/>
          <w:rtl/>
        </w:rPr>
        <w:t xml:space="preserve">2016، نظام معلوماتي أساسي جديد وهو </w:t>
      </w:r>
      <w:r w:rsidRPr="00CC6163">
        <w:rPr>
          <w:rtl/>
        </w:rPr>
        <w:t>نظام معلومات سجلات التصاميم الدولية</w:t>
      </w:r>
      <w:r>
        <w:rPr>
          <w:rFonts w:hint="cs"/>
          <w:rtl/>
        </w:rPr>
        <w:t> </w:t>
      </w:r>
      <w:r w:rsidRPr="00CC6163">
        <w:rPr>
          <w:rtl/>
        </w:rPr>
        <w:t>(</w:t>
      </w:r>
      <w:r w:rsidRPr="00CC6163">
        <w:rPr>
          <w:cs/>
        </w:rPr>
        <w:t>‎</w:t>
      </w:r>
      <w:r w:rsidRPr="00CC6163">
        <w:t>DIRIS</w:t>
      </w:r>
      <w:r w:rsidRPr="00CC6163">
        <w:rPr>
          <w:rtl/>
        </w:rPr>
        <w:t>‏)</w:t>
      </w:r>
      <w:r>
        <w:rPr>
          <w:rStyle w:val="FootnoteReference"/>
          <w:rtl/>
        </w:rPr>
        <w:footnoteReference w:id="2"/>
      </w:r>
      <w:r>
        <w:rPr>
          <w:rFonts w:hint="cs"/>
          <w:rtl/>
        </w:rPr>
        <w:t>.</w:t>
      </w:r>
      <w:r w:rsidR="00FD67BB">
        <w:rPr>
          <w:rFonts w:hint="cs"/>
          <w:rtl/>
        </w:rPr>
        <w:t xml:space="preserve"> ويقوم ذلك النظام المعلوماتي الجديد على تكنولوجيات حديثة ومدعومة بنشاط وسيمكّن من إعادة تصميم بنية المع</w:t>
      </w:r>
      <w:r w:rsidR="00E751F2">
        <w:rPr>
          <w:rFonts w:hint="cs"/>
          <w:rtl/>
        </w:rPr>
        <w:t>لومات الخاصة بالسجل الدولي ل</w:t>
      </w:r>
      <w:r w:rsidR="00FD67BB">
        <w:rPr>
          <w:rFonts w:hint="cs"/>
          <w:rtl/>
        </w:rPr>
        <w:t>نظام لاهاي.</w:t>
      </w:r>
    </w:p>
    <w:p w:rsidR="00FD67BB" w:rsidRDefault="00FD67BB" w:rsidP="00CC6163">
      <w:pPr>
        <w:pStyle w:val="NumberedParaAR"/>
      </w:pPr>
      <w:r>
        <w:rPr>
          <w:rFonts w:hint="cs"/>
          <w:rtl/>
        </w:rPr>
        <w:t>وتتناول بنية المعلومات الجديدة</w:t>
      </w:r>
      <w:r w:rsidR="0027619C">
        <w:rPr>
          <w:rFonts w:hint="cs"/>
          <w:rtl/>
        </w:rPr>
        <w:t xml:space="preserve"> المزمع وضعها</w:t>
      </w:r>
      <w:r>
        <w:rPr>
          <w:rFonts w:hint="cs"/>
          <w:rtl/>
        </w:rPr>
        <w:t xml:space="preserve">، </w:t>
      </w:r>
      <w:r w:rsidR="0027619C">
        <w:rPr>
          <w:rFonts w:hint="cs"/>
          <w:rtl/>
        </w:rPr>
        <w:t xml:space="preserve">كما يرد وصفه في الفصل الثالث وبيانه في المرفق الثاني من هذه الوثيقة، </w:t>
      </w:r>
      <w:r w:rsidR="00E751F2">
        <w:rPr>
          <w:rFonts w:hint="cs"/>
          <w:rtl/>
        </w:rPr>
        <w:t>عددا من التقييدات التي تنطوي عليها البنية الراهنة لنظام لاهاي. وستمكّن بنية المعلومات الجديدة من تخزين المعلومات الخاصة بالتصاميم في السجل الدولي، وتتيح بالتالي فرصا جديدة من حيث التطوير القانوني لنظام لاهاي، وستمكّن أيضا من تحسين التفاعل بين المكتب الدولي ومكاتب الأطراف المتعاقدة، وبين المكتب الدولي ومستخدمي النظام.</w:t>
      </w:r>
    </w:p>
    <w:p w:rsidR="00E751F2" w:rsidRDefault="00E751F2" w:rsidP="00A50615">
      <w:pPr>
        <w:pStyle w:val="NumberedParaAR"/>
      </w:pPr>
      <w:r>
        <w:rPr>
          <w:rFonts w:hint="cs"/>
          <w:rtl/>
        </w:rPr>
        <w:t xml:space="preserve">وبناء عليه اقترحت الأمانة، في الدورة الخامسة للفريق العامل، أن يتولى المكتب الدولي تعميم </w:t>
      </w:r>
      <w:r w:rsidR="00664CA2">
        <w:rPr>
          <w:rFonts w:hint="cs"/>
          <w:rtl/>
        </w:rPr>
        <w:t>استقصاء</w:t>
      </w:r>
      <w:r>
        <w:rPr>
          <w:rFonts w:hint="cs"/>
          <w:rtl/>
        </w:rPr>
        <w:t xml:space="preserve"> عن </w:t>
      </w:r>
      <w:r w:rsidR="00664CA2">
        <w:rPr>
          <w:rFonts w:hint="cs"/>
          <w:rtl/>
        </w:rPr>
        <w:t>مدى</w:t>
      </w:r>
      <w:r>
        <w:rPr>
          <w:rFonts w:hint="cs"/>
          <w:rtl/>
        </w:rPr>
        <w:t xml:space="preserve"> دقة المعلومات في السجل الدولي. غير أنه بعد تجميع التعليقات المستلمة فعلا من المكاتب في الاجتماعات والمناقشات السابقة على الصعيد التشغيلي، رأى المكتب الدولي أن لديه ما يكفي من المواد لصياغة هذا الاقتراح الخاص ببنية معلومات جديدة ممكنة.</w:t>
      </w:r>
    </w:p>
    <w:p w:rsidR="0099473F" w:rsidRPr="0099473F" w:rsidRDefault="0099473F" w:rsidP="00D14465">
      <w:pPr>
        <w:pStyle w:val="NormalParaAR"/>
        <w:keepNext/>
        <w:rPr>
          <w:b/>
          <w:bCs/>
          <w:sz w:val="40"/>
          <w:szCs w:val="40"/>
          <w:rtl/>
        </w:rPr>
      </w:pPr>
      <w:r w:rsidRPr="0099473F">
        <w:rPr>
          <w:rFonts w:hint="cs"/>
          <w:b/>
          <w:bCs/>
          <w:sz w:val="40"/>
          <w:szCs w:val="40"/>
          <w:rtl/>
        </w:rPr>
        <w:t>ثانيا.</w:t>
      </w:r>
      <w:r w:rsidRPr="0099473F">
        <w:rPr>
          <w:b/>
          <w:bCs/>
          <w:sz w:val="40"/>
          <w:szCs w:val="40"/>
          <w:rtl/>
        </w:rPr>
        <w:tab/>
      </w:r>
      <w:r w:rsidRPr="0099473F">
        <w:rPr>
          <w:rFonts w:hint="cs"/>
          <w:b/>
          <w:bCs/>
          <w:sz w:val="40"/>
          <w:szCs w:val="40"/>
          <w:rtl/>
        </w:rPr>
        <w:t>التقييدات المحدّدة في بنية المعلومات الحالية</w:t>
      </w:r>
    </w:p>
    <w:p w:rsidR="0099473F" w:rsidRDefault="0099473F" w:rsidP="0099473F">
      <w:pPr>
        <w:pStyle w:val="NumberedParaAR"/>
      </w:pPr>
      <w:r>
        <w:rPr>
          <w:rFonts w:hint="cs"/>
          <w:rtl/>
        </w:rPr>
        <w:t>أبلغت بعض الأطراف المتعاقد</w:t>
      </w:r>
      <w:r w:rsidR="00A50615">
        <w:rPr>
          <w:rFonts w:hint="cs"/>
          <w:rtl/>
        </w:rPr>
        <w:t>ة</w:t>
      </w:r>
      <w:r>
        <w:rPr>
          <w:rFonts w:hint="cs"/>
          <w:rtl/>
        </w:rPr>
        <w:t xml:space="preserve"> بموجب نظام لاهاي المكتب الدولي بأنها تواجه تقييدات ناجمة عن بنية المعلومات الحالية عند محاولتها استجلاب التسجيلات الدولية إلى أنظمتها المحلية، واقترحت أيضا إدخال تحسينات لا تتحمّلها بنية المعلومات الحالية. وبالتالي:</w:t>
      </w:r>
    </w:p>
    <w:p w:rsidR="0099473F" w:rsidRDefault="0099473F" w:rsidP="00A50615">
      <w:pPr>
        <w:pStyle w:val="NormalParaAR"/>
        <w:ind w:left="566"/>
        <w:rPr>
          <w:rtl/>
        </w:rPr>
      </w:pPr>
      <w:r>
        <w:rPr>
          <w:rFonts w:hint="cs"/>
          <w:rtl/>
        </w:rPr>
        <w:t>(أ)</w:t>
      </w:r>
      <w:r>
        <w:rPr>
          <w:rtl/>
        </w:rPr>
        <w:tab/>
      </w:r>
      <w:r w:rsidR="0086500F">
        <w:rPr>
          <w:rFonts w:hint="cs"/>
          <w:rtl/>
        </w:rPr>
        <w:t xml:space="preserve">فيما يخص التسجيلات الدولية </w:t>
      </w:r>
      <w:r w:rsidR="00D54FC1">
        <w:rPr>
          <w:rFonts w:hint="cs"/>
          <w:rtl/>
        </w:rPr>
        <w:t>المتعدّدة ال</w:t>
      </w:r>
      <w:r w:rsidR="0086500F">
        <w:rPr>
          <w:rFonts w:hint="cs"/>
          <w:rtl/>
        </w:rPr>
        <w:t>تصاميم عموما، أشار عدد من المكاتب</w:t>
      </w:r>
      <w:r>
        <w:rPr>
          <w:rFonts w:hint="cs"/>
          <w:rtl/>
        </w:rPr>
        <w:t xml:space="preserve"> </w:t>
      </w:r>
      <w:r w:rsidR="0086500F">
        <w:rPr>
          <w:rFonts w:hint="cs"/>
          <w:rtl/>
        </w:rPr>
        <w:t xml:space="preserve">إلى لزوم الربط بين </w:t>
      </w:r>
      <w:r w:rsidR="00A50615">
        <w:rPr>
          <w:rFonts w:hint="cs"/>
          <w:rtl/>
        </w:rPr>
        <w:t>كل تصميم و</w:t>
      </w:r>
      <w:r w:rsidR="0086500F">
        <w:rPr>
          <w:rFonts w:hint="cs"/>
          <w:rtl/>
        </w:rPr>
        <w:t>بيان المنتج و</w:t>
      </w:r>
      <w:r w:rsidR="00A50615">
        <w:rPr>
          <w:rFonts w:hint="cs"/>
          <w:rtl/>
        </w:rPr>
        <w:t xml:space="preserve">بيان </w:t>
      </w:r>
      <w:r w:rsidR="0086500F">
        <w:rPr>
          <w:rFonts w:hint="cs"/>
          <w:rtl/>
        </w:rPr>
        <w:t xml:space="preserve">الصنف الفرعي من تصنيف </w:t>
      </w:r>
      <w:r w:rsidR="00A50615">
        <w:rPr>
          <w:rFonts w:hint="cs"/>
          <w:rtl/>
        </w:rPr>
        <w:t>لوكارنو</w:t>
      </w:r>
      <w:r w:rsidR="0086500F">
        <w:rPr>
          <w:rFonts w:hint="cs"/>
          <w:rtl/>
        </w:rPr>
        <w:t>؛</w:t>
      </w:r>
    </w:p>
    <w:p w:rsidR="0086500F" w:rsidRDefault="0086500F" w:rsidP="00D54FC1">
      <w:pPr>
        <w:pStyle w:val="NormalParaAR"/>
        <w:ind w:left="566"/>
        <w:rPr>
          <w:rtl/>
        </w:rPr>
      </w:pPr>
      <w:r>
        <w:rPr>
          <w:rFonts w:hint="cs"/>
          <w:rtl/>
        </w:rPr>
        <w:t>(ب)</w:t>
      </w:r>
      <w:r>
        <w:rPr>
          <w:rtl/>
        </w:rPr>
        <w:tab/>
      </w:r>
      <w:r w:rsidR="00A826B2">
        <w:rPr>
          <w:rFonts w:hint="cs"/>
          <w:rtl/>
        </w:rPr>
        <w:t>و</w:t>
      </w:r>
      <w:r>
        <w:rPr>
          <w:rFonts w:hint="cs"/>
          <w:rtl/>
        </w:rPr>
        <w:t xml:space="preserve">فيما يخص </w:t>
      </w:r>
      <w:r w:rsidR="00D54FC1">
        <w:rPr>
          <w:rFonts w:hint="cs"/>
          <w:rtl/>
        </w:rPr>
        <w:t xml:space="preserve">التسجيلات الدولية المتعدّدة التصاميم والمشتملة </w:t>
      </w:r>
      <w:r w:rsidR="00A50615">
        <w:rPr>
          <w:rFonts w:hint="cs"/>
          <w:rtl/>
        </w:rPr>
        <w:t>على أوصاف،</w:t>
      </w:r>
      <w:r>
        <w:rPr>
          <w:rFonts w:hint="cs"/>
          <w:rtl/>
        </w:rPr>
        <w:t xml:space="preserve"> اقترح وفد اليابان، أساسا في الدورة الخامسة للفريق العامل، أن يتم الربط تحديدا بين كل وصف والتصميم المعني.</w:t>
      </w:r>
    </w:p>
    <w:p w:rsidR="0086500F" w:rsidRDefault="0086500F" w:rsidP="0086500F">
      <w:pPr>
        <w:pStyle w:val="NormalParaAR"/>
        <w:ind w:left="566"/>
        <w:rPr>
          <w:rtl/>
        </w:rPr>
      </w:pPr>
      <w:r>
        <w:rPr>
          <w:rFonts w:hint="cs"/>
          <w:rtl/>
        </w:rPr>
        <w:t>(ج)</w:t>
      </w:r>
      <w:r>
        <w:rPr>
          <w:rtl/>
        </w:rPr>
        <w:tab/>
      </w:r>
      <w:r w:rsidR="00A826B2">
        <w:rPr>
          <w:rFonts w:hint="cs"/>
          <w:rtl/>
        </w:rPr>
        <w:t>و</w:t>
      </w:r>
      <w:r w:rsidR="00A50615">
        <w:rPr>
          <w:rFonts w:hint="cs"/>
          <w:rtl/>
        </w:rPr>
        <w:t>أشارت بعض المكاتب إلى أن ب</w:t>
      </w:r>
      <w:r>
        <w:rPr>
          <w:rFonts w:hint="cs"/>
          <w:rtl/>
        </w:rPr>
        <w:t>عض المجالات</w:t>
      </w:r>
      <w:r w:rsidR="00681FC4">
        <w:rPr>
          <w:rFonts w:hint="cs"/>
          <w:rtl/>
        </w:rPr>
        <w:t xml:space="preserve"> تفتقر إلى الدقة، مثل اسم المبتكر</w:t>
      </w:r>
      <w:r>
        <w:rPr>
          <w:rFonts w:hint="cs"/>
          <w:rtl/>
        </w:rPr>
        <w:t xml:space="preserve"> وعنوانه. ويضيف ذلك عبئا على عاتق المكتب من حيث أتمتة استجلاب تسجيلات التصاميم الدولية ومعالجتها.</w:t>
      </w:r>
    </w:p>
    <w:p w:rsidR="0086500F" w:rsidRDefault="0086500F" w:rsidP="005A4633">
      <w:pPr>
        <w:pStyle w:val="NumberedParaAR"/>
      </w:pPr>
      <w:r>
        <w:rPr>
          <w:rFonts w:hint="cs"/>
          <w:rtl/>
        </w:rPr>
        <w:t xml:space="preserve">والتقييدات الكامنة في بنية المعلومات الحالية لها آثار </w:t>
      </w:r>
      <w:r w:rsidR="00A50615">
        <w:rPr>
          <w:rFonts w:hint="cs"/>
          <w:rtl/>
        </w:rPr>
        <w:t xml:space="preserve">كذلك </w:t>
      </w:r>
      <w:r>
        <w:rPr>
          <w:rFonts w:hint="cs"/>
          <w:rtl/>
        </w:rPr>
        <w:t xml:space="preserve">على المستخدمين. </w:t>
      </w:r>
      <w:r w:rsidR="00D14465">
        <w:rPr>
          <w:rFonts w:hint="cs"/>
          <w:rtl/>
        </w:rPr>
        <w:t xml:space="preserve">ففيما يخص التسجيل الدولي المشتمل على تصاميم متعدّدة والذي يُؤجّل نشره، مثلا، </w:t>
      </w:r>
      <w:r w:rsidR="005A4633">
        <w:rPr>
          <w:rFonts w:hint="cs"/>
          <w:rtl/>
        </w:rPr>
        <w:t>يؤدي</w:t>
      </w:r>
      <w:r w:rsidR="00D14465">
        <w:rPr>
          <w:rFonts w:hint="cs"/>
          <w:rtl/>
        </w:rPr>
        <w:t xml:space="preserve"> الالتماس المُقدم يناء على المادة</w:t>
      </w:r>
      <w:r w:rsidR="00D14465">
        <w:rPr>
          <w:rFonts w:hint="eastAsia"/>
          <w:rtl/>
        </w:rPr>
        <w:t> </w:t>
      </w:r>
      <w:r w:rsidR="00D14465">
        <w:rPr>
          <w:rFonts w:hint="cs"/>
          <w:rtl/>
        </w:rPr>
        <w:t>11(4) من وثيقة</w:t>
      </w:r>
      <w:r w:rsidR="00D14465">
        <w:rPr>
          <w:rFonts w:hint="eastAsia"/>
          <w:rtl/>
        </w:rPr>
        <w:t> </w:t>
      </w:r>
      <w:r w:rsidR="00D14465">
        <w:rPr>
          <w:rFonts w:hint="cs"/>
          <w:rtl/>
        </w:rPr>
        <w:t>1999 لإجراء نشر مبكّر لبعض التصاميم فقط من ضمن ما ير</w:t>
      </w:r>
      <w:r w:rsidR="005A4633">
        <w:rPr>
          <w:rFonts w:hint="cs"/>
          <w:rtl/>
        </w:rPr>
        <w:t xml:space="preserve">د في التسجيل، </w:t>
      </w:r>
      <w:r w:rsidR="00D14465">
        <w:rPr>
          <w:rFonts w:hint="cs"/>
          <w:rtl/>
        </w:rPr>
        <w:t>بالضرورة</w:t>
      </w:r>
      <w:r w:rsidR="005A4633">
        <w:rPr>
          <w:rFonts w:hint="cs"/>
          <w:rtl/>
        </w:rPr>
        <w:t>، إلى</w:t>
      </w:r>
      <w:r w:rsidR="00D14465">
        <w:rPr>
          <w:rFonts w:hint="cs"/>
          <w:rtl/>
        </w:rPr>
        <w:t xml:space="preserve"> التخلي عن التصاميم الأخرى في التسجيل المذكور، لأن البنية الحالية لا تسمح بتواريخ نشر خاصة بكل تصميم ولكن بتاريخ نشر واحد لكامل التسجيل الدولي.</w:t>
      </w:r>
    </w:p>
    <w:p w:rsidR="00D14465" w:rsidRPr="00D14465" w:rsidRDefault="00D14465" w:rsidP="00D14465">
      <w:pPr>
        <w:pStyle w:val="NormalParaAR"/>
        <w:keepNext/>
        <w:rPr>
          <w:b/>
          <w:bCs/>
          <w:sz w:val="40"/>
          <w:szCs w:val="40"/>
          <w:rtl/>
        </w:rPr>
      </w:pPr>
      <w:r w:rsidRPr="00D14465">
        <w:rPr>
          <w:rFonts w:hint="cs"/>
          <w:b/>
          <w:bCs/>
          <w:sz w:val="40"/>
          <w:szCs w:val="40"/>
          <w:rtl/>
        </w:rPr>
        <w:t>ثالثا.</w:t>
      </w:r>
      <w:r w:rsidRPr="00D14465">
        <w:rPr>
          <w:b/>
          <w:bCs/>
          <w:sz w:val="40"/>
          <w:szCs w:val="40"/>
          <w:rtl/>
        </w:rPr>
        <w:tab/>
      </w:r>
      <w:r w:rsidRPr="00D14465">
        <w:rPr>
          <w:rFonts w:hint="cs"/>
          <w:b/>
          <w:bCs/>
          <w:sz w:val="40"/>
          <w:szCs w:val="40"/>
          <w:rtl/>
        </w:rPr>
        <w:t>بنية معلومات جديدة ممكنة للسجل الدولي</w:t>
      </w:r>
    </w:p>
    <w:p w:rsidR="00D14465" w:rsidRDefault="00D14465" w:rsidP="00D14465">
      <w:pPr>
        <w:pStyle w:val="NumberedParaAR"/>
      </w:pPr>
      <w:r>
        <w:rPr>
          <w:rFonts w:hint="cs"/>
          <w:rtl/>
        </w:rPr>
        <w:t xml:space="preserve">لمعالجة التقييدات المشار إليها من قبل بعض المكاتب والمستخدمين، يُقترح النظر في إمكانية تعديل بنية المعلومات </w:t>
      </w:r>
      <w:r w:rsidR="00A826B2">
        <w:rPr>
          <w:rFonts w:hint="cs"/>
          <w:rtl/>
        </w:rPr>
        <w:t>بالطريقة التالية:</w:t>
      </w:r>
    </w:p>
    <w:p w:rsidR="00A826B2" w:rsidRDefault="00A826B2" w:rsidP="00A826B2">
      <w:pPr>
        <w:pStyle w:val="NormalParaAR"/>
        <w:ind w:left="566"/>
        <w:rPr>
          <w:rtl/>
        </w:rPr>
      </w:pPr>
      <w:r>
        <w:rPr>
          <w:rFonts w:hint="cs"/>
          <w:rtl/>
        </w:rPr>
        <w:t>(أ)</w:t>
      </w:r>
      <w:r>
        <w:rPr>
          <w:rtl/>
        </w:rPr>
        <w:tab/>
      </w:r>
      <w:r>
        <w:rPr>
          <w:rFonts w:hint="cs"/>
          <w:rtl/>
        </w:rPr>
        <w:t>إضافة أداة لتعريف التصميم؛</w:t>
      </w:r>
    </w:p>
    <w:p w:rsidR="00A826B2" w:rsidRDefault="00A826B2" w:rsidP="00A826B2">
      <w:pPr>
        <w:pStyle w:val="NormalParaAR"/>
        <w:ind w:left="566"/>
        <w:rPr>
          <w:rtl/>
        </w:rPr>
      </w:pPr>
      <w:r>
        <w:rPr>
          <w:rFonts w:hint="cs"/>
          <w:rtl/>
        </w:rPr>
        <w:t>(ب)</w:t>
      </w:r>
      <w:r>
        <w:rPr>
          <w:rtl/>
        </w:rPr>
        <w:tab/>
      </w:r>
      <w:r>
        <w:rPr>
          <w:rFonts w:hint="cs"/>
          <w:rtl/>
        </w:rPr>
        <w:t>ونقل</w:t>
      </w:r>
      <w:r w:rsidR="00A67575">
        <w:rPr>
          <w:rFonts w:hint="cs"/>
          <w:rtl/>
        </w:rPr>
        <w:t xml:space="preserve"> العناصر التالية إلى مستوى </w:t>
      </w:r>
      <w:r>
        <w:rPr>
          <w:rFonts w:hint="cs"/>
          <w:rtl/>
        </w:rPr>
        <w:t xml:space="preserve">التصميم: الوصف، وبيان المنتج، والصنف الفرعي من تصنيف لوكارنو، والمطالبة، والمطالبة (المطالبات بالأولوية)، والمعرض الدولي، والعلاقة بالتصميم الرئيسي، </w:t>
      </w:r>
      <w:r w:rsidR="00AC6C3B">
        <w:rPr>
          <w:rFonts w:hint="cs"/>
          <w:rtl/>
        </w:rPr>
        <w:t>والبيان الخاص بالاستثناء على انعدام الجدة؛</w:t>
      </w:r>
    </w:p>
    <w:p w:rsidR="00AC6C3B" w:rsidRDefault="00AC6C3B" w:rsidP="00A826B2">
      <w:pPr>
        <w:pStyle w:val="NormalParaAR"/>
        <w:ind w:left="566"/>
        <w:rPr>
          <w:rtl/>
        </w:rPr>
      </w:pPr>
      <w:r>
        <w:rPr>
          <w:rFonts w:hint="cs"/>
          <w:rtl/>
        </w:rPr>
        <w:t>(ج)</w:t>
      </w:r>
      <w:r>
        <w:rPr>
          <w:rtl/>
        </w:rPr>
        <w:tab/>
      </w:r>
      <w:r w:rsidR="00A67575">
        <w:rPr>
          <w:rFonts w:hint="cs"/>
          <w:rtl/>
        </w:rPr>
        <w:t xml:space="preserve">ونقل العناوين إلى مستوى </w:t>
      </w:r>
      <w:r>
        <w:rPr>
          <w:rFonts w:hint="cs"/>
          <w:rtl/>
        </w:rPr>
        <w:t>الن</w:t>
      </w:r>
      <w:r w:rsidR="00892023">
        <w:rPr>
          <w:rFonts w:hint="cs"/>
          <w:rtl/>
        </w:rPr>
        <w:t>سخة</w:t>
      </w:r>
      <w:r>
        <w:rPr>
          <w:rFonts w:hint="cs"/>
          <w:rtl/>
        </w:rPr>
        <w:t>؛</w:t>
      </w:r>
    </w:p>
    <w:p w:rsidR="00AC6C3B" w:rsidRDefault="00AC6C3B" w:rsidP="00A826B2">
      <w:pPr>
        <w:pStyle w:val="NormalParaAR"/>
        <w:ind w:left="566"/>
        <w:rPr>
          <w:rtl/>
        </w:rPr>
      </w:pPr>
      <w:r>
        <w:rPr>
          <w:rFonts w:hint="cs"/>
          <w:rtl/>
        </w:rPr>
        <w:t>(د)</w:t>
      </w:r>
      <w:r>
        <w:rPr>
          <w:rtl/>
        </w:rPr>
        <w:tab/>
      </w:r>
      <w:r>
        <w:rPr>
          <w:rFonts w:hint="cs"/>
          <w:rtl/>
        </w:rPr>
        <w:t>وإدراج تاريخ نشر خاص ب</w:t>
      </w:r>
      <w:r w:rsidR="00892023">
        <w:rPr>
          <w:rFonts w:hint="cs"/>
          <w:rtl/>
        </w:rPr>
        <w:t>ال</w:t>
      </w:r>
      <w:r>
        <w:rPr>
          <w:rFonts w:hint="cs"/>
          <w:rtl/>
        </w:rPr>
        <w:t>تصميم؛</w:t>
      </w:r>
    </w:p>
    <w:p w:rsidR="00AC6C3B" w:rsidRDefault="00AC6C3B" w:rsidP="00A826B2">
      <w:pPr>
        <w:pStyle w:val="NormalParaAR"/>
        <w:ind w:left="566"/>
        <w:rPr>
          <w:rtl/>
        </w:rPr>
      </w:pPr>
      <w:r>
        <w:rPr>
          <w:rFonts w:hint="cs"/>
          <w:rtl/>
        </w:rPr>
        <w:t>(ه)</w:t>
      </w:r>
      <w:r>
        <w:rPr>
          <w:rtl/>
        </w:rPr>
        <w:tab/>
      </w:r>
      <w:r>
        <w:rPr>
          <w:rFonts w:hint="cs"/>
          <w:rtl/>
        </w:rPr>
        <w:t xml:space="preserve">وإدراج </w:t>
      </w:r>
      <w:r w:rsidR="00892023">
        <w:rPr>
          <w:rFonts w:hint="cs"/>
          <w:rtl/>
        </w:rPr>
        <w:t>تسميات خاصة بالتص</w:t>
      </w:r>
      <w:r>
        <w:rPr>
          <w:rFonts w:hint="cs"/>
          <w:rtl/>
        </w:rPr>
        <w:t>ميم.</w:t>
      </w:r>
    </w:p>
    <w:p w:rsidR="00A826B2" w:rsidRDefault="00892023" w:rsidP="00892023">
      <w:pPr>
        <w:pStyle w:val="NormalParaAR"/>
        <w:keepNext/>
        <w:rPr>
          <w:b/>
          <w:bCs/>
          <w:sz w:val="40"/>
          <w:szCs w:val="40"/>
          <w:rtl/>
        </w:rPr>
      </w:pPr>
      <w:r w:rsidRPr="00892023">
        <w:rPr>
          <w:rFonts w:hint="cs"/>
          <w:b/>
          <w:bCs/>
          <w:sz w:val="40"/>
          <w:szCs w:val="40"/>
          <w:rtl/>
        </w:rPr>
        <w:t>رابعا.</w:t>
      </w:r>
      <w:r w:rsidRPr="00892023">
        <w:rPr>
          <w:b/>
          <w:bCs/>
          <w:sz w:val="40"/>
          <w:szCs w:val="40"/>
          <w:rtl/>
        </w:rPr>
        <w:tab/>
      </w:r>
      <w:r w:rsidRPr="00892023">
        <w:rPr>
          <w:rFonts w:hint="cs"/>
          <w:b/>
          <w:bCs/>
          <w:sz w:val="40"/>
          <w:szCs w:val="40"/>
          <w:rtl/>
        </w:rPr>
        <w:t>مزايا بنية المعلومات الجديد الممكنة</w:t>
      </w:r>
    </w:p>
    <w:p w:rsidR="00892023" w:rsidRDefault="00D54FC1" w:rsidP="00A67575">
      <w:pPr>
        <w:pStyle w:val="NumberedParaAR"/>
      </w:pPr>
      <w:r>
        <w:rPr>
          <w:rFonts w:hint="cs"/>
          <w:rtl/>
        </w:rPr>
        <w:t xml:space="preserve">بالنسبة للمستخدمين، </w:t>
      </w:r>
      <w:r w:rsidR="00810384">
        <w:rPr>
          <w:rFonts w:hint="cs"/>
          <w:rtl/>
        </w:rPr>
        <w:t>سيمكّن ا</w:t>
      </w:r>
      <w:r>
        <w:rPr>
          <w:rFonts w:hint="cs"/>
          <w:rtl/>
        </w:rPr>
        <w:t xml:space="preserve">لربط بين تاريخ النشر وكل تصميم </w:t>
      </w:r>
      <w:r w:rsidR="00810384">
        <w:rPr>
          <w:rFonts w:hint="cs"/>
          <w:rtl/>
        </w:rPr>
        <w:t>من تسهيل إدارة النشر المبكّر، كما هو منصوص عليه في المادة</w:t>
      </w:r>
      <w:r w:rsidR="00810384">
        <w:rPr>
          <w:rFonts w:hint="eastAsia"/>
          <w:rtl/>
        </w:rPr>
        <w:t> </w:t>
      </w:r>
      <w:r w:rsidR="00810384">
        <w:rPr>
          <w:rFonts w:hint="cs"/>
          <w:rtl/>
        </w:rPr>
        <w:t>11(4) من وثيقة</w:t>
      </w:r>
      <w:r w:rsidR="00A67575">
        <w:rPr>
          <w:rFonts w:hint="eastAsia"/>
          <w:rtl/>
        </w:rPr>
        <w:t> </w:t>
      </w:r>
      <w:r w:rsidR="00810384">
        <w:rPr>
          <w:rFonts w:hint="cs"/>
          <w:rtl/>
        </w:rPr>
        <w:t>1999.</w:t>
      </w:r>
      <w:r>
        <w:rPr>
          <w:rFonts w:hint="cs"/>
          <w:rtl/>
        </w:rPr>
        <w:t xml:space="preserve"> ولن يكون على المستخدمين، كما هو الحال الآن، التخلي عن بقية التصاميم، بل يمكنهم، بالعكس، تركها لتُنشر في تاريخ لاحق، إما عن طريق التماسات أخرى بالنشر المبكّر أو، بكل بساطة، عند انتهاء فترة التأجيل. وسيسمح ذلك بانتهاج استراتيجيات نشر أكثر تطويرا.</w:t>
      </w:r>
    </w:p>
    <w:p w:rsidR="00D54FC1" w:rsidRDefault="00D54FC1" w:rsidP="00810384">
      <w:pPr>
        <w:pStyle w:val="NumberedParaAR"/>
      </w:pPr>
      <w:r>
        <w:rPr>
          <w:rFonts w:hint="cs"/>
          <w:rtl/>
        </w:rPr>
        <w:t>وبالنسبة للمكاتب التي تستجلب بيانات السجل الدولي، ستكون المزية الرئيسية ضمان استجلاب أيسر بشكل عام. وعلى وجه التحديد، لن تضطر المكاتب التي تحتاج إلى تقسيم التسجيلات المتعدّدة التصاميم (أي لأغراض إيكالها ل</w:t>
      </w:r>
      <w:r w:rsidR="0072598E">
        <w:rPr>
          <w:rFonts w:hint="cs"/>
          <w:rtl/>
        </w:rPr>
        <w:t>فئة مختلفة من الفاحصين، حسب بيان المنتج)، إلى إجراء تسويات يدوية بعد ذلك.</w:t>
      </w:r>
    </w:p>
    <w:p w:rsidR="0072598E" w:rsidRDefault="0072598E" w:rsidP="00810384">
      <w:pPr>
        <w:pStyle w:val="NumberedParaAR"/>
      </w:pPr>
      <w:r>
        <w:rPr>
          <w:rFonts w:hint="cs"/>
          <w:rtl/>
        </w:rPr>
        <w:t>وبالنسبة للمكاتب التي لا تستج</w:t>
      </w:r>
      <w:r w:rsidR="00A67575">
        <w:rPr>
          <w:rFonts w:hint="cs"/>
          <w:rtl/>
        </w:rPr>
        <w:t>لب بيانات السجل الدولي، لن يُدرج</w:t>
      </w:r>
      <w:r>
        <w:rPr>
          <w:rFonts w:hint="cs"/>
          <w:rtl/>
        </w:rPr>
        <w:t xml:space="preserve"> هذا الاقتراح أية تغييرات.</w:t>
      </w:r>
    </w:p>
    <w:p w:rsidR="0072598E" w:rsidRDefault="0072598E" w:rsidP="0072598E">
      <w:pPr>
        <w:pStyle w:val="NumberedParaAR"/>
      </w:pPr>
      <w:r>
        <w:rPr>
          <w:rFonts w:hint="cs"/>
          <w:rtl/>
        </w:rPr>
        <w:t xml:space="preserve">أما بالنسبة للمكتب الدولي، فستمكّن أداة التعريف بالتصميم من الرجوع بشكل منفرد إلى تصميم محدّد وارد في تسجيل دولي معيّن. وسيمكّن ذلك من تعزيز طريقة إجراء المعاملات الجزئية، مثل الانتقاصات أو التجديدات الجزئية. وستمكّن بنية المعلومات الجديدة من دعم تلك المعاملات بطريقة أكثر سلاسة. وتجدر الإشارة، في هذا الصدد، إلى المناقشات التي جرت في الدورة الخامسة للفريق العامل بشأن مفهوم </w:t>
      </w:r>
      <w:r w:rsidR="006712FF">
        <w:rPr>
          <w:rFonts w:hint="cs"/>
          <w:rtl/>
        </w:rPr>
        <w:t>الانتقاصات المتزامنة في الطلبات الدولية</w:t>
      </w:r>
      <w:r w:rsidR="006712FF">
        <w:rPr>
          <w:rStyle w:val="FootnoteReference"/>
          <w:rtl/>
        </w:rPr>
        <w:footnoteReference w:id="3"/>
      </w:r>
      <w:r w:rsidR="006712FF">
        <w:rPr>
          <w:rFonts w:hint="cs"/>
          <w:rtl/>
        </w:rPr>
        <w:t>. وفي حال إدراج ذلك المفهوم في نظام مدريد، فإن هذا الاقتراح سيسهّل تنفيذ ذلك التطوير.</w:t>
      </w:r>
    </w:p>
    <w:p w:rsidR="006712FF" w:rsidRDefault="006712FF" w:rsidP="0072598E">
      <w:pPr>
        <w:pStyle w:val="NumberedParaAR"/>
      </w:pPr>
      <w:r>
        <w:rPr>
          <w:rFonts w:hint="cs"/>
          <w:rtl/>
        </w:rPr>
        <w:t>ويمكن لأداتي البحث والإحصاء، باعتبارهما من الأدوات الإضافية المفيدة، الإسهام في ضمان إعداد تقارير أكثر دقة وتفصيلا.</w:t>
      </w:r>
    </w:p>
    <w:p w:rsidR="006712FF" w:rsidRPr="00DD097E" w:rsidRDefault="006712FF" w:rsidP="00DD097E">
      <w:pPr>
        <w:pStyle w:val="NormalParaAR"/>
        <w:keepNext/>
        <w:rPr>
          <w:b/>
          <w:bCs/>
          <w:sz w:val="40"/>
          <w:szCs w:val="40"/>
          <w:rtl/>
        </w:rPr>
      </w:pPr>
      <w:r w:rsidRPr="00DD097E">
        <w:rPr>
          <w:rFonts w:hint="cs"/>
          <w:b/>
          <w:bCs/>
          <w:sz w:val="40"/>
          <w:szCs w:val="40"/>
          <w:rtl/>
        </w:rPr>
        <w:t>خامسا.</w:t>
      </w:r>
      <w:r w:rsidRPr="00DD097E">
        <w:rPr>
          <w:b/>
          <w:bCs/>
          <w:sz w:val="40"/>
          <w:szCs w:val="40"/>
          <w:rtl/>
        </w:rPr>
        <w:tab/>
      </w:r>
      <w:r w:rsidR="00DD097E" w:rsidRPr="00DD097E">
        <w:rPr>
          <w:rFonts w:hint="cs"/>
          <w:b/>
          <w:bCs/>
          <w:sz w:val="40"/>
          <w:szCs w:val="40"/>
          <w:rtl/>
        </w:rPr>
        <w:t>التنفيذ</w:t>
      </w:r>
    </w:p>
    <w:p w:rsidR="006712FF" w:rsidRDefault="00F815A7" w:rsidP="00DD097E">
      <w:pPr>
        <w:pStyle w:val="NumberedParaAR"/>
      </w:pPr>
      <w:r>
        <w:rPr>
          <w:rFonts w:hint="cs"/>
          <w:rtl/>
        </w:rPr>
        <w:t>فيما يخص المكتب الدولي، ستؤثر تلك التغييرات الأساسية المقترح إدخالها على بنية المعلومات في كل الأنظمة الأخرى المرتبطة بالنظام المعلوماتي الأساسي. وسيتعيّن إعادة تصميم كل الواجهات، انطلاقا من الإيداع (واجهة الإيداع الإلكتروني) ووصولا إلى النشر (</w:t>
      </w:r>
      <w:r w:rsidRPr="00A67575">
        <w:rPr>
          <w:rFonts w:hint="cs"/>
          <w:i/>
          <w:iCs/>
          <w:rtl/>
        </w:rPr>
        <w:t>نشرة التصاميم الدولية</w:t>
      </w:r>
      <w:r>
        <w:rPr>
          <w:rFonts w:hint="cs"/>
          <w:rtl/>
        </w:rPr>
        <w:t xml:space="preserve"> (المشار إليها فيما يلي بعبارة "النشرة"))، لإظهار بنية المعلومات الجدية على النحو المناسب.</w:t>
      </w:r>
    </w:p>
    <w:p w:rsidR="00F815A7" w:rsidRDefault="00F815A7" w:rsidP="00A67575">
      <w:pPr>
        <w:pStyle w:val="NumberedParaAR"/>
      </w:pPr>
      <w:r>
        <w:rPr>
          <w:rFonts w:hint="cs"/>
          <w:rtl/>
        </w:rPr>
        <w:t xml:space="preserve">ولا يمكن </w:t>
      </w:r>
      <w:r w:rsidR="002303C7">
        <w:rPr>
          <w:rFonts w:hint="cs"/>
          <w:rtl/>
        </w:rPr>
        <w:t>إنجاز هذا المشروع إلا بعد</w:t>
      </w:r>
      <w:r w:rsidR="0034636A">
        <w:rPr>
          <w:rFonts w:hint="cs"/>
          <w:rtl/>
        </w:rPr>
        <w:t xml:space="preserve"> فترة تثبيت النظام المعلوماتي الأساسي، المشار إليه في الفقرة</w:t>
      </w:r>
      <w:r w:rsidR="00A67575">
        <w:rPr>
          <w:rFonts w:hint="eastAsia"/>
          <w:rtl/>
        </w:rPr>
        <w:t> </w:t>
      </w:r>
      <w:r w:rsidR="0034636A">
        <w:rPr>
          <w:rFonts w:hint="cs"/>
          <w:rtl/>
        </w:rPr>
        <w:t>3 أعلاه، وتصميم كامل لبنية المعلومات الجديدة. ولا يمكن توخي نشر البنية الجديدة قبل أوائل عام</w:t>
      </w:r>
      <w:r w:rsidR="00A67575">
        <w:rPr>
          <w:rFonts w:hint="eastAsia"/>
          <w:rtl/>
        </w:rPr>
        <w:t> </w:t>
      </w:r>
      <w:r w:rsidR="0034636A">
        <w:rPr>
          <w:rFonts w:hint="cs"/>
          <w:rtl/>
        </w:rPr>
        <w:t xml:space="preserve">2018. </w:t>
      </w:r>
      <w:r w:rsidR="00736FF1">
        <w:rPr>
          <w:rFonts w:hint="cs"/>
          <w:rtl/>
        </w:rPr>
        <w:t>كما أن</w:t>
      </w:r>
      <w:r w:rsidR="0034636A">
        <w:rPr>
          <w:rFonts w:hint="cs"/>
          <w:rtl/>
        </w:rPr>
        <w:t xml:space="preserve"> المكاتب التي تستجلب بيانات النشرة مباشرة إلى أنظمتها وتودّ الاستفادة من التحسينات المُدخلة على بنية المعلومات الخاصة بالنشرة</w:t>
      </w:r>
      <w:r w:rsidR="00736FF1">
        <w:rPr>
          <w:rStyle w:val="FootnoteReference"/>
          <w:rtl/>
        </w:rPr>
        <w:footnoteReference w:id="4"/>
      </w:r>
      <w:r w:rsidR="0034636A">
        <w:rPr>
          <w:rFonts w:hint="cs"/>
          <w:rtl/>
        </w:rPr>
        <w:t xml:space="preserve"> </w:t>
      </w:r>
      <w:r w:rsidR="00736FF1">
        <w:rPr>
          <w:rFonts w:hint="cs"/>
          <w:rtl/>
        </w:rPr>
        <w:t xml:space="preserve">ستحتاج أيضا إلى إجراء تعديلات على أنظمتها المعلوماتية. </w:t>
      </w:r>
      <w:r w:rsidR="00A67575">
        <w:rPr>
          <w:rFonts w:hint="cs"/>
          <w:rtl/>
        </w:rPr>
        <w:t xml:space="preserve">فمن المهم، </w:t>
      </w:r>
      <w:r w:rsidR="00736FF1">
        <w:rPr>
          <w:rFonts w:hint="cs"/>
          <w:rtl/>
        </w:rPr>
        <w:t>بالتالي</w:t>
      </w:r>
      <w:r w:rsidR="00A67575">
        <w:rPr>
          <w:rFonts w:hint="cs"/>
          <w:rtl/>
        </w:rPr>
        <w:t>،</w:t>
      </w:r>
      <w:r w:rsidR="00736FF1">
        <w:rPr>
          <w:rFonts w:hint="cs"/>
          <w:rtl/>
        </w:rPr>
        <w:t xml:space="preserve"> </w:t>
      </w:r>
      <w:r w:rsidR="00664CA2">
        <w:rPr>
          <w:rFonts w:hint="cs"/>
          <w:rtl/>
        </w:rPr>
        <w:t>استكمال</w:t>
      </w:r>
      <w:r w:rsidR="00736FF1">
        <w:rPr>
          <w:rFonts w:hint="cs"/>
          <w:rtl/>
        </w:rPr>
        <w:t xml:space="preserve"> تصميم بنية المعلومات مبكّر</w:t>
      </w:r>
      <w:r w:rsidR="00A67575">
        <w:rPr>
          <w:rFonts w:hint="cs"/>
          <w:rtl/>
        </w:rPr>
        <w:t>ا</w:t>
      </w:r>
      <w:r w:rsidR="00664CA2">
        <w:rPr>
          <w:rFonts w:hint="cs"/>
          <w:rtl/>
        </w:rPr>
        <w:t>.</w:t>
      </w:r>
    </w:p>
    <w:p w:rsidR="00664CA2" w:rsidRDefault="00664CA2" w:rsidP="00664CA2">
      <w:pPr>
        <w:pStyle w:val="DecisionParaAR"/>
      </w:pPr>
      <w:r>
        <w:rPr>
          <w:rFonts w:hint="cs"/>
          <w:rtl/>
        </w:rPr>
        <w:t>إن الفريق العامل مدعو</w:t>
      </w:r>
      <w:r>
        <w:rPr>
          <w:rtl/>
        </w:rPr>
        <w:t>ٌ</w:t>
      </w:r>
      <w:r>
        <w:rPr>
          <w:rFonts w:hint="cs"/>
          <w:rtl/>
        </w:rPr>
        <w:t xml:space="preserve"> إلى ما يلي:</w:t>
      </w:r>
    </w:p>
    <w:p w:rsidR="00664CA2" w:rsidRDefault="00664CA2" w:rsidP="00664CA2">
      <w:pPr>
        <w:pStyle w:val="DecisionParaAR"/>
        <w:numPr>
          <w:ilvl w:val="0"/>
          <w:numId w:val="0"/>
        </w:numPr>
        <w:ind w:left="6236"/>
        <w:rPr>
          <w:rtl/>
        </w:rPr>
      </w:pPr>
      <w:r>
        <w:rPr>
          <w:rFonts w:hint="cs"/>
          <w:rtl/>
        </w:rPr>
        <w:t>"1"</w:t>
      </w:r>
      <w:r>
        <w:rPr>
          <w:rtl/>
        </w:rPr>
        <w:tab/>
      </w:r>
      <w:r>
        <w:rPr>
          <w:rFonts w:hint="cs"/>
          <w:rtl/>
        </w:rPr>
        <w:t>مناقشة بنية المعلومات المقترحة بشأن التسجيلات الدولية؛</w:t>
      </w:r>
    </w:p>
    <w:p w:rsidR="00664CA2" w:rsidRDefault="00664CA2" w:rsidP="00E734FF">
      <w:pPr>
        <w:pStyle w:val="DecisionParaAR"/>
        <w:numPr>
          <w:ilvl w:val="0"/>
          <w:numId w:val="0"/>
        </w:numPr>
        <w:ind w:left="6236"/>
        <w:rPr>
          <w:rtl/>
        </w:rPr>
      </w:pPr>
      <w:r>
        <w:rPr>
          <w:rFonts w:hint="cs"/>
          <w:rtl/>
        </w:rPr>
        <w:t>"2"</w:t>
      </w:r>
      <w:r>
        <w:rPr>
          <w:rtl/>
        </w:rPr>
        <w:tab/>
      </w:r>
      <w:r>
        <w:rPr>
          <w:rFonts w:hint="cs"/>
          <w:rtl/>
        </w:rPr>
        <w:t xml:space="preserve">بيان ما إذا كان ينبغي إجراء </w:t>
      </w:r>
      <w:r w:rsidR="00A67575">
        <w:rPr>
          <w:rFonts w:hint="cs"/>
          <w:rtl/>
        </w:rPr>
        <w:t>استقصاء إضافي</w:t>
      </w:r>
      <w:r>
        <w:rPr>
          <w:rFonts w:hint="cs"/>
          <w:rtl/>
        </w:rPr>
        <w:t xml:space="preserve"> </w:t>
      </w:r>
      <w:r w:rsidR="00E734FF">
        <w:rPr>
          <w:rFonts w:hint="cs"/>
          <w:rtl/>
        </w:rPr>
        <w:t>أو شكل آخر من التشاور لجمع المزيد من المعلومات بشأن بنية معلومات محسّنة.</w:t>
      </w:r>
    </w:p>
    <w:p w:rsidR="00E734FF" w:rsidRDefault="00E734FF" w:rsidP="00E734FF">
      <w:pPr>
        <w:pStyle w:val="EndofDocumentAR"/>
        <w:rPr>
          <w:rtl/>
        </w:rPr>
        <w:sectPr w:rsidR="00E734FF"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المرفقان]</w:t>
      </w:r>
    </w:p>
    <w:p w:rsidR="00E734FF" w:rsidRPr="009A6985" w:rsidRDefault="009A6985" w:rsidP="009A6985">
      <w:pPr>
        <w:pStyle w:val="NormalParaAR"/>
        <w:keepNext/>
        <w:rPr>
          <w:b/>
          <w:bCs/>
          <w:sz w:val="40"/>
          <w:szCs w:val="40"/>
          <w:rtl/>
        </w:rPr>
      </w:pPr>
      <w:r w:rsidRPr="009A6985">
        <w:rPr>
          <w:rFonts w:hint="cs"/>
          <w:b/>
          <w:bCs/>
          <w:sz w:val="40"/>
          <w:szCs w:val="40"/>
          <w:rtl/>
        </w:rPr>
        <w:t>بنية المعلومات الحالية لتسجيل دولي (شكل توضيحي مُبسّط)</w:t>
      </w:r>
    </w:p>
    <w:bookmarkStart w:id="2" w:name="_GoBack"/>
    <w:p w:rsidR="00EE1E6C" w:rsidRPr="00EE1E6C" w:rsidRDefault="006D7B32" w:rsidP="00EE1E6C">
      <w:pPr>
        <w:pStyle w:val="NormalParaAR"/>
        <w:spacing w:line="240" w:lineRule="auto"/>
        <w:jc w:val="center"/>
        <w:rPr>
          <w:lang w:val="fr-CA"/>
        </w:rPr>
      </w:pPr>
      <w:r>
        <w:object w:dxaOrig="10791" w:dyaOrig="1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8.9pt;height:549.1pt" o:ole="">
            <v:imagedata r:id="rId11" o:title=""/>
          </v:shape>
          <o:OLEObject Type="Embed" ProgID="Visio.Drawing.11" ShapeID="_x0000_i1029" DrawAspect="Content" ObjectID="_1523273960" r:id="rId12"/>
        </w:object>
      </w:r>
      <w:bookmarkEnd w:id="2"/>
    </w:p>
    <w:p w:rsidR="009A6985" w:rsidRDefault="009A6985" w:rsidP="00D9055C">
      <w:pPr>
        <w:pStyle w:val="NormalParaAR"/>
        <w:rPr>
          <w:rtl/>
        </w:rPr>
      </w:pPr>
      <w:r>
        <w:rPr>
          <w:rFonts w:hint="cs"/>
          <w:rtl/>
        </w:rPr>
        <w:t>ملاحظة: هذا الرسم البياني عبارة عن شكل مُبسّط لبنية المعلومات. والغرض منه هو توضيح علاقة كل عنصر بالتسجيل الدولي. وتتكوّن البنية، ب</w:t>
      </w:r>
      <w:r w:rsidR="00D9055C">
        <w:rPr>
          <w:rFonts w:hint="cs"/>
          <w:rtl/>
        </w:rPr>
        <w:t>كل تعقيداتها، من مستويات دقة عديدة</w:t>
      </w:r>
      <w:r>
        <w:rPr>
          <w:rFonts w:hint="cs"/>
          <w:rtl/>
        </w:rPr>
        <w:t xml:space="preserve">. فيمكن، مثلا، تقسيم عنوان </w:t>
      </w:r>
      <w:r w:rsidR="00D9055C">
        <w:rPr>
          <w:rFonts w:hint="cs"/>
          <w:rtl/>
        </w:rPr>
        <w:t>كذلك</w:t>
      </w:r>
      <w:r>
        <w:rPr>
          <w:rFonts w:hint="cs"/>
          <w:rtl/>
        </w:rPr>
        <w:t xml:space="preserve"> إلى اسم شارع ومدينة وبلد وغير ذلك.</w:t>
      </w:r>
    </w:p>
    <w:p w:rsidR="009A6985" w:rsidRDefault="009A6985" w:rsidP="009A6985">
      <w:pPr>
        <w:pStyle w:val="EndofDocumentAR"/>
        <w:rPr>
          <w:rtl/>
        </w:rPr>
        <w:sectPr w:rsidR="009A6985" w:rsidSect="00EB7752">
          <w:headerReference w:type="first" r:id="rId13"/>
          <w:pgSz w:w="11907" w:h="16840" w:code="9"/>
          <w:pgMar w:top="567" w:right="1418" w:bottom="1418" w:left="1134" w:header="510" w:footer="1021" w:gutter="0"/>
          <w:cols w:space="720"/>
          <w:titlePg/>
          <w:docGrid w:linePitch="299"/>
        </w:sectPr>
      </w:pPr>
      <w:r>
        <w:rPr>
          <w:rFonts w:hint="cs"/>
          <w:rtl/>
        </w:rPr>
        <w:t>[يلي ذلك المرفق الثاني]</w:t>
      </w:r>
    </w:p>
    <w:p w:rsidR="009A6985" w:rsidRPr="009A6985" w:rsidRDefault="009A6985" w:rsidP="009A6985">
      <w:pPr>
        <w:pStyle w:val="NormalParaAR"/>
        <w:keepNext/>
        <w:rPr>
          <w:b/>
          <w:bCs/>
          <w:sz w:val="40"/>
          <w:szCs w:val="40"/>
          <w:rtl/>
        </w:rPr>
      </w:pPr>
      <w:r w:rsidRPr="009A6985">
        <w:rPr>
          <w:rFonts w:hint="cs"/>
          <w:b/>
          <w:bCs/>
          <w:sz w:val="40"/>
          <w:szCs w:val="40"/>
          <w:rtl/>
        </w:rPr>
        <w:t>بنية المعلومات المحسّنة الممكنة (شكل توضيحي مُبسّط)</w:t>
      </w:r>
    </w:p>
    <w:p w:rsidR="009A6985" w:rsidRDefault="000A0EEE" w:rsidP="00EE1E6C">
      <w:pPr>
        <w:pStyle w:val="NormalParaAR"/>
        <w:spacing w:line="240" w:lineRule="auto"/>
        <w:jc w:val="center"/>
        <w:rPr>
          <w:rtl/>
        </w:rPr>
      </w:pPr>
      <w:r>
        <w:object w:dxaOrig="10480" w:dyaOrig="14859">
          <v:shape id="_x0000_i1026" type="#_x0000_t75" style="width:376.9pt;height:534.05pt" o:ole="">
            <v:imagedata r:id="rId14" o:title=""/>
          </v:shape>
          <o:OLEObject Type="Embed" ProgID="Visio.Drawing.11" ShapeID="_x0000_i1026" DrawAspect="Content" ObjectID="_1523273961" r:id="rId15"/>
        </w:object>
      </w:r>
    </w:p>
    <w:p w:rsidR="008846FA" w:rsidRDefault="008846FA" w:rsidP="00D9055C">
      <w:pPr>
        <w:pStyle w:val="NormalParaAR"/>
        <w:rPr>
          <w:rtl/>
        </w:rPr>
      </w:pPr>
      <w:r>
        <w:rPr>
          <w:rFonts w:hint="cs"/>
          <w:rtl/>
        </w:rPr>
        <w:t xml:space="preserve">ملاحظة: هذا الرسم البياني عبارة عن شكل مُبسّط لبنية المعلومات. والغرض منه هو توضيح علاقة كل عنصر بالتسجيل الدولي. وتتكوّن البنية، بكل تعقيداتها، من مستويات دقة </w:t>
      </w:r>
      <w:r w:rsidR="00D9055C">
        <w:rPr>
          <w:rFonts w:hint="cs"/>
          <w:rtl/>
        </w:rPr>
        <w:t>عديدة</w:t>
      </w:r>
      <w:r>
        <w:rPr>
          <w:rFonts w:hint="cs"/>
          <w:rtl/>
        </w:rPr>
        <w:t xml:space="preserve">. فيمكن، مثلا، تقسيم عنوان </w:t>
      </w:r>
      <w:r w:rsidR="00D9055C">
        <w:rPr>
          <w:rFonts w:hint="cs"/>
          <w:rtl/>
        </w:rPr>
        <w:t>كذلك</w:t>
      </w:r>
      <w:r>
        <w:rPr>
          <w:rFonts w:hint="cs"/>
          <w:rtl/>
        </w:rPr>
        <w:t xml:space="preserve"> إلى اسم شارع ومدينة وبلد وغير ذلك.</w:t>
      </w:r>
    </w:p>
    <w:p w:rsidR="009A6985" w:rsidRPr="00892023" w:rsidRDefault="00BB4510" w:rsidP="00BB4510">
      <w:pPr>
        <w:pStyle w:val="EndofDocumentAR"/>
      </w:pPr>
      <w:r>
        <w:rPr>
          <w:rFonts w:hint="cs"/>
          <w:rtl/>
        </w:rPr>
        <w:t>[نهاية المرفق الثاني والوثيقة]</w:t>
      </w:r>
    </w:p>
    <w:sectPr w:rsidR="009A6985" w:rsidRPr="00892023" w:rsidSect="00EB7752">
      <w:headerReference w:type="first" r:id="rId1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6B" w:rsidRDefault="00A52A6B">
      <w:r>
        <w:separator/>
      </w:r>
    </w:p>
  </w:endnote>
  <w:endnote w:type="continuationSeparator" w:id="0">
    <w:p w:rsidR="00A52A6B" w:rsidRDefault="00A5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6B" w:rsidRDefault="00A52A6B" w:rsidP="009622BF">
      <w:pPr>
        <w:bidi/>
      </w:pPr>
      <w:bookmarkStart w:id="0" w:name="OLE_LINK1"/>
      <w:bookmarkStart w:id="1" w:name="OLE_LINK2"/>
      <w:r>
        <w:separator/>
      </w:r>
      <w:bookmarkEnd w:id="0"/>
      <w:bookmarkEnd w:id="1"/>
    </w:p>
  </w:footnote>
  <w:footnote w:type="continuationSeparator" w:id="0">
    <w:p w:rsidR="00A52A6B" w:rsidRDefault="00A52A6B" w:rsidP="009622BF">
      <w:pPr>
        <w:bidi/>
      </w:pPr>
      <w:r>
        <w:separator/>
      </w:r>
    </w:p>
  </w:footnote>
  <w:footnote w:id="1">
    <w:p w:rsidR="006F17F4" w:rsidRDefault="006F17F4" w:rsidP="00A50615">
      <w:pPr>
        <w:pStyle w:val="FootnoteText"/>
      </w:pPr>
      <w:r>
        <w:rPr>
          <w:rStyle w:val="FootnoteReference"/>
        </w:rPr>
        <w:footnoteRef/>
      </w:r>
      <w:r w:rsidR="00CC6163">
        <w:rPr>
          <w:rFonts w:hint="cs"/>
          <w:rtl/>
        </w:rPr>
        <w:tab/>
        <w:t>انتهى دعم البنية التحتية المشتركة لنظام مدريد اعتبارا من 21</w:t>
      </w:r>
      <w:r w:rsidR="00A50615">
        <w:rPr>
          <w:rFonts w:hint="eastAsia"/>
          <w:rtl/>
        </w:rPr>
        <w:t> </w:t>
      </w:r>
      <w:r w:rsidR="00CC6163">
        <w:rPr>
          <w:rFonts w:hint="cs"/>
          <w:rtl/>
        </w:rPr>
        <w:t>مارس</w:t>
      </w:r>
      <w:r w:rsidR="00A50615">
        <w:rPr>
          <w:rFonts w:hint="eastAsia"/>
          <w:rtl/>
        </w:rPr>
        <w:t> </w:t>
      </w:r>
      <w:r w:rsidR="00CC6163">
        <w:rPr>
          <w:rFonts w:hint="cs"/>
          <w:rtl/>
        </w:rPr>
        <w:t xml:space="preserve">2016، عقب نشر نظام معلوماتي أساسي مخصص جديد، وهو </w:t>
      </w:r>
      <w:r w:rsidR="00CC6163" w:rsidRPr="00CC6163">
        <w:rPr>
          <w:rtl/>
        </w:rPr>
        <w:t>نظام معلومات سجلات مدريد الدولية (</w:t>
      </w:r>
      <w:r w:rsidR="00CC6163" w:rsidRPr="00CC6163">
        <w:rPr>
          <w:cs/>
        </w:rPr>
        <w:t>‎‎</w:t>
      </w:r>
      <w:r w:rsidR="00CC6163" w:rsidRPr="00CC6163">
        <w:t>MIRIS</w:t>
      </w:r>
      <w:r w:rsidR="00CC6163" w:rsidRPr="00CC6163">
        <w:rPr>
          <w:rtl/>
        </w:rPr>
        <w:t>‏‏</w:t>
      </w:r>
      <w:r w:rsidR="00CC6163">
        <w:rPr>
          <w:rFonts w:hint="cs"/>
          <w:rtl/>
        </w:rPr>
        <w:t>).</w:t>
      </w:r>
    </w:p>
  </w:footnote>
  <w:footnote w:id="2">
    <w:p w:rsidR="00CC6163" w:rsidRDefault="00CC6163" w:rsidP="00FD67BB">
      <w:pPr>
        <w:pStyle w:val="FootnoteText"/>
      </w:pPr>
      <w:r>
        <w:rPr>
          <w:rStyle w:val="FootnoteReference"/>
        </w:rPr>
        <w:footnoteRef/>
      </w:r>
      <w:r>
        <w:rPr>
          <w:rFonts w:hint="cs"/>
          <w:rtl/>
        </w:rPr>
        <w:tab/>
        <w:t>يُرجى الرجوع إلى الوثيقة</w:t>
      </w:r>
      <w:r w:rsidR="00FD67BB">
        <w:rPr>
          <w:rFonts w:hint="eastAsia"/>
          <w:rtl/>
        </w:rPr>
        <w:t> </w:t>
      </w:r>
      <w:r w:rsidRPr="00CC6163">
        <w:t>H/A/35/1</w:t>
      </w:r>
      <w:r w:rsidR="00045C57">
        <w:rPr>
          <w:rFonts w:hint="cs"/>
          <w:rtl/>
        </w:rPr>
        <w:t>، "</w:t>
      </w:r>
      <w:r w:rsidR="00045C57" w:rsidRPr="00045C57">
        <w:rPr>
          <w:rtl/>
        </w:rPr>
        <w:t>التقرير النهائي عن برنامج تحديث تكنولوجيا المعلومات (نظام لاهاي للتسجيل الدولي)</w:t>
      </w:r>
      <w:r w:rsidR="00045C57">
        <w:rPr>
          <w:rFonts w:hint="cs"/>
          <w:rtl/>
        </w:rPr>
        <w:t xml:space="preserve">"، المتاحة على الموقع التالي: </w:t>
      </w:r>
      <w:hyperlink r:id="rId1" w:history="1">
        <w:r w:rsidR="00045C57" w:rsidRPr="00B5335E">
          <w:rPr>
            <w:rStyle w:val="Hyperlink"/>
          </w:rPr>
          <w:t>http://www.wipo.int/edocs/mdocs/govbody/ar/h_a_35/h_a_35_1.pdf</w:t>
        </w:r>
      </w:hyperlink>
      <w:r w:rsidR="00045C57">
        <w:rPr>
          <w:rFonts w:hint="cs"/>
          <w:rtl/>
        </w:rPr>
        <w:t>.</w:t>
      </w:r>
    </w:p>
  </w:footnote>
  <w:footnote w:id="3">
    <w:p w:rsidR="006712FF" w:rsidRDefault="006712FF" w:rsidP="006712FF">
      <w:pPr>
        <w:pStyle w:val="FootnoteText"/>
      </w:pPr>
      <w:r>
        <w:rPr>
          <w:rStyle w:val="FootnoteReference"/>
        </w:rPr>
        <w:footnoteRef/>
      </w:r>
      <w:r>
        <w:rPr>
          <w:rFonts w:hint="cs"/>
          <w:rtl/>
        </w:rPr>
        <w:tab/>
        <w:t>يُرجى الرجوع إلى الوثيقة</w:t>
      </w:r>
      <w:r>
        <w:rPr>
          <w:rFonts w:hint="eastAsia"/>
          <w:rtl/>
        </w:rPr>
        <w:t> </w:t>
      </w:r>
      <w:r w:rsidRPr="006712FF">
        <w:t>H/LD/WG/5/5</w:t>
      </w:r>
      <w:r>
        <w:rPr>
          <w:rFonts w:hint="cs"/>
          <w:rtl/>
        </w:rPr>
        <w:t>، "</w:t>
      </w:r>
      <w:r w:rsidRPr="006712FF">
        <w:rPr>
          <w:rtl/>
        </w:rPr>
        <w:t xml:space="preserve">اعتبارات تتعلق بإمكانية تضمين اللائحة التنفيذية المشتركة </w:t>
      </w:r>
      <w:r w:rsidRPr="006712FF">
        <w:rPr>
          <w:rFonts w:hint="cs"/>
          <w:rtl/>
        </w:rPr>
        <w:t>انتقاصات</w:t>
      </w:r>
      <w:r w:rsidRPr="006712FF">
        <w:rPr>
          <w:rtl/>
        </w:rPr>
        <w:t xml:space="preserve"> متزامنة في الطلبات الدولية وغيرها من التعديلات</w:t>
      </w:r>
      <w:r>
        <w:rPr>
          <w:rFonts w:hint="cs"/>
          <w:rtl/>
        </w:rPr>
        <w:t>".</w:t>
      </w:r>
    </w:p>
  </w:footnote>
  <w:footnote w:id="4">
    <w:p w:rsidR="00736FF1" w:rsidRDefault="00736FF1">
      <w:pPr>
        <w:pStyle w:val="FootnoteText"/>
      </w:pPr>
      <w:r>
        <w:rPr>
          <w:rStyle w:val="FootnoteReference"/>
        </w:rPr>
        <w:footnoteRef/>
      </w:r>
      <w:r>
        <w:rPr>
          <w:rFonts w:hint="cs"/>
          <w:rtl/>
        </w:rPr>
        <w:tab/>
        <w:t>أو المكاتب التي أخطرت المكتب الدولي بأنها ترغب في استلام نُسخ سرية.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457EB" w:rsidP="005457EB">
    <w:r>
      <w:t>H</w:t>
    </w:r>
    <w:r w:rsidR="00772E46">
      <w:t>/</w:t>
    </w:r>
    <w:r>
      <w:t>LD/WG</w:t>
    </w:r>
    <w:r w:rsidR="002F77FC">
      <w:t>/</w:t>
    </w:r>
    <w:r w:rsidR="004B62BC">
      <w:t>6</w:t>
    </w:r>
    <w:r w:rsidR="00CC6163">
      <w:t>/4</w:t>
    </w:r>
  </w:p>
  <w:p w:rsidR="002F77FC" w:rsidRDefault="002F77FC" w:rsidP="00D61541">
    <w:r>
      <w:fldChar w:fldCharType="begin"/>
    </w:r>
    <w:r>
      <w:instrText xml:space="preserve"> PAGE  \* MERGEFORMAT </w:instrText>
    </w:r>
    <w:r>
      <w:fldChar w:fldCharType="separate"/>
    </w:r>
    <w:r w:rsidR="006D7B32">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F" w:rsidRDefault="00E734FF" w:rsidP="00E734FF">
    <w:r>
      <w:t>H/LD/WG/6/4</w:t>
    </w:r>
  </w:p>
  <w:p w:rsidR="00E734FF" w:rsidRDefault="009A6985" w:rsidP="00E734FF">
    <w:pPr>
      <w:pStyle w:val="Header"/>
    </w:pPr>
    <w:r>
      <w:t>ANNEX I</w:t>
    </w:r>
  </w:p>
  <w:p w:rsidR="00E734FF" w:rsidRPr="009A6985" w:rsidRDefault="009A6985" w:rsidP="009A6985">
    <w:pPr>
      <w:pStyle w:val="Header"/>
      <w:bidi/>
      <w:jc w:val="right"/>
      <w:rPr>
        <w:rFonts w:ascii="Arabic Typesetting" w:hAnsi="Arabic Typesetting" w:cs="Arabic Typesetting"/>
        <w:sz w:val="36"/>
        <w:szCs w:val="36"/>
        <w:rtl/>
      </w:rPr>
    </w:pPr>
    <w:r w:rsidRPr="009A6985">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الأول</w:t>
    </w:r>
  </w:p>
  <w:p w:rsidR="009A6985" w:rsidRDefault="009A6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85" w:rsidRDefault="009A6985" w:rsidP="00E734FF">
    <w:r>
      <w:t>H/LD/WG/6/4</w:t>
    </w:r>
  </w:p>
  <w:p w:rsidR="009A6985" w:rsidRDefault="009A6985" w:rsidP="00E734FF">
    <w:pPr>
      <w:pStyle w:val="Header"/>
    </w:pPr>
    <w:r>
      <w:t>ANNEX II</w:t>
    </w:r>
  </w:p>
  <w:p w:rsidR="009A6985" w:rsidRPr="009A6985" w:rsidRDefault="009A6985" w:rsidP="009A6985">
    <w:pPr>
      <w:pStyle w:val="Header"/>
      <w:bidi/>
      <w:jc w:val="right"/>
      <w:rPr>
        <w:rFonts w:ascii="Arabic Typesetting" w:hAnsi="Arabic Typesetting" w:cs="Arabic Typesetting"/>
        <w:sz w:val="36"/>
        <w:szCs w:val="36"/>
        <w:rtl/>
      </w:rPr>
    </w:pPr>
    <w:r w:rsidRPr="009A6985">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p w:rsidR="009A6985" w:rsidRDefault="009A6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6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C57"/>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EE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C1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FD8"/>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7A1"/>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3C7"/>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19C"/>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431"/>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36A"/>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294"/>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2BC"/>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409"/>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9DE"/>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9EB"/>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633"/>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4CA2"/>
    <w:rsid w:val="00666548"/>
    <w:rsid w:val="00666A71"/>
    <w:rsid w:val="00667537"/>
    <w:rsid w:val="00670865"/>
    <w:rsid w:val="006712FF"/>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1FC4"/>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76B"/>
    <w:rsid w:val="006D6E46"/>
    <w:rsid w:val="006D7B32"/>
    <w:rsid w:val="006D7FA8"/>
    <w:rsid w:val="006E4601"/>
    <w:rsid w:val="006E5B86"/>
    <w:rsid w:val="006E63FF"/>
    <w:rsid w:val="006E652D"/>
    <w:rsid w:val="006E7572"/>
    <w:rsid w:val="006F17F4"/>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598E"/>
    <w:rsid w:val="007260FE"/>
    <w:rsid w:val="00726DD6"/>
    <w:rsid w:val="0073076E"/>
    <w:rsid w:val="00733416"/>
    <w:rsid w:val="0073377E"/>
    <w:rsid w:val="00733E05"/>
    <w:rsid w:val="00735C8A"/>
    <w:rsid w:val="00735FE2"/>
    <w:rsid w:val="00736FF1"/>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38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00F"/>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6FA"/>
    <w:rsid w:val="00884939"/>
    <w:rsid w:val="008853E0"/>
    <w:rsid w:val="00885BE2"/>
    <w:rsid w:val="008863C8"/>
    <w:rsid w:val="00886D40"/>
    <w:rsid w:val="00887A0E"/>
    <w:rsid w:val="008907F3"/>
    <w:rsid w:val="0089202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020"/>
    <w:rsid w:val="00976AFE"/>
    <w:rsid w:val="00983389"/>
    <w:rsid w:val="00983CEA"/>
    <w:rsid w:val="00984198"/>
    <w:rsid w:val="00984E04"/>
    <w:rsid w:val="00986194"/>
    <w:rsid w:val="009861D2"/>
    <w:rsid w:val="00986E53"/>
    <w:rsid w:val="00987CE5"/>
    <w:rsid w:val="00993CF0"/>
    <w:rsid w:val="0099428D"/>
    <w:rsid w:val="0099473F"/>
    <w:rsid w:val="009949A7"/>
    <w:rsid w:val="00995CDC"/>
    <w:rsid w:val="0099663C"/>
    <w:rsid w:val="009975CA"/>
    <w:rsid w:val="009A0C15"/>
    <w:rsid w:val="009A1088"/>
    <w:rsid w:val="009A14CB"/>
    <w:rsid w:val="009A27C7"/>
    <w:rsid w:val="009A2961"/>
    <w:rsid w:val="009A344A"/>
    <w:rsid w:val="009A41C7"/>
    <w:rsid w:val="009A4F5A"/>
    <w:rsid w:val="009A5C82"/>
    <w:rsid w:val="009A6985"/>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734"/>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615"/>
    <w:rsid w:val="00A50A39"/>
    <w:rsid w:val="00A51DF1"/>
    <w:rsid w:val="00A52A6B"/>
    <w:rsid w:val="00A52AFB"/>
    <w:rsid w:val="00A53967"/>
    <w:rsid w:val="00A5455C"/>
    <w:rsid w:val="00A545EC"/>
    <w:rsid w:val="00A54C5F"/>
    <w:rsid w:val="00A54D3B"/>
    <w:rsid w:val="00A54E44"/>
    <w:rsid w:val="00A5578A"/>
    <w:rsid w:val="00A61365"/>
    <w:rsid w:val="00A61759"/>
    <w:rsid w:val="00A61B88"/>
    <w:rsid w:val="00A62C70"/>
    <w:rsid w:val="00A63982"/>
    <w:rsid w:val="00A65845"/>
    <w:rsid w:val="00A65A41"/>
    <w:rsid w:val="00A666AA"/>
    <w:rsid w:val="00A671FC"/>
    <w:rsid w:val="00A67575"/>
    <w:rsid w:val="00A71670"/>
    <w:rsid w:val="00A72874"/>
    <w:rsid w:val="00A72E48"/>
    <w:rsid w:val="00A7359C"/>
    <w:rsid w:val="00A73616"/>
    <w:rsid w:val="00A76648"/>
    <w:rsid w:val="00A76DF7"/>
    <w:rsid w:val="00A77523"/>
    <w:rsid w:val="00A826B2"/>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82F"/>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C3B"/>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57F3"/>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510"/>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99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163"/>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BD4"/>
    <w:rsid w:val="00D11D8D"/>
    <w:rsid w:val="00D12B12"/>
    <w:rsid w:val="00D12DD7"/>
    <w:rsid w:val="00D13A8C"/>
    <w:rsid w:val="00D14465"/>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C1"/>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4C5F"/>
    <w:rsid w:val="00D856EA"/>
    <w:rsid w:val="00D85ACD"/>
    <w:rsid w:val="00D86460"/>
    <w:rsid w:val="00D9055C"/>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77E"/>
    <w:rsid w:val="00DB7B0F"/>
    <w:rsid w:val="00DB7CB3"/>
    <w:rsid w:val="00DC0D57"/>
    <w:rsid w:val="00DC16F7"/>
    <w:rsid w:val="00DC1CA3"/>
    <w:rsid w:val="00DC2641"/>
    <w:rsid w:val="00DC2B1E"/>
    <w:rsid w:val="00DC7481"/>
    <w:rsid w:val="00DC7591"/>
    <w:rsid w:val="00DD0839"/>
    <w:rsid w:val="00DD097E"/>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DE8"/>
    <w:rsid w:val="00E2512D"/>
    <w:rsid w:val="00E2548C"/>
    <w:rsid w:val="00E2662B"/>
    <w:rsid w:val="00E26736"/>
    <w:rsid w:val="00E268AC"/>
    <w:rsid w:val="00E27986"/>
    <w:rsid w:val="00E27D23"/>
    <w:rsid w:val="00E30A8A"/>
    <w:rsid w:val="00E31BC7"/>
    <w:rsid w:val="00E31E7F"/>
    <w:rsid w:val="00E3315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B40"/>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4FF"/>
    <w:rsid w:val="00E73831"/>
    <w:rsid w:val="00E73B66"/>
    <w:rsid w:val="00E7498E"/>
    <w:rsid w:val="00E74BB9"/>
    <w:rsid w:val="00E74FF5"/>
    <w:rsid w:val="00E751F2"/>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897"/>
    <w:rsid w:val="00ED2F27"/>
    <w:rsid w:val="00ED3370"/>
    <w:rsid w:val="00ED4D96"/>
    <w:rsid w:val="00ED5A40"/>
    <w:rsid w:val="00ED5F21"/>
    <w:rsid w:val="00ED602C"/>
    <w:rsid w:val="00ED62B5"/>
    <w:rsid w:val="00ED6DDB"/>
    <w:rsid w:val="00ED7985"/>
    <w:rsid w:val="00EE1E6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5A7"/>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065"/>
    <w:rsid w:val="00FD4A1E"/>
    <w:rsid w:val="00FD66A9"/>
    <w:rsid w:val="00FD6712"/>
    <w:rsid w:val="00FD67BB"/>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045C57"/>
    <w:rPr>
      <w:color w:val="0000FF" w:themeColor="hyperlink"/>
      <w:u w:val="single"/>
    </w:rPr>
  </w:style>
  <w:style w:type="character" w:customStyle="1" w:styleId="HeaderChar">
    <w:name w:val="Header Char"/>
    <w:basedOn w:val="DefaultParagraphFont"/>
    <w:link w:val="Header"/>
    <w:uiPriority w:val="99"/>
    <w:rsid w:val="00E734F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045C57"/>
    <w:rPr>
      <w:color w:val="0000FF" w:themeColor="hyperlink"/>
      <w:u w:val="single"/>
    </w:rPr>
  </w:style>
  <w:style w:type="character" w:customStyle="1" w:styleId="HeaderChar">
    <w:name w:val="Header Char"/>
    <w:basedOn w:val="DefaultParagraphFont"/>
    <w:link w:val="Header"/>
    <w:uiPriority w:val="99"/>
    <w:rsid w:val="00E734F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govbody/ar/h_a_35/h_a_35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D9D6-EF0F-4D42-9CF3-3A282B8A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6341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H/LD/WG/6/4 (Arabic)</vt:lpstr>
    </vt:vector>
  </TitlesOfParts>
  <Company>World Intellectual Property Organization</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H/LD/WG/6/4 (Arabic)</dc:title>
  <dc:creator>وثيقة من إعداد المكتب الدولي</dc:creator>
  <cp:lastModifiedBy>OUELLETTE Jean-François</cp:lastModifiedBy>
  <cp:revision>2</cp:revision>
  <cp:lastPrinted>2016-04-26T09:05:00Z</cp:lastPrinted>
  <dcterms:created xsi:type="dcterms:W3CDTF">2016-04-27T12:53:00Z</dcterms:created>
  <dcterms:modified xsi:type="dcterms:W3CDTF">2016-04-27T12:53:00Z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-206513186</vt:i4>
  </property>
</Properties>
</file>