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230C8" w:rsidP="002C3CB4">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H/LD/WG/</w:t>
      </w:r>
      <w:r w:rsidR="002C3CB4">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DA784F">
        <w:rPr>
          <w:rFonts w:ascii="Arial Black" w:eastAsia="SimSun" w:hAnsi="Arial Black" w:cs="Arial"/>
          <w:b/>
          <w:caps/>
          <w:noProof/>
          <w:sz w:val="16"/>
          <w:szCs w:val="16"/>
          <w:lang w:eastAsia="zh-CN"/>
        </w:rPr>
        <w:t>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A784F">
        <w:rPr>
          <w:rFonts w:hint="cs"/>
          <w:b/>
          <w:bCs/>
          <w:sz w:val="30"/>
          <w:szCs w:val="30"/>
          <w:rtl/>
        </w:rPr>
        <w:t>بالإنكليزية</w:t>
      </w:r>
    </w:p>
    <w:p w:rsidR="003F7284" w:rsidRPr="00BB6440" w:rsidRDefault="003F7284" w:rsidP="00F54409">
      <w:pPr>
        <w:spacing w:line="720" w:lineRule="auto"/>
        <w:jc w:val="right"/>
        <w:rPr>
          <w:b/>
          <w:bCs/>
          <w:sz w:val="30"/>
          <w:szCs w:val="30"/>
          <w:rtl/>
        </w:rPr>
      </w:pPr>
      <w:bookmarkStart w:id="3" w:name="_GoBack"/>
      <w:bookmarkEnd w:id="3"/>
      <w:r w:rsidRPr="00BB6440">
        <w:rPr>
          <w:b/>
          <w:bCs/>
          <w:sz w:val="30"/>
          <w:szCs w:val="30"/>
          <w:rtl/>
        </w:rPr>
        <w:t>التاريخ:</w:t>
      </w:r>
      <w:r w:rsidR="005D79F6" w:rsidRPr="00BB6440">
        <w:rPr>
          <w:b/>
          <w:bCs/>
          <w:sz w:val="30"/>
          <w:szCs w:val="30"/>
          <w:rtl/>
        </w:rPr>
        <w:t xml:space="preserve"> </w:t>
      </w:r>
      <w:r w:rsidR="00DA784F">
        <w:rPr>
          <w:rFonts w:hint="cs"/>
          <w:b/>
          <w:bCs/>
          <w:sz w:val="30"/>
          <w:szCs w:val="30"/>
          <w:rtl/>
        </w:rPr>
        <w:t>29 أغسطس 2019</w:t>
      </w:r>
    </w:p>
    <w:p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2E7810" w:rsidRPr="002E7810" w:rsidRDefault="006230C8" w:rsidP="002C3CB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CB4">
        <w:rPr>
          <w:rFonts w:ascii="Arial Black" w:hAnsi="Arial Black" w:cs="PT Bold Heading" w:hint="cs"/>
          <w:sz w:val="30"/>
          <w:szCs w:val="30"/>
          <w:rtl/>
        </w:rPr>
        <w:t>الثامنة</w:t>
      </w:r>
    </w:p>
    <w:p w:rsidR="002E7810" w:rsidRPr="002E7810" w:rsidRDefault="006230C8" w:rsidP="002C3CB4">
      <w:pPr>
        <w:spacing w:line="600" w:lineRule="auto"/>
        <w:rPr>
          <w:b/>
          <w:bCs/>
          <w:rtl/>
        </w:rPr>
      </w:pPr>
      <w:r>
        <w:rPr>
          <w:b/>
          <w:bCs/>
          <w:rtl/>
        </w:rPr>
        <w:t xml:space="preserve">جنيف، من </w:t>
      </w:r>
      <w:r w:rsidR="002C3CB4">
        <w:rPr>
          <w:rFonts w:hint="cs"/>
          <w:b/>
          <w:bCs/>
          <w:rtl/>
        </w:rPr>
        <w:t>30</w:t>
      </w:r>
      <w:r>
        <w:rPr>
          <w:b/>
          <w:bCs/>
          <w:rtl/>
        </w:rPr>
        <w:t xml:space="preserve"> </w:t>
      </w:r>
      <w:r w:rsidR="002C3CB4">
        <w:rPr>
          <w:rFonts w:hint="cs"/>
          <w:b/>
          <w:bCs/>
          <w:rtl/>
        </w:rPr>
        <w:t xml:space="preserve">أكتوبر </w:t>
      </w:r>
      <w:r>
        <w:rPr>
          <w:b/>
          <w:bCs/>
          <w:rtl/>
        </w:rPr>
        <w:t xml:space="preserve">إلى </w:t>
      </w:r>
      <w:r w:rsidR="002C3CB4">
        <w:rPr>
          <w:rFonts w:hint="cs"/>
          <w:b/>
          <w:bCs/>
          <w:rtl/>
        </w:rPr>
        <w:t>1 نوفمبر</w:t>
      </w:r>
      <w:r>
        <w:rPr>
          <w:b/>
          <w:bCs/>
          <w:rtl/>
        </w:rPr>
        <w:t xml:space="preserve"> 201</w:t>
      </w:r>
      <w:r w:rsidR="002C3CB4">
        <w:rPr>
          <w:rFonts w:hint="cs"/>
          <w:b/>
          <w:bCs/>
          <w:rtl/>
        </w:rPr>
        <w:t>9</w:t>
      </w:r>
    </w:p>
    <w:p w:rsidR="002E7810" w:rsidRPr="002E7810" w:rsidRDefault="00DA784F" w:rsidP="004E3110">
      <w:pPr>
        <w:rPr>
          <w:rFonts w:ascii="Arial Black" w:hAnsi="Arial Black" w:cs="PT Bold Heading"/>
          <w:sz w:val="26"/>
          <w:szCs w:val="26"/>
          <w:rtl/>
        </w:rPr>
      </w:pPr>
      <w:r w:rsidRPr="00DA784F">
        <w:rPr>
          <w:rFonts w:ascii="Arial Black" w:hAnsi="Arial Black" w:cs="PT Bold Heading"/>
          <w:sz w:val="26"/>
          <w:szCs w:val="26"/>
          <w:rtl/>
        </w:rPr>
        <w:t xml:space="preserve">وضع وثيقة </w:t>
      </w:r>
      <w:r w:rsidR="004E3110">
        <w:rPr>
          <w:rFonts w:ascii="Arial Black" w:hAnsi="Arial Black" w:cs="PT Bold Heading"/>
          <w:sz w:val="26"/>
          <w:szCs w:val="26"/>
        </w:rPr>
        <w:t>1960</w:t>
      </w:r>
    </w:p>
    <w:p w:rsidR="003F7284" w:rsidRPr="00BB6440" w:rsidRDefault="00DA784F" w:rsidP="00DA784F">
      <w:pPr>
        <w:spacing w:before="200" w:after="960"/>
        <w:rPr>
          <w:i/>
          <w:iCs/>
          <w:rtl/>
        </w:rPr>
      </w:pPr>
      <w:r w:rsidRPr="00DA784F">
        <w:rPr>
          <w:i/>
          <w:iCs/>
          <w:rtl/>
        </w:rPr>
        <w:t>وثيقة من إعداد المكتب الدولي</w:t>
      </w:r>
    </w:p>
    <w:p w:rsidR="00DA784F" w:rsidRPr="00DA784F" w:rsidRDefault="00DA784F" w:rsidP="004E3110">
      <w:pPr>
        <w:pStyle w:val="Heading2"/>
        <w:ind w:left="850" w:hanging="850"/>
        <w:rPr>
          <w:rFonts w:eastAsia="SimSun"/>
          <w:rtl/>
          <w:lang w:eastAsia="zh-CN" w:bidi="ar-EG"/>
        </w:rPr>
      </w:pPr>
      <w:r w:rsidRPr="00DA784F">
        <w:rPr>
          <w:rFonts w:eastAsia="SimSun" w:hint="cs"/>
          <w:rtl/>
          <w:lang w:eastAsia="zh-CN" w:bidi="ar-EG"/>
        </w:rPr>
        <w:t>أولاً.</w:t>
      </w:r>
      <w:r w:rsidRPr="00DA784F">
        <w:rPr>
          <w:rFonts w:eastAsia="SimSun" w:hint="cs"/>
          <w:rtl/>
          <w:lang w:eastAsia="zh-CN" w:bidi="ar-EG"/>
        </w:rPr>
        <w:tab/>
        <w:t>المقدمة</w:t>
      </w:r>
    </w:p>
    <w:p w:rsidR="00DA784F" w:rsidRPr="00DA784F" w:rsidRDefault="00DA784F" w:rsidP="00DA784F">
      <w:pPr>
        <w:pStyle w:val="ONUMA"/>
        <w:rPr>
          <w:sz w:val="22"/>
          <w:rtl/>
          <w:lang w:bidi="ar-EG"/>
        </w:rPr>
      </w:pPr>
      <w:r w:rsidRPr="00DA784F">
        <w:rPr>
          <w:rFonts w:hint="cs"/>
          <w:rtl/>
          <w:lang w:bidi="ar-EG"/>
        </w:rPr>
        <w:t>يتضمن اتفاق لاهاي بشأن التسجيل الدولي للرسوم والنماذج الصناعية (اتفاق لاهاي) حالياً وثيقتين مختلفين هما وثيقة لاهاي (</w:t>
      </w:r>
      <w:r w:rsidRPr="00DA784F">
        <w:rPr>
          <w:rFonts w:hint="cs"/>
          <w:lang w:bidi="ar-EG"/>
        </w:rPr>
        <w:t>1960</w:t>
      </w:r>
      <w:r w:rsidRPr="00DA784F">
        <w:rPr>
          <w:rFonts w:hint="cs"/>
          <w:rtl/>
          <w:lang w:bidi="ar-EG"/>
        </w:rPr>
        <w:t xml:space="preserve">) التي اعتُمدت في </w:t>
      </w:r>
      <w:r w:rsidRPr="00DA784F">
        <w:rPr>
          <w:rFonts w:hint="cs"/>
          <w:lang w:bidi="ar-EG"/>
        </w:rPr>
        <w:t>28</w:t>
      </w:r>
      <w:r w:rsidRPr="00DA784F">
        <w:rPr>
          <w:rFonts w:hint="cs"/>
          <w:rtl/>
          <w:lang w:bidi="ar-EG"/>
        </w:rPr>
        <w:t xml:space="preserve"> نوفمبر </w:t>
      </w:r>
      <w:r w:rsidRPr="00DA784F">
        <w:rPr>
          <w:rFonts w:hint="cs"/>
          <w:lang w:bidi="ar-EG"/>
        </w:rPr>
        <w:t>1960</w:t>
      </w:r>
      <w:r w:rsidRPr="00DA784F">
        <w:rPr>
          <w:rFonts w:hint="cs"/>
          <w:rtl/>
          <w:lang w:bidi="ar-EG"/>
        </w:rPr>
        <w:t xml:space="preserve"> (وثيقة </w:t>
      </w:r>
      <w:r w:rsidRPr="00DA784F">
        <w:rPr>
          <w:rFonts w:hint="cs"/>
          <w:lang w:bidi="ar-EG"/>
        </w:rPr>
        <w:t>1960</w:t>
      </w:r>
      <w:r w:rsidRPr="00DA784F">
        <w:rPr>
          <w:rFonts w:hint="cs"/>
          <w:rtl/>
          <w:lang w:bidi="ar-EG"/>
        </w:rPr>
        <w:t>)؛ ووثيقة جنيف (</w:t>
      </w:r>
      <w:r w:rsidRPr="00DA784F">
        <w:rPr>
          <w:rFonts w:hint="cs"/>
          <w:lang w:bidi="ar-EG"/>
        </w:rPr>
        <w:t>1999</w:t>
      </w:r>
      <w:r w:rsidRPr="00DA784F">
        <w:rPr>
          <w:rFonts w:hint="cs"/>
          <w:rtl/>
          <w:lang w:bidi="ar-EG"/>
        </w:rPr>
        <w:t xml:space="preserve">) التي اعتُمدت في </w:t>
      </w:r>
      <w:r w:rsidRPr="00DA784F">
        <w:rPr>
          <w:rFonts w:hint="cs"/>
          <w:lang w:bidi="ar-EG"/>
        </w:rPr>
        <w:t>2</w:t>
      </w:r>
      <w:r w:rsidRPr="00DA784F">
        <w:rPr>
          <w:rFonts w:hint="cs"/>
          <w:rtl/>
          <w:lang w:bidi="ar-EG"/>
        </w:rPr>
        <w:t xml:space="preserve"> يوليو </w:t>
      </w:r>
      <w:r w:rsidRPr="00DA784F">
        <w:rPr>
          <w:rFonts w:hint="cs"/>
          <w:lang w:bidi="ar-EG"/>
        </w:rPr>
        <w:t>1999</w:t>
      </w:r>
      <w:r w:rsidRPr="00DA784F">
        <w:rPr>
          <w:rFonts w:hint="cs"/>
          <w:rtl/>
          <w:lang w:bidi="ar-EG"/>
        </w:rPr>
        <w:t xml:space="preserve"> (وثيقة </w:t>
      </w:r>
      <w:r w:rsidRPr="00DA784F">
        <w:rPr>
          <w:rFonts w:hint="cs"/>
          <w:lang w:bidi="ar-EG"/>
        </w:rPr>
        <w:t>1999</w:t>
      </w:r>
      <w:r w:rsidRPr="00DA784F">
        <w:rPr>
          <w:rFonts w:hint="cs"/>
          <w:rtl/>
          <w:lang w:bidi="ar-EG"/>
        </w:rPr>
        <w:t>).</w:t>
      </w:r>
    </w:p>
    <w:p w:rsidR="00DA784F" w:rsidRPr="00DA784F" w:rsidRDefault="00DA784F" w:rsidP="00DA784F">
      <w:pPr>
        <w:pStyle w:val="ONUMA"/>
        <w:rPr>
          <w:sz w:val="22"/>
          <w:rtl/>
          <w:lang w:bidi="ar-EG"/>
        </w:rPr>
      </w:pPr>
      <w:r w:rsidRPr="00DA784F">
        <w:rPr>
          <w:rFonts w:hint="cs"/>
          <w:rtl/>
          <w:lang w:bidi="ar-EG"/>
        </w:rPr>
        <w:t xml:space="preserve">والغرض من هذه الوثيقة هو موافاة الفريق العامل المعني بالتطوير القانوني لنظام لاهاي بشأن التسجيل الدولي للتصاميم الصناعية (الفريق العامل) بمعلومات عن وضع وثيقة </w:t>
      </w:r>
      <w:r w:rsidRPr="00DA784F">
        <w:rPr>
          <w:rFonts w:hint="cs"/>
          <w:lang w:bidi="ar-EG"/>
        </w:rPr>
        <w:t>1960</w:t>
      </w:r>
      <w:r w:rsidRPr="00DA784F">
        <w:rPr>
          <w:rFonts w:hint="cs"/>
          <w:rtl/>
          <w:lang w:bidi="ar-EG"/>
        </w:rPr>
        <w:t xml:space="preserve"> كي يحيط بها علماً ويدرسها عند الاقتضاء في ظل تطوير الإطار القانوني لنظام لاهاي على الأجل الطويل.</w:t>
      </w:r>
    </w:p>
    <w:p w:rsidR="00DA784F" w:rsidRPr="00DA784F" w:rsidRDefault="00DA784F" w:rsidP="004E3110">
      <w:pPr>
        <w:pStyle w:val="Heading2"/>
        <w:ind w:left="850" w:hanging="850"/>
        <w:rPr>
          <w:rFonts w:eastAsia="SimSun"/>
          <w:rtl/>
          <w:lang w:eastAsia="zh-CN" w:bidi="ar-EG"/>
        </w:rPr>
      </w:pPr>
      <w:r w:rsidRPr="00DA784F">
        <w:rPr>
          <w:rFonts w:eastAsia="SimSun" w:hint="cs"/>
          <w:rtl/>
          <w:lang w:eastAsia="zh-CN" w:bidi="ar-EG"/>
        </w:rPr>
        <w:lastRenderedPageBreak/>
        <w:t>ثانياً.</w:t>
      </w:r>
      <w:r w:rsidRPr="00DA784F">
        <w:rPr>
          <w:rFonts w:eastAsia="SimSun" w:hint="cs"/>
          <w:rtl/>
          <w:lang w:eastAsia="zh-CN" w:bidi="ar-EG"/>
        </w:rPr>
        <w:tab/>
        <w:t>الأعضاء الحاليون في اتفاق لاهاي</w:t>
      </w:r>
    </w:p>
    <w:p w:rsidR="00DA784F" w:rsidRPr="00DA784F" w:rsidRDefault="00DA784F" w:rsidP="004E3110">
      <w:pPr>
        <w:pStyle w:val="ONUMA"/>
        <w:keepLines/>
        <w:rPr>
          <w:sz w:val="22"/>
          <w:rtl/>
          <w:lang w:bidi="ar-EG"/>
        </w:rPr>
      </w:pPr>
      <w:r w:rsidRPr="00DA784F">
        <w:rPr>
          <w:rFonts w:hint="cs"/>
          <w:rtl/>
          <w:lang w:bidi="ar-EG"/>
        </w:rPr>
        <w:t xml:space="preserve">تجاوز عدد الأعضاء في وثيقة </w:t>
      </w:r>
      <w:r w:rsidRPr="00DA784F">
        <w:rPr>
          <w:rFonts w:hint="cs"/>
          <w:lang w:bidi="ar-EG"/>
        </w:rPr>
        <w:t>1999</w:t>
      </w:r>
      <w:r w:rsidRPr="00DA784F">
        <w:rPr>
          <w:rFonts w:hint="cs"/>
          <w:rtl/>
          <w:lang w:bidi="ar-EG"/>
        </w:rPr>
        <w:t xml:space="preserve">، منذ </w:t>
      </w:r>
      <w:r w:rsidR="004E3110">
        <w:rPr>
          <w:rFonts w:hint="cs"/>
          <w:rtl/>
          <w:lang w:bidi="ar-EG"/>
        </w:rPr>
        <w:t>دخولها حيز النفاذ</w:t>
      </w:r>
      <w:r w:rsidRPr="00DA784F">
        <w:rPr>
          <w:rFonts w:hint="cs"/>
          <w:rtl/>
          <w:lang w:bidi="ar-EG"/>
        </w:rPr>
        <w:t xml:space="preserve"> في </w:t>
      </w:r>
      <w:r w:rsidRPr="00DA784F">
        <w:rPr>
          <w:rFonts w:hint="cs"/>
          <w:lang w:bidi="ar-EG"/>
        </w:rPr>
        <w:t>1</w:t>
      </w:r>
      <w:r w:rsidRPr="00DA784F">
        <w:rPr>
          <w:rFonts w:hint="cs"/>
          <w:rtl/>
          <w:lang w:bidi="ar-EG"/>
        </w:rPr>
        <w:t xml:space="preserve"> أبريل </w:t>
      </w:r>
      <w:r w:rsidRPr="00DA784F">
        <w:rPr>
          <w:rFonts w:hint="cs"/>
          <w:lang w:bidi="ar-EG"/>
        </w:rPr>
        <w:t>2004</w:t>
      </w:r>
      <w:r w:rsidRPr="00DA784F">
        <w:rPr>
          <w:rFonts w:hint="cs"/>
          <w:rtl/>
          <w:lang w:bidi="ar-EG"/>
        </w:rPr>
        <w:t xml:space="preserve">، بسرعة عدد الأعضاء في وثيقة </w:t>
      </w:r>
      <w:r w:rsidRPr="00DA784F">
        <w:rPr>
          <w:rFonts w:hint="cs"/>
          <w:lang w:bidi="ar-EG"/>
        </w:rPr>
        <w:t>1960</w:t>
      </w:r>
      <w:r w:rsidRPr="00DA784F">
        <w:rPr>
          <w:rFonts w:hint="cs"/>
          <w:rtl/>
          <w:lang w:bidi="ar-EG"/>
        </w:rPr>
        <w:t xml:space="preserve"> مع وجود ازدواجية كبيرة في عضوية الوثيقتين. فبعد الدول الإحدى عشرة الأولى التي أسفر إيداع صكوك تصديقها أو انضمامها عن دخول وثيقة </w:t>
      </w:r>
      <w:r w:rsidRPr="00DA784F">
        <w:rPr>
          <w:rFonts w:hint="cs"/>
          <w:lang w:bidi="ar-EG"/>
        </w:rPr>
        <w:t>1999</w:t>
      </w:r>
      <w:r w:rsidRPr="00DA784F">
        <w:rPr>
          <w:rFonts w:hint="cs"/>
          <w:rtl/>
          <w:lang w:bidi="ar-EG"/>
        </w:rPr>
        <w:t xml:space="preserve"> حيز النفاذ</w:t>
      </w:r>
      <w:r w:rsidRPr="00DA784F">
        <w:rPr>
          <w:vertAlign w:val="superscript"/>
          <w:lang w:bidi="ar-EG"/>
        </w:rPr>
        <w:footnoteReference w:id="1"/>
      </w:r>
      <w:r w:rsidRPr="00DA784F">
        <w:rPr>
          <w:rFonts w:hint="cs"/>
          <w:rtl/>
          <w:lang w:bidi="ar-EG"/>
        </w:rPr>
        <w:t xml:space="preserve">، أصبحت </w:t>
      </w:r>
      <w:r w:rsidRPr="00DA784F">
        <w:rPr>
          <w:rFonts w:hint="cs"/>
          <w:lang w:bidi="ar-EG"/>
        </w:rPr>
        <w:t>47</w:t>
      </w:r>
      <w:r w:rsidRPr="00DA784F">
        <w:rPr>
          <w:rFonts w:hint="cs"/>
          <w:rtl/>
          <w:lang w:bidi="ar-EG"/>
        </w:rPr>
        <w:t xml:space="preserve"> دولة طرفاً في وثيقة </w:t>
      </w:r>
      <w:r w:rsidRPr="00DA784F">
        <w:rPr>
          <w:rFonts w:hint="cs"/>
          <w:lang w:bidi="ar-EG"/>
        </w:rPr>
        <w:t>1999</w:t>
      </w:r>
      <w:r w:rsidRPr="00DA784F">
        <w:rPr>
          <w:rFonts w:hint="cs"/>
          <w:rtl/>
          <w:lang w:bidi="ar-EG"/>
        </w:rPr>
        <w:t xml:space="preserve"> (وكان بعضها طرفاً في وثيقة </w:t>
      </w:r>
      <w:r w:rsidRPr="00DA784F">
        <w:rPr>
          <w:rFonts w:hint="cs"/>
          <w:lang w:bidi="ar-EG"/>
        </w:rPr>
        <w:t>1960</w:t>
      </w:r>
      <w:r w:rsidRPr="00DA784F">
        <w:rPr>
          <w:rFonts w:hint="cs"/>
          <w:rtl/>
          <w:lang w:bidi="ar-EG"/>
        </w:rPr>
        <w:t>). وفضلاً عن ذلك، أصبحت منظمتان حكوميتان دوليتان - هما المنظمة الأفريقية للملكية الفكرية (</w:t>
      </w:r>
      <w:r w:rsidRPr="00DA784F">
        <w:rPr>
          <w:lang w:bidi="ar-EG"/>
        </w:rPr>
        <w:t>OAPI</w:t>
      </w:r>
      <w:r w:rsidRPr="00DA784F">
        <w:rPr>
          <w:rFonts w:hint="cs"/>
          <w:rtl/>
          <w:lang w:bidi="ar-EG"/>
        </w:rPr>
        <w:t xml:space="preserve">) والاتحاد الأوروبي - طرفين في وثيقة </w:t>
      </w:r>
      <w:r w:rsidRPr="00DA784F">
        <w:rPr>
          <w:rFonts w:hint="cs"/>
          <w:lang w:bidi="ar-EG"/>
        </w:rPr>
        <w:t>1999</w:t>
      </w:r>
      <w:r w:rsidRPr="00DA784F">
        <w:rPr>
          <w:rFonts w:hint="cs"/>
          <w:rtl/>
          <w:lang w:bidi="ar-EG"/>
        </w:rPr>
        <w:t xml:space="preserve">؛ علماً بأن النطاق الجغرافي للمنظمتين معاً يغطي أقاليم </w:t>
      </w:r>
      <w:r w:rsidRPr="00DA784F">
        <w:rPr>
          <w:rFonts w:hint="cs"/>
          <w:lang w:bidi="ar-EG"/>
        </w:rPr>
        <w:t>45</w:t>
      </w:r>
      <w:r w:rsidRPr="00DA784F">
        <w:rPr>
          <w:rFonts w:hint="cs"/>
          <w:rtl/>
          <w:lang w:bidi="ar-EG"/>
        </w:rPr>
        <w:t xml:space="preserve"> دولةً.</w:t>
      </w:r>
    </w:p>
    <w:p w:rsidR="00DA784F" w:rsidRPr="00DA784F" w:rsidRDefault="00DA784F" w:rsidP="00DA784F">
      <w:pPr>
        <w:pStyle w:val="ONUMA"/>
        <w:rPr>
          <w:sz w:val="22"/>
          <w:rtl/>
          <w:lang w:bidi="ar-EG"/>
        </w:rPr>
      </w:pPr>
      <w:r w:rsidRPr="00DA784F">
        <w:rPr>
          <w:rFonts w:hint="cs"/>
          <w:rtl/>
          <w:lang w:bidi="ar-EG"/>
        </w:rPr>
        <w:t xml:space="preserve">وفي المقابل، لا يزال باب الانضمام إلى وثيقة </w:t>
      </w:r>
      <w:r w:rsidRPr="00DA784F">
        <w:rPr>
          <w:rFonts w:hint="cs"/>
          <w:lang w:bidi="ar-EG"/>
        </w:rPr>
        <w:t>1960</w:t>
      </w:r>
      <w:r w:rsidRPr="00DA784F">
        <w:rPr>
          <w:rFonts w:hint="cs"/>
          <w:rtl/>
          <w:lang w:bidi="ar-EG"/>
        </w:rPr>
        <w:t xml:space="preserve"> مفتوحاً للدول الأطراف في اتفاقية باريس لحماية الملكية الصناعية، غير أن تلك الوثيقة لم تشهد أي حالة تصديق أو انضمام منذ عام </w:t>
      </w:r>
      <w:r w:rsidRPr="00DA784F">
        <w:rPr>
          <w:rFonts w:hint="cs"/>
          <w:lang w:bidi="ar-EG"/>
        </w:rPr>
        <w:t>2007</w:t>
      </w:r>
      <w:r w:rsidRPr="00DA784F">
        <w:rPr>
          <w:rFonts w:hint="cs"/>
          <w:sz w:val="2"/>
          <w:szCs w:val="2"/>
          <w:rtl/>
          <w:lang w:bidi="ar-EG"/>
        </w:rPr>
        <w:t xml:space="preserve"> </w:t>
      </w:r>
      <w:r w:rsidRPr="00DA784F">
        <w:rPr>
          <w:vertAlign w:val="superscript"/>
          <w:lang w:bidi="ar-EG"/>
        </w:rPr>
        <w:footnoteReference w:id="2"/>
      </w:r>
      <w:r w:rsidRPr="00DA784F">
        <w:rPr>
          <w:rFonts w:hint="cs"/>
          <w:rtl/>
          <w:lang w:bidi="ar-EG"/>
        </w:rPr>
        <w:t>.</w:t>
      </w:r>
    </w:p>
    <w:p w:rsidR="00DA784F" w:rsidRPr="00DA784F" w:rsidRDefault="00DA784F" w:rsidP="00403F9C">
      <w:pPr>
        <w:pStyle w:val="ONUMA"/>
        <w:rPr>
          <w:sz w:val="22"/>
          <w:rtl/>
          <w:lang w:bidi="ar-EG"/>
        </w:rPr>
      </w:pPr>
      <w:r w:rsidRPr="00DA784F">
        <w:rPr>
          <w:rFonts w:hint="cs"/>
          <w:rtl/>
          <w:lang w:bidi="ar-EG"/>
        </w:rPr>
        <w:t xml:space="preserve">وفي تاريخ إعداد هذه الوثيقة، بلغ العدد الإجمالي للأطراف المتعاقدة بموجب اتفاق لاهاي </w:t>
      </w:r>
      <w:r w:rsidRPr="00DA784F">
        <w:rPr>
          <w:rFonts w:hint="cs"/>
          <w:lang w:bidi="ar-EG"/>
        </w:rPr>
        <w:t>70</w:t>
      </w:r>
      <w:r w:rsidRPr="00DA784F">
        <w:rPr>
          <w:rFonts w:hint="cs"/>
          <w:rtl/>
          <w:lang w:bidi="ar-EG"/>
        </w:rPr>
        <w:t xml:space="preserve"> طرفاً. وترد قائمة بأعضاء اتحاد لاهاي في المرفق الأول، ويرد رسم بياني يعرض عدد الأطراف المتعاقدة بحسب الوثائق في المرفق الثاني. ويمكن</w:t>
      </w:r>
      <w:r w:rsidR="00403F9C">
        <w:rPr>
          <w:rFonts w:hint="eastAsia"/>
          <w:rtl/>
          <w:lang w:bidi="ar-EG"/>
        </w:rPr>
        <w:t> </w:t>
      </w:r>
      <w:r w:rsidRPr="00DA784F">
        <w:rPr>
          <w:rFonts w:hint="cs"/>
          <w:rtl/>
          <w:lang w:bidi="ar-EG"/>
        </w:rPr>
        <w:t>تصنيف الأعضاء كما يلي:</w:t>
      </w:r>
    </w:p>
    <w:p w:rsidR="00DA784F" w:rsidRPr="00DA784F" w:rsidRDefault="006D531E" w:rsidP="00496C53">
      <w:pPr>
        <w:numPr>
          <w:ilvl w:val="0"/>
          <w:numId w:val="13"/>
        </w:numPr>
        <w:spacing w:before="200"/>
        <w:ind w:left="1134" w:hanging="567"/>
        <w:rPr>
          <w:rFonts w:eastAsia="SimSun"/>
          <w:rtl/>
          <w:lang w:eastAsia="zh-CN" w:bidi="ar-EG"/>
        </w:rPr>
      </w:pPr>
      <w:r>
        <w:rPr>
          <w:rFonts w:eastAsia="SimSun"/>
          <w:lang w:eastAsia="zh-CN" w:bidi="ar-EG"/>
        </w:rPr>
        <w:t>60</w:t>
      </w:r>
      <w:r>
        <w:rPr>
          <w:rFonts w:eastAsia="SimSun" w:hint="cs"/>
          <w:rtl/>
          <w:lang w:eastAsia="zh-CN" w:bidi="ar-EG"/>
        </w:rPr>
        <w:t xml:space="preserve"> </w:t>
      </w:r>
      <w:r w:rsidR="00DA784F" w:rsidRPr="00DA784F">
        <w:rPr>
          <w:rFonts w:eastAsia="SimSun" w:hint="cs"/>
          <w:rtl/>
          <w:lang w:eastAsia="zh-CN" w:bidi="ar-EG"/>
        </w:rPr>
        <w:t xml:space="preserve">دولة أو منظمة حكومية دولية طرفاً في وثيقة </w:t>
      </w:r>
      <w:r w:rsidR="00DA784F" w:rsidRPr="00DA784F">
        <w:rPr>
          <w:rFonts w:eastAsia="SimSun" w:hint="cs"/>
          <w:lang w:eastAsia="zh-CN" w:bidi="ar-EG"/>
        </w:rPr>
        <w:t>1999</w:t>
      </w:r>
      <w:r w:rsidR="00DA784F" w:rsidRPr="00DA784F">
        <w:rPr>
          <w:rFonts w:eastAsia="SimSun" w:hint="cs"/>
          <w:rtl/>
          <w:lang w:eastAsia="zh-CN" w:bidi="ar-EG"/>
        </w:rPr>
        <w:t>.</w:t>
      </w:r>
    </w:p>
    <w:p w:rsidR="00DA784F" w:rsidRPr="00DA784F" w:rsidRDefault="00DA784F" w:rsidP="00496C53">
      <w:pPr>
        <w:numPr>
          <w:ilvl w:val="0"/>
          <w:numId w:val="13"/>
        </w:numPr>
        <w:spacing w:before="200"/>
        <w:ind w:left="1134" w:hanging="567"/>
        <w:rPr>
          <w:rFonts w:eastAsia="SimSun"/>
          <w:rtl/>
          <w:lang w:eastAsia="zh-CN" w:bidi="ar-EG"/>
        </w:rPr>
      </w:pPr>
      <w:r w:rsidRPr="00DA784F">
        <w:rPr>
          <w:rFonts w:eastAsia="SimSun" w:hint="cs"/>
          <w:lang w:eastAsia="zh-CN" w:bidi="ar-EG"/>
        </w:rPr>
        <w:t>34</w:t>
      </w:r>
      <w:r w:rsidRPr="00DA784F">
        <w:rPr>
          <w:rFonts w:eastAsia="SimSun" w:hint="cs"/>
          <w:rtl/>
          <w:lang w:eastAsia="zh-CN" w:bidi="ar-EG"/>
        </w:rPr>
        <w:t xml:space="preserve"> دولة طرفاً في وثيقة </w:t>
      </w:r>
      <w:r w:rsidRPr="00DA784F">
        <w:rPr>
          <w:rFonts w:eastAsia="SimSun" w:hint="cs"/>
          <w:lang w:eastAsia="zh-CN" w:bidi="ar-EG"/>
        </w:rPr>
        <w:t>1960</w:t>
      </w:r>
      <w:r w:rsidRPr="00DA784F">
        <w:rPr>
          <w:rFonts w:eastAsia="SimSun" w:hint="cs"/>
          <w:rtl/>
          <w:lang w:eastAsia="zh-CN" w:bidi="ar-EG"/>
        </w:rPr>
        <w:t>، منها:</w:t>
      </w:r>
    </w:p>
    <w:p w:rsidR="00DA784F" w:rsidRPr="00DA784F" w:rsidRDefault="00DA784F" w:rsidP="00496C53">
      <w:pPr>
        <w:numPr>
          <w:ilvl w:val="0"/>
          <w:numId w:val="13"/>
        </w:numPr>
        <w:spacing w:before="200"/>
        <w:ind w:left="1701" w:hanging="567"/>
        <w:rPr>
          <w:rFonts w:eastAsia="SimSun"/>
          <w:rtl/>
          <w:lang w:eastAsia="zh-CN" w:bidi="ar-EG"/>
        </w:rPr>
      </w:pPr>
      <w:r w:rsidRPr="00DA784F">
        <w:rPr>
          <w:rFonts w:eastAsia="SimSun" w:hint="cs"/>
          <w:lang w:eastAsia="zh-CN" w:bidi="ar-EG"/>
        </w:rPr>
        <w:t>24</w:t>
      </w:r>
      <w:r w:rsidRPr="00DA784F">
        <w:rPr>
          <w:rFonts w:eastAsia="SimSun" w:hint="cs"/>
          <w:rtl/>
          <w:lang w:eastAsia="zh-CN" w:bidi="ar-EG"/>
        </w:rPr>
        <w:t xml:space="preserve"> دولة أصبحت طرفاً أيضاً في وثيقة </w:t>
      </w:r>
      <w:r w:rsidRPr="00DA784F">
        <w:rPr>
          <w:rFonts w:eastAsia="SimSun" w:hint="cs"/>
          <w:lang w:eastAsia="zh-CN" w:bidi="ar-EG"/>
        </w:rPr>
        <w:t>1999</w:t>
      </w:r>
      <w:r w:rsidRPr="00DA784F">
        <w:rPr>
          <w:rFonts w:eastAsia="SimSun" w:hint="cs"/>
          <w:rtl/>
          <w:lang w:eastAsia="zh-CN" w:bidi="ar-EG"/>
        </w:rPr>
        <w:t>؛</w:t>
      </w:r>
    </w:p>
    <w:p w:rsidR="00DA784F" w:rsidRPr="00DA784F" w:rsidRDefault="00DA784F" w:rsidP="00496C53">
      <w:pPr>
        <w:numPr>
          <w:ilvl w:val="0"/>
          <w:numId w:val="13"/>
        </w:numPr>
        <w:spacing w:before="200"/>
        <w:ind w:left="1701" w:hanging="567"/>
        <w:rPr>
          <w:rFonts w:eastAsia="SimSun"/>
          <w:rtl/>
          <w:lang w:eastAsia="zh-CN" w:bidi="ar-EG"/>
        </w:rPr>
      </w:pPr>
      <w:r w:rsidRPr="00DA784F">
        <w:rPr>
          <w:rFonts w:eastAsia="SimSun" w:hint="cs"/>
          <w:lang w:eastAsia="zh-CN" w:bidi="ar-EG"/>
        </w:rPr>
        <w:t>10</w:t>
      </w:r>
      <w:r w:rsidRPr="00DA784F">
        <w:rPr>
          <w:rFonts w:eastAsia="SimSun" w:hint="cs"/>
          <w:rtl/>
          <w:lang w:eastAsia="zh-CN" w:bidi="ar-EG"/>
        </w:rPr>
        <w:t xml:space="preserve"> دول ظلت أطرافاً في وثيقة </w:t>
      </w:r>
      <w:r w:rsidRPr="00DA784F">
        <w:rPr>
          <w:rFonts w:eastAsia="SimSun" w:hint="cs"/>
          <w:lang w:eastAsia="zh-CN" w:bidi="ar-EG"/>
        </w:rPr>
        <w:t>1960</w:t>
      </w:r>
      <w:r w:rsidRPr="00DA784F">
        <w:rPr>
          <w:rFonts w:eastAsia="SimSun" w:hint="cs"/>
          <w:rtl/>
          <w:lang w:eastAsia="zh-CN" w:bidi="ar-EG"/>
        </w:rPr>
        <w:t xml:space="preserve"> فقط، منها:</w:t>
      </w:r>
    </w:p>
    <w:p w:rsidR="00DA784F" w:rsidRPr="00DA784F" w:rsidRDefault="00DA784F" w:rsidP="00496C53">
      <w:pPr>
        <w:numPr>
          <w:ilvl w:val="0"/>
          <w:numId w:val="13"/>
        </w:numPr>
        <w:spacing w:before="200"/>
        <w:ind w:left="2268" w:hanging="567"/>
        <w:rPr>
          <w:rFonts w:eastAsia="SimSun"/>
          <w:rtl/>
          <w:lang w:eastAsia="zh-CN" w:bidi="ar-EG"/>
        </w:rPr>
      </w:pPr>
      <w:r w:rsidRPr="00DA784F">
        <w:rPr>
          <w:rFonts w:eastAsia="SimSun" w:hint="cs"/>
          <w:rtl/>
          <w:lang w:eastAsia="zh-CN" w:bidi="ar-EG"/>
        </w:rPr>
        <w:t xml:space="preserve">ست دول، وهي بنن وكوت ديفوار وغابون ومالي والنيجر والسنغال، هي دول أعضاء في المنظمة الأفريقية للملكية الفكرية التي أصبحت طرفاً في وثيقة </w:t>
      </w:r>
      <w:r w:rsidRPr="00DA784F">
        <w:rPr>
          <w:rFonts w:eastAsia="SimSun" w:hint="cs"/>
          <w:lang w:eastAsia="zh-CN" w:bidi="ar-EG"/>
        </w:rPr>
        <w:t>1999</w:t>
      </w:r>
      <w:r w:rsidRPr="00DA784F">
        <w:rPr>
          <w:rFonts w:eastAsia="SimSun" w:hint="cs"/>
          <w:rtl/>
          <w:lang w:eastAsia="zh-CN" w:bidi="ar-EG"/>
        </w:rPr>
        <w:t>؛</w:t>
      </w:r>
    </w:p>
    <w:p w:rsidR="00DA784F" w:rsidRPr="00DA784F" w:rsidRDefault="00DA784F" w:rsidP="00496C53">
      <w:pPr>
        <w:numPr>
          <w:ilvl w:val="0"/>
          <w:numId w:val="13"/>
        </w:numPr>
        <w:spacing w:before="200"/>
        <w:ind w:left="2268" w:hanging="567"/>
        <w:rPr>
          <w:rFonts w:eastAsia="SimSun"/>
          <w:rtl/>
          <w:lang w:eastAsia="zh-CN" w:bidi="ar-EG"/>
        </w:rPr>
      </w:pPr>
      <w:r w:rsidRPr="00DA784F">
        <w:rPr>
          <w:rFonts w:eastAsia="SimSun" w:hint="cs"/>
          <w:rtl/>
          <w:lang w:eastAsia="zh-CN" w:bidi="ar-EG"/>
        </w:rPr>
        <w:t xml:space="preserve">دولتان، وهما اليونان وإيطاليا، هما دولتان عضوان في الاتحاد الأوروبي الذي أصبح طرفاً في وثيقة </w:t>
      </w:r>
      <w:r w:rsidRPr="00DA784F">
        <w:rPr>
          <w:rFonts w:eastAsia="SimSun" w:hint="cs"/>
          <w:lang w:eastAsia="zh-CN" w:bidi="ar-EG"/>
        </w:rPr>
        <w:t>1999</w:t>
      </w:r>
      <w:r w:rsidRPr="00DA784F">
        <w:rPr>
          <w:rFonts w:eastAsia="SimSun" w:hint="cs"/>
          <w:rtl/>
          <w:lang w:eastAsia="zh-CN" w:bidi="ar-EG"/>
        </w:rPr>
        <w:t>.</w:t>
      </w:r>
    </w:p>
    <w:p w:rsidR="00DA784F" w:rsidRPr="00DA784F" w:rsidRDefault="00DA784F" w:rsidP="00DA784F">
      <w:pPr>
        <w:pStyle w:val="ONUMA"/>
        <w:rPr>
          <w:sz w:val="22"/>
          <w:rtl/>
          <w:lang w:bidi="ar-EG"/>
        </w:rPr>
      </w:pPr>
      <w:r w:rsidRPr="00DA784F">
        <w:rPr>
          <w:rFonts w:hint="cs"/>
          <w:rtl/>
          <w:lang w:bidi="ar-EG"/>
        </w:rPr>
        <w:lastRenderedPageBreak/>
        <w:t xml:space="preserve">وفيما يتعلق بالدول الثماني الأطراف في وثيقة </w:t>
      </w:r>
      <w:r w:rsidRPr="00DA784F">
        <w:rPr>
          <w:rFonts w:hint="cs"/>
          <w:lang w:bidi="ar-EG"/>
        </w:rPr>
        <w:t>1960</w:t>
      </w:r>
      <w:r w:rsidRPr="00DA784F">
        <w:rPr>
          <w:rFonts w:hint="cs"/>
          <w:rtl/>
          <w:lang w:bidi="ar-EG"/>
        </w:rPr>
        <w:t xml:space="preserve"> المذكورة آنفاً وغير الملتزمة بوثيقة </w:t>
      </w:r>
      <w:r w:rsidRPr="00DA784F">
        <w:rPr>
          <w:rFonts w:hint="cs"/>
          <w:lang w:bidi="ar-EG"/>
        </w:rPr>
        <w:t>1999</w:t>
      </w:r>
      <w:r w:rsidRPr="00DA784F">
        <w:rPr>
          <w:rFonts w:hint="cs"/>
          <w:rtl/>
          <w:lang w:bidi="ar-EG"/>
        </w:rPr>
        <w:t xml:space="preserve"> ولكنها دول أعضاء في المنظمة الأفريقية للملكية الفكرية أو الاتحاد الأوروبي، فإن عضويتها في تلك المنظمة الحكومية الدولية تؤدي إلى نتيجتين من حيث تطبيق وثيقة </w:t>
      </w:r>
      <w:r w:rsidRPr="00DA784F">
        <w:rPr>
          <w:rFonts w:hint="cs"/>
          <w:lang w:bidi="ar-EG"/>
        </w:rPr>
        <w:t>1999</w:t>
      </w:r>
      <w:r w:rsidRPr="00DA784F">
        <w:rPr>
          <w:rFonts w:hint="cs"/>
          <w:rtl/>
          <w:lang w:bidi="ar-EG"/>
        </w:rPr>
        <w:t xml:space="preserve">. أولاً، يحق لمودعي الطلبات من أي من تلك الدول تعيين أطراف متعاقدة بموجب وثيقة </w:t>
      </w:r>
      <w:r w:rsidRPr="00DA784F">
        <w:rPr>
          <w:rFonts w:hint="cs"/>
          <w:lang w:bidi="ar-EG"/>
        </w:rPr>
        <w:t>1999</w:t>
      </w:r>
      <w:r w:rsidRPr="00DA784F">
        <w:rPr>
          <w:rFonts w:hint="cs"/>
          <w:rtl/>
          <w:lang w:bidi="ar-EG"/>
        </w:rPr>
        <w:t>. وثانياً، يمكن ضمان حماية التصاميم الصناعية في أقاليم تلك الدول بتعيين المنظمة الحكومية الدولية التي تنتمي إليها.</w:t>
      </w:r>
    </w:p>
    <w:p w:rsidR="00DA784F" w:rsidRPr="00DA784F" w:rsidRDefault="00DA784F" w:rsidP="00DA784F">
      <w:pPr>
        <w:pStyle w:val="ONUMA"/>
        <w:rPr>
          <w:sz w:val="22"/>
          <w:rtl/>
          <w:lang w:bidi="ar-EG"/>
        </w:rPr>
      </w:pPr>
      <w:r w:rsidRPr="00DA784F">
        <w:rPr>
          <w:rFonts w:hint="cs"/>
          <w:rtl/>
          <w:lang w:bidi="ar-EG"/>
        </w:rPr>
        <w:t>وأما العضوان المتبقيان من أعضاء اتحاد لاهاي، وهما المغرب وسورينام، فهما يخرجان تماماً عن نطاق تطبيق وثيقة</w:t>
      </w:r>
      <w:r>
        <w:rPr>
          <w:rFonts w:hint="eastAsia"/>
          <w:rtl/>
          <w:lang w:bidi="ar-EG"/>
        </w:rPr>
        <w:t> </w:t>
      </w:r>
      <w:r w:rsidRPr="00DA784F">
        <w:rPr>
          <w:rFonts w:hint="cs"/>
          <w:lang w:bidi="ar-EG"/>
        </w:rPr>
        <w:t>1999</w:t>
      </w:r>
      <w:r w:rsidRPr="00DA784F">
        <w:rPr>
          <w:rFonts w:hint="cs"/>
          <w:rtl/>
          <w:lang w:bidi="ar-EG"/>
        </w:rPr>
        <w:t>.</w:t>
      </w:r>
    </w:p>
    <w:p w:rsidR="00DA784F" w:rsidRPr="00DA784F" w:rsidRDefault="00DA784F" w:rsidP="004E3110">
      <w:pPr>
        <w:pStyle w:val="Heading2"/>
        <w:ind w:left="850" w:hanging="850"/>
        <w:rPr>
          <w:rFonts w:eastAsia="SimSun"/>
          <w:rtl/>
          <w:lang w:eastAsia="zh-CN" w:bidi="ar-EG"/>
        </w:rPr>
      </w:pPr>
      <w:r w:rsidRPr="00DA784F">
        <w:rPr>
          <w:rFonts w:eastAsia="SimSun" w:hint="cs"/>
          <w:rtl/>
          <w:lang w:eastAsia="zh-CN" w:bidi="ar-EG"/>
        </w:rPr>
        <w:t>ثالثاً.</w:t>
      </w:r>
      <w:r w:rsidRPr="00DA784F">
        <w:rPr>
          <w:rFonts w:eastAsia="SimSun" w:hint="cs"/>
          <w:rtl/>
          <w:lang w:eastAsia="zh-CN" w:bidi="ar-EG"/>
        </w:rPr>
        <w:tab/>
        <w:t xml:space="preserve">انخفاض استخدام وثيقة </w:t>
      </w:r>
      <w:r w:rsidRPr="00DA784F">
        <w:rPr>
          <w:rFonts w:eastAsia="SimSun" w:hint="cs"/>
          <w:lang w:eastAsia="zh-CN" w:bidi="ar-EG"/>
        </w:rPr>
        <w:t>1960</w:t>
      </w:r>
      <w:r w:rsidRPr="00DA784F">
        <w:rPr>
          <w:rFonts w:eastAsia="SimSun" w:hint="cs"/>
          <w:rtl/>
          <w:lang w:eastAsia="zh-CN" w:bidi="ar-EG"/>
        </w:rPr>
        <w:t xml:space="preserve"> مقابل توسع نطاق وثيقة </w:t>
      </w:r>
      <w:r w:rsidRPr="00DA784F">
        <w:rPr>
          <w:rFonts w:eastAsia="SimSun" w:hint="cs"/>
          <w:lang w:eastAsia="zh-CN" w:bidi="ar-EG"/>
        </w:rPr>
        <w:t>1999</w:t>
      </w:r>
    </w:p>
    <w:p w:rsidR="00DA784F" w:rsidRPr="00DA784F" w:rsidRDefault="00DA784F" w:rsidP="00DA784F">
      <w:pPr>
        <w:pStyle w:val="ONUMA"/>
        <w:rPr>
          <w:sz w:val="22"/>
          <w:rtl/>
          <w:lang w:bidi="ar-EG"/>
        </w:rPr>
      </w:pPr>
      <w:r w:rsidRPr="00DA784F">
        <w:rPr>
          <w:rFonts w:hint="cs"/>
          <w:rtl/>
          <w:lang w:bidi="ar-EG"/>
        </w:rPr>
        <w:t xml:space="preserve">شهد نشاط التسجيل بموجب وثيقة </w:t>
      </w:r>
      <w:r w:rsidRPr="00DA784F">
        <w:rPr>
          <w:rFonts w:hint="cs"/>
          <w:lang w:bidi="ar-EG"/>
        </w:rPr>
        <w:t>1960</w:t>
      </w:r>
      <w:r w:rsidRPr="00DA784F">
        <w:rPr>
          <w:rFonts w:hint="cs"/>
          <w:rtl/>
          <w:lang w:bidi="ar-EG"/>
        </w:rPr>
        <w:t xml:space="preserve"> انخفاضاً كبيراً منذ دخول وثيقة </w:t>
      </w:r>
      <w:r w:rsidRPr="00DA784F">
        <w:rPr>
          <w:rFonts w:hint="cs"/>
          <w:lang w:bidi="ar-EG"/>
        </w:rPr>
        <w:t>1999</w:t>
      </w:r>
      <w:r w:rsidRPr="00DA784F">
        <w:rPr>
          <w:rFonts w:hint="cs"/>
          <w:rtl/>
          <w:lang w:bidi="ar-EG"/>
        </w:rPr>
        <w:t xml:space="preserve"> حيز النفاذ. فقد كان تسجيل واحد فقط من أصل </w:t>
      </w:r>
      <w:r w:rsidRPr="00DA784F">
        <w:rPr>
          <w:rFonts w:hint="cs"/>
          <w:lang w:bidi="ar-EG"/>
        </w:rPr>
        <w:t>4,767</w:t>
      </w:r>
      <w:r w:rsidRPr="00DA784F">
        <w:rPr>
          <w:rFonts w:hint="cs"/>
          <w:rtl/>
          <w:lang w:bidi="ar-EG"/>
        </w:rPr>
        <w:t xml:space="preserve"> تسجيلاً دولياً أُدخل في السجل الدولي خلال عام </w:t>
      </w:r>
      <w:r w:rsidRPr="00DA784F">
        <w:rPr>
          <w:rFonts w:hint="cs"/>
          <w:lang w:bidi="ar-EG"/>
        </w:rPr>
        <w:t>2018</w:t>
      </w:r>
      <w:r w:rsidRPr="00DA784F">
        <w:rPr>
          <w:rFonts w:hint="cs"/>
          <w:rtl/>
          <w:lang w:bidi="ar-EG"/>
        </w:rPr>
        <w:t xml:space="preserve"> خاضعاً لوثيقة </w:t>
      </w:r>
      <w:r w:rsidRPr="00DA784F">
        <w:rPr>
          <w:rFonts w:hint="cs"/>
          <w:lang w:bidi="ar-EG"/>
        </w:rPr>
        <w:t>1960</w:t>
      </w:r>
      <w:r w:rsidRPr="00DA784F">
        <w:rPr>
          <w:rFonts w:hint="cs"/>
          <w:rtl/>
          <w:lang w:bidi="ar-EG"/>
        </w:rPr>
        <w:t xml:space="preserve"> حصراً</w:t>
      </w:r>
      <w:r w:rsidRPr="00DA784F">
        <w:rPr>
          <w:vertAlign w:val="superscript"/>
          <w:lang w:bidi="ar-EG"/>
        </w:rPr>
        <w:footnoteReference w:id="3"/>
      </w:r>
      <w:r w:rsidRPr="00DA784F">
        <w:rPr>
          <w:rFonts w:hint="cs"/>
          <w:rtl/>
          <w:lang w:bidi="ar-EG"/>
        </w:rPr>
        <w:t xml:space="preserve">. ولم تُدوَّن بموجب وثيقة </w:t>
      </w:r>
      <w:r w:rsidRPr="00DA784F">
        <w:rPr>
          <w:rFonts w:hint="cs"/>
          <w:lang w:bidi="ar-EG"/>
        </w:rPr>
        <w:t>1960</w:t>
      </w:r>
      <w:r w:rsidRPr="00DA784F">
        <w:rPr>
          <w:rFonts w:hint="cs"/>
          <w:rtl/>
          <w:lang w:bidi="ar-EG"/>
        </w:rPr>
        <w:t xml:space="preserve"> سوى </w:t>
      </w:r>
      <w:r w:rsidRPr="00DA784F">
        <w:rPr>
          <w:rFonts w:hint="cs"/>
          <w:lang w:bidi="ar-EG"/>
        </w:rPr>
        <w:t>605</w:t>
      </w:r>
      <w:r w:rsidRPr="00DA784F">
        <w:rPr>
          <w:rFonts w:hint="cs"/>
          <w:rtl/>
          <w:lang w:bidi="ar-EG"/>
        </w:rPr>
        <w:t xml:space="preserve"> تعيينات من أصل </w:t>
      </w:r>
      <w:r w:rsidRPr="00DA784F">
        <w:rPr>
          <w:rFonts w:hint="cs"/>
          <w:lang w:bidi="ar-EG"/>
        </w:rPr>
        <w:t>16,873</w:t>
      </w:r>
      <w:r w:rsidRPr="00DA784F">
        <w:rPr>
          <w:rFonts w:hint="cs"/>
          <w:rtl/>
          <w:lang w:bidi="ar-EG"/>
        </w:rPr>
        <w:t xml:space="preserve"> تعييناً مسجلاً خلال السنة نفسها، أي </w:t>
      </w:r>
      <w:r w:rsidRPr="00DA784F">
        <w:rPr>
          <w:rFonts w:hint="cs"/>
          <w:lang w:bidi="ar-EG"/>
        </w:rPr>
        <w:t>3.6</w:t>
      </w:r>
      <w:r w:rsidRPr="00DA784F">
        <w:rPr>
          <w:rFonts w:hint="cs"/>
          <w:rtl/>
          <w:lang w:bidi="ar-EG"/>
        </w:rPr>
        <w:t xml:space="preserve"> بالمئة فقط من إجمالي التسجيلات.</w:t>
      </w:r>
    </w:p>
    <w:p w:rsidR="00DA784F" w:rsidRPr="00DA784F" w:rsidRDefault="00DA784F" w:rsidP="00DA784F">
      <w:pPr>
        <w:pStyle w:val="ONUMA"/>
        <w:rPr>
          <w:sz w:val="22"/>
          <w:rtl/>
          <w:lang w:bidi="ar-EG"/>
        </w:rPr>
      </w:pPr>
      <w:r w:rsidRPr="00DA784F">
        <w:rPr>
          <w:rFonts w:hint="cs"/>
          <w:rtl/>
          <w:lang w:bidi="ar-EG"/>
        </w:rPr>
        <w:t xml:space="preserve">ولا شك في أن ذلك الوضع العام يرجع إلى حد كبير إلى التوسع السريع لوثيقة </w:t>
      </w:r>
      <w:r w:rsidRPr="00DA784F">
        <w:rPr>
          <w:rFonts w:hint="cs"/>
          <w:lang w:bidi="ar-EG"/>
        </w:rPr>
        <w:t>1999</w:t>
      </w:r>
      <w:r w:rsidRPr="00DA784F">
        <w:rPr>
          <w:rFonts w:hint="cs"/>
          <w:rtl/>
          <w:lang w:bidi="ar-EG"/>
        </w:rPr>
        <w:t xml:space="preserve">. ومع ذلك، يتبيَّن أن وثيقة </w:t>
      </w:r>
      <w:r w:rsidRPr="00DA784F">
        <w:rPr>
          <w:rFonts w:hint="cs"/>
          <w:lang w:bidi="ar-EG"/>
        </w:rPr>
        <w:t>1960</w:t>
      </w:r>
      <w:r w:rsidRPr="00DA784F">
        <w:rPr>
          <w:rFonts w:hint="cs"/>
          <w:rtl/>
          <w:lang w:bidi="ar-EG"/>
        </w:rPr>
        <w:t xml:space="preserve"> باتت تُطبَّق أقل فأقل حتى في صفوف أطرافها المتعاقدة وإن تغاضينا عن أعضاء اتحاد لاهاي الملتزمين بوثيقة </w:t>
      </w:r>
      <w:r w:rsidRPr="00DA784F">
        <w:rPr>
          <w:rFonts w:hint="cs"/>
          <w:lang w:bidi="ar-EG"/>
        </w:rPr>
        <w:t>1999</w:t>
      </w:r>
      <w:r w:rsidRPr="00DA784F">
        <w:rPr>
          <w:rFonts w:hint="cs"/>
          <w:rtl/>
          <w:lang w:bidi="ar-EG"/>
        </w:rPr>
        <w:t xml:space="preserve"> حصراً.</w:t>
      </w:r>
    </w:p>
    <w:p w:rsidR="00DA784F" w:rsidRPr="00DA784F" w:rsidRDefault="00DA784F" w:rsidP="00DA784F">
      <w:pPr>
        <w:pStyle w:val="ONUMA"/>
        <w:rPr>
          <w:sz w:val="22"/>
          <w:rtl/>
          <w:lang w:bidi="ar-EG"/>
        </w:rPr>
      </w:pPr>
      <w:r w:rsidRPr="00DA784F">
        <w:rPr>
          <w:rFonts w:hint="cs"/>
          <w:rtl/>
          <w:lang w:bidi="ar-EG"/>
        </w:rPr>
        <w:t xml:space="preserve">وتوجد أسباب قانونية واضحة لهذه الظاهرة. أولاً، تعطي المادة </w:t>
      </w:r>
      <w:r w:rsidRPr="00DA784F">
        <w:rPr>
          <w:rFonts w:hint="cs"/>
          <w:lang w:bidi="ar-EG"/>
        </w:rPr>
        <w:t>31</w:t>
      </w:r>
      <w:r w:rsidRPr="00DA784F">
        <w:rPr>
          <w:rFonts w:hint="cs"/>
          <w:rtl/>
          <w:lang w:bidi="ar-EG"/>
        </w:rPr>
        <w:t>(</w:t>
      </w:r>
      <w:r w:rsidRPr="00DA784F">
        <w:rPr>
          <w:rFonts w:hint="cs"/>
          <w:lang w:bidi="ar-EG"/>
        </w:rPr>
        <w:t>1</w:t>
      </w:r>
      <w:r w:rsidRPr="00DA784F">
        <w:rPr>
          <w:rFonts w:hint="cs"/>
          <w:rtl/>
          <w:lang w:bidi="ar-EG"/>
        </w:rPr>
        <w:t xml:space="preserve">) من وثيقة </w:t>
      </w:r>
      <w:r w:rsidRPr="00DA784F">
        <w:rPr>
          <w:rFonts w:hint="cs"/>
          <w:lang w:bidi="ar-EG"/>
        </w:rPr>
        <w:t>1999</w:t>
      </w:r>
      <w:r w:rsidRPr="00DA784F">
        <w:rPr>
          <w:rFonts w:hint="cs"/>
          <w:rtl/>
          <w:lang w:bidi="ar-EG"/>
        </w:rPr>
        <w:t xml:space="preserve"> الأسبقية لتلك الوثيقة في العلاقات المتبادلة بين الدول الأطراف في كل من وثيقة </w:t>
      </w:r>
      <w:r w:rsidRPr="00DA784F">
        <w:rPr>
          <w:rFonts w:hint="cs"/>
          <w:lang w:bidi="ar-EG"/>
        </w:rPr>
        <w:t>1999</w:t>
      </w:r>
      <w:r w:rsidRPr="00DA784F">
        <w:rPr>
          <w:rFonts w:hint="cs"/>
          <w:rtl/>
          <w:lang w:bidi="ar-EG"/>
        </w:rPr>
        <w:t xml:space="preserve"> ووثيقة </w:t>
      </w:r>
      <w:r w:rsidRPr="00DA784F">
        <w:rPr>
          <w:rFonts w:hint="cs"/>
          <w:lang w:bidi="ar-EG"/>
        </w:rPr>
        <w:t>1960</w:t>
      </w:r>
      <w:r w:rsidRPr="00DA784F">
        <w:rPr>
          <w:rFonts w:hint="cs"/>
          <w:rtl/>
          <w:lang w:bidi="ar-EG"/>
        </w:rPr>
        <w:t xml:space="preserve">. ومن ثم، متى كان مودع الطلب يأتي من طرف متعاقد ملتزم بكل من وثيقة </w:t>
      </w:r>
      <w:r w:rsidRPr="00DA784F">
        <w:rPr>
          <w:rFonts w:hint="cs"/>
          <w:lang w:bidi="ar-EG"/>
        </w:rPr>
        <w:t>1999</w:t>
      </w:r>
      <w:r w:rsidRPr="00DA784F">
        <w:rPr>
          <w:rFonts w:hint="cs"/>
          <w:rtl/>
          <w:lang w:bidi="ar-EG"/>
        </w:rPr>
        <w:t xml:space="preserve"> ووثيقة </w:t>
      </w:r>
      <w:r w:rsidRPr="00DA784F">
        <w:rPr>
          <w:rFonts w:hint="cs"/>
          <w:lang w:bidi="ar-EG"/>
        </w:rPr>
        <w:t>1960</w:t>
      </w:r>
      <w:r w:rsidRPr="00DA784F">
        <w:rPr>
          <w:rFonts w:hint="cs"/>
          <w:rtl/>
          <w:lang w:bidi="ar-EG"/>
        </w:rPr>
        <w:t xml:space="preserve"> ويعيِّن طرفاً متعاقداً ملتزماً أيضاً بالوثيقتين، خضع ذلك التعيين لوثيقة </w:t>
      </w:r>
      <w:r w:rsidRPr="00DA784F">
        <w:rPr>
          <w:rFonts w:hint="cs"/>
          <w:lang w:bidi="ar-EG"/>
        </w:rPr>
        <w:t>1999</w:t>
      </w:r>
      <w:r w:rsidRPr="00DA784F">
        <w:rPr>
          <w:rFonts w:hint="cs"/>
          <w:rtl/>
          <w:lang w:bidi="ar-EG"/>
        </w:rPr>
        <w:t>.</w:t>
      </w:r>
    </w:p>
    <w:p w:rsidR="00DA784F" w:rsidRPr="00DA784F" w:rsidRDefault="00DA784F" w:rsidP="006D531E">
      <w:pPr>
        <w:pStyle w:val="ONUMA"/>
        <w:rPr>
          <w:rtl/>
          <w:lang w:bidi="ar-EG"/>
        </w:rPr>
      </w:pPr>
      <w:r w:rsidRPr="00DA784F">
        <w:rPr>
          <w:rFonts w:hint="cs"/>
          <w:rtl/>
          <w:lang w:bidi="ar-EG"/>
        </w:rPr>
        <w:t xml:space="preserve">وفضلاً عن ذلك، فإن تعيين طرف متعاقد ملتزم بالوثيقتين يخضع أيضاً لوثيقة </w:t>
      </w:r>
      <w:r w:rsidRPr="00DA784F">
        <w:rPr>
          <w:rFonts w:hint="cs"/>
          <w:lang w:bidi="ar-EG"/>
        </w:rPr>
        <w:t>1999</w:t>
      </w:r>
      <w:r w:rsidRPr="00DA784F">
        <w:rPr>
          <w:rFonts w:hint="cs"/>
          <w:rtl/>
          <w:lang w:bidi="ar-EG"/>
        </w:rPr>
        <w:t>، حيث يتمتع مودع الطلب بحقوق</w:t>
      </w:r>
      <w:r w:rsidR="004E3110">
        <w:rPr>
          <w:rFonts w:hint="cs"/>
          <w:rtl/>
          <w:lang w:bidi="ar-EG"/>
        </w:rPr>
        <w:t xml:space="preserve"> قانونية</w:t>
      </w:r>
      <w:r w:rsidRPr="00DA784F">
        <w:rPr>
          <w:rFonts w:hint="cs"/>
          <w:rtl/>
          <w:lang w:bidi="ar-EG"/>
        </w:rPr>
        <w:t xml:space="preserve"> تراكمية ولكن </w:t>
      </w:r>
      <w:r w:rsidRPr="00DA784F">
        <w:rPr>
          <w:rFonts w:hint="cs"/>
          <w:i/>
          <w:iCs/>
          <w:rtl/>
          <w:lang w:bidi="ar-EG"/>
        </w:rPr>
        <w:t>مستقلة</w:t>
      </w:r>
      <w:r w:rsidRPr="00DA784F">
        <w:rPr>
          <w:rFonts w:hint="cs"/>
          <w:rtl/>
          <w:lang w:bidi="ar-EG"/>
        </w:rPr>
        <w:t xml:space="preserve"> </w:t>
      </w:r>
      <w:r w:rsidR="004E3110">
        <w:rPr>
          <w:rFonts w:hint="cs"/>
          <w:rtl/>
          <w:lang w:bidi="ar-EG"/>
        </w:rPr>
        <w:t>بموجب</w:t>
      </w:r>
      <w:r w:rsidRPr="00DA784F">
        <w:rPr>
          <w:rFonts w:hint="cs"/>
          <w:rtl/>
          <w:lang w:bidi="ar-EG"/>
        </w:rPr>
        <w:t xml:space="preserve"> هاتين الوثيقتين</w:t>
      </w:r>
      <w:r w:rsidR="006D531E">
        <w:rPr>
          <w:rFonts w:hint="cs"/>
          <w:rtl/>
          <w:lang w:bidi="ar-EG"/>
        </w:rPr>
        <w:t xml:space="preserve"> (وتنشأ أهلية التمتع بتلك الحقوق عن وجود صلة بين المودع وطرف متعاقد </w:t>
      </w:r>
      <w:r w:rsidR="006D531E">
        <w:rPr>
          <w:rFonts w:hint="cs"/>
          <w:rtl/>
          <w:lang w:bidi="ar-EG"/>
        </w:rPr>
        <w:lastRenderedPageBreak/>
        <w:t>أو أطراف متعاقدة بموجب اتفاق لاهاي)</w:t>
      </w:r>
      <w:r w:rsidRPr="00DA784F">
        <w:rPr>
          <w:rFonts w:hint="cs"/>
          <w:rtl/>
          <w:lang w:bidi="ar-EG"/>
        </w:rPr>
        <w:t xml:space="preserve">. فعلى سبيل المثال، يطالب مودع ما بحقين </w:t>
      </w:r>
      <w:r w:rsidR="004E3110">
        <w:rPr>
          <w:rFonts w:hint="cs"/>
          <w:rtl/>
          <w:lang w:bidi="ar-EG"/>
        </w:rPr>
        <w:t xml:space="preserve">قانونيين </w:t>
      </w:r>
      <w:r w:rsidRPr="00DA784F">
        <w:rPr>
          <w:rFonts w:hint="cs"/>
          <w:rtl/>
          <w:lang w:bidi="ar-EG"/>
        </w:rPr>
        <w:t xml:space="preserve">مستقلين في طرفين متعاقدين أولهما ملتزم بوثيقة </w:t>
      </w:r>
      <w:r w:rsidRPr="00DA784F">
        <w:rPr>
          <w:rFonts w:hint="cs"/>
          <w:lang w:bidi="ar-EG"/>
        </w:rPr>
        <w:t>1960</w:t>
      </w:r>
      <w:r w:rsidRPr="00DA784F">
        <w:rPr>
          <w:rFonts w:hint="cs"/>
          <w:rtl/>
          <w:lang w:bidi="ar-EG"/>
        </w:rPr>
        <w:t xml:space="preserve"> حصراً وثانيهما ملتزم بوثيقة </w:t>
      </w:r>
      <w:r w:rsidRPr="00DA784F">
        <w:rPr>
          <w:rFonts w:hint="cs"/>
          <w:lang w:bidi="ar-EG"/>
        </w:rPr>
        <w:t>1999</w:t>
      </w:r>
      <w:r w:rsidRPr="00DA784F">
        <w:rPr>
          <w:rFonts w:hint="cs"/>
          <w:rtl/>
          <w:lang w:bidi="ar-EG"/>
        </w:rPr>
        <w:t xml:space="preserve"> حصراً، فإذا عيَّن طرفاً متعاقداً ثالثاً ملتزماً بالوثيقتين، فسيكون ذلك التعيين خاضعاً لوثيقة </w:t>
      </w:r>
      <w:r w:rsidRPr="00DA784F">
        <w:rPr>
          <w:rFonts w:hint="cs"/>
          <w:lang w:bidi="ar-EG"/>
        </w:rPr>
        <w:t>1999</w:t>
      </w:r>
      <w:r w:rsidRPr="00DA784F">
        <w:rPr>
          <w:rFonts w:hint="cs"/>
          <w:rtl/>
          <w:lang w:bidi="ar-EG"/>
        </w:rPr>
        <w:t xml:space="preserve">. وبالمثل، إذا كان الطلب مودعاً لدى طرف متعاقد ملتزم بوثيقة </w:t>
      </w:r>
      <w:r w:rsidRPr="00DA784F">
        <w:rPr>
          <w:rFonts w:hint="cs"/>
          <w:lang w:bidi="ar-EG"/>
        </w:rPr>
        <w:t>1960</w:t>
      </w:r>
      <w:r w:rsidRPr="00DA784F">
        <w:rPr>
          <w:rFonts w:hint="cs"/>
          <w:rtl/>
          <w:lang w:bidi="ar-EG"/>
        </w:rPr>
        <w:t xml:space="preserve"> حصراً ولكن ذلك الطرف عضو في منظمة دولية حكومية ملتزمة بوثيقة </w:t>
      </w:r>
      <w:r w:rsidRPr="00DA784F">
        <w:rPr>
          <w:rFonts w:hint="cs"/>
          <w:lang w:bidi="ar-EG"/>
        </w:rPr>
        <w:t>1999</w:t>
      </w:r>
      <w:r w:rsidRPr="00DA784F">
        <w:rPr>
          <w:rFonts w:hint="cs"/>
          <w:rtl/>
          <w:lang w:bidi="ar-EG"/>
        </w:rPr>
        <w:t xml:space="preserve">، فسيكون تعيين أي طرف متعاقد ملتزم بالوثيقتين خاضعاً لوثيقة </w:t>
      </w:r>
      <w:r w:rsidRPr="00DA784F">
        <w:rPr>
          <w:rFonts w:hint="cs"/>
          <w:lang w:bidi="ar-EG"/>
        </w:rPr>
        <w:t>1999</w:t>
      </w:r>
      <w:r w:rsidRPr="00DA784F">
        <w:rPr>
          <w:rFonts w:hint="cs"/>
          <w:rtl/>
          <w:lang w:bidi="ar-EG"/>
        </w:rPr>
        <w:t>.</w:t>
      </w:r>
    </w:p>
    <w:p w:rsidR="00DA784F" w:rsidRPr="00DA784F" w:rsidRDefault="00DA784F" w:rsidP="00DA784F">
      <w:pPr>
        <w:pStyle w:val="ONUMA"/>
        <w:rPr>
          <w:sz w:val="22"/>
          <w:rtl/>
          <w:lang w:bidi="ar-EG"/>
        </w:rPr>
      </w:pPr>
      <w:r w:rsidRPr="00DA784F">
        <w:rPr>
          <w:rFonts w:hint="cs"/>
          <w:rtl/>
          <w:lang w:bidi="ar-EG"/>
        </w:rPr>
        <w:t xml:space="preserve">وترد في المرفق الثالث إحصاءات عن تعيينات كل الدول الملتزمة بوثيقة </w:t>
      </w:r>
      <w:r w:rsidRPr="00DA784F">
        <w:rPr>
          <w:rFonts w:hint="cs"/>
          <w:lang w:bidi="ar-EG"/>
        </w:rPr>
        <w:t>1960</w:t>
      </w:r>
      <w:r w:rsidRPr="00DA784F">
        <w:rPr>
          <w:rFonts w:hint="cs"/>
          <w:rtl/>
          <w:lang w:bidi="ar-EG"/>
        </w:rPr>
        <w:t xml:space="preserve"> - حصراً أو لا - والمسجَّلة في </w:t>
      </w:r>
      <w:r w:rsidRPr="00DA784F">
        <w:rPr>
          <w:rFonts w:hint="cs"/>
          <w:lang w:bidi="ar-EG"/>
        </w:rPr>
        <w:t>2004</w:t>
      </w:r>
      <w:r w:rsidRPr="00DA784F">
        <w:rPr>
          <w:rFonts w:hint="cs"/>
          <w:rtl/>
          <w:lang w:bidi="ar-EG"/>
        </w:rPr>
        <w:t xml:space="preserve"> و</w:t>
      </w:r>
      <w:r w:rsidRPr="00DA784F">
        <w:rPr>
          <w:rFonts w:hint="cs"/>
          <w:lang w:bidi="ar-EG"/>
        </w:rPr>
        <w:t>2010</w:t>
      </w:r>
      <w:r w:rsidRPr="00DA784F">
        <w:rPr>
          <w:rFonts w:hint="cs"/>
          <w:rtl/>
          <w:lang w:bidi="ar-EG"/>
        </w:rPr>
        <w:t xml:space="preserve"> و</w:t>
      </w:r>
      <w:r w:rsidRPr="00DA784F">
        <w:rPr>
          <w:rFonts w:hint="cs"/>
          <w:lang w:bidi="ar-EG"/>
        </w:rPr>
        <w:t>2018</w:t>
      </w:r>
      <w:r w:rsidRPr="00DA784F">
        <w:rPr>
          <w:rFonts w:hint="cs"/>
          <w:rtl/>
          <w:lang w:bidi="ar-EG"/>
        </w:rPr>
        <w:t xml:space="preserve">. ويتبيَّن من تلك الإحصاءات أنه في عام </w:t>
      </w:r>
      <w:r w:rsidRPr="00DA784F">
        <w:rPr>
          <w:rFonts w:hint="cs"/>
          <w:lang w:bidi="ar-EG"/>
        </w:rPr>
        <w:t>2004</w:t>
      </w:r>
      <w:r w:rsidRPr="00DA784F">
        <w:rPr>
          <w:rFonts w:hint="cs"/>
          <w:rtl/>
          <w:lang w:bidi="ar-EG"/>
        </w:rPr>
        <w:t xml:space="preserve">، أي في السنة الأولى من العمل بوثيقة </w:t>
      </w:r>
      <w:r w:rsidRPr="00DA784F">
        <w:rPr>
          <w:rFonts w:hint="cs"/>
          <w:lang w:bidi="ar-EG"/>
        </w:rPr>
        <w:t>1999</w:t>
      </w:r>
      <w:r w:rsidRPr="00DA784F">
        <w:rPr>
          <w:rFonts w:hint="cs"/>
          <w:rtl/>
          <w:lang w:bidi="ar-EG"/>
        </w:rPr>
        <w:t xml:space="preserve">، كانت أغلبية التعيينات تخضع لوثيقة </w:t>
      </w:r>
      <w:r w:rsidRPr="00DA784F">
        <w:rPr>
          <w:rFonts w:hint="cs"/>
          <w:lang w:bidi="ar-EG"/>
        </w:rPr>
        <w:t>1960</w:t>
      </w:r>
      <w:r w:rsidRPr="00DA784F">
        <w:rPr>
          <w:rFonts w:hint="cs"/>
          <w:rtl/>
          <w:lang w:bidi="ar-EG"/>
        </w:rPr>
        <w:t xml:space="preserve">. غير أن الوضع انعكس تدريجياً خلال السنوات التالية. ففي عام </w:t>
      </w:r>
      <w:r w:rsidRPr="00DA784F">
        <w:rPr>
          <w:rFonts w:hint="cs"/>
          <w:lang w:bidi="ar-EG"/>
        </w:rPr>
        <w:t>2010</w:t>
      </w:r>
      <w:r w:rsidRPr="00DA784F">
        <w:rPr>
          <w:rFonts w:hint="cs"/>
          <w:rtl/>
          <w:lang w:bidi="ar-EG"/>
        </w:rPr>
        <w:t xml:space="preserve">، لم تعد وثيقة </w:t>
      </w:r>
      <w:r w:rsidRPr="00DA784F">
        <w:rPr>
          <w:rFonts w:hint="cs"/>
          <w:lang w:bidi="ar-EG"/>
        </w:rPr>
        <w:t>1960</w:t>
      </w:r>
      <w:r w:rsidRPr="00DA784F">
        <w:rPr>
          <w:rFonts w:hint="cs"/>
          <w:rtl/>
          <w:lang w:bidi="ar-EG"/>
        </w:rPr>
        <w:t xml:space="preserve"> تطبَّق إلا على </w:t>
      </w:r>
      <w:r w:rsidRPr="00DA784F">
        <w:rPr>
          <w:rFonts w:hint="cs"/>
          <w:lang w:bidi="ar-EG"/>
        </w:rPr>
        <w:t>23.9</w:t>
      </w:r>
      <w:r w:rsidRPr="00DA784F">
        <w:rPr>
          <w:rFonts w:hint="cs"/>
          <w:rtl/>
          <w:lang w:bidi="ar-EG"/>
        </w:rPr>
        <w:t xml:space="preserve"> بالمئة من تعيينات الدول الأطراف في وثيقة </w:t>
      </w:r>
      <w:r w:rsidRPr="00DA784F">
        <w:rPr>
          <w:rFonts w:hint="cs"/>
          <w:lang w:bidi="ar-EG"/>
        </w:rPr>
        <w:t>1960</w:t>
      </w:r>
      <w:r w:rsidRPr="00DA784F">
        <w:rPr>
          <w:rFonts w:hint="cs"/>
          <w:rtl/>
          <w:lang w:bidi="ar-EG"/>
        </w:rPr>
        <w:t xml:space="preserve">، ثم انخفضت تلك النسبة إلى </w:t>
      </w:r>
      <w:r w:rsidRPr="00DA784F">
        <w:rPr>
          <w:rFonts w:hint="cs"/>
          <w:lang w:bidi="ar-EG"/>
        </w:rPr>
        <w:t>13.4</w:t>
      </w:r>
      <w:r w:rsidRPr="00DA784F">
        <w:rPr>
          <w:rFonts w:hint="cs"/>
          <w:rtl/>
          <w:lang w:bidi="ar-EG"/>
        </w:rPr>
        <w:t xml:space="preserve"> بالمئة في عام </w:t>
      </w:r>
      <w:r w:rsidRPr="00DA784F">
        <w:rPr>
          <w:rFonts w:hint="cs"/>
          <w:lang w:bidi="ar-EG"/>
        </w:rPr>
        <w:t>2018</w:t>
      </w:r>
      <w:r w:rsidRPr="00DA784F">
        <w:rPr>
          <w:rFonts w:hint="cs"/>
          <w:rtl/>
          <w:lang w:bidi="ar-EG"/>
        </w:rPr>
        <w:t xml:space="preserve">. ويتضح من الرسم البياني الوارد في المرفق الرابع أن وثيقة </w:t>
      </w:r>
      <w:r w:rsidRPr="00DA784F">
        <w:rPr>
          <w:rFonts w:hint="cs"/>
          <w:lang w:bidi="ar-EG"/>
        </w:rPr>
        <w:t>1960</w:t>
      </w:r>
      <w:r w:rsidRPr="00DA784F">
        <w:rPr>
          <w:rFonts w:hint="cs"/>
          <w:rtl/>
          <w:lang w:bidi="ar-EG"/>
        </w:rPr>
        <w:t xml:space="preserve"> لم تعد تُطبَّق إلا نادراً. فيبيِّن ذلك الرسم البياني أنه فيما يتعلق بحالات تعيين الدول الأطراف في وثيقة </w:t>
      </w:r>
      <w:r w:rsidRPr="00DA784F">
        <w:rPr>
          <w:rFonts w:hint="cs"/>
          <w:lang w:bidi="ar-EG"/>
        </w:rPr>
        <w:t>1960</w:t>
      </w:r>
      <w:r w:rsidRPr="00DA784F">
        <w:rPr>
          <w:rFonts w:hint="cs"/>
          <w:rtl/>
          <w:lang w:bidi="ar-EG"/>
        </w:rPr>
        <w:t xml:space="preserve"> التي سُجلت في النصف الأول من عام </w:t>
      </w:r>
      <w:r w:rsidRPr="00DA784F">
        <w:rPr>
          <w:rFonts w:hint="cs"/>
          <w:lang w:bidi="ar-EG"/>
        </w:rPr>
        <w:t>2019</w:t>
      </w:r>
      <w:r w:rsidRPr="00DA784F">
        <w:rPr>
          <w:rFonts w:hint="cs"/>
          <w:rtl/>
          <w:lang w:bidi="ar-EG"/>
        </w:rPr>
        <w:t xml:space="preserve">، فإن تلك الوثيقة لم تُطبَّق قط أو يكاد لأن الدولة الطرف كانت أيضاً طرفاً متعاقداً في وثيقة </w:t>
      </w:r>
      <w:r w:rsidRPr="00DA784F">
        <w:rPr>
          <w:rFonts w:hint="cs"/>
          <w:lang w:bidi="ar-EG"/>
        </w:rPr>
        <w:t>1999</w:t>
      </w:r>
      <w:r w:rsidRPr="00DA784F">
        <w:rPr>
          <w:rFonts w:hint="cs"/>
          <w:rtl/>
          <w:lang w:bidi="ar-EG"/>
        </w:rPr>
        <w:t>.</w:t>
      </w:r>
    </w:p>
    <w:p w:rsidR="00DA784F" w:rsidRPr="00DA784F" w:rsidRDefault="00DA784F" w:rsidP="00DA784F">
      <w:pPr>
        <w:pStyle w:val="ONUMA"/>
        <w:rPr>
          <w:sz w:val="22"/>
          <w:rtl/>
          <w:lang w:bidi="ar-EG"/>
        </w:rPr>
      </w:pPr>
      <w:r w:rsidRPr="00DA784F">
        <w:rPr>
          <w:rFonts w:hint="cs"/>
          <w:rtl/>
          <w:lang w:bidi="ar-EG"/>
        </w:rPr>
        <w:t xml:space="preserve">وفضلاً عن ذلك وكما ذُكر في الفقرة </w:t>
      </w:r>
      <w:r w:rsidRPr="00DA784F">
        <w:rPr>
          <w:rFonts w:hint="cs"/>
          <w:lang w:bidi="ar-EG"/>
        </w:rPr>
        <w:t>6</w:t>
      </w:r>
      <w:r w:rsidRPr="00DA784F">
        <w:rPr>
          <w:rFonts w:hint="cs"/>
          <w:rtl/>
          <w:lang w:bidi="ar-EG"/>
        </w:rPr>
        <w:t xml:space="preserve">، يمكن ضمان الحماية في أقاليم الدول الأطراف في وثيقة </w:t>
      </w:r>
      <w:r w:rsidRPr="00DA784F">
        <w:rPr>
          <w:rFonts w:hint="cs"/>
          <w:lang w:bidi="ar-EG"/>
        </w:rPr>
        <w:t>1960</w:t>
      </w:r>
      <w:r w:rsidRPr="00DA784F">
        <w:rPr>
          <w:rFonts w:hint="cs"/>
          <w:rtl/>
          <w:lang w:bidi="ar-EG"/>
        </w:rPr>
        <w:t xml:space="preserve"> التي تكون أيضاً دولاً أعضاء في منظمة حكومية دولية طرف في وثيقة </w:t>
      </w:r>
      <w:r w:rsidRPr="00DA784F">
        <w:rPr>
          <w:rFonts w:hint="cs"/>
          <w:lang w:bidi="ar-EG"/>
        </w:rPr>
        <w:t>1999</w:t>
      </w:r>
      <w:r w:rsidRPr="00DA784F">
        <w:rPr>
          <w:rFonts w:hint="cs"/>
          <w:rtl/>
          <w:lang w:bidi="ar-EG"/>
        </w:rPr>
        <w:t xml:space="preserve"> عن طريق تعيين تلك المنظمة عوضاً عن تعيين كل من الدول الأطراف في وثيقة </w:t>
      </w:r>
      <w:r w:rsidRPr="00DA784F">
        <w:rPr>
          <w:rFonts w:hint="cs"/>
          <w:lang w:bidi="ar-EG"/>
        </w:rPr>
        <w:t>1960</w:t>
      </w:r>
      <w:r w:rsidRPr="00DA784F">
        <w:rPr>
          <w:rFonts w:hint="cs"/>
          <w:rtl/>
          <w:lang w:bidi="ar-EG"/>
        </w:rPr>
        <w:t xml:space="preserve"> على حدة.</w:t>
      </w:r>
    </w:p>
    <w:p w:rsidR="00DA784F" w:rsidRPr="00DA784F" w:rsidRDefault="00DA784F" w:rsidP="00DA784F">
      <w:pPr>
        <w:pStyle w:val="ONUMA"/>
        <w:rPr>
          <w:sz w:val="22"/>
          <w:rtl/>
          <w:lang w:bidi="ar-EG"/>
        </w:rPr>
      </w:pPr>
      <w:r w:rsidRPr="00DA784F">
        <w:rPr>
          <w:rFonts w:hint="cs"/>
          <w:rtl/>
          <w:lang w:bidi="ar-EG"/>
        </w:rPr>
        <w:t xml:space="preserve">ففي عام </w:t>
      </w:r>
      <w:r w:rsidRPr="00DA784F">
        <w:rPr>
          <w:rFonts w:hint="cs"/>
          <w:lang w:bidi="ar-EG"/>
        </w:rPr>
        <w:t>2007</w:t>
      </w:r>
      <w:r w:rsidRPr="00DA784F">
        <w:rPr>
          <w:rFonts w:hint="cs"/>
          <w:rtl/>
          <w:lang w:bidi="ar-EG"/>
        </w:rPr>
        <w:t xml:space="preserve"> مثلاً، أي سنة قبل أن يصبح الاتحاد الأوروبي طرفاً في وثيقة </w:t>
      </w:r>
      <w:r w:rsidRPr="00DA784F">
        <w:rPr>
          <w:rFonts w:hint="cs"/>
          <w:lang w:bidi="ar-EG"/>
        </w:rPr>
        <w:t>1999</w:t>
      </w:r>
      <w:r w:rsidRPr="00DA784F">
        <w:rPr>
          <w:rFonts w:hint="cs"/>
          <w:rtl/>
          <w:lang w:bidi="ar-EG"/>
        </w:rPr>
        <w:t xml:space="preserve">، عيِّنت إيطاليا في </w:t>
      </w:r>
      <w:r w:rsidRPr="00DA784F">
        <w:rPr>
          <w:rFonts w:hint="cs"/>
          <w:lang w:bidi="ar-EG"/>
        </w:rPr>
        <w:t>42</w:t>
      </w:r>
      <w:r w:rsidRPr="00DA784F">
        <w:rPr>
          <w:rFonts w:hint="cs"/>
          <w:rtl/>
          <w:lang w:bidi="ar-EG"/>
        </w:rPr>
        <w:t xml:space="preserve"> بالمئة من </w:t>
      </w:r>
      <w:r w:rsidR="006C5195">
        <w:rPr>
          <w:rFonts w:hint="cs"/>
          <w:rtl/>
          <w:lang w:bidi="ar-EG"/>
        </w:rPr>
        <w:t>إجمالي</w:t>
      </w:r>
      <w:r w:rsidRPr="00DA784F">
        <w:rPr>
          <w:rFonts w:hint="cs"/>
          <w:rtl/>
          <w:lang w:bidi="ar-EG"/>
        </w:rPr>
        <w:t xml:space="preserve"> التسجيلات الدولية. وفي عام </w:t>
      </w:r>
      <w:r w:rsidRPr="00DA784F">
        <w:rPr>
          <w:rFonts w:hint="cs"/>
          <w:lang w:bidi="ar-EG"/>
        </w:rPr>
        <w:t>2018</w:t>
      </w:r>
      <w:r w:rsidRPr="00DA784F">
        <w:rPr>
          <w:rFonts w:hint="cs"/>
          <w:rtl/>
          <w:lang w:bidi="ar-EG"/>
        </w:rPr>
        <w:t xml:space="preserve">، وعلى الرغم من أن التعيين بموجب وثيقة </w:t>
      </w:r>
      <w:r w:rsidRPr="00DA784F">
        <w:rPr>
          <w:rFonts w:hint="cs"/>
          <w:lang w:bidi="ar-EG"/>
        </w:rPr>
        <w:t>1960</w:t>
      </w:r>
      <w:r w:rsidRPr="00DA784F">
        <w:rPr>
          <w:rFonts w:hint="cs"/>
          <w:rtl/>
          <w:lang w:bidi="ar-EG"/>
        </w:rPr>
        <w:t xml:space="preserve"> كان لا يزال هو السبيل الوحيد لكي يتمكن مودع طلب غير مؤهل لطلب الحماية بموجب وثيقة </w:t>
      </w:r>
      <w:r w:rsidRPr="00DA784F">
        <w:rPr>
          <w:rFonts w:hint="cs"/>
          <w:lang w:bidi="ar-EG"/>
        </w:rPr>
        <w:t>1999</w:t>
      </w:r>
      <w:r w:rsidRPr="00DA784F">
        <w:rPr>
          <w:rFonts w:hint="cs"/>
          <w:rtl/>
          <w:lang w:bidi="ar-EG"/>
        </w:rPr>
        <w:t xml:space="preserve"> من التماس الحماية في إيطاليا، فقد انخفضت تلك النسبة إلى </w:t>
      </w:r>
      <w:r w:rsidRPr="00DA784F">
        <w:rPr>
          <w:rFonts w:hint="cs"/>
          <w:lang w:bidi="ar-EG"/>
        </w:rPr>
        <w:t>1.1</w:t>
      </w:r>
      <w:r w:rsidRPr="00DA784F">
        <w:rPr>
          <w:rFonts w:hint="cs"/>
          <w:rtl/>
          <w:lang w:bidi="ar-EG"/>
        </w:rPr>
        <w:t xml:space="preserve"> بالمئة من </w:t>
      </w:r>
      <w:r w:rsidR="006C5195">
        <w:rPr>
          <w:rFonts w:hint="cs"/>
          <w:rtl/>
          <w:lang w:bidi="ar-EG"/>
        </w:rPr>
        <w:t>إجمالي</w:t>
      </w:r>
      <w:r w:rsidRPr="00DA784F">
        <w:rPr>
          <w:rFonts w:hint="cs"/>
          <w:rtl/>
          <w:lang w:bidi="ar-EG"/>
        </w:rPr>
        <w:t xml:space="preserve"> التسجيلات إذ لم تُعيَّن إيطاليا إلا في </w:t>
      </w:r>
      <w:r w:rsidRPr="00DA784F">
        <w:rPr>
          <w:rFonts w:hint="cs"/>
          <w:lang w:bidi="ar-EG"/>
        </w:rPr>
        <w:t>54</w:t>
      </w:r>
      <w:r w:rsidRPr="00DA784F">
        <w:rPr>
          <w:rFonts w:hint="cs"/>
          <w:rtl/>
          <w:lang w:bidi="ar-EG"/>
        </w:rPr>
        <w:t xml:space="preserve"> تسجيلاً دولياً. وفي المقابل، كان الاتحاد الأوروبي الطرف المتعاقد الأكثر تعييناً في عام </w:t>
      </w:r>
      <w:r w:rsidRPr="00DA784F">
        <w:rPr>
          <w:rFonts w:hint="cs"/>
          <w:lang w:bidi="ar-EG"/>
        </w:rPr>
        <w:t>2018</w:t>
      </w:r>
      <w:r w:rsidRPr="00DA784F">
        <w:rPr>
          <w:rFonts w:hint="cs"/>
          <w:rtl/>
          <w:lang w:bidi="ar-EG"/>
        </w:rPr>
        <w:t xml:space="preserve"> بإجمالي </w:t>
      </w:r>
      <w:r w:rsidRPr="00DA784F">
        <w:rPr>
          <w:rFonts w:hint="cs"/>
          <w:lang w:bidi="ar-EG"/>
        </w:rPr>
        <w:t>3,307</w:t>
      </w:r>
      <w:r w:rsidRPr="00DA784F">
        <w:rPr>
          <w:rFonts w:hint="cs"/>
          <w:rtl/>
          <w:lang w:bidi="ar-EG"/>
        </w:rPr>
        <w:t xml:space="preserve"> تعيينات أي </w:t>
      </w:r>
      <w:r w:rsidRPr="00DA784F">
        <w:rPr>
          <w:rFonts w:hint="cs"/>
          <w:lang w:bidi="ar-EG"/>
        </w:rPr>
        <w:t>69.4</w:t>
      </w:r>
      <w:r w:rsidRPr="00DA784F">
        <w:rPr>
          <w:rFonts w:hint="cs"/>
          <w:rtl/>
          <w:lang w:bidi="ar-EG"/>
        </w:rPr>
        <w:t xml:space="preserve"> بالمئة من </w:t>
      </w:r>
      <w:r w:rsidR="006C5195">
        <w:rPr>
          <w:rFonts w:hint="cs"/>
          <w:rtl/>
          <w:lang w:bidi="ar-EG"/>
        </w:rPr>
        <w:t>إجمالي</w:t>
      </w:r>
      <w:r w:rsidRPr="00DA784F">
        <w:rPr>
          <w:rFonts w:hint="cs"/>
          <w:rtl/>
          <w:lang w:bidi="ar-EG"/>
        </w:rPr>
        <w:t xml:space="preserve"> التعيينات.</w:t>
      </w:r>
    </w:p>
    <w:p w:rsidR="00DA784F" w:rsidRPr="00DA784F" w:rsidRDefault="00DA784F" w:rsidP="004E3110">
      <w:pPr>
        <w:pStyle w:val="Heading2"/>
        <w:ind w:left="850" w:hanging="850"/>
        <w:rPr>
          <w:rFonts w:eastAsia="SimSun"/>
          <w:rtl/>
          <w:lang w:eastAsia="zh-CN" w:bidi="ar-EG"/>
        </w:rPr>
      </w:pPr>
      <w:r w:rsidRPr="00DA784F">
        <w:rPr>
          <w:rFonts w:eastAsia="SimSun" w:hint="cs"/>
          <w:rtl/>
          <w:lang w:eastAsia="zh-CN" w:bidi="ar-EG"/>
        </w:rPr>
        <w:lastRenderedPageBreak/>
        <w:t>رابعاً.</w:t>
      </w:r>
      <w:r w:rsidRPr="00DA784F">
        <w:rPr>
          <w:rFonts w:eastAsia="SimSun" w:hint="cs"/>
          <w:rtl/>
          <w:lang w:eastAsia="zh-CN" w:bidi="ar-EG"/>
        </w:rPr>
        <w:tab/>
        <w:t xml:space="preserve">التعقيد بسبب استمرار العمل بوثيقة </w:t>
      </w:r>
      <w:r w:rsidRPr="00DA784F">
        <w:rPr>
          <w:rFonts w:eastAsia="SimSun" w:hint="cs"/>
          <w:lang w:eastAsia="zh-CN" w:bidi="ar-EG"/>
        </w:rPr>
        <w:t>1960</w:t>
      </w:r>
    </w:p>
    <w:p w:rsidR="00DA784F" w:rsidRPr="00DA784F" w:rsidRDefault="00DA784F" w:rsidP="00DA784F">
      <w:pPr>
        <w:pStyle w:val="ONUMA"/>
        <w:rPr>
          <w:sz w:val="22"/>
          <w:rtl/>
          <w:lang w:bidi="ar-EG"/>
        </w:rPr>
      </w:pPr>
      <w:r w:rsidRPr="00DA784F">
        <w:rPr>
          <w:rFonts w:hint="cs"/>
          <w:rtl/>
          <w:lang w:bidi="ar-EG"/>
        </w:rPr>
        <w:t>يوجد عدد من الشروط التي يتعين استيفاؤها في الطلبات الدولية والتي قد تختلف بحسب الوثيقة المطبَّقة على كل من التعيينات المدرجة في الطلب الدولي.</w:t>
      </w:r>
    </w:p>
    <w:p w:rsidR="00DA784F" w:rsidRPr="00DA784F" w:rsidRDefault="00DA784F" w:rsidP="00DA784F">
      <w:pPr>
        <w:pStyle w:val="ONUMA"/>
        <w:rPr>
          <w:sz w:val="22"/>
          <w:rtl/>
          <w:lang w:bidi="ar-EG"/>
        </w:rPr>
      </w:pPr>
      <w:r w:rsidRPr="00DA784F">
        <w:rPr>
          <w:rFonts w:hint="cs"/>
          <w:rtl/>
          <w:lang w:bidi="ar-EG"/>
        </w:rPr>
        <w:t xml:space="preserve">فعلى سبيل المثال، لا تنطبق المحتويات الإلزامية الإضافية للطلب الدولي المنصوص عليها في القاعدة </w:t>
      </w:r>
      <w:r w:rsidRPr="00DA784F">
        <w:rPr>
          <w:rFonts w:hint="cs"/>
          <w:lang w:bidi="ar-EG"/>
        </w:rPr>
        <w:t>7</w:t>
      </w:r>
      <w:r w:rsidRPr="00DA784F">
        <w:rPr>
          <w:rFonts w:hint="cs"/>
          <w:rtl/>
          <w:lang w:bidi="ar-EG"/>
        </w:rPr>
        <w:t>(</w:t>
      </w:r>
      <w:r w:rsidRPr="00DA784F">
        <w:rPr>
          <w:rFonts w:hint="cs"/>
          <w:lang w:bidi="ar-EG"/>
        </w:rPr>
        <w:t>4</w:t>
      </w:r>
      <w:r w:rsidRPr="00DA784F">
        <w:rPr>
          <w:rFonts w:hint="cs"/>
          <w:rtl/>
          <w:lang w:bidi="ar-EG"/>
        </w:rPr>
        <w:t xml:space="preserve">) من اللائحة التنفيذية المشتركة بين وثيقة </w:t>
      </w:r>
      <w:r w:rsidRPr="00DA784F">
        <w:rPr>
          <w:rFonts w:hint="cs"/>
          <w:lang w:bidi="ar-EG"/>
        </w:rPr>
        <w:t>1999</w:t>
      </w:r>
      <w:r w:rsidRPr="00DA784F">
        <w:rPr>
          <w:rFonts w:hint="cs"/>
          <w:rtl/>
          <w:lang w:bidi="ar-EG"/>
        </w:rPr>
        <w:t xml:space="preserve"> ووثيقة </w:t>
      </w:r>
      <w:r w:rsidRPr="00DA784F">
        <w:rPr>
          <w:rFonts w:hint="cs"/>
          <w:lang w:bidi="ar-EG"/>
        </w:rPr>
        <w:t>1960</w:t>
      </w:r>
      <w:r w:rsidRPr="00DA784F">
        <w:rPr>
          <w:rFonts w:hint="cs"/>
          <w:rtl/>
          <w:lang w:bidi="ar-EG"/>
        </w:rPr>
        <w:t xml:space="preserve"> لاتفاق لاهاي (اللائحة التنفيذية المشتركة) إلا عندما يخضع تعيين ما لوثيقة </w:t>
      </w:r>
      <w:r w:rsidRPr="00DA784F">
        <w:rPr>
          <w:rFonts w:hint="cs"/>
          <w:lang w:bidi="ar-EG"/>
        </w:rPr>
        <w:t>1999</w:t>
      </w:r>
      <w:r w:rsidRPr="00DA784F">
        <w:rPr>
          <w:rFonts w:hint="cs"/>
          <w:rtl/>
          <w:lang w:bidi="ar-EG"/>
        </w:rPr>
        <w:t>.</w:t>
      </w:r>
    </w:p>
    <w:p w:rsidR="00DA784F" w:rsidRPr="00DA784F" w:rsidRDefault="00DA784F" w:rsidP="00DA784F">
      <w:pPr>
        <w:pStyle w:val="ONUMA"/>
        <w:rPr>
          <w:sz w:val="22"/>
          <w:rtl/>
          <w:lang w:bidi="ar-EG"/>
        </w:rPr>
      </w:pPr>
      <w:r w:rsidRPr="00DA784F">
        <w:rPr>
          <w:rFonts w:hint="cs"/>
          <w:rtl/>
          <w:lang w:bidi="ar-EG"/>
        </w:rPr>
        <w:t xml:space="preserve">فعندما تُعيَّن رومانيا بموجب وثيقة </w:t>
      </w:r>
      <w:r w:rsidRPr="00DA784F">
        <w:rPr>
          <w:rFonts w:hint="cs"/>
          <w:lang w:bidi="ar-EG"/>
        </w:rPr>
        <w:t>1999</w:t>
      </w:r>
      <w:r w:rsidRPr="00DA784F">
        <w:rPr>
          <w:rFonts w:hint="cs"/>
          <w:rtl/>
          <w:lang w:bidi="ar-EG"/>
        </w:rPr>
        <w:t xml:space="preserve"> مثلاً، سينظر المكتب الدولي في العناصر المشار إليها في المادة </w:t>
      </w:r>
      <w:r w:rsidRPr="00DA784F">
        <w:rPr>
          <w:rFonts w:hint="cs"/>
          <w:lang w:bidi="ar-EG"/>
        </w:rPr>
        <w:t>5</w:t>
      </w:r>
      <w:r w:rsidRPr="00DA784F">
        <w:rPr>
          <w:rFonts w:hint="cs"/>
          <w:rtl/>
          <w:lang w:bidi="ar-EG"/>
        </w:rPr>
        <w:t>(</w:t>
      </w:r>
      <w:r w:rsidRPr="00DA784F">
        <w:rPr>
          <w:rFonts w:hint="cs"/>
          <w:lang w:bidi="ar-EG"/>
        </w:rPr>
        <w:t>2</w:t>
      </w:r>
      <w:r w:rsidRPr="00DA784F">
        <w:rPr>
          <w:rFonts w:hint="cs"/>
          <w:rtl/>
          <w:lang w:bidi="ar-EG"/>
        </w:rPr>
        <w:t>)(ب)"</w:t>
      </w:r>
      <w:r w:rsidRPr="00DA784F">
        <w:rPr>
          <w:rFonts w:hint="cs"/>
          <w:lang w:bidi="ar-EG"/>
        </w:rPr>
        <w:t>1</w:t>
      </w:r>
      <w:r w:rsidRPr="00DA784F">
        <w:rPr>
          <w:rFonts w:hint="cs"/>
          <w:rtl/>
          <w:lang w:bidi="ar-EG"/>
        </w:rPr>
        <w:t>" و"</w:t>
      </w:r>
      <w:r w:rsidRPr="00DA784F">
        <w:rPr>
          <w:rFonts w:hint="cs"/>
          <w:lang w:bidi="ar-EG"/>
        </w:rPr>
        <w:t>2</w:t>
      </w:r>
      <w:r w:rsidRPr="00DA784F">
        <w:rPr>
          <w:rFonts w:hint="cs"/>
          <w:rtl/>
          <w:lang w:bidi="ar-EG"/>
        </w:rPr>
        <w:t xml:space="preserve">" من وثيقة </w:t>
      </w:r>
      <w:r w:rsidRPr="00DA784F">
        <w:rPr>
          <w:rFonts w:hint="cs"/>
          <w:lang w:bidi="ar-EG"/>
        </w:rPr>
        <w:t>1999</w:t>
      </w:r>
      <w:r w:rsidRPr="00DA784F">
        <w:rPr>
          <w:rFonts w:hint="cs"/>
          <w:rtl/>
          <w:lang w:bidi="ar-EG"/>
        </w:rPr>
        <w:t xml:space="preserve"> عملاً بالقاعدة </w:t>
      </w:r>
      <w:r w:rsidRPr="00DA784F">
        <w:rPr>
          <w:rFonts w:hint="cs"/>
          <w:lang w:bidi="ar-EG"/>
        </w:rPr>
        <w:t>7</w:t>
      </w:r>
      <w:r w:rsidRPr="00DA784F">
        <w:rPr>
          <w:rFonts w:hint="cs"/>
          <w:rtl/>
          <w:lang w:bidi="ar-EG"/>
        </w:rPr>
        <w:t>(</w:t>
      </w:r>
      <w:r w:rsidRPr="00DA784F">
        <w:rPr>
          <w:rFonts w:hint="cs"/>
          <w:lang w:bidi="ar-EG"/>
        </w:rPr>
        <w:t>4</w:t>
      </w:r>
      <w:r w:rsidRPr="00DA784F">
        <w:rPr>
          <w:rFonts w:hint="cs"/>
          <w:rtl/>
          <w:lang w:bidi="ar-EG"/>
        </w:rPr>
        <w:t xml:space="preserve">)(ب). وأما إذا كانت رومانيا معيَّنة بموجب وثيقة </w:t>
      </w:r>
      <w:r w:rsidRPr="00DA784F">
        <w:rPr>
          <w:rFonts w:hint="cs"/>
          <w:lang w:bidi="ar-EG"/>
        </w:rPr>
        <w:t>1960</w:t>
      </w:r>
      <w:r w:rsidRPr="00DA784F">
        <w:rPr>
          <w:rFonts w:hint="cs"/>
          <w:rtl/>
          <w:lang w:bidi="ar-EG"/>
        </w:rPr>
        <w:t xml:space="preserve">، فلن يقوم المكتب الدولي بذلك. وفي تلك الحالة، أي في حالة غياب تلك العناصر من التسجيل الدولي، لا يمكن لمكتب رومانيا أن يصدر رفضاً للمطالبة بإدراج تلك العناصر (المادة </w:t>
      </w:r>
      <w:r w:rsidRPr="00DA784F">
        <w:rPr>
          <w:rFonts w:hint="cs"/>
          <w:lang w:bidi="ar-EG"/>
        </w:rPr>
        <w:t>8</w:t>
      </w:r>
      <w:r w:rsidRPr="00DA784F">
        <w:rPr>
          <w:rFonts w:hint="cs"/>
          <w:rtl/>
          <w:lang w:bidi="ar-EG"/>
        </w:rPr>
        <w:t>(</w:t>
      </w:r>
      <w:r w:rsidRPr="00DA784F">
        <w:rPr>
          <w:rFonts w:hint="cs"/>
          <w:lang w:bidi="ar-EG"/>
        </w:rPr>
        <w:t>1</w:t>
      </w:r>
      <w:r w:rsidRPr="00DA784F">
        <w:rPr>
          <w:rFonts w:hint="cs"/>
          <w:rtl/>
          <w:lang w:bidi="ar-EG"/>
        </w:rPr>
        <w:t xml:space="preserve">) من وثيقة </w:t>
      </w:r>
      <w:r w:rsidRPr="00DA784F">
        <w:rPr>
          <w:rFonts w:hint="cs"/>
          <w:lang w:bidi="ar-EG"/>
        </w:rPr>
        <w:t>1960</w:t>
      </w:r>
      <w:r w:rsidRPr="00DA784F">
        <w:rPr>
          <w:rFonts w:hint="cs"/>
          <w:rtl/>
          <w:lang w:bidi="ar-EG"/>
        </w:rPr>
        <w:t xml:space="preserve"> والمادة </w:t>
      </w:r>
      <w:r w:rsidRPr="00DA784F">
        <w:rPr>
          <w:rFonts w:hint="cs"/>
          <w:lang w:bidi="ar-EG"/>
        </w:rPr>
        <w:t>12</w:t>
      </w:r>
      <w:r w:rsidRPr="00DA784F">
        <w:rPr>
          <w:rFonts w:hint="cs"/>
          <w:rtl/>
          <w:lang w:bidi="ar-EG"/>
        </w:rPr>
        <w:t>(</w:t>
      </w:r>
      <w:r w:rsidRPr="00DA784F">
        <w:rPr>
          <w:rFonts w:hint="cs"/>
          <w:lang w:bidi="ar-EG"/>
        </w:rPr>
        <w:t>1</w:t>
      </w:r>
      <w:r w:rsidRPr="00DA784F">
        <w:rPr>
          <w:rFonts w:hint="cs"/>
          <w:rtl/>
          <w:lang w:bidi="ar-EG"/>
        </w:rPr>
        <w:t xml:space="preserve">) من وثيقة </w:t>
      </w:r>
      <w:r w:rsidRPr="00DA784F">
        <w:rPr>
          <w:rFonts w:hint="cs"/>
          <w:lang w:bidi="ar-EG"/>
        </w:rPr>
        <w:t>1999</w:t>
      </w:r>
      <w:r w:rsidRPr="00DA784F">
        <w:rPr>
          <w:rFonts w:hint="cs"/>
          <w:rtl/>
          <w:lang w:bidi="ar-EG"/>
        </w:rPr>
        <w:t>).</w:t>
      </w:r>
    </w:p>
    <w:p w:rsidR="00DA784F" w:rsidRPr="00DA784F" w:rsidRDefault="00DA784F" w:rsidP="00DA784F">
      <w:pPr>
        <w:pStyle w:val="ONUMA"/>
        <w:rPr>
          <w:sz w:val="22"/>
          <w:rtl/>
          <w:lang w:bidi="ar-EG"/>
        </w:rPr>
      </w:pPr>
      <w:r w:rsidRPr="00DA784F">
        <w:rPr>
          <w:rFonts w:hint="cs"/>
          <w:rtl/>
          <w:lang w:bidi="ar-EG"/>
        </w:rPr>
        <w:t xml:space="preserve">وتنطبق اختلافات أيضاً فيما يتعلق بالفترة القصوى لتأجيل النشر (القاعدة </w:t>
      </w:r>
      <w:r w:rsidRPr="00DA784F">
        <w:rPr>
          <w:rFonts w:hint="cs"/>
          <w:lang w:bidi="ar-EG"/>
        </w:rPr>
        <w:t>16</w:t>
      </w:r>
      <w:r w:rsidRPr="00DA784F">
        <w:rPr>
          <w:rFonts w:hint="cs"/>
          <w:rtl/>
          <w:lang w:bidi="ar-EG"/>
        </w:rPr>
        <w:t>(</w:t>
      </w:r>
      <w:r w:rsidRPr="00DA784F">
        <w:rPr>
          <w:rFonts w:hint="cs"/>
          <w:lang w:bidi="ar-EG"/>
        </w:rPr>
        <w:t>1</w:t>
      </w:r>
      <w:r w:rsidRPr="00DA784F">
        <w:rPr>
          <w:rFonts w:hint="cs"/>
          <w:rtl/>
          <w:lang w:bidi="ar-EG"/>
        </w:rPr>
        <w:t xml:space="preserve">)). فإذا كان الطلب الدولي يخضع لوثيقة </w:t>
      </w:r>
      <w:r w:rsidRPr="00DA784F">
        <w:rPr>
          <w:rFonts w:hint="cs"/>
          <w:lang w:bidi="ar-EG"/>
        </w:rPr>
        <w:t>1999</w:t>
      </w:r>
      <w:r w:rsidRPr="00DA784F">
        <w:rPr>
          <w:rFonts w:hint="cs"/>
          <w:rtl/>
          <w:lang w:bidi="ar-EG"/>
        </w:rPr>
        <w:t xml:space="preserve"> حصراً ويعيِّن سويسرا (فقط</w:t>
      </w:r>
      <w:r w:rsidRPr="00DA784F">
        <w:rPr>
          <w:vertAlign w:val="superscript"/>
          <w:lang w:bidi="ar-EG"/>
        </w:rPr>
        <w:footnoteReference w:id="4"/>
      </w:r>
      <w:r w:rsidRPr="00DA784F">
        <w:rPr>
          <w:rFonts w:hint="cs"/>
          <w:rtl/>
          <w:lang w:bidi="ar-EG"/>
        </w:rPr>
        <w:t xml:space="preserve">)، فيجوز للمودع أن يؤجل النشر 30 شهراً كحد أقصى من تاريخ الإيداع أو تاريخ الأولوية إن وُجد. وأما إذا كانت سويسرا معيَّنة بموجب وثيقة </w:t>
      </w:r>
      <w:r w:rsidRPr="00DA784F">
        <w:rPr>
          <w:rFonts w:hint="cs"/>
          <w:lang w:bidi="ar-EG"/>
        </w:rPr>
        <w:t>1960</w:t>
      </w:r>
      <w:r w:rsidRPr="00DA784F">
        <w:rPr>
          <w:rFonts w:hint="cs"/>
          <w:rtl/>
          <w:lang w:bidi="ar-EG"/>
        </w:rPr>
        <w:t xml:space="preserve">، فتكون مهلة التأجيل القصوى </w:t>
      </w:r>
      <w:r w:rsidRPr="00DA784F">
        <w:rPr>
          <w:rFonts w:hint="cs"/>
          <w:lang w:bidi="ar-EG"/>
        </w:rPr>
        <w:t>12</w:t>
      </w:r>
      <w:r w:rsidRPr="00DA784F">
        <w:rPr>
          <w:rFonts w:hint="cs"/>
          <w:rtl/>
          <w:lang w:bidi="ar-EG"/>
        </w:rPr>
        <w:t xml:space="preserve"> شهراً فقط.</w:t>
      </w:r>
    </w:p>
    <w:p w:rsidR="00DA784F" w:rsidRPr="00DA784F" w:rsidRDefault="00DA784F" w:rsidP="00DA784F">
      <w:pPr>
        <w:pStyle w:val="ONUMA"/>
        <w:rPr>
          <w:sz w:val="22"/>
          <w:rtl/>
          <w:lang w:bidi="ar-EG"/>
        </w:rPr>
      </w:pPr>
      <w:r w:rsidRPr="00DA784F">
        <w:rPr>
          <w:rFonts w:hint="cs"/>
          <w:rtl/>
          <w:lang w:bidi="ar-EG"/>
        </w:rPr>
        <w:t xml:space="preserve">وبالمثل، قد تنطبق فترة رفض مختلفة بحسب الوثيقة التي تنطبق على التعيين المعني. فإذا عيِّنت جمهورية مولدوفا بموجب وثيقة </w:t>
      </w:r>
      <w:r w:rsidRPr="00DA784F">
        <w:rPr>
          <w:rFonts w:hint="cs"/>
          <w:lang w:bidi="ar-EG"/>
        </w:rPr>
        <w:t>1960</w:t>
      </w:r>
      <w:r w:rsidRPr="00DA784F">
        <w:rPr>
          <w:rFonts w:hint="cs"/>
          <w:rtl/>
          <w:lang w:bidi="ar-EG"/>
        </w:rPr>
        <w:t xml:space="preserve">، فستُطبَّق مهلة الرفض البالغة ستة أشهر في حين تُطبَّق مهلة الرفض البالغة </w:t>
      </w:r>
      <w:r w:rsidRPr="00DA784F">
        <w:rPr>
          <w:rFonts w:hint="cs"/>
          <w:lang w:bidi="ar-EG"/>
        </w:rPr>
        <w:t>12</w:t>
      </w:r>
      <w:r w:rsidRPr="00DA784F">
        <w:rPr>
          <w:rFonts w:hint="cs"/>
          <w:rtl/>
          <w:lang w:bidi="ar-EG"/>
        </w:rPr>
        <w:t xml:space="preserve"> شهراً إذا عيِّن الطرف المتعاقد نفسه بموجب وثيقة </w:t>
      </w:r>
      <w:r w:rsidRPr="00DA784F">
        <w:rPr>
          <w:rFonts w:hint="cs"/>
          <w:lang w:bidi="ar-EG"/>
        </w:rPr>
        <w:t>1999</w:t>
      </w:r>
      <w:r w:rsidRPr="00DA784F">
        <w:rPr>
          <w:rFonts w:hint="cs"/>
          <w:rtl/>
          <w:lang w:bidi="ar-EG"/>
        </w:rPr>
        <w:t xml:space="preserve"> عملاً بإعلان ذلك الطرف الصادر بموجب القاعدة </w:t>
      </w:r>
      <w:r w:rsidRPr="00DA784F">
        <w:rPr>
          <w:rFonts w:hint="cs"/>
          <w:lang w:bidi="ar-EG"/>
        </w:rPr>
        <w:t>18</w:t>
      </w:r>
      <w:r w:rsidRPr="00DA784F">
        <w:rPr>
          <w:rFonts w:hint="cs"/>
          <w:rtl/>
          <w:lang w:bidi="ar-EG"/>
        </w:rPr>
        <w:t>(</w:t>
      </w:r>
      <w:r w:rsidRPr="00DA784F">
        <w:rPr>
          <w:rFonts w:hint="cs"/>
          <w:lang w:bidi="ar-EG"/>
        </w:rPr>
        <w:t>1</w:t>
      </w:r>
      <w:r w:rsidRPr="00DA784F">
        <w:rPr>
          <w:rFonts w:hint="cs"/>
          <w:rtl/>
          <w:lang w:bidi="ar-EG"/>
        </w:rPr>
        <w:t>)(ب).</w:t>
      </w:r>
    </w:p>
    <w:p w:rsidR="00DA784F" w:rsidRPr="00DA784F" w:rsidRDefault="00DA784F" w:rsidP="00DA784F">
      <w:pPr>
        <w:pStyle w:val="ONUMA"/>
        <w:rPr>
          <w:sz w:val="22"/>
          <w:rtl/>
          <w:lang w:bidi="ar-EG"/>
        </w:rPr>
      </w:pPr>
      <w:r w:rsidRPr="00DA784F">
        <w:rPr>
          <w:rFonts w:hint="cs"/>
          <w:rtl/>
          <w:lang w:bidi="ar-EG"/>
        </w:rPr>
        <w:t xml:space="preserve">وتوجد اختلافات أيضاً في رسوم التعيين المستحقة عن تجديد التسجيل الدولي. فبموجب وثيقتي </w:t>
      </w:r>
      <w:r w:rsidRPr="00DA784F">
        <w:rPr>
          <w:rFonts w:hint="cs"/>
          <w:lang w:bidi="ar-EG"/>
        </w:rPr>
        <w:t>1999</w:t>
      </w:r>
      <w:r w:rsidRPr="00DA784F">
        <w:rPr>
          <w:rFonts w:hint="cs"/>
          <w:rtl/>
          <w:lang w:bidi="ar-EG"/>
        </w:rPr>
        <w:t xml:space="preserve"> و</w:t>
      </w:r>
      <w:r w:rsidRPr="00DA784F">
        <w:rPr>
          <w:rFonts w:hint="cs"/>
          <w:lang w:bidi="ar-EG"/>
        </w:rPr>
        <w:t>1960</w:t>
      </w:r>
      <w:r w:rsidRPr="00DA784F">
        <w:rPr>
          <w:rFonts w:hint="cs"/>
          <w:rtl/>
          <w:lang w:bidi="ar-EG"/>
        </w:rPr>
        <w:t xml:space="preserve"> كلتيهما، يمكن للطرف المتعاقد الذي يكون مكتبه مكتب فحص أن يصدر إعلاناً بتحصيل رسم تعيين فردي عوضاً عن رسم التعيين العادي (المادة </w:t>
      </w:r>
      <w:r w:rsidRPr="00DA784F">
        <w:rPr>
          <w:rFonts w:hint="cs"/>
          <w:lang w:bidi="ar-EG"/>
        </w:rPr>
        <w:t>7</w:t>
      </w:r>
      <w:r w:rsidRPr="00DA784F">
        <w:rPr>
          <w:rFonts w:hint="cs"/>
          <w:rtl/>
          <w:lang w:bidi="ar-EG"/>
        </w:rPr>
        <w:t>(</w:t>
      </w:r>
      <w:r w:rsidRPr="00DA784F">
        <w:rPr>
          <w:rFonts w:hint="cs"/>
          <w:lang w:bidi="ar-EG"/>
        </w:rPr>
        <w:t>2</w:t>
      </w:r>
      <w:r w:rsidRPr="00DA784F">
        <w:rPr>
          <w:rFonts w:hint="cs"/>
          <w:rtl/>
          <w:lang w:bidi="ar-EG"/>
        </w:rPr>
        <w:t xml:space="preserve">) من وثيقة </w:t>
      </w:r>
      <w:r w:rsidRPr="00DA784F">
        <w:rPr>
          <w:rFonts w:hint="cs"/>
          <w:lang w:bidi="ar-EG"/>
        </w:rPr>
        <w:t>1999</w:t>
      </w:r>
      <w:r w:rsidRPr="00DA784F">
        <w:rPr>
          <w:rFonts w:hint="cs"/>
          <w:rtl/>
          <w:lang w:bidi="ar-EG"/>
        </w:rPr>
        <w:t xml:space="preserve"> والقاعدة </w:t>
      </w:r>
      <w:r w:rsidRPr="00DA784F">
        <w:rPr>
          <w:rFonts w:hint="cs"/>
          <w:lang w:bidi="ar-EG"/>
        </w:rPr>
        <w:t>36</w:t>
      </w:r>
      <w:r w:rsidRPr="00DA784F">
        <w:rPr>
          <w:rFonts w:hint="cs"/>
          <w:rtl/>
          <w:lang w:bidi="ar-EG"/>
        </w:rPr>
        <w:t>(</w:t>
      </w:r>
      <w:r w:rsidRPr="00DA784F">
        <w:rPr>
          <w:rFonts w:hint="cs"/>
          <w:lang w:bidi="ar-EG"/>
        </w:rPr>
        <w:t>1</w:t>
      </w:r>
      <w:r w:rsidRPr="00DA784F">
        <w:rPr>
          <w:rFonts w:hint="cs"/>
          <w:rtl/>
          <w:lang w:bidi="ar-EG"/>
        </w:rPr>
        <w:t xml:space="preserve">) من اللائحة التنفيذية المشتركة). وفي هذا الصدد، يجوز للطرف المتعاقد بموجب المادة </w:t>
      </w:r>
      <w:r w:rsidRPr="00DA784F">
        <w:rPr>
          <w:rFonts w:hint="cs"/>
          <w:lang w:bidi="ar-EG"/>
        </w:rPr>
        <w:t>7</w:t>
      </w:r>
      <w:r w:rsidRPr="00DA784F">
        <w:rPr>
          <w:rFonts w:hint="cs"/>
          <w:rtl/>
          <w:lang w:bidi="ar-EG"/>
        </w:rPr>
        <w:t>(</w:t>
      </w:r>
      <w:r w:rsidRPr="00DA784F">
        <w:rPr>
          <w:rFonts w:hint="cs"/>
          <w:lang w:bidi="ar-EG"/>
        </w:rPr>
        <w:t>2</w:t>
      </w:r>
      <w:r w:rsidRPr="00DA784F">
        <w:rPr>
          <w:rFonts w:hint="cs"/>
          <w:rtl/>
          <w:lang w:bidi="ar-EG"/>
        </w:rPr>
        <w:t xml:space="preserve">) من وثيقة </w:t>
      </w:r>
      <w:r w:rsidRPr="00DA784F">
        <w:rPr>
          <w:rFonts w:hint="cs"/>
          <w:lang w:bidi="ar-EG"/>
        </w:rPr>
        <w:lastRenderedPageBreak/>
        <w:t>1999</w:t>
      </w:r>
      <w:r w:rsidRPr="00DA784F">
        <w:rPr>
          <w:rFonts w:hint="cs"/>
          <w:rtl/>
          <w:lang w:bidi="ar-EG"/>
        </w:rPr>
        <w:t xml:space="preserve"> أن يحصل على رسم تعيين فردي عن أي تسجيل دولي يعيَّن فيه ذلك الطرف المتعاقد وعن تجديد أي تسجيل دولي ينشأ عن ذلك الطلب الدولي. وفي المقابل، تجيز المادة </w:t>
      </w:r>
      <w:r w:rsidRPr="00DA784F">
        <w:rPr>
          <w:rFonts w:hint="cs"/>
          <w:lang w:bidi="ar-EG"/>
        </w:rPr>
        <w:t>15</w:t>
      </w:r>
      <w:r w:rsidRPr="00DA784F">
        <w:rPr>
          <w:rFonts w:hint="cs"/>
          <w:rtl/>
          <w:lang w:bidi="ar-EG"/>
        </w:rPr>
        <w:t>(</w:t>
      </w:r>
      <w:r w:rsidRPr="00DA784F">
        <w:rPr>
          <w:rFonts w:hint="cs"/>
          <w:lang w:bidi="ar-EG"/>
        </w:rPr>
        <w:t>1</w:t>
      </w:r>
      <w:r w:rsidRPr="00DA784F">
        <w:rPr>
          <w:rFonts w:hint="cs"/>
          <w:rtl/>
          <w:lang w:bidi="ar-EG"/>
        </w:rPr>
        <w:t>)(</w:t>
      </w:r>
      <w:r w:rsidRPr="00DA784F">
        <w:rPr>
          <w:rFonts w:hint="cs"/>
          <w:lang w:bidi="ar-EG"/>
        </w:rPr>
        <w:t>2</w:t>
      </w:r>
      <w:r w:rsidRPr="00DA784F">
        <w:rPr>
          <w:rFonts w:hint="cs"/>
          <w:rtl/>
          <w:lang w:bidi="ar-EG"/>
        </w:rPr>
        <w:t xml:space="preserve">)(ب) أن يحصل الطرف المتعاقد على رسم تعيين فردي مقابل فحص جدة تسجيل دولي فقط (وليس مقابل تجديد تسجيل دولي) عن طريق إعلان بموجب القاعدة </w:t>
      </w:r>
      <w:r w:rsidRPr="00DA784F">
        <w:rPr>
          <w:rFonts w:hint="cs"/>
          <w:lang w:bidi="ar-EG"/>
        </w:rPr>
        <w:t>36</w:t>
      </w:r>
      <w:r w:rsidRPr="00DA784F">
        <w:rPr>
          <w:rFonts w:hint="cs"/>
          <w:rtl/>
          <w:lang w:bidi="ar-EG"/>
        </w:rPr>
        <w:t>(</w:t>
      </w:r>
      <w:r w:rsidRPr="00DA784F">
        <w:rPr>
          <w:rFonts w:hint="cs"/>
          <w:lang w:bidi="ar-EG"/>
        </w:rPr>
        <w:t>1</w:t>
      </w:r>
      <w:r w:rsidRPr="00DA784F">
        <w:rPr>
          <w:rFonts w:hint="cs"/>
          <w:rtl/>
          <w:lang w:bidi="ar-EG"/>
        </w:rPr>
        <w:t xml:space="preserve">). وقد أصدرت بعض الأطراف المتعاقدة بموجب وثيقتي </w:t>
      </w:r>
      <w:r w:rsidRPr="00DA784F">
        <w:rPr>
          <w:rFonts w:hint="cs"/>
          <w:lang w:bidi="ar-EG"/>
        </w:rPr>
        <w:t>1999</w:t>
      </w:r>
      <w:r w:rsidRPr="00DA784F">
        <w:rPr>
          <w:rFonts w:hint="cs"/>
          <w:rtl/>
          <w:lang w:bidi="ar-EG"/>
        </w:rPr>
        <w:t xml:space="preserve"> و</w:t>
      </w:r>
      <w:r w:rsidRPr="00DA784F">
        <w:rPr>
          <w:rFonts w:hint="cs"/>
          <w:lang w:bidi="ar-EG"/>
        </w:rPr>
        <w:t>1960</w:t>
      </w:r>
      <w:r w:rsidRPr="00DA784F">
        <w:rPr>
          <w:rFonts w:hint="cs"/>
          <w:rtl/>
          <w:lang w:bidi="ar-EG"/>
        </w:rPr>
        <w:t xml:space="preserve">، مثل هنغاريا وقيرغيزستان وجمهورية مولدوفا، هذين الإعلانين. ومن ثم، يكون رسم تعيين مختلف (عادي أو فردي) مستحقاً إذا أريد تجديد التسجيل الدولي بتعيينات تلك الأطراف المتعاقدة بحسب الوثيقة التي تحكم تلك التعيينات (القاعدة </w:t>
      </w:r>
      <w:r w:rsidRPr="00DA784F">
        <w:rPr>
          <w:rFonts w:hint="cs"/>
          <w:lang w:bidi="ar-EG"/>
        </w:rPr>
        <w:t>24</w:t>
      </w:r>
      <w:r w:rsidRPr="00DA784F">
        <w:rPr>
          <w:rFonts w:hint="cs"/>
          <w:rtl/>
          <w:lang w:bidi="ar-EG"/>
        </w:rPr>
        <w:t>(</w:t>
      </w:r>
      <w:r w:rsidRPr="00DA784F">
        <w:rPr>
          <w:rFonts w:hint="cs"/>
          <w:lang w:bidi="ar-EG"/>
        </w:rPr>
        <w:t>1</w:t>
      </w:r>
      <w:r w:rsidRPr="00DA784F">
        <w:rPr>
          <w:rFonts w:hint="cs"/>
          <w:rtl/>
          <w:lang w:bidi="ar-EG"/>
        </w:rPr>
        <w:t>)(أ)"</w:t>
      </w:r>
      <w:r w:rsidRPr="00DA784F">
        <w:rPr>
          <w:rFonts w:hint="cs"/>
          <w:lang w:bidi="ar-EG"/>
        </w:rPr>
        <w:t>2</w:t>
      </w:r>
      <w:r w:rsidRPr="00DA784F">
        <w:rPr>
          <w:rFonts w:hint="cs"/>
          <w:rtl/>
          <w:lang w:bidi="ar-EG"/>
        </w:rPr>
        <w:t>" و"</w:t>
      </w:r>
      <w:r w:rsidRPr="00DA784F">
        <w:rPr>
          <w:rFonts w:hint="cs"/>
          <w:lang w:bidi="ar-EG"/>
        </w:rPr>
        <w:t>3</w:t>
      </w:r>
      <w:r w:rsidRPr="00DA784F">
        <w:rPr>
          <w:rFonts w:hint="cs"/>
          <w:rtl/>
          <w:lang w:bidi="ar-EG"/>
        </w:rPr>
        <w:t>").</w:t>
      </w:r>
    </w:p>
    <w:p w:rsidR="00DA784F" w:rsidRPr="00DA784F" w:rsidRDefault="00DA784F" w:rsidP="00DA784F">
      <w:pPr>
        <w:pStyle w:val="ONUMA"/>
        <w:rPr>
          <w:sz w:val="22"/>
          <w:rtl/>
          <w:lang w:bidi="ar-EG"/>
        </w:rPr>
      </w:pPr>
      <w:r w:rsidRPr="00DA784F">
        <w:rPr>
          <w:rFonts w:hint="cs"/>
          <w:rtl/>
          <w:lang w:bidi="ar-EG"/>
        </w:rPr>
        <w:t xml:space="preserve">وأخيراً، متى كان التسجيل الدولي خاضعاً لوثيقة </w:t>
      </w:r>
      <w:r w:rsidRPr="00DA784F">
        <w:rPr>
          <w:rFonts w:hint="cs"/>
          <w:lang w:bidi="ar-EG"/>
        </w:rPr>
        <w:t>1999</w:t>
      </w:r>
      <w:r w:rsidRPr="00DA784F">
        <w:rPr>
          <w:rFonts w:hint="cs"/>
          <w:rtl/>
          <w:lang w:bidi="ar-EG"/>
        </w:rPr>
        <w:t xml:space="preserve"> حصراً وأُودع عن طريق مكتب، يكون تاريخ تسلّم المكتب للطلب هو تاريخ الإيداع شريطة أن يتسلمه المكتب الدولي في غضون شهر من ذلك التاريخ (القاعدة </w:t>
      </w:r>
      <w:r w:rsidRPr="00DA784F">
        <w:rPr>
          <w:rFonts w:hint="cs"/>
          <w:lang w:bidi="ar-EG"/>
        </w:rPr>
        <w:t>13</w:t>
      </w:r>
      <w:r w:rsidRPr="00DA784F">
        <w:rPr>
          <w:rFonts w:hint="cs"/>
          <w:rtl/>
          <w:lang w:bidi="ar-EG"/>
        </w:rPr>
        <w:t>(</w:t>
      </w:r>
      <w:r w:rsidRPr="00DA784F">
        <w:rPr>
          <w:rFonts w:hint="cs"/>
          <w:lang w:bidi="ar-EG"/>
        </w:rPr>
        <w:t>3</w:t>
      </w:r>
      <w:r w:rsidRPr="00DA784F">
        <w:rPr>
          <w:rFonts w:hint="cs"/>
          <w:rtl/>
          <w:lang w:bidi="ar-EG"/>
        </w:rPr>
        <w:t>)"</w:t>
      </w:r>
      <w:r w:rsidRPr="00DA784F">
        <w:rPr>
          <w:rFonts w:hint="cs"/>
          <w:lang w:bidi="ar-EG"/>
        </w:rPr>
        <w:t>1</w:t>
      </w:r>
      <w:r w:rsidRPr="00DA784F">
        <w:rPr>
          <w:rFonts w:hint="cs"/>
          <w:rtl/>
          <w:lang w:bidi="ar-EG"/>
        </w:rPr>
        <w:t xml:space="preserve">"). ومع ذلك، إذا عيِّن أي من الأطراف المتعاقدة المعيَّنة في نهاية المطاف بموجب وثيقة </w:t>
      </w:r>
      <w:r w:rsidRPr="00DA784F">
        <w:rPr>
          <w:rFonts w:hint="cs"/>
          <w:lang w:bidi="ar-EG"/>
        </w:rPr>
        <w:t>1960</w:t>
      </w:r>
      <w:r w:rsidRPr="00DA784F">
        <w:rPr>
          <w:rFonts w:hint="cs"/>
          <w:rtl/>
          <w:lang w:bidi="ar-EG"/>
        </w:rPr>
        <w:t xml:space="preserve"> - أي أن الطلب الدولي يكون خاضعاً لوثيقة </w:t>
      </w:r>
      <w:r w:rsidRPr="00DA784F">
        <w:rPr>
          <w:rFonts w:hint="cs"/>
          <w:lang w:bidi="ar-EG"/>
        </w:rPr>
        <w:t>1960</w:t>
      </w:r>
      <w:r w:rsidRPr="00DA784F">
        <w:rPr>
          <w:rFonts w:hint="cs"/>
          <w:rtl/>
          <w:lang w:bidi="ar-EG"/>
        </w:rPr>
        <w:t xml:space="preserve"> حصراً أو جزئياً - سيكون تاريخ الإيداع هو تاريخ تسلّم المكتب الدولي للطلب الدولي (القاعدة </w:t>
      </w:r>
      <w:r w:rsidRPr="00DA784F">
        <w:rPr>
          <w:rFonts w:hint="cs"/>
          <w:lang w:bidi="ar-EG"/>
        </w:rPr>
        <w:t>13</w:t>
      </w:r>
      <w:r w:rsidRPr="00DA784F">
        <w:rPr>
          <w:rFonts w:hint="cs"/>
          <w:rtl/>
          <w:lang w:bidi="ar-EG"/>
        </w:rPr>
        <w:t>(</w:t>
      </w:r>
      <w:r w:rsidRPr="00DA784F">
        <w:rPr>
          <w:rFonts w:hint="cs"/>
          <w:lang w:bidi="ar-EG"/>
        </w:rPr>
        <w:t>3</w:t>
      </w:r>
      <w:r w:rsidRPr="00DA784F">
        <w:rPr>
          <w:rFonts w:hint="cs"/>
          <w:rtl/>
          <w:lang w:bidi="ar-EG"/>
        </w:rPr>
        <w:t>)"</w:t>
      </w:r>
      <w:r w:rsidRPr="00DA784F">
        <w:rPr>
          <w:rFonts w:hint="cs"/>
          <w:lang w:bidi="ar-EG"/>
        </w:rPr>
        <w:t>2</w:t>
      </w:r>
      <w:r w:rsidRPr="00DA784F">
        <w:rPr>
          <w:rFonts w:hint="cs"/>
          <w:rtl/>
          <w:lang w:bidi="ar-EG"/>
        </w:rPr>
        <w:t>").</w:t>
      </w:r>
    </w:p>
    <w:p w:rsidR="00DA784F" w:rsidRPr="00DA784F" w:rsidRDefault="00DA784F" w:rsidP="004E3110">
      <w:pPr>
        <w:pStyle w:val="Heading2"/>
        <w:ind w:left="850" w:hanging="850"/>
        <w:rPr>
          <w:rFonts w:eastAsia="SimSun"/>
          <w:caps/>
          <w:kern w:val="32"/>
          <w:rtl/>
          <w:lang w:eastAsia="zh-CN" w:bidi="ar-EG"/>
        </w:rPr>
      </w:pPr>
      <w:r w:rsidRPr="00DA784F">
        <w:rPr>
          <w:rFonts w:eastAsia="SimSun" w:hint="cs"/>
          <w:caps/>
          <w:kern w:val="32"/>
          <w:rtl/>
          <w:lang w:eastAsia="zh-CN" w:bidi="ar-EG"/>
        </w:rPr>
        <w:t>خامساً.</w:t>
      </w:r>
      <w:r w:rsidRPr="00DA784F">
        <w:rPr>
          <w:rFonts w:eastAsia="SimSun" w:hint="cs"/>
          <w:caps/>
          <w:kern w:val="32"/>
          <w:rtl/>
          <w:lang w:eastAsia="zh-CN" w:bidi="ar-EG"/>
        </w:rPr>
        <w:tab/>
        <w:t>الاستنتاجات</w:t>
      </w:r>
    </w:p>
    <w:p w:rsidR="00DA784F" w:rsidRPr="00DA784F" w:rsidRDefault="00DA784F" w:rsidP="00DA784F">
      <w:pPr>
        <w:pStyle w:val="ONUMA"/>
        <w:rPr>
          <w:sz w:val="22"/>
          <w:rtl/>
          <w:lang w:bidi="ar-EG"/>
        </w:rPr>
      </w:pPr>
      <w:r w:rsidRPr="00DA784F">
        <w:rPr>
          <w:rFonts w:hint="cs"/>
          <w:rtl/>
          <w:lang w:bidi="ar-EG"/>
        </w:rPr>
        <w:t xml:space="preserve">على الرغم من انخفاض استخدام وثيقة </w:t>
      </w:r>
      <w:r w:rsidRPr="00DA784F">
        <w:rPr>
          <w:rFonts w:hint="cs"/>
          <w:lang w:bidi="ar-EG"/>
        </w:rPr>
        <w:t>1960</w:t>
      </w:r>
      <w:r w:rsidRPr="00DA784F">
        <w:rPr>
          <w:rFonts w:hint="cs"/>
          <w:rtl/>
          <w:lang w:bidi="ar-EG"/>
        </w:rPr>
        <w:t xml:space="preserve">، فإنها لا تزال تراعى مراعاة تامة. ومع ذلك، فإن تزامن الوثيقتين وإجراءاتهما ينشئ بعض التعقيد القانوني والإجرائي على النحو المبيَّن في الفقرات السابقة، ويزيد من التكاليف الإدارية. ومن ثم، لا تزال "غلبة وثيقة </w:t>
      </w:r>
      <w:r w:rsidRPr="00DA784F">
        <w:rPr>
          <w:rFonts w:hint="cs"/>
          <w:lang w:bidi="ar-EG"/>
        </w:rPr>
        <w:t>1999</w:t>
      </w:r>
      <w:r w:rsidRPr="00DA784F">
        <w:rPr>
          <w:rFonts w:hint="cs"/>
          <w:rtl/>
          <w:lang w:bidi="ar-EG"/>
        </w:rPr>
        <w:t xml:space="preserve"> في النظام" من مؤشرات الأداء المدرجة في اقتراح البرنامج والميزانية للثنائية </w:t>
      </w:r>
      <w:r w:rsidRPr="00DA784F">
        <w:rPr>
          <w:rFonts w:hint="cs"/>
          <w:lang w:bidi="ar-EG"/>
        </w:rPr>
        <w:t>2020</w:t>
      </w:r>
      <w:r w:rsidRPr="00DA784F">
        <w:rPr>
          <w:rFonts w:hint="cs"/>
          <w:rtl/>
          <w:lang w:bidi="ar-EG"/>
        </w:rPr>
        <w:t>/</w:t>
      </w:r>
      <w:r w:rsidRPr="00DA784F">
        <w:rPr>
          <w:rFonts w:hint="cs"/>
          <w:lang w:bidi="ar-EG"/>
        </w:rPr>
        <w:t>21</w:t>
      </w:r>
      <w:r w:rsidRPr="00DA784F">
        <w:rPr>
          <w:rFonts w:hint="cs"/>
          <w:rtl/>
          <w:lang w:bidi="ar-EG"/>
        </w:rPr>
        <w:t xml:space="preserve"> والمرتبطة بالنتيجة المرتقبة "إنتاجية وجودة خدمات محسّنة في عمليات نظام لاهاي"</w:t>
      </w:r>
      <w:r w:rsidRPr="00DA784F">
        <w:rPr>
          <w:vertAlign w:val="superscript"/>
          <w:lang w:bidi="ar-EG"/>
        </w:rPr>
        <w:footnoteReference w:id="5"/>
      </w:r>
      <w:r w:rsidRPr="00DA784F">
        <w:rPr>
          <w:rFonts w:hint="cs"/>
          <w:rtl/>
          <w:lang w:bidi="ar-EG"/>
        </w:rPr>
        <w:t xml:space="preserve">. ومع زيادة عدد الأطراف المتعاقدة بموجب وثيقة </w:t>
      </w:r>
      <w:r w:rsidRPr="00DA784F">
        <w:rPr>
          <w:rFonts w:hint="cs"/>
          <w:lang w:bidi="ar-EG"/>
        </w:rPr>
        <w:t>1960</w:t>
      </w:r>
      <w:r w:rsidRPr="00DA784F">
        <w:rPr>
          <w:rFonts w:hint="cs"/>
          <w:rtl/>
          <w:lang w:bidi="ar-EG"/>
        </w:rPr>
        <w:t xml:space="preserve"> التي تنضم إلى وثيقة </w:t>
      </w:r>
      <w:r w:rsidRPr="00DA784F">
        <w:rPr>
          <w:rFonts w:hint="cs"/>
          <w:lang w:bidi="ar-EG"/>
        </w:rPr>
        <w:t>1999</w:t>
      </w:r>
      <w:r w:rsidRPr="00DA784F">
        <w:rPr>
          <w:rFonts w:hint="cs"/>
          <w:rtl/>
          <w:lang w:bidi="ar-EG"/>
        </w:rPr>
        <w:t xml:space="preserve">، يُتوقع أن تتضاءل الأهمية العملية لوثيقة </w:t>
      </w:r>
      <w:r w:rsidRPr="00DA784F">
        <w:rPr>
          <w:rFonts w:hint="cs"/>
          <w:lang w:bidi="ar-EG"/>
        </w:rPr>
        <w:t>1960</w:t>
      </w:r>
      <w:r w:rsidRPr="00DA784F">
        <w:rPr>
          <w:rFonts w:hint="cs"/>
          <w:rtl/>
          <w:lang w:bidi="ar-EG"/>
        </w:rPr>
        <w:t xml:space="preserve"> إلى درجة يمكن فيها توخي اتخاذ تدابير استباقية تتيح تركيز النظام على وثيقة </w:t>
      </w:r>
      <w:r w:rsidRPr="00DA784F">
        <w:rPr>
          <w:rFonts w:hint="cs"/>
          <w:lang w:bidi="ar-EG"/>
        </w:rPr>
        <w:t>1999</w:t>
      </w:r>
      <w:r w:rsidRPr="00DA784F">
        <w:rPr>
          <w:rFonts w:hint="cs"/>
          <w:rtl/>
          <w:lang w:bidi="ar-EG"/>
        </w:rPr>
        <w:t xml:space="preserve"> حصراً</w:t>
      </w:r>
      <w:r w:rsidRPr="00DA784F">
        <w:rPr>
          <w:vertAlign w:val="superscript"/>
          <w:lang w:bidi="ar-EG"/>
        </w:rPr>
        <w:footnoteReference w:id="6"/>
      </w:r>
      <w:r w:rsidRPr="00DA784F">
        <w:rPr>
          <w:rFonts w:hint="cs"/>
          <w:rtl/>
          <w:lang w:bidi="ar-EG"/>
        </w:rPr>
        <w:t>. وسيواصل المكتب الدولي مراقبة الوضع وموافاة الفريق العامل بالمستجدات.</w:t>
      </w:r>
    </w:p>
    <w:p w:rsidR="00DA784F" w:rsidRPr="00DA784F" w:rsidRDefault="00DA784F" w:rsidP="00DA784F">
      <w:pPr>
        <w:pStyle w:val="Decision"/>
        <w:rPr>
          <w:sz w:val="22"/>
          <w:rtl/>
          <w:lang w:bidi="ar-EG"/>
        </w:rPr>
      </w:pPr>
      <w:r w:rsidRPr="00DA784F">
        <w:rPr>
          <w:rFonts w:hint="cs"/>
          <w:rtl/>
          <w:lang w:bidi="ar-EG"/>
        </w:rPr>
        <w:lastRenderedPageBreak/>
        <w:t>وإن الفريق العامل مدعو إلى الإحاطة علماً بمضمون هذه الوثيقة.</w:t>
      </w:r>
    </w:p>
    <w:p w:rsidR="00DA784F" w:rsidRPr="00DA784F" w:rsidRDefault="00DA784F" w:rsidP="00DA784F">
      <w:pPr>
        <w:spacing w:before="600"/>
        <w:ind w:left="5534"/>
        <w:rPr>
          <w:rFonts w:eastAsia="SimSun"/>
          <w:rtl/>
          <w:lang w:eastAsia="zh-CN" w:bidi="ar-EG"/>
        </w:rPr>
      </w:pPr>
      <w:r w:rsidRPr="00DA784F">
        <w:rPr>
          <w:rFonts w:eastAsia="SimSun" w:hint="cs"/>
          <w:rtl/>
          <w:lang w:eastAsia="zh-CN" w:bidi="ar-EG"/>
        </w:rPr>
        <w:t>[تلي ذلك المرفقات]</w:t>
      </w:r>
    </w:p>
    <w:p w:rsidR="00DA784F" w:rsidRPr="00DA784F" w:rsidRDefault="00DA784F" w:rsidP="00DA784F">
      <w:pPr>
        <w:bidi w:val="0"/>
        <w:spacing w:before="200"/>
        <w:rPr>
          <w:rFonts w:eastAsia="SimSun"/>
          <w:lang w:eastAsia="zh-CN" w:bidi="ar-EG"/>
        </w:rPr>
        <w:sectPr w:rsidR="00DA784F" w:rsidRPr="00DA784F" w:rsidSect="006C5195">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DA784F" w:rsidRPr="00DA784F" w:rsidRDefault="00DA784F" w:rsidP="00DA784F">
      <w:pPr>
        <w:pStyle w:val="Heading2"/>
        <w:spacing w:before="0"/>
        <w:rPr>
          <w:rFonts w:eastAsia="SimSun"/>
          <w:rtl/>
          <w:lang w:eastAsia="zh-CN" w:bidi="ar-EG"/>
        </w:rPr>
      </w:pPr>
      <w:bookmarkStart w:id="4" w:name="RANGE!A1:E27"/>
      <w:bookmarkEnd w:id="4"/>
      <w:r w:rsidRPr="00DA784F">
        <w:rPr>
          <w:rFonts w:eastAsia="SimSun" w:hint="cs"/>
          <w:rtl/>
          <w:lang w:eastAsia="zh-CN" w:bidi="ar-EG"/>
        </w:rPr>
        <w:lastRenderedPageBreak/>
        <w:t>أعضاء اتحاد لاهاي</w:t>
      </w:r>
      <w:r w:rsidRPr="00DA784F">
        <w:rPr>
          <w:rFonts w:eastAsia="SimSun"/>
          <w:vertAlign w:val="superscript"/>
          <w:lang w:eastAsia="zh-CN" w:bidi="ar-EG"/>
        </w:rPr>
        <w:footnoteReference w:id="7"/>
      </w:r>
    </w:p>
    <w:p w:rsidR="00DA784F" w:rsidRPr="00DA784F" w:rsidRDefault="00DA784F" w:rsidP="00DA784F">
      <w:pPr>
        <w:pStyle w:val="Heading3"/>
        <w:rPr>
          <w:rFonts w:eastAsia="SimSun"/>
          <w:b/>
          <w:bCs/>
          <w:rtl/>
          <w:lang w:eastAsia="zh-CN" w:bidi="ar-EG"/>
        </w:rPr>
      </w:pPr>
      <w:r w:rsidRPr="00DA784F">
        <w:rPr>
          <w:rFonts w:eastAsia="SimSun" w:hint="cs"/>
          <w:b/>
          <w:bCs/>
          <w:rtl/>
          <w:lang w:eastAsia="zh-CN" w:bidi="ar-EG"/>
        </w:rPr>
        <w:t xml:space="preserve">الملتزمون بوثيقة </w:t>
      </w:r>
      <w:r w:rsidRPr="00DA784F">
        <w:rPr>
          <w:rFonts w:eastAsia="SimSun" w:hint="cs"/>
          <w:b/>
          <w:bCs/>
          <w:lang w:eastAsia="zh-CN" w:bidi="ar-EG"/>
        </w:rPr>
        <w:t>1999</w:t>
      </w:r>
      <w:r w:rsidRPr="00DA784F">
        <w:rPr>
          <w:rFonts w:eastAsia="SimSun" w:hint="cs"/>
          <w:b/>
          <w:bCs/>
          <w:rtl/>
          <w:lang w:eastAsia="zh-CN" w:bidi="ar-EG"/>
        </w:rPr>
        <w:t xml:space="preserve"> فقط</w:t>
      </w:r>
    </w:p>
    <w:p w:rsidR="00DA784F" w:rsidRPr="00DA784F" w:rsidRDefault="00DA784F" w:rsidP="00DA784F">
      <w:pPr>
        <w:pStyle w:val="BodyText"/>
        <w:rPr>
          <w:rFonts w:eastAsia="SimSun"/>
          <w:rtl/>
          <w:lang w:eastAsia="zh-CN"/>
        </w:rPr>
      </w:pPr>
      <w:r w:rsidRPr="00DA784F">
        <w:rPr>
          <w:rFonts w:eastAsia="SimSun" w:hint="cs"/>
          <w:rtl/>
          <w:lang w:eastAsia="zh-CN"/>
        </w:rPr>
        <w:t>المنظمة الأفريقية للملكية الفكرية، أرمينيا، أذربيجان، البوسنة والهرسك، بوتسوانا، بروني دار السلام، كمبوديا، كندا، الدانمرك، مصر، إستونيا، الاتحاد الأوروبي، فنلندا، غانا، آيسلندا، اليابان، لاتفيا، ليتوانيا، ناميبيا، النرويج، عمان، بولندا، جمهورية كوريا، الاتحاد الروسي، رواندا، سان مارينو، سان تومي وبرينسيبي، سنغافورة، إسبانيا، الجمهورية العربية السورية، طاجيكستان، تونس، تركيا، تركمانستان، المملكة المتحدة، الولايات المتحدة الأمريكية (</w:t>
      </w:r>
      <w:r w:rsidRPr="00DA784F">
        <w:rPr>
          <w:rFonts w:eastAsia="SimSun" w:hint="cs"/>
          <w:lang w:eastAsia="zh-CN"/>
        </w:rPr>
        <w:t>36</w:t>
      </w:r>
      <w:r w:rsidRPr="00DA784F">
        <w:rPr>
          <w:rFonts w:eastAsia="SimSun" w:hint="cs"/>
          <w:rtl/>
          <w:lang w:eastAsia="zh-CN"/>
        </w:rPr>
        <w:t>)</w:t>
      </w:r>
    </w:p>
    <w:p w:rsidR="00DA784F" w:rsidRPr="00DA784F" w:rsidRDefault="00DA784F" w:rsidP="00DA784F">
      <w:pPr>
        <w:pStyle w:val="Heading3"/>
        <w:rPr>
          <w:rFonts w:eastAsia="SimSun"/>
          <w:b/>
          <w:bCs/>
          <w:rtl/>
          <w:lang w:eastAsia="zh-CN" w:bidi="ar-EG"/>
        </w:rPr>
      </w:pPr>
      <w:r w:rsidRPr="00DA784F">
        <w:rPr>
          <w:rFonts w:eastAsia="SimSun" w:hint="cs"/>
          <w:b/>
          <w:bCs/>
          <w:rtl/>
          <w:lang w:eastAsia="zh-CN" w:bidi="ar-EG"/>
        </w:rPr>
        <w:t xml:space="preserve">الملتزمون بوثيقتي </w:t>
      </w:r>
      <w:r w:rsidRPr="00DA784F">
        <w:rPr>
          <w:rFonts w:eastAsia="SimSun" w:hint="cs"/>
          <w:b/>
          <w:bCs/>
          <w:lang w:eastAsia="zh-CN" w:bidi="ar-EG"/>
        </w:rPr>
        <w:t>1999</w:t>
      </w:r>
      <w:r w:rsidRPr="00DA784F">
        <w:rPr>
          <w:rFonts w:eastAsia="SimSun" w:hint="cs"/>
          <w:b/>
          <w:bCs/>
          <w:rtl/>
          <w:lang w:eastAsia="zh-CN" w:bidi="ar-EG"/>
        </w:rPr>
        <w:t xml:space="preserve"> و</w:t>
      </w:r>
      <w:r w:rsidRPr="00DA784F">
        <w:rPr>
          <w:rFonts w:eastAsia="SimSun" w:hint="cs"/>
          <w:b/>
          <w:bCs/>
          <w:lang w:eastAsia="zh-CN" w:bidi="ar-EG"/>
        </w:rPr>
        <w:t>1960</w:t>
      </w:r>
    </w:p>
    <w:p w:rsidR="00DA784F" w:rsidRPr="00DA784F" w:rsidRDefault="00DA784F" w:rsidP="00DA784F">
      <w:pPr>
        <w:pStyle w:val="BodyText"/>
        <w:rPr>
          <w:rFonts w:eastAsia="SimSun"/>
          <w:rtl/>
          <w:lang w:eastAsia="zh-CN"/>
        </w:rPr>
      </w:pPr>
      <w:r w:rsidRPr="00DA784F">
        <w:rPr>
          <w:rFonts w:eastAsia="SimSun" w:hint="cs"/>
          <w:rtl/>
          <w:lang w:eastAsia="zh-CN"/>
        </w:rPr>
        <w:t>ألبانيا، بلجيكا، بليز، بلغاريا، كرواتيا، جمهورية كوريا الشعبية الديمقراطية، فرنسا، جورجيا، ألمانيا، هنغاريا، قيرغيزستان، ليختنشتاين، لكسمبرغ، موناكو، منغوليا، الجبل الأسود، هولندا، مقدونيا الشمالية، جمهورية مولدوفا، رومانيا، صربيا، سلوفينيا، سويسرا، أوكرانيا (</w:t>
      </w:r>
      <w:r w:rsidRPr="00DA784F">
        <w:rPr>
          <w:rFonts w:eastAsia="SimSun" w:hint="cs"/>
          <w:lang w:eastAsia="zh-CN"/>
        </w:rPr>
        <w:t>24</w:t>
      </w:r>
      <w:r w:rsidRPr="00DA784F">
        <w:rPr>
          <w:rFonts w:eastAsia="SimSun" w:hint="cs"/>
          <w:rtl/>
          <w:lang w:eastAsia="zh-CN"/>
        </w:rPr>
        <w:t>)</w:t>
      </w:r>
    </w:p>
    <w:p w:rsidR="00DA784F" w:rsidRPr="00DA784F" w:rsidRDefault="00DA784F" w:rsidP="00DA784F">
      <w:pPr>
        <w:pStyle w:val="Heading3"/>
        <w:rPr>
          <w:rFonts w:eastAsia="SimSun"/>
          <w:b/>
          <w:bCs/>
          <w:rtl/>
          <w:lang w:eastAsia="zh-CN" w:bidi="ar-EG"/>
        </w:rPr>
      </w:pPr>
      <w:r w:rsidRPr="00DA784F">
        <w:rPr>
          <w:rFonts w:eastAsia="SimSun" w:hint="cs"/>
          <w:b/>
          <w:bCs/>
          <w:rtl/>
          <w:lang w:eastAsia="zh-CN" w:bidi="ar-EG"/>
        </w:rPr>
        <w:t xml:space="preserve">الملتزمون بوثيقة </w:t>
      </w:r>
      <w:r w:rsidRPr="00DA784F">
        <w:rPr>
          <w:rFonts w:eastAsia="SimSun" w:hint="cs"/>
          <w:b/>
          <w:bCs/>
          <w:lang w:eastAsia="zh-CN" w:bidi="ar-EG"/>
        </w:rPr>
        <w:t>1960</w:t>
      </w:r>
      <w:r w:rsidRPr="00DA784F">
        <w:rPr>
          <w:rFonts w:eastAsia="SimSun" w:hint="cs"/>
          <w:b/>
          <w:bCs/>
          <w:rtl/>
          <w:lang w:eastAsia="zh-CN" w:bidi="ar-EG"/>
        </w:rPr>
        <w:t xml:space="preserve"> فقط</w:t>
      </w:r>
    </w:p>
    <w:p w:rsidR="00DA784F" w:rsidRPr="00DA784F" w:rsidRDefault="00DA784F" w:rsidP="00DA784F">
      <w:pPr>
        <w:pStyle w:val="BodyText"/>
        <w:rPr>
          <w:rFonts w:eastAsia="SimSun"/>
          <w:rtl/>
          <w:lang w:eastAsia="zh-CN"/>
        </w:rPr>
      </w:pPr>
      <w:r w:rsidRPr="00DA784F">
        <w:rPr>
          <w:rFonts w:eastAsia="SimSun" w:hint="cs"/>
          <w:rtl/>
          <w:lang w:eastAsia="zh-CN"/>
        </w:rPr>
        <w:t>بنن</w:t>
      </w:r>
      <w:r w:rsidRPr="00DA784F">
        <w:rPr>
          <w:rFonts w:eastAsia="SimSun"/>
          <w:vertAlign w:val="superscript"/>
          <w:lang w:eastAsia="zh-CN"/>
        </w:rPr>
        <w:footnoteReference w:id="8"/>
      </w:r>
      <w:r w:rsidRPr="00DA784F">
        <w:rPr>
          <w:rFonts w:eastAsia="SimSun"/>
          <w:vertAlign w:val="superscript"/>
          <w:lang w:eastAsia="zh-CN"/>
        </w:rPr>
        <w:t>,</w:t>
      </w:r>
      <w:r w:rsidRPr="00DA784F">
        <w:rPr>
          <w:rFonts w:eastAsia="SimSun" w:hint="cs"/>
          <w:rtl/>
          <w:lang w:eastAsia="zh-CN"/>
        </w:rPr>
        <w:t>، كوت ديفوار</w:t>
      </w:r>
      <w:r w:rsidRPr="00DA784F">
        <w:rPr>
          <w:rFonts w:eastAsia="SimSun"/>
          <w:vertAlign w:val="superscript"/>
          <w:lang w:eastAsia="zh-CN"/>
        </w:rPr>
        <w:footnoteReference w:id="9"/>
      </w:r>
      <w:r w:rsidRPr="00DA784F">
        <w:rPr>
          <w:rFonts w:eastAsia="SimSun"/>
          <w:lang w:eastAsia="zh-CN"/>
        </w:rPr>
        <w:t>,</w:t>
      </w:r>
      <w:r w:rsidRPr="00DA784F">
        <w:rPr>
          <w:rFonts w:eastAsia="SimSun" w:hint="cs"/>
          <w:rtl/>
          <w:lang w:eastAsia="zh-CN"/>
        </w:rPr>
        <w:t>، غابون</w:t>
      </w:r>
      <w:r w:rsidRPr="00DA784F">
        <w:rPr>
          <w:rFonts w:eastAsia="SimSun"/>
          <w:vertAlign w:val="superscript"/>
          <w:lang w:eastAsia="zh-CN"/>
        </w:rPr>
        <w:footnoteReference w:id="10"/>
      </w:r>
      <w:r w:rsidRPr="00DA784F">
        <w:rPr>
          <w:rFonts w:eastAsia="SimSun" w:hint="cs"/>
          <w:rtl/>
          <w:lang w:eastAsia="zh-CN"/>
        </w:rPr>
        <w:t>، اليونان</w:t>
      </w:r>
      <w:r w:rsidRPr="00DA784F">
        <w:rPr>
          <w:rFonts w:eastAsia="SimSun"/>
          <w:vertAlign w:val="superscript"/>
          <w:lang w:eastAsia="zh-CN"/>
        </w:rPr>
        <w:footnoteReference w:id="11"/>
      </w:r>
      <w:r w:rsidRPr="00DA784F">
        <w:rPr>
          <w:rFonts w:eastAsia="SimSun" w:hint="cs"/>
          <w:rtl/>
          <w:lang w:eastAsia="zh-CN"/>
        </w:rPr>
        <w:t>، إيطاليا</w:t>
      </w:r>
      <w:r w:rsidRPr="00DA784F">
        <w:rPr>
          <w:rFonts w:eastAsia="SimSun"/>
          <w:vertAlign w:val="superscript"/>
          <w:lang w:eastAsia="zh-CN"/>
        </w:rPr>
        <w:footnoteReference w:id="12"/>
      </w:r>
      <w:r w:rsidRPr="00DA784F">
        <w:rPr>
          <w:rFonts w:eastAsia="SimSun"/>
          <w:vertAlign w:val="superscript"/>
          <w:lang w:eastAsia="zh-CN"/>
        </w:rPr>
        <w:t>,</w:t>
      </w:r>
      <w:r w:rsidRPr="00DA784F">
        <w:rPr>
          <w:rFonts w:eastAsia="SimSun" w:hint="cs"/>
          <w:rtl/>
          <w:lang w:eastAsia="zh-CN"/>
        </w:rPr>
        <w:t>، مالي</w:t>
      </w:r>
      <w:r w:rsidRPr="00DA784F">
        <w:rPr>
          <w:rFonts w:eastAsia="SimSun"/>
          <w:vertAlign w:val="superscript"/>
          <w:lang w:eastAsia="zh-CN"/>
        </w:rPr>
        <w:footnoteReference w:id="13"/>
      </w:r>
      <w:r w:rsidRPr="00DA784F">
        <w:rPr>
          <w:rFonts w:eastAsia="SimSun" w:hint="cs"/>
          <w:rtl/>
          <w:lang w:eastAsia="zh-CN"/>
        </w:rPr>
        <w:t>، المغرب، النيجر</w:t>
      </w:r>
      <w:r w:rsidRPr="00DA784F">
        <w:rPr>
          <w:rFonts w:eastAsia="SimSun"/>
          <w:vertAlign w:val="superscript"/>
          <w:lang w:eastAsia="zh-CN"/>
        </w:rPr>
        <w:footnoteReference w:id="14"/>
      </w:r>
      <w:r w:rsidRPr="00DA784F">
        <w:rPr>
          <w:rFonts w:eastAsia="SimSun" w:hint="cs"/>
          <w:rtl/>
          <w:lang w:eastAsia="zh-CN"/>
        </w:rPr>
        <w:t>، السنغال</w:t>
      </w:r>
      <w:r w:rsidRPr="00DA784F">
        <w:rPr>
          <w:rFonts w:eastAsia="SimSun"/>
          <w:vertAlign w:val="superscript"/>
          <w:lang w:eastAsia="zh-CN"/>
        </w:rPr>
        <w:footnoteReference w:id="15"/>
      </w:r>
      <w:r w:rsidRPr="00DA784F">
        <w:rPr>
          <w:rFonts w:eastAsia="SimSun"/>
          <w:lang w:eastAsia="zh-CN"/>
        </w:rPr>
        <w:t>,</w:t>
      </w:r>
      <w:r w:rsidRPr="00DA784F">
        <w:rPr>
          <w:rFonts w:eastAsia="SimSun" w:hint="cs"/>
          <w:rtl/>
          <w:lang w:eastAsia="zh-CN"/>
        </w:rPr>
        <w:t>، سورينام (</w:t>
      </w:r>
      <w:r w:rsidRPr="00DA784F">
        <w:rPr>
          <w:rFonts w:eastAsia="SimSun" w:hint="cs"/>
          <w:lang w:eastAsia="zh-CN"/>
        </w:rPr>
        <w:t>10</w:t>
      </w:r>
      <w:r w:rsidRPr="00DA784F">
        <w:rPr>
          <w:rFonts w:eastAsia="SimSun" w:hint="cs"/>
          <w:rtl/>
          <w:lang w:eastAsia="zh-CN"/>
        </w:rPr>
        <w:t>)</w:t>
      </w:r>
    </w:p>
    <w:p w:rsidR="004E3110" w:rsidRPr="00DA784F" w:rsidRDefault="00DA784F" w:rsidP="006C5195">
      <w:pPr>
        <w:pStyle w:val="Endofdocument-Annex"/>
        <w:spacing w:before="600"/>
        <w:rPr>
          <w:rFonts w:eastAsia="SimSun"/>
          <w:rtl/>
          <w:lang w:eastAsia="zh-CN" w:bidi="ar-EG"/>
        </w:rPr>
      </w:pPr>
      <w:r w:rsidRPr="00DA784F">
        <w:rPr>
          <w:rFonts w:eastAsia="SimSun" w:hint="cs"/>
          <w:rtl/>
          <w:lang w:eastAsia="zh-CN" w:bidi="ar-EG"/>
        </w:rPr>
        <w:t>[يلي ذلك المرفق الثاني]</w:t>
      </w:r>
    </w:p>
    <w:p w:rsidR="00DA784F" w:rsidRPr="00DA784F" w:rsidRDefault="00DA784F" w:rsidP="00DA784F">
      <w:pPr>
        <w:bidi w:val="0"/>
        <w:spacing w:before="200"/>
        <w:ind w:left="5534"/>
        <w:rPr>
          <w:rFonts w:eastAsia="SimSun"/>
          <w:lang w:eastAsia="zh-CN" w:bidi="ar-EG"/>
        </w:rPr>
        <w:sectPr w:rsidR="00DA784F" w:rsidRPr="00DA784F" w:rsidSect="006C5195">
          <w:headerReference w:type="default" r:id="rId11"/>
          <w:headerReference w:type="first" r:id="rId12"/>
          <w:footerReference w:type="first" r:id="rId13"/>
          <w:footnotePr>
            <w:numRestart w:val="eachSect"/>
          </w:footnotePr>
          <w:endnotePr>
            <w:numFmt w:val="decimal"/>
          </w:endnotePr>
          <w:type w:val="nextColumn"/>
          <w:pgSz w:w="11907" w:h="16840" w:code="9"/>
          <w:pgMar w:top="567" w:right="1134" w:bottom="1418" w:left="1418" w:header="510" w:footer="1021" w:gutter="0"/>
          <w:pgNumType w:start="1"/>
          <w:cols w:space="720"/>
          <w:titlePg/>
          <w:docGrid w:linePitch="299"/>
        </w:sectPr>
      </w:pPr>
    </w:p>
    <w:p w:rsidR="00DA784F" w:rsidRPr="00DA784F" w:rsidRDefault="00DA784F" w:rsidP="00DA784F">
      <w:pPr>
        <w:pStyle w:val="Heading2"/>
        <w:spacing w:before="0"/>
        <w:ind w:left="963"/>
        <w:rPr>
          <w:rFonts w:eastAsia="SimSun"/>
          <w:rtl/>
          <w:lang w:eastAsia="zh-CN" w:bidi="ar-EG"/>
        </w:rPr>
      </w:pPr>
      <w:r w:rsidRPr="00DA784F">
        <w:rPr>
          <w:rFonts w:eastAsia="SimSun" w:hint="cs"/>
          <w:rtl/>
          <w:lang w:eastAsia="zh-CN" w:bidi="ar-EG"/>
        </w:rPr>
        <w:lastRenderedPageBreak/>
        <w:t>أعضاء اتحاد لاهاي بحسب أحدث وثيقة</w:t>
      </w:r>
      <w:r w:rsidRPr="00DA784F">
        <w:rPr>
          <w:rFonts w:eastAsia="SimSun"/>
          <w:vertAlign w:val="superscript"/>
          <w:lang w:eastAsia="zh-CN" w:bidi="ar-EG"/>
        </w:rPr>
        <w:footnoteReference w:id="16"/>
      </w:r>
    </w:p>
    <w:p w:rsidR="00DA784F" w:rsidRPr="00DA784F" w:rsidRDefault="00DA784F" w:rsidP="004E3110">
      <w:pPr>
        <w:spacing w:before="200"/>
        <w:ind w:left="992"/>
        <w:rPr>
          <w:rFonts w:eastAsia="SimSun"/>
          <w:rtl/>
          <w:lang w:eastAsia="zh-CN" w:bidi="ar-EG"/>
        </w:rPr>
      </w:pPr>
      <w:r w:rsidRPr="00DA784F">
        <w:rPr>
          <w:rFonts w:eastAsia="SimSun" w:hint="cs"/>
          <w:noProof/>
          <w:rtl/>
        </w:rPr>
        <w:drawing>
          <wp:inline distT="0" distB="0" distL="0" distR="0" wp14:anchorId="04C9BDBE" wp14:editId="4A80CB89">
            <wp:extent cx="8065770" cy="43319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65770" cy="4331970"/>
                    </a:xfrm>
                    <a:prstGeom prst="rect">
                      <a:avLst/>
                    </a:prstGeom>
                    <a:noFill/>
                    <a:ln>
                      <a:noFill/>
                    </a:ln>
                  </pic:spPr>
                </pic:pic>
              </a:graphicData>
            </a:graphic>
          </wp:inline>
        </w:drawing>
      </w:r>
    </w:p>
    <w:p w:rsidR="00DA784F" w:rsidRPr="00DA784F" w:rsidRDefault="00DA784F" w:rsidP="00403F9C">
      <w:pPr>
        <w:pStyle w:val="Endofdocument-Annex"/>
        <w:spacing w:before="160"/>
        <w:jc w:val="center"/>
        <w:rPr>
          <w:rFonts w:eastAsia="SimSun"/>
          <w:lang w:eastAsia="zh-CN" w:bidi="ar-EG"/>
        </w:rPr>
      </w:pPr>
      <w:r w:rsidRPr="00DA784F">
        <w:rPr>
          <w:rFonts w:eastAsia="SimSun" w:hint="cs"/>
          <w:rtl/>
          <w:lang w:eastAsia="zh-CN" w:bidi="ar-EG"/>
        </w:rPr>
        <w:lastRenderedPageBreak/>
        <w:t>[يلي ذلك المرفق الثالث]</w:t>
      </w:r>
    </w:p>
    <w:p w:rsidR="00DA784F" w:rsidRPr="00DA784F" w:rsidRDefault="00DA784F" w:rsidP="00DA784F">
      <w:pPr>
        <w:bidi w:val="0"/>
        <w:spacing w:before="200"/>
        <w:rPr>
          <w:rFonts w:eastAsia="SimSun"/>
          <w:lang w:eastAsia="zh-CN" w:bidi="ar-EG"/>
        </w:rPr>
        <w:sectPr w:rsidR="00DA784F" w:rsidRPr="00DA784F" w:rsidSect="006C5195">
          <w:headerReference w:type="default" r:id="rId15"/>
          <w:footerReference w:type="default" r:id="rId16"/>
          <w:headerReference w:type="first" r:id="rId17"/>
          <w:footerReference w:type="first" r:id="rId18"/>
          <w:footnotePr>
            <w:numFmt w:val="chicago"/>
            <w:numRestart w:val="eachSect"/>
          </w:footnotePr>
          <w:endnotePr>
            <w:numFmt w:val="decimal"/>
          </w:endnotePr>
          <w:pgSz w:w="16840" w:h="11907" w:orient="landscape" w:code="9"/>
          <w:pgMar w:top="567" w:right="1134" w:bottom="1418" w:left="1418" w:header="510" w:footer="1021" w:gutter="0"/>
          <w:pgNumType w:start="1"/>
          <w:cols w:space="720"/>
          <w:titlePg/>
          <w:docGrid w:linePitch="299"/>
        </w:sectPr>
      </w:pPr>
    </w:p>
    <w:p w:rsidR="00DA784F" w:rsidRPr="00DA784F" w:rsidRDefault="00DA784F" w:rsidP="004E3110">
      <w:pPr>
        <w:pStyle w:val="Heading2"/>
        <w:spacing w:before="0" w:after="200"/>
        <w:rPr>
          <w:rFonts w:eastAsia="SimSun"/>
          <w:rtl/>
          <w:lang w:eastAsia="zh-CN" w:bidi="ar-EG"/>
        </w:rPr>
      </w:pPr>
      <w:r w:rsidRPr="00DA784F">
        <w:rPr>
          <w:rFonts w:eastAsia="SimSun" w:hint="cs"/>
          <w:rtl/>
          <w:lang w:eastAsia="zh-CN" w:bidi="ar-EG"/>
        </w:rPr>
        <w:lastRenderedPageBreak/>
        <w:t xml:space="preserve">تعيينات الأطراف المتعاقدة بموجب وثيقة </w:t>
      </w:r>
      <w:r w:rsidRPr="00DA784F">
        <w:rPr>
          <w:rFonts w:eastAsia="SimSun" w:hint="cs"/>
          <w:lang w:eastAsia="zh-CN" w:bidi="ar-EG"/>
        </w:rPr>
        <w:t>1960</w:t>
      </w:r>
      <w:r w:rsidRPr="00DA784F">
        <w:rPr>
          <w:rFonts w:eastAsia="SimSun" w:hint="cs"/>
          <w:rtl/>
          <w:lang w:eastAsia="zh-CN" w:bidi="ar-EG"/>
        </w:rPr>
        <w:t xml:space="preserve">: التعيينات المسجَّلة في </w:t>
      </w:r>
      <w:r w:rsidRPr="00DA784F">
        <w:rPr>
          <w:rFonts w:eastAsia="SimSun" w:hint="cs"/>
          <w:lang w:eastAsia="zh-CN" w:bidi="ar-EG"/>
        </w:rPr>
        <w:t>2004</w:t>
      </w:r>
      <w:r w:rsidRPr="00DA784F">
        <w:rPr>
          <w:rFonts w:eastAsia="SimSun" w:hint="cs"/>
          <w:rtl/>
          <w:lang w:eastAsia="zh-CN" w:bidi="ar-EG"/>
        </w:rPr>
        <w:t xml:space="preserve"> و</w:t>
      </w:r>
      <w:r w:rsidRPr="00DA784F">
        <w:rPr>
          <w:rFonts w:eastAsia="SimSun" w:hint="cs"/>
          <w:lang w:eastAsia="zh-CN" w:bidi="ar-EG"/>
        </w:rPr>
        <w:t>2010</w:t>
      </w:r>
      <w:r w:rsidRPr="00DA784F">
        <w:rPr>
          <w:rFonts w:eastAsia="SimSun" w:hint="cs"/>
          <w:rtl/>
          <w:lang w:eastAsia="zh-CN" w:bidi="ar-EG"/>
        </w:rPr>
        <w:t xml:space="preserve"> و</w:t>
      </w:r>
      <w:r w:rsidRPr="00DA784F">
        <w:rPr>
          <w:rFonts w:eastAsia="SimSun" w:hint="cs"/>
          <w:lang w:eastAsia="zh-CN" w:bidi="ar-EG"/>
        </w:rPr>
        <w:t>2018</w:t>
      </w:r>
    </w:p>
    <w:tbl>
      <w:tblPr>
        <w:bidiVisual/>
        <w:tblW w:w="5000" w:type="pct"/>
        <w:tblLayout w:type="fixed"/>
        <w:tblLook w:val="0000" w:firstRow="0" w:lastRow="0" w:firstColumn="0" w:lastColumn="0" w:noHBand="0" w:noVBand="0"/>
      </w:tblPr>
      <w:tblGrid>
        <w:gridCol w:w="4786"/>
        <w:gridCol w:w="946"/>
        <w:gridCol w:w="715"/>
        <w:gridCol w:w="715"/>
        <w:gridCol w:w="715"/>
        <w:gridCol w:w="715"/>
        <w:gridCol w:w="717"/>
      </w:tblGrid>
      <w:tr w:rsidR="00DA784F" w:rsidRPr="00DA784F" w:rsidTr="008C0F3A">
        <w:tc>
          <w:tcPr>
            <w:tcW w:w="5000" w:type="pct"/>
            <w:gridSpan w:val="7"/>
            <w:tcBorders>
              <w:top w:val="single" w:sz="18" w:space="0" w:color="auto"/>
              <w:left w:val="single" w:sz="18" w:space="0" w:color="auto"/>
              <w:bottom w:val="single" w:sz="18" w:space="0" w:color="auto"/>
              <w:right w:val="single" w:sz="18" w:space="0" w:color="auto"/>
            </w:tcBorders>
            <w:shd w:val="clear" w:color="auto" w:fill="C0C0C0"/>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rtl/>
                <w:lang w:eastAsia="zh-CN" w:bidi="ar-EG"/>
              </w:rPr>
              <w:t xml:space="preserve">عدد التعيينات بموجب كل وثيقة بحسب الأطراف المتعاقدة بموجب وثيقة </w:t>
            </w:r>
            <w:r w:rsidRPr="00DA784F">
              <w:rPr>
                <w:rFonts w:eastAsia="SimSun" w:hint="cs"/>
                <w:sz w:val="26"/>
                <w:szCs w:val="26"/>
                <w:lang w:eastAsia="zh-CN" w:bidi="ar-EG"/>
              </w:rPr>
              <w:t>1960</w:t>
            </w:r>
          </w:p>
        </w:tc>
      </w:tr>
      <w:tr w:rsidR="00DA784F" w:rsidRPr="00DA784F" w:rsidTr="008C0F3A">
        <w:tc>
          <w:tcPr>
            <w:tcW w:w="2571" w:type="pct"/>
            <w:vMerge w:val="restart"/>
            <w:tcBorders>
              <w:top w:val="single" w:sz="18" w:space="0" w:color="auto"/>
              <w:left w:val="single" w:sz="18" w:space="0" w:color="auto"/>
              <w:bottom w:val="single" w:sz="8" w:space="0" w:color="000000"/>
              <w:right w:val="single" w:sz="18" w:space="0" w:color="auto"/>
            </w:tcBorders>
            <w:shd w:val="clear" w:color="auto" w:fill="auto"/>
            <w:noWrap/>
            <w:vAlign w:val="center"/>
          </w:tcPr>
          <w:p w:rsidR="00DA784F" w:rsidRPr="00DA784F" w:rsidRDefault="00DA784F" w:rsidP="00DA784F">
            <w:pPr>
              <w:keepLines/>
              <w:rPr>
                <w:rFonts w:eastAsia="SimSun"/>
                <w:sz w:val="26"/>
                <w:szCs w:val="26"/>
                <w:rtl/>
                <w:lang w:eastAsia="zh-CN" w:bidi="ar-EG"/>
              </w:rPr>
            </w:pPr>
            <w:bookmarkStart w:id="5" w:name="RANGE!A2:M37"/>
            <w:r w:rsidRPr="00DA784F">
              <w:rPr>
                <w:rFonts w:eastAsia="SimSun" w:hint="cs"/>
                <w:sz w:val="26"/>
                <w:szCs w:val="26"/>
                <w:rtl/>
                <w:lang w:eastAsia="zh-CN" w:bidi="ar-EG"/>
              </w:rPr>
              <w:t xml:space="preserve">الطرف المتعاقد المعيَّن (الذي يكون طرفاً متعاقداً بموجب وثيقة </w:t>
            </w:r>
            <w:r w:rsidRPr="00DA784F">
              <w:rPr>
                <w:rFonts w:eastAsia="SimSun" w:hint="cs"/>
                <w:sz w:val="26"/>
                <w:szCs w:val="26"/>
                <w:lang w:eastAsia="zh-CN" w:bidi="ar-EG"/>
              </w:rPr>
              <w:t>1960</w:t>
            </w:r>
            <w:r w:rsidRPr="00DA784F">
              <w:rPr>
                <w:rFonts w:eastAsia="SimSun" w:hint="cs"/>
                <w:sz w:val="26"/>
                <w:szCs w:val="26"/>
                <w:rtl/>
                <w:lang w:eastAsia="zh-CN" w:bidi="ar-EG"/>
              </w:rPr>
              <w:t xml:space="preserve"> على الأقل)</w:t>
            </w:r>
            <w:bookmarkEnd w:id="5"/>
          </w:p>
        </w:tc>
        <w:tc>
          <w:tcPr>
            <w:tcW w:w="892" w:type="pct"/>
            <w:gridSpan w:val="2"/>
            <w:tcBorders>
              <w:top w:val="single" w:sz="18" w:space="0" w:color="auto"/>
              <w:left w:val="single" w:sz="18" w:space="0" w:color="auto"/>
              <w:bottom w:val="double" w:sz="6" w:space="0" w:color="auto"/>
              <w:right w:val="double" w:sz="4"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2004</w:t>
            </w:r>
          </w:p>
        </w:tc>
        <w:tc>
          <w:tcPr>
            <w:tcW w:w="768" w:type="pct"/>
            <w:gridSpan w:val="2"/>
            <w:tcBorders>
              <w:top w:val="single" w:sz="18" w:space="0" w:color="auto"/>
              <w:left w:val="double" w:sz="4" w:space="0" w:color="auto"/>
              <w:bottom w:val="double" w:sz="6" w:space="0" w:color="auto"/>
              <w:right w:val="double" w:sz="4"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2010</w:t>
            </w:r>
          </w:p>
        </w:tc>
        <w:tc>
          <w:tcPr>
            <w:tcW w:w="769" w:type="pct"/>
            <w:gridSpan w:val="2"/>
            <w:tcBorders>
              <w:top w:val="single" w:sz="18" w:space="0" w:color="auto"/>
              <w:left w:val="double" w:sz="4" w:space="0" w:color="auto"/>
              <w:bottom w:val="double" w:sz="6" w:space="0" w:color="auto"/>
              <w:right w:val="single" w:sz="18"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2018</w:t>
            </w:r>
          </w:p>
        </w:tc>
      </w:tr>
      <w:tr w:rsidR="00DA784F" w:rsidRPr="00DA784F" w:rsidTr="008C0F3A">
        <w:tc>
          <w:tcPr>
            <w:tcW w:w="2571" w:type="pct"/>
            <w:vMerge/>
            <w:tcBorders>
              <w:top w:val="nil"/>
              <w:left w:val="single" w:sz="18" w:space="0" w:color="auto"/>
              <w:bottom w:val="single" w:sz="18" w:space="0" w:color="auto"/>
              <w:right w:val="single" w:sz="18" w:space="0" w:color="auto"/>
            </w:tcBorders>
            <w:vAlign w:val="center"/>
          </w:tcPr>
          <w:p w:rsidR="00DA784F" w:rsidRPr="00DA784F" w:rsidRDefault="00DA784F" w:rsidP="00DA784F">
            <w:pPr>
              <w:keepLines/>
              <w:bidi w:val="0"/>
              <w:rPr>
                <w:rFonts w:eastAsia="SimSun"/>
                <w:sz w:val="26"/>
                <w:szCs w:val="26"/>
                <w:lang w:eastAsia="zh-CN" w:bidi="ar-EG"/>
              </w:rPr>
            </w:pPr>
          </w:p>
        </w:tc>
        <w:tc>
          <w:tcPr>
            <w:tcW w:w="508" w:type="pct"/>
            <w:tcBorders>
              <w:top w:val="nil"/>
              <w:left w:val="single" w:sz="18" w:space="0" w:color="auto"/>
              <w:bottom w:val="single" w:sz="18" w:space="0" w:color="auto"/>
              <w:right w:val="single" w:sz="4"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60</w:t>
            </w:r>
          </w:p>
        </w:tc>
        <w:tc>
          <w:tcPr>
            <w:tcW w:w="384" w:type="pct"/>
            <w:tcBorders>
              <w:top w:val="nil"/>
              <w:left w:val="nil"/>
              <w:bottom w:val="single" w:sz="18" w:space="0" w:color="auto"/>
              <w:right w:val="double" w:sz="4"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99</w:t>
            </w:r>
          </w:p>
        </w:tc>
        <w:tc>
          <w:tcPr>
            <w:tcW w:w="384" w:type="pct"/>
            <w:tcBorders>
              <w:top w:val="nil"/>
              <w:left w:val="double" w:sz="4" w:space="0" w:color="auto"/>
              <w:bottom w:val="single" w:sz="18" w:space="0" w:color="auto"/>
              <w:right w:val="single" w:sz="4"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60</w:t>
            </w:r>
          </w:p>
        </w:tc>
        <w:tc>
          <w:tcPr>
            <w:tcW w:w="384" w:type="pct"/>
            <w:tcBorders>
              <w:top w:val="nil"/>
              <w:left w:val="nil"/>
              <w:bottom w:val="single" w:sz="18" w:space="0" w:color="auto"/>
              <w:right w:val="double" w:sz="4"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99</w:t>
            </w:r>
          </w:p>
        </w:tc>
        <w:tc>
          <w:tcPr>
            <w:tcW w:w="384" w:type="pct"/>
            <w:tcBorders>
              <w:top w:val="nil"/>
              <w:left w:val="double" w:sz="4" w:space="0" w:color="auto"/>
              <w:bottom w:val="single" w:sz="18" w:space="0" w:color="auto"/>
              <w:right w:val="single" w:sz="4"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60</w:t>
            </w:r>
          </w:p>
        </w:tc>
        <w:tc>
          <w:tcPr>
            <w:tcW w:w="385" w:type="pct"/>
            <w:tcBorders>
              <w:top w:val="nil"/>
              <w:left w:val="nil"/>
              <w:bottom w:val="single" w:sz="18" w:space="0" w:color="auto"/>
              <w:right w:val="single" w:sz="18"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99</w:t>
            </w:r>
          </w:p>
        </w:tc>
      </w:tr>
      <w:tr w:rsidR="00DA784F" w:rsidRPr="00DA784F" w:rsidTr="008C0F3A">
        <w:tc>
          <w:tcPr>
            <w:tcW w:w="2571" w:type="pct"/>
            <w:tcBorders>
              <w:top w:val="single" w:sz="18" w:space="0" w:color="auto"/>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ألبانيا</w:t>
            </w:r>
          </w:p>
        </w:tc>
        <w:tc>
          <w:tcPr>
            <w:tcW w:w="508" w:type="pct"/>
            <w:tcBorders>
              <w:top w:val="single" w:sz="18" w:space="0" w:color="auto"/>
              <w:left w:val="single" w:sz="18" w:space="0" w:color="auto"/>
              <w:bottom w:val="single" w:sz="4" w:space="0" w:color="auto"/>
              <w:right w:val="sing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single" w:sz="18" w:space="0" w:color="auto"/>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single" w:sz="18" w:space="0" w:color="auto"/>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single" w:sz="18" w:space="0" w:color="auto"/>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176</w:t>
            </w:r>
          </w:p>
        </w:tc>
        <w:tc>
          <w:tcPr>
            <w:tcW w:w="384" w:type="pct"/>
            <w:tcBorders>
              <w:top w:val="single" w:sz="18" w:space="0" w:color="auto"/>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single" w:sz="18" w:space="0" w:color="auto"/>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133</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بلغاريا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472</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63</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بنن</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39</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8</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13</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بنيلوكس</w:t>
            </w:r>
            <w:r w:rsidRPr="004E3110">
              <w:rPr>
                <w:rFonts w:eastAsia="SimSun"/>
                <w:sz w:val="26"/>
                <w:szCs w:val="26"/>
                <w:vertAlign w:val="superscript"/>
                <w:lang w:eastAsia="zh-CN" w:bidi="ar-EG"/>
              </w:rPr>
              <w:footnoteReference w:id="17"/>
            </w:r>
          </w:p>
        </w:tc>
        <w:tc>
          <w:tcPr>
            <w:tcW w:w="508" w:type="pct"/>
            <w:tcBorders>
              <w:top w:val="nil"/>
              <w:left w:val="single" w:sz="18" w:space="0" w:color="auto"/>
              <w:bottom w:val="single" w:sz="4" w:space="0" w:color="auto"/>
              <w:right w:val="single" w:sz="4" w:space="0" w:color="auto"/>
            </w:tcBorders>
            <w:shd w:val="clear" w:color="auto" w:fill="FFFFFF"/>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919</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FFFFFF"/>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111</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FFFFFF"/>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55</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بليز</w:t>
            </w:r>
            <w:r w:rsidRPr="004E3110">
              <w:rPr>
                <w:rFonts w:eastAsia="SimSun"/>
                <w:sz w:val="26"/>
                <w:szCs w:val="26"/>
                <w:vertAlign w:val="superscript"/>
                <w:lang w:eastAsia="zh-CN" w:bidi="ar-EG"/>
              </w:rPr>
              <w:footnoteReference w:id="18"/>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222</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98</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42</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سويسرا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785</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416</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1,508</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1,705</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كوت ديفوار</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65</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13</w:t>
            </w:r>
          </w:p>
        </w:tc>
        <w:tc>
          <w:tcPr>
            <w:tcW w:w="384" w:type="pct"/>
            <w:tcBorders>
              <w:top w:val="nil"/>
              <w:left w:val="nil"/>
              <w:bottom w:val="single" w:sz="4" w:space="0" w:color="auto"/>
              <w:right w:val="double" w:sz="4" w:space="0" w:color="auto"/>
            </w:tcBorders>
            <w:shd w:val="pct12" w:color="auto" w:fill="auto"/>
            <w:noWrap/>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16</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ألمانيا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956</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28</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116</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163</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فرنسا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931</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7</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145</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173</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غابون</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112</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جورجيا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57</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223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203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111</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اليونان</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582</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55</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51</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كرواتيا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111</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142</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463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57</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هنغاريا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301</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39</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23</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إيطاليا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963</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115</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54</w:t>
            </w:r>
          </w:p>
        </w:tc>
        <w:tc>
          <w:tcPr>
            <w:tcW w:w="385" w:type="pct"/>
            <w:tcBorders>
              <w:top w:val="nil"/>
              <w:left w:val="nil"/>
              <w:bottom w:val="single" w:sz="4" w:space="0" w:color="auto"/>
              <w:right w:val="single" w:sz="18" w:space="0" w:color="auto"/>
            </w:tcBorders>
            <w:shd w:val="pct12" w:color="auto" w:fill="FFFFFF"/>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قيرغيزستان</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23</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214</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132</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77</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جمهورية كوريا الشعبية الديمقراطية</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385</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69</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43</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ليختنشتاين</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131</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330</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303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194</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المغرب</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443</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323</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318</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موناكو</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476</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317</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227</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مولدوفا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143</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231</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184</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102</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الجبل الأسود</w:t>
            </w:r>
          </w:p>
        </w:tc>
        <w:tc>
          <w:tcPr>
            <w:tcW w:w="508" w:type="pct"/>
            <w:tcBorders>
              <w:top w:val="nil"/>
              <w:left w:val="single" w:sz="18" w:space="0" w:color="auto"/>
              <w:bottom w:val="single" w:sz="4" w:space="0" w:color="auto"/>
              <w:right w:val="sing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251</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168</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مقدونيا الشمالية</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440</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325</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161</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مالي</w:t>
            </w:r>
          </w:p>
        </w:tc>
        <w:tc>
          <w:tcPr>
            <w:tcW w:w="508" w:type="pct"/>
            <w:tcBorders>
              <w:top w:val="nil"/>
              <w:left w:val="single" w:sz="18" w:space="0" w:color="auto"/>
              <w:bottom w:val="single" w:sz="4" w:space="0" w:color="auto"/>
              <w:right w:val="sing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8</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منغوليا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240</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165</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82</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النيجر</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رومانيا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302</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243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25</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92</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صربيا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510</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225</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192</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سلوفينيا</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225</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253</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4"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69</w:t>
            </w: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4"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60</w:t>
            </w: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السنغال</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59</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11</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4"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سورينام</w:t>
            </w:r>
          </w:p>
        </w:tc>
        <w:tc>
          <w:tcPr>
            <w:tcW w:w="508" w:type="pct"/>
            <w:tcBorders>
              <w:top w:val="nil"/>
              <w:left w:val="single" w:sz="18"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50</w:t>
            </w:r>
          </w:p>
        </w:tc>
        <w:tc>
          <w:tcPr>
            <w:tcW w:w="384" w:type="pct"/>
            <w:tcBorders>
              <w:top w:val="nil"/>
              <w:left w:val="nil"/>
              <w:bottom w:val="single" w:sz="4" w:space="0" w:color="auto"/>
              <w:right w:val="double" w:sz="4" w:space="0" w:color="auto"/>
            </w:tcBorders>
            <w:shd w:val="pct12" w:color="auto" w:fill="FFFFFF"/>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w:t>
            </w:r>
          </w:p>
        </w:tc>
        <w:tc>
          <w:tcPr>
            <w:tcW w:w="384" w:type="pct"/>
            <w:tcBorders>
              <w:top w:val="nil"/>
              <w:left w:val="nil"/>
              <w:bottom w:val="single" w:sz="4" w:space="0" w:color="auto"/>
              <w:right w:val="double" w:sz="4" w:space="0" w:color="auto"/>
            </w:tcBorders>
            <w:shd w:val="pct12" w:color="auto" w:fill="auto"/>
            <w:vAlign w:val="center"/>
          </w:tcPr>
          <w:p w:rsidR="00DA784F" w:rsidRPr="00DA784F" w:rsidRDefault="00DA784F" w:rsidP="00DA784F">
            <w:pPr>
              <w:keepLines/>
              <w:jc w:val="right"/>
              <w:rPr>
                <w:rFonts w:eastAsia="SimSun"/>
                <w:sz w:val="26"/>
                <w:szCs w:val="26"/>
                <w:rtl/>
                <w:lang w:eastAsia="zh-CN" w:bidi="ar-EG"/>
              </w:rPr>
            </w:pPr>
          </w:p>
        </w:tc>
        <w:tc>
          <w:tcPr>
            <w:tcW w:w="384" w:type="pct"/>
            <w:tcBorders>
              <w:top w:val="nil"/>
              <w:left w:val="double" w:sz="4" w:space="0" w:color="auto"/>
              <w:bottom w:val="single" w:sz="4"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16</w:t>
            </w:r>
          </w:p>
        </w:tc>
        <w:tc>
          <w:tcPr>
            <w:tcW w:w="385" w:type="pct"/>
            <w:tcBorders>
              <w:top w:val="nil"/>
              <w:left w:val="nil"/>
              <w:bottom w:val="single" w:sz="4" w:space="0" w:color="auto"/>
              <w:right w:val="single" w:sz="18" w:space="0" w:color="auto"/>
            </w:tcBorders>
            <w:shd w:val="pct12" w:color="auto" w:fill="auto"/>
            <w:vAlign w:val="center"/>
          </w:tcPr>
          <w:p w:rsidR="00DA784F" w:rsidRPr="00DA784F" w:rsidRDefault="00DA784F" w:rsidP="00DA784F">
            <w:pPr>
              <w:keepLines/>
              <w:bidi w:val="0"/>
              <w:jc w:val="right"/>
              <w:rPr>
                <w:rFonts w:eastAsia="SimSun"/>
                <w:sz w:val="26"/>
                <w:szCs w:val="26"/>
                <w:lang w:eastAsia="zh-CN" w:bidi="ar-EG"/>
              </w:rPr>
            </w:pPr>
          </w:p>
        </w:tc>
      </w:tr>
      <w:tr w:rsidR="00DA784F" w:rsidRPr="00DA784F" w:rsidTr="008C0F3A">
        <w:tc>
          <w:tcPr>
            <w:tcW w:w="2571" w:type="pct"/>
            <w:tcBorders>
              <w:top w:val="nil"/>
              <w:left w:val="single" w:sz="18" w:space="0" w:color="auto"/>
              <w:bottom w:val="single" w:sz="18"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أوكرانيا</w:t>
            </w:r>
          </w:p>
        </w:tc>
        <w:tc>
          <w:tcPr>
            <w:tcW w:w="508" w:type="pct"/>
            <w:tcBorders>
              <w:top w:val="nil"/>
              <w:left w:val="single" w:sz="18" w:space="0" w:color="auto"/>
              <w:bottom w:val="single" w:sz="18"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208</w:t>
            </w:r>
          </w:p>
        </w:tc>
        <w:tc>
          <w:tcPr>
            <w:tcW w:w="384" w:type="pct"/>
            <w:tcBorders>
              <w:top w:val="nil"/>
              <w:left w:val="nil"/>
              <w:bottom w:val="single" w:sz="18"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258</w:t>
            </w:r>
          </w:p>
        </w:tc>
        <w:tc>
          <w:tcPr>
            <w:tcW w:w="384" w:type="pct"/>
            <w:tcBorders>
              <w:top w:val="nil"/>
              <w:left w:val="double" w:sz="4" w:space="0" w:color="auto"/>
              <w:bottom w:val="single" w:sz="18"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4" w:type="pct"/>
            <w:tcBorders>
              <w:top w:val="nil"/>
              <w:left w:val="nil"/>
              <w:bottom w:val="single" w:sz="18"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509</w:t>
            </w:r>
          </w:p>
        </w:tc>
        <w:tc>
          <w:tcPr>
            <w:tcW w:w="384" w:type="pct"/>
            <w:tcBorders>
              <w:top w:val="nil"/>
              <w:left w:val="double" w:sz="4" w:space="0" w:color="auto"/>
              <w:bottom w:val="single" w:sz="18" w:space="0" w:color="auto"/>
              <w:right w:val="sing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0</w:t>
            </w:r>
          </w:p>
        </w:tc>
        <w:tc>
          <w:tcPr>
            <w:tcW w:w="385" w:type="pct"/>
            <w:tcBorders>
              <w:top w:val="nil"/>
              <w:left w:val="nil"/>
              <w:bottom w:val="single" w:sz="18"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521</w:t>
            </w:r>
          </w:p>
        </w:tc>
      </w:tr>
      <w:tr w:rsidR="00DA784F" w:rsidRPr="00DA784F" w:rsidTr="008C0F3A">
        <w:tc>
          <w:tcPr>
            <w:tcW w:w="2571" w:type="pct"/>
            <w:tcBorders>
              <w:top w:val="single" w:sz="18" w:space="0" w:color="auto"/>
              <w:left w:val="single" w:sz="18" w:space="0" w:color="auto"/>
              <w:bottom w:val="single" w:sz="18"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المجموع</w:t>
            </w:r>
          </w:p>
        </w:tc>
        <w:tc>
          <w:tcPr>
            <w:tcW w:w="508" w:type="pct"/>
            <w:tcBorders>
              <w:top w:val="single" w:sz="18" w:space="0" w:color="auto"/>
              <w:left w:val="single" w:sz="18" w:space="0" w:color="auto"/>
              <w:bottom w:val="single" w:sz="18" w:space="0" w:color="auto"/>
              <w:right w:val="single" w:sz="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10,151</w:t>
            </w:r>
          </w:p>
        </w:tc>
        <w:tc>
          <w:tcPr>
            <w:tcW w:w="384" w:type="pct"/>
            <w:tcBorders>
              <w:top w:val="single" w:sz="18" w:space="0" w:color="auto"/>
              <w:left w:val="nil"/>
              <w:bottom w:val="single" w:sz="18"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2,310</w:t>
            </w:r>
          </w:p>
        </w:tc>
        <w:tc>
          <w:tcPr>
            <w:tcW w:w="384" w:type="pct"/>
            <w:tcBorders>
              <w:top w:val="single" w:sz="18" w:space="0" w:color="auto"/>
              <w:left w:val="double" w:sz="4" w:space="0" w:color="auto"/>
              <w:bottom w:val="single" w:sz="18" w:space="0" w:color="auto"/>
              <w:right w:val="single" w:sz="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1,450</w:t>
            </w:r>
          </w:p>
        </w:tc>
        <w:tc>
          <w:tcPr>
            <w:tcW w:w="384" w:type="pct"/>
            <w:tcBorders>
              <w:top w:val="single" w:sz="18" w:space="0" w:color="auto"/>
              <w:left w:val="nil"/>
              <w:bottom w:val="single" w:sz="18" w:space="0" w:color="auto"/>
              <w:right w:val="double" w:sz="4"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4,610</w:t>
            </w:r>
          </w:p>
        </w:tc>
        <w:tc>
          <w:tcPr>
            <w:tcW w:w="384" w:type="pct"/>
            <w:tcBorders>
              <w:top w:val="single" w:sz="18" w:space="0" w:color="auto"/>
              <w:left w:val="double" w:sz="4" w:space="0" w:color="auto"/>
              <w:bottom w:val="single" w:sz="18" w:space="0" w:color="auto"/>
              <w:right w:val="single" w:sz="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605</w:t>
            </w:r>
          </w:p>
        </w:tc>
        <w:tc>
          <w:tcPr>
            <w:tcW w:w="385" w:type="pct"/>
            <w:tcBorders>
              <w:top w:val="single" w:sz="18" w:space="0" w:color="auto"/>
              <w:left w:val="nil"/>
              <w:bottom w:val="single" w:sz="18" w:space="0" w:color="auto"/>
              <w:right w:val="single" w:sz="18" w:space="0" w:color="auto"/>
            </w:tcBorders>
            <w:shd w:val="clear" w:color="auto" w:fill="auto"/>
            <w:vAlign w:val="center"/>
          </w:tcPr>
          <w:p w:rsidR="00DA784F" w:rsidRPr="00DA784F" w:rsidRDefault="00DA784F" w:rsidP="00DA784F">
            <w:pPr>
              <w:keepLines/>
              <w:jc w:val="right"/>
              <w:rPr>
                <w:rFonts w:eastAsia="SimSun"/>
                <w:sz w:val="26"/>
                <w:szCs w:val="26"/>
                <w:rtl/>
                <w:lang w:eastAsia="zh-CN" w:bidi="ar-EG"/>
              </w:rPr>
            </w:pPr>
            <w:r w:rsidRPr="00DA784F">
              <w:rPr>
                <w:rFonts w:eastAsia="SimSun" w:hint="cs"/>
                <w:sz w:val="26"/>
                <w:szCs w:val="26"/>
                <w:lang w:eastAsia="zh-CN" w:bidi="ar-EG"/>
              </w:rPr>
              <w:t>4,347</w:t>
            </w:r>
          </w:p>
        </w:tc>
      </w:tr>
      <w:tr w:rsidR="00DA784F" w:rsidRPr="00DA784F" w:rsidTr="008C0F3A">
        <w:tc>
          <w:tcPr>
            <w:tcW w:w="2571" w:type="pct"/>
            <w:tcBorders>
              <w:top w:val="single" w:sz="18" w:space="0" w:color="auto"/>
              <w:left w:val="single" w:sz="18" w:space="0" w:color="auto"/>
              <w:bottom w:val="single" w:sz="18"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lastRenderedPageBreak/>
              <w:t>إجمالي عدد التعيينات (بغض النظر عن الوثائق)</w:t>
            </w:r>
          </w:p>
        </w:tc>
        <w:tc>
          <w:tcPr>
            <w:tcW w:w="892" w:type="pct"/>
            <w:gridSpan w:val="2"/>
            <w:tcBorders>
              <w:top w:val="single" w:sz="18" w:space="0" w:color="auto"/>
              <w:left w:val="single" w:sz="18" w:space="0" w:color="auto"/>
              <w:bottom w:val="single" w:sz="18" w:space="0" w:color="auto"/>
              <w:right w:val="double" w:sz="4"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12,461</w:t>
            </w:r>
          </w:p>
        </w:tc>
        <w:tc>
          <w:tcPr>
            <w:tcW w:w="768" w:type="pct"/>
            <w:gridSpan w:val="2"/>
            <w:tcBorders>
              <w:top w:val="single" w:sz="18" w:space="0" w:color="auto"/>
              <w:left w:val="double" w:sz="4" w:space="0" w:color="auto"/>
              <w:bottom w:val="single" w:sz="18" w:space="0" w:color="auto"/>
              <w:right w:val="double" w:sz="4"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6,060</w:t>
            </w:r>
          </w:p>
        </w:tc>
        <w:tc>
          <w:tcPr>
            <w:tcW w:w="769" w:type="pct"/>
            <w:gridSpan w:val="2"/>
            <w:tcBorders>
              <w:top w:val="single" w:sz="18" w:space="0" w:color="auto"/>
              <w:left w:val="double" w:sz="4" w:space="0" w:color="auto"/>
              <w:bottom w:val="single" w:sz="18" w:space="0" w:color="auto"/>
              <w:right w:val="single" w:sz="18" w:space="0" w:color="auto"/>
            </w:tcBorders>
            <w:shd w:val="clear" w:color="auto" w:fill="auto"/>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4,952</w:t>
            </w:r>
          </w:p>
        </w:tc>
      </w:tr>
      <w:tr w:rsidR="00DA784F" w:rsidRPr="00DA784F" w:rsidTr="008C0F3A">
        <w:tc>
          <w:tcPr>
            <w:tcW w:w="2571" w:type="pct"/>
            <w:tcBorders>
              <w:top w:val="single" w:sz="18" w:space="0" w:color="auto"/>
              <w:left w:val="single" w:sz="18" w:space="0" w:color="auto"/>
              <w:bottom w:val="single" w:sz="18" w:space="0" w:color="auto"/>
              <w:right w:val="single" w:sz="18" w:space="0" w:color="auto"/>
            </w:tcBorders>
            <w:shd w:val="clear" w:color="auto" w:fill="auto"/>
          </w:tcPr>
          <w:p w:rsidR="00DA784F" w:rsidRPr="00DA784F" w:rsidRDefault="00DA784F" w:rsidP="00DA784F">
            <w:pPr>
              <w:keepLines/>
              <w:rPr>
                <w:rFonts w:eastAsia="SimSun"/>
                <w:sz w:val="26"/>
                <w:szCs w:val="26"/>
                <w:rtl/>
                <w:lang w:eastAsia="zh-CN" w:bidi="ar-EG"/>
              </w:rPr>
            </w:pPr>
            <w:r w:rsidRPr="00DA784F">
              <w:rPr>
                <w:rFonts w:eastAsia="SimSun" w:hint="cs"/>
                <w:sz w:val="26"/>
                <w:szCs w:val="26"/>
                <w:rtl/>
                <w:lang w:eastAsia="zh-CN" w:bidi="ar-EG"/>
              </w:rPr>
              <w:t>التوزيع بحسب الوثيقة</w:t>
            </w:r>
          </w:p>
        </w:tc>
        <w:tc>
          <w:tcPr>
            <w:tcW w:w="508" w:type="pct"/>
            <w:tcBorders>
              <w:top w:val="single" w:sz="18" w:space="0" w:color="auto"/>
              <w:left w:val="single" w:sz="18" w:space="0" w:color="auto"/>
              <w:bottom w:val="single" w:sz="18" w:space="0" w:color="auto"/>
              <w:right w:val="single" w:sz="8"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81.5</w:t>
            </w:r>
            <w:r w:rsidRPr="00DA784F">
              <w:rPr>
                <w:rFonts w:eastAsia="SimSun" w:hint="cs"/>
                <w:sz w:val="26"/>
                <w:szCs w:val="26"/>
                <w:rtl/>
                <w:lang w:eastAsia="zh-CN" w:bidi="ar-EG"/>
              </w:rPr>
              <w:t>%</w:t>
            </w:r>
          </w:p>
        </w:tc>
        <w:tc>
          <w:tcPr>
            <w:tcW w:w="384" w:type="pct"/>
            <w:tcBorders>
              <w:top w:val="single" w:sz="18" w:space="0" w:color="auto"/>
              <w:left w:val="nil"/>
              <w:bottom w:val="single" w:sz="18" w:space="0" w:color="auto"/>
              <w:right w:val="double" w:sz="4"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18.5</w:t>
            </w:r>
            <w:r w:rsidRPr="00DA784F">
              <w:rPr>
                <w:rFonts w:eastAsia="SimSun" w:hint="cs"/>
                <w:sz w:val="26"/>
                <w:szCs w:val="26"/>
                <w:rtl/>
                <w:lang w:eastAsia="zh-CN" w:bidi="ar-EG"/>
              </w:rPr>
              <w:t>%</w:t>
            </w:r>
          </w:p>
        </w:tc>
        <w:tc>
          <w:tcPr>
            <w:tcW w:w="384" w:type="pct"/>
            <w:tcBorders>
              <w:top w:val="single" w:sz="18" w:space="0" w:color="auto"/>
              <w:left w:val="double" w:sz="4" w:space="0" w:color="auto"/>
              <w:bottom w:val="single" w:sz="18" w:space="0" w:color="auto"/>
              <w:right w:val="single" w:sz="8"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23.9</w:t>
            </w:r>
            <w:r w:rsidRPr="00DA784F">
              <w:rPr>
                <w:rFonts w:eastAsia="SimSun" w:hint="cs"/>
                <w:sz w:val="26"/>
                <w:szCs w:val="26"/>
                <w:rtl/>
                <w:lang w:eastAsia="zh-CN" w:bidi="ar-EG"/>
              </w:rPr>
              <w:t>%</w:t>
            </w:r>
          </w:p>
        </w:tc>
        <w:tc>
          <w:tcPr>
            <w:tcW w:w="384" w:type="pct"/>
            <w:tcBorders>
              <w:top w:val="single" w:sz="18" w:space="0" w:color="auto"/>
              <w:left w:val="nil"/>
              <w:bottom w:val="single" w:sz="18" w:space="0" w:color="auto"/>
              <w:right w:val="double" w:sz="4"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76.1</w:t>
            </w:r>
            <w:r w:rsidRPr="00DA784F">
              <w:rPr>
                <w:rFonts w:eastAsia="SimSun" w:hint="cs"/>
                <w:sz w:val="26"/>
                <w:szCs w:val="26"/>
                <w:rtl/>
                <w:lang w:eastAsia="zh-CN" w:bidi="ar-EG"/>
              </w:rPr>
              <w:t>%</w:t>
            </w:r>
          </w:p>
        </w:tc>
        <w:tc>
          <w:tcPr>
            <w:tcW w:w="384" w:type="pct"/>
            <w:tcBorders>
              <w:top w:val="single" w:sz="18" w:space="0" w:color="auto"/>
              <w:left w:val="double" w:sz="4" w:space="0" w:color="auto"/>
              <w:bottom w:val="single" w:sz="18" w:space="0" w:color="auto"/>
              <w:right w:val="single" w:sz="8"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12.2</w:t>
            </w:r>
            <w:r w:rsidRPr="00DA784F">
              <w:rPr>
                <w:rFonts w:eastAsia="SimSun" w:hint="cs"/>
                <w:sz w:val="26"/>
                <w:szCs w:val="26"/>
                <w:rtl/>
                <w:lang w:eastAsia="zh-CN" w:bidi="ar-EG"/>
              </w:rPr>
              <w:t>%</w:t>
            </w:r>
          </w:p>
        </w:tc>
        <w:tc>
          <w:tcPr>
            <w:tcW w:w="385" w:type="pct"/>
            <w:tcBorders>
              <w:top w:val="single" w:sz="18" w:space="0" w:color="auto"/>
              <w:left w:val="nil"/>
              <w:bottom w:val="single" w:sz="18" w:space="0" w:color="auto"/>
              <w:right w:val="single" w:sz="18" w:space="0" w:color="auto"/>
            </w:tcBorders>
            <w:shd w:val="clear" w:color="auto" w:fill="auto"/>
            <w:noWrap/>
            <w:vAlign w:val="center"/>
          </w:tcPr>
          <w:p w:rsidR="00DA784F" w:rsidRPr="00DA784F" w:rsidRDefault="00DA784F" w:rsidP="00DA784F">
            <w:pPr>
              <w:keepLines/>
              <w:jc w:val="center"/>
              <w:rPr>
                <w:rFonts w:eastAsia="SimSun"/>
                <w:sz w:val="26"/>
                <w:szCs w:val="26"/>
                <w:rtl/>
                <w:lang w:eastAsia="zh-CN" w:bidi="ar-EG"/>
              </w:rPr>
            </w:pPr>
            <w:r w:rsidRPr="00DA784F">
              <w:rPr>
                <w:rFonts w:eastAsia="SimSun" w:hint="cs"/>
                <w:sz w:val="26"/>
                <w:szCs w:val="26"/>
                <w:lang w:eastAsia="zh-CN" w:bidi="ar-EG"/>
              </w:rPr>
              <w:t>87.8</w:t>
            </w:r>
            <w:r w:rsidRPr="00DA784F">
              <w:rPr>
                <w:rFonts w:eastAsia="SimSun" w:hint="cs"/>
                <w:sz w:val="26"/>
                <w:szCs w:val="26"/>
                <w:rtl/>
                <w:lang w:eastAsia="zh-CN" w:bidi="ar-EG"/>
              </w:rPr>
              <w:t>%</w:t>
            </w:r>
          </w:p>
        </w:tc>
      </w:tr>
    </w:tbl>
    <w:p w:rsidR="00DA784F" w:rsidRPr="00DA784F" w:rsidRDefault="00DA784F" w:rsidP="004E3110">
      <w:pPr>
        <w:spacing w:before="160"/>
        <w:ind w:left="5534"/>
        <w:rPr>
          <w:rFonts w:eastAsia="SimSun"/>
          <w:rtl/>
          <w:lang w:eastAsia="zh-CN" w:bidi="ar-EG"/>
        </w:rPr>
      </w:pPr>
      <w:r w:rsidRPr="00DA784F">
        <w:rPr>
          <w:rFonts w:eastAsia="SimSun" w:hint="cs"/>
          <w:rtl/>
          <w:lang w:eastAsia="zh-CN" w:bidi="ar-EG"/>
        </w:rPr>
        <w:t>[يلي ذلك المرفق الرابع]</w:t>
      </w:r>
    </w:p>
    <w:p w:rsidR="00DA784F" w:rsidRPr="00DA784F" w:rsidRDefault="00DA784F" w:rsidP="00DA784F">
      <w:pPr>
        <w:bidi w:val="0"/>
        <w:spacing w:before="200"/>
        <w:rPr>
          <w:rFonts w:eastAsia="SimSun"/>
          <w:lang w:eastAsia="zh-CN" w:bidi="ar-EG"/>
        </w:rPr>
        <w:sectPr w:rsidR="00DA784F" w:rsidRPr="00DA784F" w:rsidSect="006C5195">
          <w:headerReference w:type="default" r:id="rId19"/>
          <w:headerReference w:type="first" r:id="rId20"/>
          <w:footerReference w:type="first" r:id="rId21"/>
          <w:footnotePr>
            <w:numRestart w:val="eachSect"/>
          </w:footnotePr>
          <w:endnotePr>
            <w:numFmt w:val="decimal"/>
          </w:endnotePr>
          <w:pgSz w:w="11907" w:h="16840" w:code="9"/>
          <w:pgMar w:top="567" w:right="1134" w:bottom="851" w:left="1418" w:header="510" w:footer="454" w:gutter="0"/>
          <w:pgNumType w:start="1"/>
          <w:cols w:space="720"/>
          <w:titlePg/>
          <w:docGrid w:linePitch="490"/>
        </w:sectPr>
      </w:pPr>
    </w:p>
    <w:p w:rsidR="00DA784F" w:rsidRPr="00DA784F" w:rsidRDefault="00DA784F" w:rsidP="00922487">
      <w:pPr>
        <w:spacing w:before="200"/>
        <w:rPr>
          <w:rFonts w:eastAsia="SimSun"/>
          <w:rtl/>
          <w:lang w:eastAsia="zh-CN" w:bidi="ar-EG"/>
        </w:rPr>
      </w:pPr>
      <w:r w:rsidRPr="00DA784F">
        <w:rPr>
          <w:rFonts w:eastAsia="SimSun" w:hint="cs"/>
          <w:noProof/>
          <w:rtl/>
        </w:rPr>
        <w:lastRenderedPageBreak/>
        <w:drawing>
          <wp:inline distT="0" distB="0" distL="0" distR="0" wp14:anchorId="4A0D125F" wp14:editId="7286AAEA">
            <wp:extent cx="9432925" cy="4848083"/>
            <wp:effectExtent l="0" t="0" r="15875" b="1016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D6D15" w:rsidRPr="00C41AE0" w:rsidRDefault="00DA784F" w:rsidP="004E3110">
      <w:pPr>
        <w:pStyle w:val="Endofdocument-Annex"/>
        <w:jc w:val="center"/>
        <w:rPr>
          <w:rtl/>
        </w:rPr>
      </w:pPr>
      <w:r w:rsidRPr="00DA784F">
        <w:rPr>
          <w:rFonts w:eastAsia="SimSun" w:hint="cs"/>
          <w:rtl/>
          <w:lang w:eastAsia="zh-CN" w:bidi="ar-EG"/>
        </w:rPr>
        <w:t>[نهاية المرفق الرابع والوثيقة]</w:t>
      </w:r>
    </w:p>
    <w:sectPr w:rsidR="00FD6D15" w:rsidRPr="00C41AE0" w:rsidSect="006C5195">
      <w:headerReference w:type="default" r:id="rId23"/>
      <w:headerReference w:type="first" r:id="rId24"/>
      <w:pgSz w:w="16840" w:h="11907" w:orient="landscape" w:code="9"/>
      <w:pgMar w:top="567" w:right="1134" w:bottom="1418" w:left="1418"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84F" w:rsidRDefault="00DA784F">
      <w:r>
        <w:separator/>
      </w:r>
    </w:p>
  </w:endnote>
  <w:endnote w:type="continuationSeparator" w:id="0">
    <w:p w:rsidR="00DA784F" w:rsidRDefault="00DA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pStyle w:val="Footer"/>
      <w:rPr>
        <w:lang w:bidi="ar-E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Default="00DA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Default="00DA78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A854B7" w:rsidRDefault="00DA784F" w:rsidP="00A85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84F" w:rsidRDefault="00DA784F" w:rsidP="009622BF">
      <w:bookmarkStart w:id="0" w:name="OLE_LINK1"/>
      <w:bookmarkStart w:id="1" w:name="OLE_LINK2"/>
      <w:r>
        <w:separator/>
      </w:r>
      <w:bookmarkEnd w:id="0"/>
      <w:bookmarkEnd w:id="1"/>
    </w:p>
  </w:footnote>
  <w:footnote w:type="continuationSeparator" w:id="0">
    <w:p w:rsidR="00DA784F" w:rsidRDefault="00DA784F" w:rsidP="009622BF">
      <w:r>
        <w:separator/>
      </w:r>
    </w:p>
  </w:footnote>
  <w:footnote w:id="1">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استوفت وثيقة </w:t>
      </w:r>
      <w:r w:rsidRPr="00CF116C">
        <w:rPr>
          <w:rFonts w:hint="cs"/>
        </w:rPr>
        <w:t>1999</w:t>
      </w:r>
      <w:r w:rsidRPr="00174209">
        <w:rPr>
          <w:rFonts w:hint="cs"/>
          <w:rtl/>
        </w:rPr>
        <w:t xml:space="preserve"> الشروط المنصوص عليها في المادة </w:t>
      </w:r>
      <w:r w:rsidRPr="00CF116C">
        <w:rPr>
          <w:rFonts w:hint="cs"/>
        </w:rPr>
        <w:t>28</w:t>
      </w:r>
      <w:r w:rsidRPr="00174209">
        <w:rPr>
          <w:rFonts w:hint="cs"/>
          <w:rtl/>
        </w:rPr>
        <w:t>(</w:t>
      </w:r>
      <w:r w:rsidRPr="00CF116C">
        <w:rPr>
          <w:rFonts w:hint="cs"/>
        </w:rPr>
        <w:t>1</w:t>
      </w:r>
      <w:r w:rsidRPr="00174209">
        <w:rPr>
          <w:rFonts w:hint="cs"/>
          <w:rtl/>
        </w:rPr>
        <w:t>) و(</w:t>
      </w:r>
      <w:r w:rsidRPr="00CF116C">
        <w:rPr>
          <w:rFonts w:hint="cs"/>
        </w:rPr>
        <w:t>2</w:t>
      </w:r>
      <w:r w:rsidRPr="00174209">
        <w:rPr>
          <w:rFonts w:hint="cs"/>
          <w:rtl/>
        </w:rPr>
        <w:t xml:space="preserve">) </w:t>
      </w:r>
      <w:r>
        <w:rPr>
          <w:rFonts w:hint="cs"/>
          <w:rtl/>
        </w:rPr>
        <w:t>ل</w:t>
      </w:r>
      <w:r w:rsidRPr="00174209">
        <w:rPr>
          <w:rFonts w:hint="cs"/>
          <w:rtl/>
        </w:rPr>
        <w:t xml:space="preserve">لدخول حيز النفاذ بعد تصديق إسبانيا على الوثيقة في </w:t>
      </w:r>
      <w:r w:rsidRPr="00CF116C">
        <w:rPr>
          <w:rFonts w:hint="cs"/>
        </w:rPr>
        <w:t>23</w:t>
      </w:r>
      <w:r w:rsidRPr="00174209">
        <w:rPr>
          <w:rFonts w:hint="cs"/>
          <w:rtl/>
        </w:rPr>
        <w:t xml:space="preserve"> سبتمبر </w:t>
      </w:r>
      <w:r w:rsidRPr="00CF116C">
        <w:rPr>
          <w:rFonts w:hint="cs"/>
        </w:rPr>
        <w:t>2003</w:t>
      </w:r>
      <w:r w:rsidRPr="00174209">
        <w:rPr>
          <w:rFonts w:hint="cs"/>
          <w:rtl/>
        </w:rPr>
        <w:t>.</w:t>
      </w:r>
    </w:p>
  </w:footnote>
  <w:footnote w:id="2">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كانت ألبانيا آخر الأطراف المنضمة إلى وثيقة </w:t>
      </w:r>
      <w:r w:rsidRPr="00CF116C">
        <w:t>1</w:t>
      </w:r>
      <w:r w:rsidRPr="00CF116C">
        <w:rPr>
          <w:rFonts w:hint="cs"/>
        </w:rPr>
        <w:t>960</w:t>
      </w:r>
      <w:r w:rsidRPr="00174209">
        <w:rPr>
          <w:rFonts w:hint="cs"/>
          <w:rtl/>
        </w:rPr>
        <w:t xml:space="preserve">، مع دخول انضمامها حيز النفاذ في </w:t>
      </w:r>
      <w:r w:rsidRPr="00CF116C">
        <w:rPr>
          <w:rFonts w:hint="cs"/>
        </w:rPr>
        <w:t>19</w:t>
      </w:r>
      <w:r w:rsidRPr="00174209">
        <w:rPr>
          <w:rFonts w:hint="cs"/>
          <w:rtl/>
        </w:rPr>
        <w:t xml:space="preserve"> مارس </w:t>
      </w:r>
      <w:r w:rsidRPr="00CF116C">
        <w:rPr>
          <w:rFonts w:hint="cs"/>
        </w:rPr>
        <w:t>2007</w:t>
      </w:r>
      <w:r w:rsidRPr="00426909">
        <w:rPr>
          <w:rFonts w:hint="cs"/>
          <w:rtl/>
        </w:rPr>
        <w:t xml:space="preserve">. </w:t>
      </w:r>
      <w:r w:rsidRPr="00174209">
        <w:rPr>
          <w:rFonts w:hint="cs"/>
          <w:rtl/>
        </w:rPr>
        <w:t xml:space="preserve">وقد انضمت ألبانيا أيضاً إلى وثيقة </w:t>
      </w:r>
      <w:r w:rsidRPr="00CF116C">
        <w:rPr>
          <w:rFonts w:hint="cs"/>
        </w:rPr>
        <w:t>1999</w:t>
      </w:r>
      <w:r w:rsidRPr="00174209">
        <w:rPr>
          <w:rFonts w:hint="cs"/>
          <w:rtl/>
        </w:rPr>
        <w:t xml:space="preserve"> مع دخول انضمامها حيز النفاذ في </w:t>
      </w:r>
      <w:r w:rsidRPr="00CF116C">
        <w:rPr>
          <w:rFonts w:hint="cs"/>
        </w:rPr>
        <w:t>19</w:t>
      </w:r>
      <w:r w:rsidRPr="00174209">
        <w:rPr>
          <w:rFonts w:hint="cs"/>
          <w:rtl/>
        </w:rPr>
        <w:t xml:space="preserve"> مايو </w:t>
      </w:r>
      <w:r w:rsidRPr="00CF116C">
        <w:rPr>
          <w:rFonts w:hint="cs"/>
        </w:rPr>
        <w:t>2007</w:t>
      </w:r>
      <w:r w:rsidRPr="00174209">
        <w:rPr>
          <w:rFonts w:hint="cs"/>
          <w:rtl/>
        </w:rPr>
        <w:t>.</w:t>
      </w:r>
    </w:p>
  </w:footnote>
  <w:footnote w:id="3">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يُقصد بالطلب الدولي الخاضع لوثيقة </w:t>
      </w:r>
      <w:r w:rsidRPr="00CF116C">
        <w:rPr>
          <w:rFonts w:hint="cs"/>
        </w:rPr>
        <w:t>1960</w:t>
      </w:r>
      <w:r w:rsidRPr="00174209">
        <w:rPr>
          <w:rFonts w:hint="cs"/>
          <w:rtl/>
        </w:rPr>
        <w:t xml:space="preserve"> حصراً طلباً دولياً تكون كل الأطراف المتعاقدة المعيَّنة فيه أطرافاً متعاقدة معيَّنة بناء على وثيقة </w:t>
      </w:r>
      <w:r w:rsidRPr="00CF116C">
        <w:rPr>
          <w:rFonts w:hint="cs"/>
        </w:rPr>
        <w:t>1960</w:t>
      </w:r>
      <w:r w:rsidRPr="00426909">
        <w:rPr>
          <w:rFonts w:hint="cs"/>
          <w:rtl/>
        </w:rPr>
        <w:t xml:space="preserve">. </w:t>
      </w:r>
      <w:r w:rsidRPr="00174209">
        <w:rPr>
          <w:rFonts w:hint="cs"/>
          <w:rtl/>
        </w:rPr>
        <w:t xml:space="preserve">وكان التسجيل في تلك الحالة هو التسجيل الدولي رقم </w:t>
      </w:r>
      <w:r w:rsidRPr="00174209">
        <w:t>DM/</w:t>
      </w:r>
      <w:r w:rsidRPr="00CF116C">
        <w:t>102</w:t>
      </w:r>
      <w:r w:rsidRPr="00174209">
        <w:t> </w:t>
      </w:r>
      <w:r w:rsidRPr="00CF116C">
        <w:t>573</w:t>
      </w:r>
      <w:r w:rsidRPr="00174209">
        <w:rPr>
          <w:rFonts w:hint="cs"/>
          <w:rtl/>
        </w:rPr>
        <w:t xml:space="preserve"> حيث كانت إيطاليا (وثيقة </w:t>
      </w:r>
      <w:r w:rsidRPr="00CF116C">
        <w:rPr>
          <w:rFonts w:hint="cs"/>
        </w:rPr>
        <w:t>1960</w:t>
      </w:r>
      <w:r w:rsidRPr="00174209">
        <w:rPr>
          <w:rFonts w:hint="cs"/>
          <w:rtl/>
        </w:rPr>
        <w:t>) هي الدولة الطرف المعيَّنة الوحيدة.</w:t>
      </w:r>
    </w:p>
  </w:footnote>
  <w:footnote w:id="4">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أو في الحالات التي لم </w:t>
      </w:r>
      <w:r>
        <w:rPr>
          <w:rFonts w:hint="cs"/>
          <w:rtl/>
        </w:rPr>
        <w:t>يصدر</w:t>
      </w:r>
      <w:r w:rsidRPr="00174209">
        <w:rPr>
          <w:rFonts w:hint="cs"/>
          <w:rtl/>
        </w:rPr>
        <w:t xml:space="preserve"> فيها أي طرف متعاقد معيَّن آخر إعلاناً بموجب المادة </w:t>
      </w:r>
      <w:r w:rsidRPr="00CF116C">
        <w:rPr>
          <w:rFonts w:hint="cs"/>
        </w:rPr>
        <w:t>11</w:t>
      </w:r>
      <w:r w:rsidRPr="00174209">
        <w:rPr>
          <w:rFonts w:hint="cs"/>
          <w:rtl/>
        </w:rPr>
        <w:t>(</w:t>
      </w:r>
      <w:r w:rsidRPr="00CF116C">
        <w:rPr>
          <w:rFonts w:hint="cs"/>
        </w:rPr>
        <w:t>1</w:t>
      </w:r>
      <w:r w:rsidRPr="00174209">
        <w:rPr>
          <w:rFonts w:hint="cs"/>
          <w:rtl/>
        </w:rPr>
        <w:t xml:space="preserve">) من وثيقة </w:t>
      </w:r>
      <w:r w:rsidRPr="00CF116C">
        <w:rPr>
          <w:rFonts w:hint="cs"/>
        </w:rPr>
        <w:t>1999</w:t>
      </w:r>
      <w:r w:rsidRPr="00174209">
        <w:rPr>
          <w:rFonts w:hint="cs"/>
          <w:rtl/>
        </w:rPr>
        <w:t>.</w:t>
      </w:r>
    </w:p>
  </w:footnote>
  <w:footnote w:id="5">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انظر الصفحة </w:t>
      </w:r>
      <w:r w:rsidRPr="00CF116C">
        <w:rPr>
          <w:rFonts w:hint="cs"/>
        </w:rPr>
        <w:t>54</w:t>
      </w:r>
      <w:r w:rsidRPr="00174209">
        <w:rPr>
          <w:rFonts w:hint="cs"/>
          <w:rtl/>
        </w:rPr>
        <w:t xml:space="preserve"> من الوثيقة </w:t>
      </w:r>
      <w:r>
        <w:t>WO/PBC/30/10</w:t>
      </w:r>
      <w:r w:rsidRPr="00174209">
        <w:rPr>
          <w:rFonts w:hint="cs"/>
          <w:rtl/>
        </w:rPr>
        <w:t>.</w:t>
      </w:r>
    </w:p>
  </w:footnote>
  <w:footnote w:id="6">
    <w:p w:rsidR="00DA784F" w:rsidRPr="00DA784F" w:rsidRDefault="00DA784F" w:rsidP="006D531E">
      <w:pPr>
        <w:pStyle w:val="FootnoteText"/>
        <w:ind w:left="567" w:hanging="567"/>
        <w:rPr>
          <w:rtl/>
        </w:rPr>
      </w:pPr>
      <w:r w:rsidRPr="00CF116C">
        <w:rPr>
          <w:rStyle w:val="FootnoteReference"/>
          <w:sz w:val="28"/>
          <w:szCs w:val="28"/>
        </w:rPr>
        <w:footnoteRef/>
      </w:r>
      <w:r w:rsidRPr="00174209">
        <w:rPr>
          <w:rFonts w:hint="cs"/>
          <w:rtl/>
        </w:rPr>
        <w:tab/>
        <w:t>في هذا السياق، تجدر الإشارة إلى أن تطبيق وثيقة لندن (</w:t>
      </w:r>
      <w:r w:rsidRPr="00CF116C">
        <w:rPr>
          <w:rFonts w:hint="cs"/>
        </w:rPr>
        <w:t>1934</w:t>
      </w:r>
      <w:r w:rsidRPr="00174209">
        <w:rPr>
          <w:rFonts w:hint="cs"/>
          <w:rtl/>
        </w:rPr>
        <w:t xml:space="preserve">) التي اعتُمدت في </w:t>
      </w:r>
      <w:r w:rsidRPr="00CF116C">
        <w:rPr>
          <w:rFonts w:hint="cs"/>
        </w:rPr>
        <w:t>2</w:t>
      </w:r>
      <w:r w:rsidRPr="00174209">
        <w:rPr>
          <w:rFonts w:hint="cs"/>
          <w:rtl/>
        </w:rPr>
        <w:t xml:space="preserve"> يونيو </w:t>
      </w:r>
      <w:r w:rsidRPr="00CF116C">
        <w:rPr>
          <w:rFonts w:hint="cs"/>
        </w:rPr>
        <w:t>1934</w:t>
      </w:r>
      <w:r w:rsidRPr="00174209">
        <w:rPr>
          <w:rFonts w:hint="cs"/>
          <w:rtl/>
        </w:rPr>
        <w:t xml:space="preserve"> قد جُمِّد اعتباراً من </w:t>
      </w:r>
      <w:r w:rsidRPr="00CF116C">
        <w:rPr>
          <w:rFonts w:hint="cs"/>
        </w:rPr>
        <w:t>1</w:t>
      </w:r>
      <w:r w:rsidRPr="00174209">
        <w:rPr>
          <w:rFonts w:hint="cs"/>
          <w:rtl/>
        </w:rPr>
        <w:t xml:space="preserve"> يناير </w:t>
      </w:r>
      <w:r w:rsidRPr="00CF116C">
        <w:rPr>
          <w:rFonts w:hint="cs"/>
        </w:rPr>
        <w:t>2010</w:t>
      </w:r>
      <w:r w:rsidRPr="00426909">
        <w:rPr>
          <w:rFonts w:hint="cs"/>
          <w:rtl/>
        </w:rPr>
        <w:t xml:space="preserve">. </w:t>
      </w:r>
      <w:r w:rsidRPr="00174209">
        <w:rPr>
          <w:rFonts w:hint="cs"/>
          <w:rtl/>
        </w:rPr>
        <w:t xml:space="preserve">ثم أُنهي العمل بوثيقة </w:t>
      </w:r>
      <w:r w:rsidRPr="00CF116C">
        <w:rPr>
          <w:rFonts w:hint="cs"/>
        </w:rPr>
        <w:t>1934</w:t>
      </w:r>
      <w:r w:rsidRPr="00174209">
        <w:rPr>
          <w:rFonts w:hint="cs"/>
          <w:rtl/>
        </w:rPr>
        <w:t xml:space="preserve"> في </w:t>
      </w:r>
      <w:r w:rsidRPr="00CF116C">
        <w:rPr>
          <w:rFonts w:hint="cs"/>
        </w:rPr>
        <w:t>18</w:t>
      </w:r>
      <w:r w:rsidRPr="00174209">
        <w:rPr>
          <w:rFonts w:hint="cs"/>
          <w:rtl/>
        </w:rPr>
        <w:t xml:space="preserve"> أكتوبر </w:t>
      </w:r>
      <w:r w:rsidRPr="00CF116C">
        <w:rPr>
          <w:rFonts w:hint="cs"/>
        </w:rPr>
        <w:t>2016</w:t>
      </w:r>
      <w:r w:rsidRPr="00426909">
        <w:rPr>
          <w:rFonts w:hint="cs"/>
          <w:rtl/>
        </w:rPr>
        <w:t xml:space="preserve">. </w:t>
      </w:r>
      <w:r>
        <w:rPr>
          <w:rFonts w:hint="cs"/>
          <w:rtl/>
        </w:rPr>
        <w:t>و</w:t>
      </w:r>
      <w:r w:rsidRPr="00CF116C">
        <w:rPr>
          <w:rFonts w:hint="cs"/>
          <w:rtl/>
        </w:rPr>
        <w:t xml:space="preserve">انظر الإخطاران </w:t>
      </w:r>
      <w:r w:rsidRPr="00CF116C">
        <w:rPr>
          <w:rFonts w:hint="cs"/>
        </w:rPr>
        <w:t>9</w:t>
      </w:r>
      <w:r w:rsidRPr="00CF116C">
        <w:t>/</w:t>
      </w:r>
      <w:r w:rsidRPr="00CF116C">
        <w:rPr>
          <w:rFonts w:hint="cs"/>
        </w:rPr>
        <w:t>2009</w:t>
      </w:r>
      <w:r w:rsidRPr="00CF116C">
        <w:rPr>
          <w:rFonts w:hint="cs"/>
          <w:rtl/>
        </w:rPr>
        <w:t xml:space="preserve"> و</w:t>
      </w:r>
      <w:r w:rsidRPr="00CF116C">
        <w:rPr>
          <w:rFonts w:hint="cs"/>
        </w:rPr>
        <w:t>10</w:t>
      </w:r>
      <w:r w:rsidRPr="00CF116C">
        <w:t>/</w:t>
      </w:r>
      <w:r w:rsidRPr="00CF116C">
        <w:rPr>
          <w:rFonts w:hint="cs"/>
        </w:rPr>
        <w:t>2016</w:t>
      </w:r>
      <w:r w:rsidRPr="00CF116C">
        <w:rPr>
          <w:rFonts w:hint="cs"/>
          <w:rtl/>
        </w:rPr>
        <w:t xml:space="preserve"> عبر الرابط التالي: </w:t>
      </w:r>
      <w:hyperlink r:id="rId1" w:history="1">
        <w:r w:rsidRPr="00DA784F">
          <w:rPr>
            <w:rStyle w:val="Hyperlink"/>
            <w:color w:val="auto"/>
            <w:u w:val="none"/>
          </w:rPr>
          <w:t>https://www.wipo.int/hague/en/notices/</w:t>
        </w:r>
      </w:hyperlink>
      <w:r w:rsidRPr="00DA784F">
        <w:rPr>
          <w:rtl/>
        </w:rPr>
        <w:t>.</w:t>
      </w:r>
    </w:p>
  </w:footnote>
  <w:footnote w:id="7">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قائمة الأعضاء في </w:t>
      </w:r>
      <w:r w:rsidRPr="00CF116C">
        <w:rPr>
          <w:rFonts w:hint="cs"/>
        </w:rPr>
        <w:t>29</w:t>
      </w:r>
      <w:r w:rsidRPr="00174209">
        <w:rPr>
          <w:rFonts w:hint="cs"/>
          <w:rtl/>
        </w:rPr>
        <w:t xml:space="preserve"> أغسطس </w:t>
      </w:r>
      <w:r w:rsidRPr="00CF116C">
        <w:rPr>
          <w:rFonts w:hint="cs"/>
        </w:rPr>
        <w:t>2019</w:t>
      </w:r>
      <w:r w:rsidRPr="00174209">
        <w:rPr>
          <w:rFonts w:hint="cs"/>
          <w:rtl/>
        </w:rPr>
        <w:t>، مقسَّمة بحسب الوثيقة أو الوثائق التي يلتزمون بها.</w:t>
      </w:r>
    </w:p>
  </w:footnote>
  <w:footnote w:id="8">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المنظمة الأفريقية للملكية الفكرية.</w:t>
      </w:r>
    </w:p>
  </w:footnote>
  <w:footnote w:id="9">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المنظمة الأفريقية للملكية الفكرية.</w:t>
      </w:r>
    </w:p>
  </w:footnote>
  <w:footnote w:id="10">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المنظمة الأفريقية للملكية الفكرية.</w:t>
      </w:r>
    </w:p>
  </w:footnote>
  <w:footnote w:id="11">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الاتحاد الأوروبي</w:t>
      </w:r>
      <w:r>
        <w:rPr>
          <w:rFonts w:hint="cs"/>
          <w:rtl/>
        </w:rPr>
        <w:t>.</w:t>
      </w:r>
    </w:p>
  </w:footnote>
  <w:footnote w:id="12">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الاتحاد الأوروبي</w:t>
      </w:r>
      <w:r>
        <w:rPr>
          <w:rFonts w:hint="cs"/>
          <w:rtl/>
        </w:rPr>
        <w:t>.</w:t>
      </w:r>
    </w:p>
  </w:footnote>
  <w:footnote w:id="13">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المنظمة الأفريقية للملكية الفكرية.</w:t>
      </w:r>
    </w:p>
  </w:footnote>
  <w:footnote w:id="14">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المنظمة الأفريقية للملكية الفكرية.</w:t>
      </w:r>
    </w:p>
  </w:footnote>
  <w:footnote w:id="15">
    <w:p w:rsidR="00DA784F" w:rsidRPr="00174209" w:rsidRDefault="00DA784F" w:rsidP="00DA784F">
      <w:pPr>
        <w:pStyle w:val="FootnoteText"/>
        <w:tabs>
          <w:tab w:val="left" w:pos="567"/>
        </w:tabs>
        <w:ind w:left="567" w:hanging="567"/>
        <w:rPr>
          <w:rtl/>
        </w:rPr>
      </w:pPr>
      <w:r w:rsidRPr="00CF116C">
        <w:rPr>
          <w:rStyle w:val="FootnoteReference"/>
          <w:sz w:val="28"/>
          <w:szCs w:val="28"/>
        </w:rPr>
        <w:footnoteRef/>
      </w:r>
      <w:r w:rsidRPr="00174209">
        <w:rPr>
          <w:rFonts w:hint="cs"/>
          <w:rtl/>
        </w:rPr>
        <w:tab/>
        <w:t>دولة عضو في المنظمة الأفريقية للملكية الفكرية.</w:t>
      </w:r>
    </w:p>
  </w:footnote>
  <w:footnote w:id="16">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قائمة الأعضاء في </w:t>
      </w:r>
      <w:r w:rsidRPr="00CF116C">
        <w:rPr>
          <w:rFonts w:hint="cs"/>
        </w:rPr>
        <w:t>29</w:t>
      </w:r>
      <w:r w:rsidRPr="00174209">
        <w:rPr>
          <w:rFonts w:hint="cs"/>
          <w:rtl/>
        </w:rPr>
        <w:t xml:space="preserve"> أغسطس </w:t>
      </w:r>
      <w:r w:rsidRPr="00CF116C">
        <w:rPr>
          <w:rFonts w:hint="cs"/>
        </w:rPr>
        <w:t>2019</w:t>
      </w:r>
      <w:r w:rsidRPr="00174209">
        <w:rPr>
          <w:rFonts w:hint="cs"/>
          <w:rtl/>
        </w:rPr>
        <w:t>.</w:t>
      </w:r>
    </w:p>
  </w:footnote>
  <w:footnote w:id="17">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دخلت وثيقة </w:t>
      </w:r>
      <w:r w:rsidRPr="00CF116C">
        <w:rPr>
          <w:rFonts w:hint="cs"/>
        </w:rPr>
        <w:t>1999</w:t>
      </w:r>
      <w:r w:rsidRPr="00174209">
        <w:rPr>
          <w:rFonts w:hint="cs"/>
          <w:rtl/>
        </w:rPr>
        <w:t xml:space="preserve"> حيز النفاذ في بنيلوكس في </w:t>
      </w:r>
      <w:r w:rsidRPr="00CF116C">
        <w:rPr>
          <w:rFonts w:hint="cs"/>
        </w:rPr>
        <w:t>18</w:t>
      </w:r>
      <w:r w:rsidRPr="00174209">
        <w:rPr>
          <w:rFonts w:hint="cs"/>
          <w:rtl/>
        </w:rPr>
        <w:t xml:space="preserve"> ديسمبر </w:t>
      </w:r>
      <w:r w:rsidRPr="00CF116C">
        <w:rPr>
          <w:rFonts w:hint="cs"/>
        </w:rPr>
        <w:t>2018</w:t>
      </w:r>
      <w:r w:rsidRPr="00174209">
        <w:rPr>
          <w:rFonts w:hint="cs"/>
          <w:rtl/>
        </w:rPr>
        <w:t>.</w:t>
      </w:r>
    </w:p>
  </w:footnote>
  <w:footnote w:id="18">
    <w:p w:rsidR="00DA784F" w:rsidRPr="00174209" w:rsidRDefault="00DA784F" w:rsidP="00DA784F">
      <w:pPr>
        <w:pStyle w:val="FootnoteText"/>
        <w:ind w:left="567" w:hanging="567"/>
        <w:rPr>
          <w:rtl/>
        </w:rPr>
      </w:pPr>
      <w:r w:rsidRPr="00CF116C">
        <w:rPr>
          <w:rStyle w:val="FootnoteReference"/>
          <w:sz w:val="28"/>
          <w:szCs w:val="28"/>
        </w:rPr>
        <w:footnoteRef/>
      </w:r>
      <w:r w:rsidRPr="00174209">
        <w:rPr>
          <w:rFonts w:hint="cs"/>
          <w:rtl/>
        </w:rPr>
        <w:tab/>
        <w:t xml:space="preserve">دخلت وثيقة </w:t>
      </w:r>
      <w:r w:rsidRPr="00CF116C">
        <w:rPr>
          <w:rFonts w:hint="cs"/>
        </w:rPr>
        <w:t>1999</w:t>
      </w:r>
      <w:r w:rsidRPr="00174209">
        <w:rPr>
          <w:rFonts w:hint="cs"/>
          <w:rtl/>
        </w:rPr>
        <w:t xml:space="preserve"> حيز النفاذ في بليز في </w:t>
      </w:r>
      <w:r w:rsidRPr="00CF116C">
        <w:rPr>
          <w:rFonts w:hint="cs"/>
        </w:rPr>
        <w:t>9</w:t>
      </w:r>
      <w:r w:rsidRPr="00174209">
        <w:rPr>
          <w:rFonts w:hint="cs"/>
          <w:rtl/>
        </w:rPr>
        <w:t xml:space="preserve"> فبراير </w:t>
      </w:r>
      <w:r w:rsidRPr="00CF116C">
        <w:rPr>
          <w:rFonts w:hint="cs"/>
        </w:rPr>
        <w:t>2019</w:t>
      </w:r>
      <w:r w:rsidRPr="0017420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174209" w:rsidRDefault="00DA784F" w:rsidP="00174209">
    <w:pPr>
      <w:jc w:val="right"/>
      <w:rPr>
        <w:rtl/>
      </w:rPr>
    </w:pPr>
    <w:r w:rsidRPr="00174209">
      <w:t>H/LD/WG/8/3</w:t>
    </w:r>
  </w:p>
  <w:p w:rsidR="00DA784F" w:rsidRPr="00174209" w:rsidRDefault="00DA784F" w:rsidP="00174209">
    <w:pPr>
      <w:jc w:val="right"/>
      <w:rPr>
        <w:rtl/>
      </w:rPr>
    </w:pPr>
    <w:r w:rsidRPr="00174209">
      <w:rPr>
        <w:rFonts w:hint="cs"/>
        <w:rtl/>
      </w:rPr>
      <w:t xml:space="preserve">الصفحة </w:t>
    </w:r>
    <w:r w:rsidRPr="00174209">
      <w:fldChar w:fldCharType="begin"/>
    </w:r>
    <w:r w:rsidRPr="00174209">
      <w:rPr>
        <w:rtl/>
      </w:rPr>
      <w:instrText xml:space="preserve"> </w:instrText>
    </w:r>
    <w:r w:rsidRPr="00174209">
      <w:rPr>
        <w:rFonts w:hint="cs"/>
      </w:rPr>
      <w:instrText xml:space="preserve">PAGE  \* MERGEFORMAT </w:instrText>
    </w:r>
    <w:r w:rsidRPr="00174209">
      <w:fldChar w:fldCharType="separate"/>
    </w:r>
    <w:r w:rsidRPr="00174209">
      <w:rPr>
        <w:rFonts w:hint="cs"/>
        <w:noProof/>
        <w:rtl/>
      </w:rPr>
      <w:t>1</w:t>
    </w:r>
    <w:r w:rsidRPr="00174209">
      <w:fldChar w:fldCharType="end"/>
    </w:r>
  </w:p>
  <w:p w:rsidR="00DA784F" w:rsidRPr="00174209" w:rsidRDefault="00DA784F" w:rsidP="00174209">
    <w:pPr>
      <w:jc w:val="right"/>
      <w:rPr>
        <w:lang w:val="pt-PT"/>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110" w:rsidRPr="00DA784F" w:rsidRDefault="004E3110"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4E3110" w:rsidRPr="004E3110" w:rsidRDefault="004E3110" w:rsidP="00DA784F">
    <w:pPr>
      <w:pStyle w:val="Header"/>
      <w:tabs>
        <w:tab w:val="clear" w:pos="9072"/>
      </w:tabs>
      <w:bidi w:val="0"/>
      <w:ind w:right="-1"/>
      <w:rPr>
        <w:rFonts w:asciiTheme="minorBidi" w:hAnsiTheme="minorBidi" w:cstheme="minorBidi"/>
        <w:sz w:val="22"/>
        <w:szCs w:val="22"/>
      </w:rPr>
    </w:pPr>
    <w:r>
      <w:rPr>
        <w:rFonts w:asciiTheme="minorBidi" w:hAnsiTheme="minorBidi" w:cstheme="minorBidi"/>
        <w:sz w:val="22"/>
        <w:szCs w:val="22"/>
        <w:lang w:val="en-GB"/>
      </w:rPr>
      <w:t>ANNEX IV</w:t>
    </w:r>
  </w:p>
  <w:p w:rsidR="004E3110" w:rsidRPr="00DA784F" w:rsidRDefault="004E3110" w:rsidP="004E3110">
    <w:pPr>
      <w:pStyle w:val="Header"/>
      <w:tabs>
        <w:tab w:val="clear" w:pos="9072"/>
      </w:tabs>
      <w:ind w:right="-1"/>
      <w:jc w:val="right"/>
      <w:rPr>
        <w:rtl/>
      </w:rPr>
    </w:pPr>
    <w:r w:rsidRPr="00DA784F">
      <w:rPr>
        <w:rtl/>
      </w:rPr>
      <w:t xml:space="preserve">المرفق </w:t>
    </w:r>
    <w:r>
      <w:rPr>
        <w:rFonts w:hint="cs"/>
        <w:rtl/>
      </w:rPr>
      <w:t>الرابع</w:t>
    </w:r>
  </w:p>
  <w:p w:rsidR="004E3110" w:rsidRPr="00DA784F" w:rsidRDefault="004E3110" w:rsidP="00DA784F">
    <w:pPr>
      <w:pStyle w:val="Heade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DA784F" w:rsidRPr="00DA784F" w:rsidRDefault="00DA784F" w:rsidP="00DA784F">
    <w:pPr>
      <w:bidi w:val="0"/>
      <w:rPr>
        <w:rFonts w:asciiTheme="minorBidi" w:hAnsiTheme="minorBidi" w:cstheme="minorBidi"/>
        <w:sz w:val="22"/>
        <w:szCs w:val="22"/>
        <w:rtl/>
        <w:lang w:val="en-GB"/>
      </w:rPr>
    </w:pPr>
    <w:r w:rsidRPr="00DA784F">
      <w:rPr>
        <w:rFonts w:asciiTheme="minorBidi" w:hAnsiTheme="minorBidi" w:cstheme="minorBidi"/>
        <w:sz w:val="22"/>
        <w:szCs w:val="22"/>
      </w:rPr>
      <w:fldChar w:fldCharType="begin"/>
    </w:r>
    <w:r w:rsidRPr="00DA784F">
      <w:rPr>
        <w:rFonts w:asciiTheme="minorBidi" w:hAnsiTheme="minorBidi" w:cstheme="minorBidi"/>
        <w:sz w:val="22"/>
        <w:szCs w:val="22"/>
      </w:rPr>
      <w:instrText xml:space="preserve"> PAGE \* MERGEFORMAT </w:instrText>
    </w:r>
    <w:r w:rsidRPr="00DA784F">
      <w:rPr>
        <w:rFonts w:asciiTheme="minorBidi" w:hAnsiTheme="minorBidi" w:cstheme="minorBidi"/>
        <w:sz w:val="22"/>
        <w:szCs w:val="22"/>
      </w:rPr>
      <w:fldChar w:fldCharType="separate"/>
    </w:r>
    <w:r w:rsidR="00DE12D6">
      <w:rPr>
        <w:rFonts w:asciiTheme="minorBidi" w:hAnsiTheme="minorBidi" w:cstheme="minorBidi"/>
        <w:noProof/>
        <w:sz w:val="22"/>
        <w:szCs w:val="22"/>
      </w:rPr>
      <w:t>2</w:t>
    </w:r>
    <w:r w:rsidRPr="00DA784F">
      <w:rPr>
        <w:rFonts w:asciiTheme="minorBidi" w:hAnsiTheme="minorBidi" w:cstheme="minorBidi"/>
        <w:sz w:val="22"/>
        <w:szCs w:val="22"/>
      </w:rPr>
      <w:fldChar w:fldCharType="end"/>
    </w:r>
  </w:p>
  <w:p w:rsidR="00DA784F" w:rsidRPr="00DA784F" w:rsidRDefault="00DA784F" w:rsidP="00DA784F">
    <w:pPr>
      <w:bidi w:val="0"/>
      <w:rPr>
        <w:rFonts w:asciiTheme="minorBidi" w:hAnsiTheme="minorBidi" w:cstheme="minorBidi"/>
        <w:sz w:val="22"/>
        <w:szCs w:val="22"/>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4E3110" w:rsidRDefault="00DA784F" w:rsidP="004E3110">
    <w:pPr>
      <w:bidi w:val="0"/>
      <w:rPr>
        <w:rFonts w:asciiTheme="minorBidi" w:hAnsiTheme="minorBidi" w:cstheme="minorBidi"/>
        <w:sz w:val="22"/>
        <w:szCs w:val="22"/>
      </w:rPr>
    </w:pPr>
    <w:r w:rsidRPr="004E3110">
      <w:rPr>
        <w:rFonts w:asciiTheme="minorBidi" w:hAnsiTheme="minorBidi" w:cstheme="minorBidi"/>
        <w:sz w:val="22"/>
        <w:szCs w:val="22"/>
      </w:rPr>
      <w:t>H/LD/WG/8/3</w:t>
    </w:r>
  </w:p>
  <w:p w:rsidR="00DA784F" w:rsidRPr="004E3110" w:rsidRDefault="00DA784F" w:rsidP="004E3110">
    <w:pPr>
      <w:bidi w:val="0"/>
      <w:rPr>
        <w:rFonts w:asciiTheme="minorBidi" w:hAnsiTheme="minorBidi" w:cstheme="minorBidi"/>
        <w:sz w:val="22"/>
        <w:szCs w:val="22"/>
        <w:rtl/>
      </w:rPr>
    </w:pPr>
    <w:r w:rsidRPr="004E3110">
      <w:rPr>
        <w:rFonts w:asciiTheme="minorBidi" w:hAnsiTheme="minorBidi" w:cstheme="minorBidi"/>
        <w:sz w:val="22"/>
        <w:szCs w:val="22"/>
      </w:rPr>
      <w:t>Annex I</w:t>
    </w:r>
  </w:p>
  <w:p w:rsidR="00DA784F" w:rsidRPr="004E3110" w:rsidRDefault="00DA784F" w:rsidP="004E3110">
    <w:pPr>
      <w:bidi w:val="0"/>
      <w:rPr>
        <w:rFonts w:asciiTheme="minorBidi" w:hAnsiTheme="minorBidi" w:cstheme="minorBidi"/>
        <w:sz w:val="22"/>
        <w:szCs w:val="22"/>
        <w:rtl/>
        <w:lang w:val="en-GB"/>
      </w:rPr>
    </w:pPr>
    <w:r w:rsidRPr="004E3110">
      <w:rPr>
        <w:rFonts w:asciiTheme="minorBidi" w:hAnsiTheme="minorBidi" w:cstheme="minorBidi"/>
        <w:sz w:val="22"/>
        <w:szCs w:val="22"/>
      </w:rPr>
      <w:fldChar w:fldCharType="begin"/>
    </w:r>
    <w:r w:rsidRPr="004E3110">
      <w:rPr>
        <w:rFonts w:asciiTheme="minorBidi" w:hAnsiTheme="minorBidi" w:cstheme="minorBidi"/>
        <w:sz w:val="22"/>
        <w:szCs w:val="22"/>
      </w:rPr>
      <w:instrText xml:space="preserve"> PAGE \* MERGEFORMAT </w:instrText>
    </w:r>
    <w:r w:rsidRPr="004E3110">
      <w:rPr>
        <w:rFonts w:asciiTheme="minorBidi" w:hAnsiTheme="minorBidi" w:cstheme="minorBidi"/>
        <w:sz w:val="22"/>
        <w:szCs w:val="22"/>
      </w:rPr>
      <w:fldChar w:fldCharType="separate"/>
    </w:r>
    <w:r w:rsidR="004E3110">
      <w:rPr>
        <w:rFonts w:asciiTheme="minorBidi" w:hAnsiTheme="minorBidi" w:cstheme="minorBidi"/>
        <w:noProof/>
        <w:sz w:val="22"/>
        <w:szCs w:val="22"/>
      </w:rPr>
      <w:t>2</w:t>
    </w:r>
    <w:r w:rsidRPr="004E3110">
      <w:rPr>
        <w:rFonts w:asciiTheme="minorBidi" w:hAnsiTheme="minorBidi" w:cstheme="minorBidi"/>
        <w:sz w:val="22"/>
        <w:szCs w:val="22"/>
      </w:rPr>
      <w:fldChar w:fldCharType="end"/>
    </w:r>
  </w:p>
  <w:p w:rsidR="00DA784F" w:rsidRPr="004E3110" w:rsidRDefault="00DA784F" w:rsidP="004E3110">
    <w:pPr>
      <w:bidi w:val="0"/>
      <w:rPr>
        <w:rFonts w:asciiTheme="minorBidi" w:hAnsiTheme="minorBidi" w:cstheme="minorBidi"/>
        <w:sz w:val="22"/>
        <w:szCs w:val="22"/>
        <w:lang w:val="pt-P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DA784F" w:rsidRPr="00DA784F" w:rsidRDefault="00DA784F" w:rsidP="00DA784F">
    <w:pPr>
      <w:bidi w:val="0"/>
      <w:rPr>
        <w:rFonts w:asciiTheme="minorBidi" w:hAnsiTheme="minorBidi" w:cstheme="minorBidi"/>
        <w:sz w:val="22"/>
        <w:szCs w:val="22"/>
      </w:rPr>
    </w:pPr>
    <w:r w:rsidRPr="00DA784F">
      <w:rPr>
        <w:rFonts w:asciiTheme="minorBidi" w:hAnsiTheme="minorBidi" w:cstheme="minorBidi"/>
        <w:sz w:val="22"/>
        <w:szCs w:val="22"/>
      </w:rPr>
      <w:t>ANNEX I</w:t>
    </w:r>
  </w:p>
  <w:p w:rsidR="00DA784F" w:rsidRPr="00DA784F" w:rsidRDefault="00DA784F" w:rsidP="00DA784F">
    <w:pPr>
      <w:bidi w:val="0"/>
      <w:rPr>
        <w:rtl/>
      </w:rPr>
    </w:pPr>
    <w:r w:rsidRPr="00DA784F">
      <w:rPr>
        <w:rtl/>
      </w:rPr>
      <w:t>المرفق الأول</w:t>
    </w:r>
  </w:p>
  <w:p w:rsidR="00DA784F" w:rsidRPr="00DA784F" w:rsidRDefault="00DA784F" w:rsidP="00DA784F">
    <w:pPr>
      <w:pStyle w:val="Header"/>
      <w:bidi w:val="0"/>
      <w:rPr>
        <w:rFonts w:asciiTheme="minorBidi" w:hAnsiTheme="minorBidi" w:cstheme="minorBid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DA784F" w:rsidRPr="00DA784F" w:rsidRDefault="00DA784F" w:rsidP="00DA784F">
    <w:pPr>
      <w:bidi w:val="0"/>
      <w:rPr>
        <w:rFonts w:asciiTheme="minorBidi" w:hAnsiTheme="minorBidi" w:cstheme="minorBidi"/>
        <w:sz w:val="22"/>
        <w:szCs w:val="22"/>
      </w:rPr>
    </w:pPr>
    <w:r w:rsidRPr="00DA784F">
      <w:rPr>
        <w:rFonts w:asciiTheme="minorBidi" w:hAnsiTheme="minorBidi" w:cstheme="minorBidi"/>
        <w:sz w:val="22"/>
        <w:szCs w:val="22"/>
      </w:rPr>
      <w:t>Annex II</w:t>
    </w:r>
  </w:p>
  <w:p w:rsidR="00DA784F" w:rsidRPr="00DA784F" w:rsidRDefault="00DA784F" w:rsidP="00DA784F">
    <w:pPr>
      <w:bidi w:val="0"/>
      <w:rPr>
        <w:rFonts w:asciiTheme="minorBidi" w:hAnsiTheme="minorBidi" w:cstheme="minorBidi"/>
        <w:sz w:val="22"/>
        <w:szCs w:val="22"/>
        <w:rtl/>
        <w:lang w:val="en-GB"/>
      </w:rPr>
    </w:pPr>
    <w:r w:rsidRPr="00DA784F">
      <w:rPr>
        <w:rFonts w:asciiTheme="minorBidi" w:hAnsiTheme="minorBidi" w:cstheme="minorBidi"/>
        <w:sz w:val="22"/>
        <w:szCs w:val="22"/>
      </w:rPr>
      <w:fldChar w:fldCharType="begin"/>
    </w:r>
    <w:r w:rsidRPr="00DA784F">
      <w:rPr>
        <w:rFonts w:asciiTheme="minorBidi" w:hAnsiTheme="minorBidi" w:cstheme="minorBidi"/>
        <w:sz w:val="22"/>
        <w:szCs w:val="22"/>
      </w:rPr>
      <w:instrText xml:space="preserve"> PAGE \* MERGEFORMAT </w:instrText>
    </w:r>
    <w:r w:rsidRPr="00DA784F">
      <w:rPr>
        <w:rFonts w:asciiTheme="minorBidi" w:hAnsiTheme="minorBidi" w:cstheme="minorBidi"/>
        <w:sz w:val="22"/>
        <w:szCs w:val="22"/>
      </w:rPr>
      <w:fldChar w:fldCharType="separate"/>
    </w:r>
    <w:r w:rsidR="00DE12D6">
      <w:rPr>
        <w:rFonts w:asciiTheme="minorBidi" w:hAnsiTheme="minorBidi" w:cstheme="minorBidi"/>
        <w:noProof/>
        <w:sz w:val="22"/>
        <w:szCs w:val="22"/>
      </w:rPr>
      <w:t>2</w:t>
    </w:r>
    <w:r w:rsidRPr="00DA784F">
      <w:rPr>
        <w:rFonts w:asciiTheme="minorBidi" w:hAnsiTheme="minorBidi" w:cstheme="minorBidi"/>
        <w:sz w:val="22"/>
        <w:szCs w:val="22"/>
      </w:rPr>
      <w:fldChar w:fldCharType="end"/>
    </w:r>
  </w:p>
  <w:p w:rsidR="00DA784F" w:rsidRPr="00DA784F" w:rsidRDefault="00DA784F" w:rsidP="00DA784F">
    <w:pPr>
      <w:bidi w:val="0"/>
      <w:rPr>
        <w:rFonts w:asciiTheme="minorBidi" w:hAnsiTheme="minorBidi" w:cstheme="minorBidi"/>
        <w:sz w:val="22"/>
        <w:szCs w:val="22"/>
        <w:lang w:val="pt-P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DA784F" w:rsidRPr="00DA784F" w:rsidRDefault="00DA784F" w:rsidP="00DA784F">
    <w:pPr>
      <w:bidi w:val="0"/>
      <w:rPr>
        <w:rFonts w:asciiTheme="minorBidi" w:hAnsiTheme="minorBidi" w:cstheme="minorBidi"/>
        <w:sz w:val="22"/>
        <w:szCs w:val="22"/>
      </w:rPr>
    </w:pPr>
    <w:r w:rsidRPr="00DA784F">
      <w:rPr>
        <w:rFonts w:asciiTheme="minorBidi" w:hAnsiTheme="minorBidi" w:cstheme="minorBidi"/>
        <w:sz w:val="22"/>
        <w:szCs w:val="22"/>
      </w:rPr>
      <w:t>ANNEX II</w:t>
    </w:r>
  </w:p>
  <w:p w:rsidR="00DA784F" w:rsidRPr="00DA784F" w:rsidRDefault="00DA784F" w:rsidP="00DA784F">
    <w:pPr>
      <w:bidi w:val="0"/>
      <w:rPr>
        <w:rtl/>
      </w:rPr>
    </w:pPr>
    <w:r w:rsidRPr="00DA784F">
      <w:rPr>
        <w:rtl/>
      </w:rPr>
      <w:t>المرفق الثاني</w:t>
    </w:r>
  </w:p>
  <w:p w:rsidR="00DA784F" w:rsidRPr="00DA784F" w:rsidRDefault="00DA784F" w:rsidP="00DA784F">
    <w:pPr>
      <w:pStyle w:val="Header"/>
      <w:bidi w:val="0"/>
      <w:rPr>
        <w:rFonts w:asciiTheme="minorBidi" w:hAnsiTheme="minorBidi" w:cstheme="minorBid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DA784F" w:rsidRPr="00DA784F" w:rsidRDefault="00DA784F" w:rsidP="00DA784F">
    <w:pPr>
      <w:bidi w:val="0"/>
      <w:rPr>
        <w:rFonts w:asciiTheme="minorBidi" w:hAnsiTheme="minorBidi" w:cstheme="minorBidi"/>
        <w:sz w:val="22"/>
        <w:szCs w:val="22"/>
      </w:rPr>
    </w:pPr>
    <w:r w:rsidRPr="00DA784F">
      <w:rPr>
        <w:rFonts w:asciiTheme="minorBidi" w:hAnsiTheme="minorBidi" w:cstheme="minorBidi"/>
        <w:sz w:val="22"/>
        <w:szCs w:val="22"/>
      </w:rPr>
      <w:t>Annex III</w:t>
    </w:r>
  </w:p>
  <w:p w:rsidR="00DA784F" w:rsidRPr="00DA784F" w:rsidRDefault="00DA784F" w:rsidP="00DA784F">
    <w:pPr>
      <w:bidi w:val="0"/>
      <w:rPr>
        <w:rFonts w:asciiTheme="minorBidi" w:hAnsiTheme="minorBidi" w:cstheme="minorBidi"/>
        <w:sz w:val="22"/>
        <w:szCs w:val="22"/>
        <w:rtl/>
        <w:lang w:val="en-GB"/>
      </w:rPr>
    </w:pPr>
    <w:r w:rsidRPr="00DA784F">
      <w:rPr>
        <w:rFonts w:asciiTheme="minorBidi" w:hAnsiTheme="minorBidi" w:cstheme="minorBidi"/>
        <w:sz w:val="22"/>
        <w:szCs w:val="22"/>
      </w:rPr>
      <w:fldChar w:fldCharType="begin"/>
    </w:r>
    <w:r w:rsidRPr="00DA784F">
      <w:rPr>
        <w:rFonts w:asciiTheme="minorBidi" w:hAnsiTheme="minorBidi" w:cstheme="minorBidi"/>
        <w:sz w:val="22"/>
        <w:szCs w:val="22"/>
      </w:rPr>
      <w:instrText xml:space="preserve"> PAGE \* MERGEFORMAT </w:instrText>
    </w:r>
    <w:r w:rsidRPr="00DA784F">
      <w:rPr>
        <w:rFonts w:asciiTheme="minorBidi" w:hAnsiTheme="minorBidi" w:cstheme="minorBidi"/>
        <w:sz w:val="22"/>
        <w:szCs w:val="22"/>
      </w:rPr>
      <w:fldChar w:fldCharType="separate"/>
    </w:r>
    <w:r w:rsidR="00DE12D6">
      <w:rPr>
        <w:rFonts w:asciiTheme="minorBidi" w:hAnsiTheme="minorBidi" w:cstheme="minorBidi"/>
        <w:noProof/>
        <w:sz w:val="22"/>
        <w:szCs w:val="22"/>
      </w:rPr>
      <w:t>2</w:t>
    </w:r>
    <w:r w:rsidRPr="00DA784F">
      <w:rPr>
        <w:rFonts w:asciiTheme="minorBidi" w:hAnsiTheme="minorBidi" w:cstheme="minorBidi"/>
        <w:sz w:val="22"/>
        <w:szCs w:val="22"/>
      </w:rPr>
      <w:fldChar w:fldCharType="end"/>
    </w:r>
  </w:p>
  <w:p w:rsidR="00DA784F" w:rsidRPr="00DA784F" w:rsidRDefault="00DA784F" w:rsidP="00DA784F">
    <w:pPr>
      <w:bidi w:val="0"/>
      <w:rPr>
        <w:rFonts w:asciiTheme="minorBidi" w:hAnsiTheme="minorBidi" w:cstheme="minorBidi"/>
        <w:sz w:val="22"/>
        <w:szCs w:val="22"/>
        <w:lang w:val="pt-P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F" w:rsidRPr="00DA784F" w:rsidRDefault="00DA784F" w:rsidP="00DA784F">
    <w:pPr>
      <w:bidi w:val="0"/>
      <w:rPr>
        <w:rFonts w:asciiTheme="minorBidi" w:hAnsiTheme="minorBidi" w:cstheme="minorBidi"/>
        <w:sz w:val="22"/>
        <w:szCs w:val="22"/>
        <w:rtl/>
      </w:rPr>
    </w:pPr>
    <w:r w:rsidRPr="00DA784F">
      <w:rPr>
        <w:rFonts w:asciiTheme="minorBidi" w:hAnsiTheme="minorBidi" w:cstheme="minorBidi"/>
        <w:sz w:val="22"/>
        <w:szCs w:val="22"/>
      </w:rPr>
      <w:t>H/LD/WG/8/3</w:t>
    </w:r>
  </w:p>
  <w:p w:rsidR="00DA784F" w:rsidRPr="00DA784F" w:rsidRDefault="00DA784F" w:rsidP="00DA784F">
    <w:pPr>
      <w:pStyle w:val="Header"/>
      <w:tabs>
        <w:tab w:val="clear" w:pos="9072"/>
      </w:tabs>
      <w:bidi w:val="0"/>
      <w:ind w:right="-1"/>
      <w:rPr>
        <w:rFonts w:asciiTheme="minorBidi" w:hAnsiTheme="minorBidi" w:cstheme="minorBidi"/>
        <w:sz w:val="22"/>
        <w:szCs w:val="22"/>
        <w:lang w:val="en-GB"/>
      </w:rPr>
    </w:pPr>
    <w:r w:rsidRPr="00DA784F">
      <w:rPr>
        <w:rFonts w:asciiTheme="minorBidi" w:hAnsiTheme="minorBidi" w:cstheme="minorBidi"/>
        <w:sz w:val="22"/>
        <w:szCs w:val="22"/>
        <w:lang w:val="en-GB"/>
      </w:rPr>
      <w:t>ANNEX III</w:t>
    </w:r>
  </w:p>
  <w:p w:rsidR="00DA784F" w:rsidRPr="00DA784F" w:rsidRDefault="00DA784F" w:rsidP="00DA784F">
    <w:pPr>
      <w:pStyle w:val="Header"/>
      <w:tabs>
        <w:tab w:val="clear" w:pos="9072"/>
      </w:tabs>
      <w:ind w:right="-1"/>
      <w:jc w:val="right"/>
      <w:rPr>
        <w:rtl/>
      </w:rPr>
    </w:pPr>
    <w:r w:rsidRPr="00DA784F">
      <w:rPr>
        <w:rtl/>
      </w:rPr>
      <w:t>المرفق الثالث</w:t>
    </w:r>
  </w:p>
  <w:p w:rsidR="00DA784F" w:rsidRPr="00DA784F" w:rsidRDefault="00DA784F" w:rsidP="00DA784F">
    <w:pPr>
      <w:pStyle w:val="Header"/>
      <w:bidi w:val="0"/>
      <w:rPr>
        <w:rFonts w:asciiTheme="minorBidi" w:hAnsiTheme="minorBidi" w:cstheme="minorBid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CB4" w:rsidRDefault="002C3CB4" w:rsidP="002C3CB4">
    <w:pPr>
      <w:bidi w:val="0"/>
      <w:rPr>
        <w:rFonts w:ascii="Arial" w:hAnsi="Arial" w:cs="Arial"/>
        <w:sz w:val="22"/>
        <w:szCs w:val="22"/>
      </w:rPr>
    </w:pPr>
    <w:bookmarkStart w:id="6" w:name="Code3"/>
    <w:bookmarkEnd w:id="6"/>
    <w:r>
      <w:rPr>
        <w:rFonts w:ascii="Arial" w:hAnsi="Arial" w:cs="Arial"/>
        <w:sz w:val="22"/>
        <w:szCs w:val="22"/>
      </w:rPr>
      <w:t>H/LD/WG/8/</w:t>
    </w:r>
    <w:r w:rsidR="004E3110">
      <w:rPr>
        <w:rFonts w:ascii="Arial" w:hAnsi="Arial" w:cs="Arial"/>
        <w:sz w:val="22"/>
        <w:szCs w:val="22"/>
      </w:rPr>
      <w:t>3</w:t>
    </w:r>
  </w:p>
  <w:p w:rsidR="004E3110" w:rsidRDefault="004E3110" w:rsidP="004E3110">
    <w:pPr>
      <w:bidi w:val="0"/>
      <w:rPr>
        <w:rFonts w:ascii="Arial" w:hAnsi="Arial" w:cs="Arial"/>
        <w:sz w:val="22"/>
        <w:szCs w:val="22"/>
      </w:rPr>
    </w:pPr>
    <w:r>
      <w:rPr>
        <w:rFonts w:ascii="Arial" w:hAnsi="Arial" w:cs="Arial"/>
        <w:sz w:val="22"/>
        <w:szCs w:val="22"/>
      </w:rPr>
      <w:t>Annex IV</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E3110">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3702B89"/>
    <w:multiLevelType w:val="hybridMultilevel"/>
    <w:tmpl w:val="68BC866A"/>
    <w:lvl w:ilvl="0" w:tplc="2CD8D6C6">
      <w:start w:val="34"/>
      <w:numFmt w:val="bullet"/>
      <w:lvlText w:val="-"/>
      <w:lvlJc w:val="left"/>
      <w:pPr>
        <w:ind w:left="1287" w:hanging="360"/>
      </w:pPr>
      <w:rPr>
        <w:rFonts w:ascii="Arabic Typesetting" w:eastAsia="SimSun" w:hAnsi="Arabic Typesetting" w:cs="Arabic Typesetting"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4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CB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3F9C"/>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043"/>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C53"/>
    <w:rsid w:val="00497356"/>
    <w:rsid w:val="004A076F"/>
    <w:rsid w:val="004A1DC1"/>
    <w:rsid w:val="004A31A2"/>
    <w:rsid w:val="004A48A7"/>
    <w:rsid w:val="004A655D"/>
    <w:rsid w:val="004A6B16"/>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6D1B"/>
    <w:rsid w:val="004E1264"/>
    <w:rsid w:val="004E2CBC"/>
    <w:rsid w:val="004E3110"/>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195"/>
    <w:rsid w:val="006C570B"/>
    <w:rsid w:val="006C572E"/>
    <w:rsid w:val="006C5997"/>
    <w:rsid w:val="006C5CD2"/>
    <w:rsid w:val="006D0636"/>
    <w:rsid w:val="006D06DC"/>
    <w:rsid w:val="006D531E"/>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6155"/>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487"/>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6CC"/>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021"/>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AF5"/>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579C"/>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A784F"/>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2D6"/>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B6EB05F-5980-43C0-9B1D-B8318BA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CommentReference">
    <w:name w:val="annotation reference"/>
    <w:basedOn w:val="DefaultParagraphFont"/>
    <w:uiPriority w:val="99"/>
    <w:semiHidden/>
    <w:unhideWhenUsed/>
    <w:rsid w:val="00DA78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8199">
      <w:bodyDiv w:val="1"/>
      <w:marLeft w:val="0"/>
      <w:marRight w:val="0"/>
      <w:marTop w:val="0"/>
      <w:marBottom w:val="0"/>
      <w:divBdr>
        <w:top w:val="none" w:sz="0" w:space="0" w:color="auto"/>
        <w:left w:val="none" w:sz="0" w:space="0" w:color="auto"/>
        <w:bottom w:val="none" w:sz="0" w:space="0" w:color="auto"/>
        <w:right w:val="none" w:sz="0" w:space="0" w:color="auto"/>
      </w:divBdr>
    </w:div>
    <w:div w:id="79798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hague/en/notic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Word]Pivot and Graph!PivotTable9</c:name>
    <c:fmtId val="2"/>
  </c:pivotSource>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r>
              <a:rPr lang="ar-EG" sz="2000" b="1">
                <a:effectLst/>
                <a:latin typeface="Arabic Typesetting" panose="03020402040406030203" pitchFamily="66" charset="-78"/>
                <a:cs typeface="Arabic Typesetting" panose="03020402040406030203" pitchFamily="66" charset="-78"/>
              </a:rPr>
              <a:t>تعيينات الأطراف المتعاقدة بموجب وثيقة 1960 -</a:t>
            </a:r>
          </a:p>
          <a:p>
            <a:pPr rtl="1">
              <a:defRPr sz="1400" b="0" i="0" u="none" strike="noStrike" kern="1200" spc="0" baseline="0">
                <a:solidFill>
                  <a:schemeClr val="tx1">
                    <a:lumMod val="65000"/>
                    <a:lumOff val="35000"/>
                  </a:schemeClr>
                </a:solidFill>
                <a:latin typeface="+mn-lt"/>
                <a:ea typeface="+mn-ea"/>
                <a:cs typeface="+mn-cs"/>
              </a:defRPr>
            </a:pPr>
            <a:r>
              <a:rPr lang="ar-EG" sz="2000" b="1">
                <a:effectLst/>
                <a:latin typeface="Arabic Typesetting" panose="03020402040406030203" pitchFamily="66" charset="-78"/>
                <a:cs typeface="Arabic Typesetting" panose="03020402040406030203" pitchFamily="66" charset="-78"/>
              </a:rPr>
              <a:t>التعيينات المسجلة في النصف الأول من عام 2019، بحسب الوثيقة المنطبقة</a:t>
            </a:r>
            <a:endParaRPr lang="en-US" sz="2000">
              <a:effectLst/>
              <a:latin typeface="Arabic Typesetting" panose="03020402040406030203" pitchFamily="66" charset="-78"/>
              <a:cs typeface="Arabic Typesetting" panose="03020402040406030203" pitchFamily="66" charset="-78"/>
            </a:endParaRPr>
          </a:p>
        </c:rich>
      </c:tx>
      <c:layout/>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2"/>
          </a:solidFill>
          <a:ln>
            <a:noFill/>
          </a:ln>
          <a:effectLst/>
        </c:spPr>
        <c:marker>
          <c:symbol val="none"/>
        </c:marker>
      </c:pivotFmt>
    </c:pivotFmts>
    <c:plotArea>
      <c:layout/>
      <c:barChart>
        <c:barDir val="col"/>
        <c:grouping val="stacked"/>
        <c:varyColors val="0"/>
        <c:ser>
          <c:idx val="0"/>
          <c:order val="0"/>
          <c:tx>
            <c:strRef>
              <c:f>'Pivot and Graph'!$B$3:$B$4</c:f>
              <c:strCache>
                <c:ptCount val="1"/>
                <c:pt idx="0">
                  <c:v>وثيقة 1999</c:v>
                </c:pt>
              </c:strCache>
            </c:strRef>
          </c:tx>
          <c:spPr>
            <a:solidFill>
              <a:schemeClr val="accent1"/>
            </a:solidFill>
            <a:ln>
              <a:noFill/>
            </a:ln>
            <a:effectLst/>
          </c:spPr>
          <c:invertIfNegative val="0"/>
          <c:cat>
            <c:strRef>
              <c:f>'Pivot and Graph'!$A$5:$A$35</c:f>
              <c:strCache>
                <c:ptCount val="30"/>
                <c:pt idx="0">
                  <c:v>ألبانيا</c:v>
                </c:pt>
                <c:pt idx="1">
                  <c:v>بلغاريا</c:v>
                </c:pt>
                <c:pt idx="2">
                  <c:v>بنن</c:v>
                </c:pt>
                <c:pt idx="3">
                  <c:v>بنيلوكس</c:v>
                </c:pt>
                <c:pt idx="4">
                  <c:v>بليز</c:v>
                </c:pt>
                <c:pt idx="5">
                  <c:v>سويسرا</c:v>
                </c:pt>
                <c:pt idx="6">
                  <c:v>كوت ديفوار</c:v>
                </c:pt>
                <c:pt idx="7">
                  <c:v>ألمانيا</c:v>
                </c:pt>
                <c:pt idx="8">
                  <c:v>فرنسا</c:v>
                </c:pt>
                <c:pt idx="9">
                  <c:v>غابون</c:v>
                </c:pt>
                <c:pt idx="10">
                  <c:v>جورجيا</c:v>
                </c:pt>
                <c:pt idx="11">
                  <c:v>اليونان</c:v>
                </c:pt>
                <c:pt idx="12">
                  <c:v>كرواتيا</c:v>
                </c:pt>
                <c:pt idx="13">
                  <c:v>هنغاريا</c:v>
                </c:pt>
                <c:pt idx="14">
                  <c:v>إيطاليا</c:v>
                </c:pt>
                <c:pt idx="15">
                  <c:v>قيرغيزستان</c:v>
                </c:pt>
                <c:pt idx="16">
                  <c:v>جمهورية كوريا الشعبية الديمقراطية</c:v>
                </c:pt>
                <c:pt idx="17">
                  <c:v>ليختنشتاين</c:v>
                </c:pt>
                <c:pt idx="18">
                  <c:v>المغرب</c:v>
                </c:pt>
                <c:pt idx="19">
                  <c:v>موناكو</c:v>
                </c:pt>
                <c:pt idx="20">
                  <c:v>مولدوفا</c:v>
                </c:pt>
                <c:pt idx="21">
                  <c:v>الجبل الأسود</c:v>
                </c:pt>
                <c:pt idx="22">
                  <c:v>مقدونيا الشمالية</c:v>
                </c:pt>
                <c:pt idx="23">
                  <c:v>منغوليا</c:v>
                </c:pt>
                <c:pt idx="24">
                  <c:v>رومانيا</c:v>
                </c:pt>
                <c:pt idx="25">
                  <c:v>صربيا</c:v>
                </c:pt>
                <c:pt idx="26">
                  <c:v>سلوفينيا</c:v>
                </c:pt>
                <c:pt idx="27">
                  <c:v>السنغال</c:v>
                </c:pt>
                <c:pt idx="28">
                  <c:v>سورينام</c:v>
                </c:pt>
                <c:pt idx="29">
                  <c:v>أوكرانيا</c:v>
                </c:pt>
              </c:strCache>
            </c:strRef>
          </c:cat>
          <c:val>
            <c:numRef>
              <c:f>'Pivot and Graph'!$B$5:$B$35</c:f>
              <c:numCache>
                <c:formatCode>General</c:formatCode>
                <c:ptCount val="30"/>
                <c:pt idx="0">
                  <c:v>91</c:v>
                </c:pt>
                <c:pt idx="1">
                  <c:v>9</c:v>
                </c:pt>
                <c:pt idx="3">
                  <c:v>13</c:v>
                </c:pt>
                <c:pt idx="4">
                  <c:v>29</c:v>
                </c:pt>
                <c:pt idx="5">
                  <c:v>669</c:v>
                </c:pt>
                <c:pt idx="7">
                  <c:v>47</c:v>
                </c:pt>
                <c:pt idx="8">
                  <c:v>49</c:v>
                </c:pt>
                <c:pt idx="10">
                  <c:v>64</c:v>
                </c:pt>
                <c:pt idx="12">
                  <c:v>27</c:v>
                </c:pt>
                <c:pt idx="13">
                  <c:v>7</c:v>
                </c:pt>
                <c:pt idx="15">
                  <c:v>60</c:v>
                </c:pt>
                <c:pt idx="16">
                  <c:v>15</c:v>
                </c:pt>
                <c:pt idx="17">
                  <c:v>106</c:v>
                </c:pt>
                <c:pt idx="19">
                  <c:v>139</c:v>
                </c:pt>
                <c:pt idx="20">
                  <c:v>74</c:v>
                </c:pt>
                <c:pt idx="21">
                  <c:v>102</c:v>
                </c:pt>
                <c:pt idx="22">
                  <c:v>116</c:v>
                </c:pt>
                <c:pt idx="23">
                  <c:v>67</c:v>
                </c:pt>
                <c:pt idx="24">
                  <c:v>13</c:v>
                </c:pt>
                <c:pt idx="25">
                  <c:v>73</c:v>
                </c:pt>
                <c:pt idx="26">
                  <c:v>27</c:v>
                </c:pt>
                <c:pt idx="29">
                  <c:v>229</c:v>
                </c:pt>
              </c:numCache>
            </c:numRef>
          </c:val>
          <c:extLst>
            <c:ext xmlns:c16="http://schemas.microsoft.com/office/drawing/2014/chart" uri="{C3380CC4-5D6E-409C-BE32-E72D297353CC}">
              <c16:uniqueId val="{00000000-6879-421B-BADD-E64A12E4517B}"/>
            </c:ext>
          </c:extLst>
        </c:ser>
        <c:ser>
          <c:idx val="1"/>
          <c:order val="1"/>
          <c:tx>
            <c:strRef>
              <c:f>'Pivot and Graph'!$C$3:$C$4</c:f>
              <c:strCache>
                <c:ptCount val="1"/>
                <c:pt idx="0">
                  <c:v>وثيقة 1960</c:v>
                </c:pt>
              </c:strCache>
            </c:strRef>
          </c:tx>
          <c:spPr>
            <a:solidFill>
              <a:schemeClr val="accent2"/>
            </a:solidFill>
            <a:ln>
              <a:noFill/>
            </a:ln>
            <a:effectLst/>
          </c:spPr>
          <c:invertIfNegative val="0"/>
          <c:cat>
            <c:strRef>
              <c:f>'Pivot and Graph'!$A$5:$A$35</c:f>
              <c:strCache>
                <c:ptCount val="30"/>
                <c:pt idx="0">
                  <c:v>ألبانيا</c:v>
                </c:pt>
                <c:pt idx="1">
                  <c:v>بلغاريا</c:v>
                </c:pt>
                <c:pt idx="2">
                  <c:v>بنن</c:v>
                </c:pt>
                <c:pt idx="3">
                  <c:v>بنيلوكس</c:v>
                </c:pt>
                <c:pt idx="4">
                  <c:v>بليز</c:v>
                </c:pt>
                <c:pt idx="5">
                  <c:v>سويسرا</c:v>
                </c:pt>
                <c:pt idx="6">
                  <c:v>كوت ديفوار</c:v>
                </c:pt>
                <c:pt idx="7">
                  <c:v>ألمانيا</c:v>
                </c:pt>
                <c:pt idx="8">
                  <c:v>فرنسا</c:v>
                </c:pt>
                <c:pt idx="9">
                  <c:v>غابون</c:v>
                </c:pt>
                <c:pt idx="10">
                  <c:v>جورجيا</c:v>
                </c:pt>
                <c:pt idx="11">
                  <c:v>اليونان</c:v>
                </c:pt>
                <c:pt idx="12">
                  <c:v>كرواتيا</c:v>
                </c:pt>
                <c:pt idx="13">
                  <c:v>هنغاريا</c:v>
                </c:pt>
                <c:pt idx="14">
                  <c:v>إيطاليا</c:v>
                </c:pt>
                <c:pt idx="15">
                  <c:v>قيرغيزستان</c:v>
                </c:pt>
                <c:pt idx="16">
                  <c:v>جمهورية كوريا الشعبية الديمقراطية</c:v>
                </c:pt>
                <c:pt idx="17">
                  <c:v>ليختنشتاين</c:v>
                </c:pt>
                <c:pt idx="18">
                  <c:v>المغرب</c:v>
                </c:pt>
                <c:pt idx="19">
                  <c:v>موناكو</c:v>
                </c:pt>
                <c:pt idx="20">
                  <c:v>مولدوفا</c:v>
                </c:pt>
                <c:pt idx="21">
                  <c:v>الجبل الأسود</c:v>
                </c:pt>
                <c:pt idx="22">
                  <c:v>مقدونيا الشمالية</c:v>
                </c:pt>
                <c:pt idx="23">
                  <c:v>منغوليا</c:v>
                </c:pt>
                <c:pt idx="24">
                  <c:v>رومانيا</c:v>
                </c:pt>
                <c:pt idx="25">
                  <c:v>صربيا</c:v>
                </c:pt>
                <c:pt idx="26">
                  <c:v>سلوفينيا</c:v>
                </c:pt>
                <c:pt idx="27">
                  <c:v>السنغال</c:v>
                </c:pt>
                <c:pt idx="28">
                  <c:v>سورينام</c:v>
                </c:pt>
                <c:pt idx="29">
                  <c:v>أوكرانيا</c:v>
                </c:pt>
              </c:strCache>
            </c:strRef>
          </c:cat>
          <c:val>
            <c:numRef>
              <c:f>'Pivot and Graph'!$C$5:$C$35</c:f>
              <c:numCache>
                <c:formatCode>General</c:formatCode>
                <c:ptCount val="30"/>
                <c:pt idx="2">
                  <c:v>5</c:v>
                </c:pt>
                <c:pt idx="3">
                  <c:v>11</c:v>
                </c:pt>
                <c:pt idx="4">
                  <c:v>22</c:v>
                </c:pt>
                <c:pt idx="6">
                  <c:v>6</c:v>
                </c:pt>
                <c:pt idx="9">
                  <c:v>4</c:v>
                </c:pt>
                <c:pt idx="11">
                  <c:v>25</c:v>
                </c:pt>
                <c:pt idx="14">
                  <c:v>26</c:v>
                </c:pt>
                <c:pt idx="18">
                  <c:v>158</c:v>
                </c:pt>
                <c:pt idx="27">
                  <c:v>6</c:v>
                </c:pt>
                <c:pt idx="28">
                  <c:v>5</c:v>
                </c:pt>
              </c:numCache>
            </c:numRef>
          </c:val>
          <c:extLst>
            <c:ext xmlns:c16="http://schemas.microsoft.com/office/drawing/2014/chart" uri="{C3380CC4-5D6E-409C-BE32-E72D297353CC}">
              <c16:uniqueId val="{00000001-6879-421B-BADD-E64A12E4517B}"/>
            </c:ext>
          </c:extLst>
        </c:ser>
        <c:dLbls>
          <c:showLegendKey val="0"/>
          <c:showVal val="0"/>
          <c:showCatName val="0"/>
          <c:showSerName val="0"/>
          <c:showPercent val="0"/>
          <c:showBubbleSize val="0"/>
        </c:dLbls>
        <c:gapWidth val="150"/>
        <c:overlap val="100"/>
        <c:axId val="1278785151"/>
        <c:axId val="1"/>
      </c:barChart>
      <c:catAx>
        <c:axId val="1278785151"/>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ar-EG" sz="1500">
                    <a:latin typeface="Arabic Typesetting" panose="03020402040406030203" pitchFamily="66" charset="-78"/>
                    <a:cs typeface="Arabic Typesetting" panose="03020402040406030203" pitchFamily="66" charset="-78"/>
                  </a:rPr>
                  <a:t>الأطراف المتعاقدة</a:t>
                </a:r>
                <a:endParaRPr lang="en-US" sz="1500">
                  <a:latin typeface="Arabic Typesetting" panose="03020402040406030203" pitchFamily="66" charset="-78"/>
                  <a:cs typeface="Arabic Typesetting" panose="03020402040406030203" pitchFamily="66" charset="-78"/>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ar-EG" sz="1500">
                    <a:latin typeface="Arabic Typesetting" panose="03020402040406030203" pitchFamily="66" charset="-78"/>
                    <a:cs typeface="Arabic Typesetting" panose="03020402040406030203" pitchFamily="66" charset="-78"/>
                  </a:rPr>
                  <a:t>عدد التعيينات</a:t>
                </a:r>
                <a:endParaRPr lang="en-US" sz="1500">
                  <a:latin typeface="Arabic Typesetting" panose="03020402040406030203" pitchFamily="66" charset="-78"/>
                  <a:cs typeface="Arabic Typesetting" panose="03020402040406030203" pitchFamily="66" charset="-78"/>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785151"/>
        <c:crosses val="autoZero"/>
        <c:crossBetween val="between"/>
      </c:valAx>
      <c:spPr>
        <a:noFill/>
        <a:ln w="25399">
          <a:noFill/>
        </a:ln>
      </c:spPr>
    </c:plotArea>
    <c:legend>
      <c:legendPos val="r"/>
      <c:layout/>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3C05D-3DA4-4DA8-B53F-2F5A34AF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2030</Words>
  <Characters>9765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H/LD/WG/8/3_x000d_ (Arabic)</vt:lpstr>
    </vt:vector>
  </TitlesOfParts>
  <Company>World Intellectual Property Organization</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H/LD/WG/8/3_x000d_ (Arabic)</dc:title>
  <dc:creator>Ahmed Hassan</dc:creator>
  <cp:lastModifiedBy>FRICOT Karine</cp:lastModifiedBy>
  <cp:revision>2</cp:revision>
  <cp:lastPrinted>2019-09-17T15:41:00Z</cp:lastPrinted>
  <dcterms:created xsi:type="dcterms:W3CDTF">2019-09-17T15:41:00Z</dcterms:created>
  <dcterms:modified xsi:type="dcterms:W3CDTF">2019-09-17T15:41:00Z</dcterms:modified>
</cp:coreProperties>
</file>