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E0904" w:rsidRPr="00852118" w14:paraId="6B0CABD5" w14:textId="77777777" w:rsidTr="00813F49">
        <w:tc>
          <w:tcPr>
            <w:tcW w:w="4513" w:type="dxa"/>
            <w:tcBorders>
              <w:bottom w:val="single" w:sz="4" w:space="0" w:color="auto"/>
            </w:tcBorders>
            <w:tcMar>
              <w:bottom w:w="170" w:type="dxa"/>
            </w:tcMar>
          </w:tcPr>
          <w:p w14:paraId="0E3B8239" w14:textId="77777777" w:rsidR="009E0904" w:rsidRPr="008B1E35" w:rsidRDefault="009E0904" w:rsidP="00813F49">
            <w:pPr>
              <w:rPr>
                <w:rFonts w:eastAsiaTheme="minorEastAsia"/>
                <w:lang w:eastAsia="ja-JP"/>
              </w:rPr>
            </w:pPr>
          </w:p>
        </w:tc>
        <w:tc>
          <w:tcPr>
            <w:tcW w:w="4337" w:type="dxa"/>
            <w:tcBorders>
              <w:bottom w:val="single" w:sz="4" w:space="0" w:color="auto"/>
            </w:tcBorders>
            <w:tcMar>
              <w:left w:w="0" w:type="dxa"/>
              <w:right w:w="0" w:type="dxa"/>
            </w:tcMar>
          </w:tcPr>
          <w:p w14:paraId="1BFF8D64" w14:textId="30F51DF7" w:rsidR="009E0904" w:rsidRPr="00852118" w:rsidRDefault="000A4079" w:rsidP="00813F49">
            <w:r w:rsidRPr="00852118">
              <w:rPr>
                <w:noProof/>
                <w:lang w:eastAsia="en-US"/>
              </w:rPr>
              <w:drawing>
                <wp:inline distT="0" distB="0" distL="0" distR="0" wp14:anchorId="468B5E1A" wp14:editId="6BA5EF53">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5DFF026" w14:textId="77777777" w:rsidR="009E0904" w:rsidRPr="00852118" w:rsidRDefault="009E0904" w:rsidP="00813F49">
            <w:pPr>
              <w:jc w:val="right"/>
            </w:pPr>
            <w:r w:rsidRPr="00852118">
              <w:rPr>
                <w:b/>
                <w:sz w:val="40"/>
                <w:szCs w:val="40"/>
              </w:rPr>
              <w:t>E</w:t>
            </w:r>
          </w:p>
        </w:tc>
      </w:tr>
      <w:tr w:rsidR="009E0904" w:rsidRPr="00852118" w14:paraId="1E6E6B92" w14:textId="77777777" w:rsidTr="006D0173">
        <w:trPr>
          <w:trHeight w:hRule="exact" w:val="369"/>
        </w:trPr>
        <w:tc>
          <w:tcPr>
            <w:tcW w:w="9356" w:type="dxa"/>
            <w:gridSpan w:val="3"/>
            <w:tcBorders>
              <w:top w:val="single" w:sz="4" w:space="0" w:color="auto"/>
            </w:tcBorders>
            <w:tcMar>
              <w:top w:w="170" w:type="dxa"/>
              <w:left w:w="0" w:type="dxa"/>
              <w:right w:w="0" w:type="dxa"/>
            </w:tcMar>
            <w:vAlign w:val="bottom"/>
          </w:tcPr>
          <w:p w14:paraId="6028F5E6" w14:textId="1E2CF5FB" w:rsidR="009E0904" w:rsidRPr="00852118" w:rsidRDefault="00820D5E" w:rsidP="00AF12DD">
            <w:pPr>
              <w:jc w:val="right"/>
              <w:rPr>
                <w:rFonts w:ascii="Arial Black" w:hAnsi="Arial Black"/>
                <w:caps/>
                <w:sz w:val="15"/>
              </w:rPr>
            </w:pPr>
            <w:bookmarkStart w:id="0" w:name="Code"/>
            <w:bookmarkEnd w:id="0"/>
            <w:r w:rsidRPr="00852118">
              <w:rPr>
                <w:rFonts w:ascii="Arial Black" w:hAnsi="Arial Black"/>
                <w:caps/>
                <w:sz w:val="15"/>
              </w:rPr>
              <w:t>H</w:t>
            </w:r>
            <w:r w:rsidR="009E0904" w:rsidRPr="00852118">
              <w:rPr>
                <w:rFonts w:ascii="Arial Black" w:hAnsi="Arial Black"/>
                <w:caps/>
                <w:sz w:val="15"/>
              </w:rPr>
              <w:t>/LD/WG/</w:t>
            </w:r>
            <w:r w:rsidR="00C70F7C" w:rsidRPr="00852118">
              <w:rPr>
                <w:rFonts w:ascii="Arial Black" w:hAnsi="Arial Black"/>
                <w:caps/>
                <w:sz w:val="15"/>
              </w:rPr>
              <w:t>9</w:t>
            </w:r>
            <w:r w:rsidR="009E0904" w:rsidRPr="00852118">
              <w:rPr>
                <w:rFonts w:ascii="Arial Black" w:hAnsi="Arial Black"/>
                <w:caps/>
                <w:sz w:val="15"/>
              </w:rPr>
              <w:t>/</w:t>
            </w:r>
            <w:r w:rsidR="00F33BB0" w:rsidRPr="00852118">
              <w:rPr>
                <w:rFonts w:ascii="Arial Black" w:hAnsi="Arial Black"/>
                <w:caps/>
                <w:sz w:val="15"/>
              </w:rPr>
              <w:t>INF/</w:t>
            </w:r>
            <w:r w:rsidR="00AF12DD" w:rsidRPr="00852118">
              <w:rPr>
                <w:rFonts w:ascii="Arial Black" w:hAnsi="Arial Black"/>
                <w:caps/>
                <w:sz w:val="15"/>
              </w:rPr>
              <w:t>1</w:t>
            </w:r>
            <w:r w:rsidR="009E0904" w:rsidRPr="00852118">
              <w:rPr>
                <w:rFonts w:ascii="Arial Black" w:hAnsi="Arial Black"/>
                <w:caps/>
                <w:sz w:val="15"/>
              </w:rPr>
              <w:t xml:space="preserve">   </w:t>
            </w:r>
          </w:p>
        </w:tc>
      </w:tr>
      <w:tr w:rsidR="009E0904" w:rsidRPr="00852118" w14:paraId="5C0DCA70" w14:textId="77777777" w:rsidTr="00813F49">
        <w:trPr>
          <w:trHeight w:hRule="exact" w:val="170"/>
        </w:trPr>
        <w:tc>
          <w:tcPr>
            <w:tcW w:w="9356" w:type="dxa"/>
            <w:gridSpan w:val="3"/>
            <w:noWrap/>
            <w:tcMar>
              <w:left w:w="0" w:type="dxa"/>
              <w:right w:w="0" w:type="dxa"/>
            </w:tcMar>
            <w:vAlign w:val="bottom"/>
          </w:tcPr>
          <w:p w14:paraId="0D2192EA" w14:textId="3965F0A7" w:rsidR="009E0904" w:rsidRPr="00852118" w:rsidRDefault="009E0904" w:rsidP="00813F49">
            <w:pPr>
              <w:jc w:val="right"/>
              <w:rPr>
                <w:rFonts w:ascii="Arial Black" w:hAnsi="Arial Black"/>
                <w:caps/>
                <w:sz w:val="15"/>
              </w:rPr>
            </w:pPr>
            <w:r w:rsidRPr="00852118">
              <w:rPr>
                <w:rFonts w:ascii="Arial Black" w:hAnsi="Arial Black"/>
                <w:caps/>
                <w:sz w:val="15"/>
              </w:rPr>
              <w:t xml:space="preserve">ORIGINAL:  </w:t>
            </w:r>
            <w:bookmarkStart w:id="1" w:name="Original"/>
            <w:bookmarkEnd w:id="1"/>
            <w:r w:rsidRPr="00852118">
              <w:rPr>
                <w:rFonts w:ascii="Arial Black" w:hAnsi="Arial Black"/>
                <w:caps/>
                <w:sz w:val="15"/>
              </w:rPr>
              <w:t>English</w:t>
            </w:r>
          </w:p>
        </w:tc>
      </w:tr>
      <w:tr w:rsidR="009E0904" w:rsidRPr="00852118" w14:paraId="05C6E224" w14:textId="77777777" w:rsidTr="00813F49">
        <w:trPr>
          <w:trHeight w:hRule="exact" w:val="198"/>
        </w:trPr>
        <w:tc>
          <w:tcPr>
            <w:tcW w:w="9356" w:type="dxa"/>
            <w:gridSpan w:val="3"/>
            <w:tcMar>
              <w:left w:w="0" w:type="dxa"/>
              <w:right w:w="0" w:type="dxa"/>
            </w:tcMar>
            <w:vAlign w:val="bottom"/>
          </w:tcPr>
          <w:p w14:paraId="181C03B4" w14:textId="7AADA3CF" w:rsidR="009E0904" w:rsidRPr="00852118" w:rsidRDefault="009E0904" w:rsidP="00C834A3">
            <w:pPr>
              <w:jc w:val="right"/>
              <w:rPr>
                <w:rFonts w:ascii="Arial Black" w:hAnsi="Arial Black"/>
                <w:caps/>
                <w:sz w:val="15"/>
              </w:rPr>
            </w:pPr>
            <w:r w:rsidRPr="00852118">
              <w:rPr>
                <w:rFonts w:ascii="Arial Black" w:hAnsi="Arial Black"/>
                <w:caps/>
                <w:sz w:val="15"/>
              </w:rPr>
              <w:t>DATE</w:t>
            </w:r>
            <w:r w:rsidR="00036D8F" w:rsidRPr="00852118">
              <w:rPr>
                <w:rFonts w:ascii="Arial Black" w:hAnsi="Arial Black"/>
                <w:caps/>
                <w:sz w:val="15"/>
              </w:rPr>
              <w:t>: october</w:t>
            </w:r>
            <w:r w:rsidR="00852118" w:rsidRPr="00852118">
              <w:rPr>
                <w:rFonts w:ascii="Arial Black" w:hAnsi="Arial Black"/>
                <w:caps/>
                <w:sz w:val="15"/>
              </w:rPr>
              <w:t xml:space="preserve"> 14</w:t>
            </w:r>
            <w:r w:rsidR="00C834A3" w:rsidRPr="00852118">
              <w:rPr>
                <w:rFonts w:ascii="Arial Black" w:hAnsi="Arial Black"/>
                <w:caps/>
                <w:sz w:val="15"/>
              </w:rPr>
              <w:t>, 2020</w:t>
            </w:r>
            <w:r w:rsidRPr="00852118">
              <w:rPr>
                <w:rFonts w:ascii="Arial Black" w:hAnsi="Arial Black"/>
                <w:caps/>
                <w:sz w:val="15"/>
              </w:rPr>
              <w:t xml:space="preserve">  </w:t>
            </w:r>
            <w:bookmarkStart w:id="2" w:name="Date"/>
            <w:bookmarkEnd w:id="2"/>
            <w:r w:rsidR="00DC046F" w:rsidRPr="00852118">
              <w:rPr>
                <w:rFonts w:ascii="Arial Black" w:hAnsi="Arial Black"/>
                <w:caps/>
                <w:sz w:val="15"/>
              </w:rPr>
              <w:t xml:space="preserve">  </w:t>
            </w:r>
          </w:p>
        </w:tc>
      </w:tr>
    </w:tbl>
    <w:p w14:paraId="2275C754" w14:textId="77777777" w:rsidR="009E0904" w:rsidRPr="00852118" w:rsidRDefault="009E0904" w:rsidP="006D0173">
      <w:pPr>
        <w:spacing w:before="1200"/>
        <w:rPr>
          <w:b/>
          <w:sz w:val="28"/>
          <w:szCs w:val="28"/>
        </w:rPr>
      </w:pPr>
      <w:r w:rsidRPr="00852118">
        <w:rPr>
          <w:b/>
          <w:sz w:val="28"/>
          <w:szCs w:val="28"/>
        </w:rPr>
        <w:t xml:space="preserve">Working Group on the Legal Development of the </w:t>
      </w:r>
      <w:r w:rsidR="00517620" w:rsidRPr="00852118">
        <w:rPr>
          <w:b/>
          <w:sz w:val="28"/>
          <w:szCs w:val="28"/>
        </w:rPr>
        <w:t>Hague</w:t>
      </w:r>
      <w:r w:rsidRPr="00852118">
        <w:rPr>
          <w:b/>
          <w:sz w:val="28"/>
          <w:szCs w:val="28"/>
        </w:rPr>
        <w:t xml:space="preserve"> System for the International Registration of </w:t>
      </w:r>
      <w:r w:rsidR="00517620" w:rsidRPr="00852118">
        <w:rPr>
          <w:b/>
          <w:sz w:val="28"/>
          <w:szCs w:val="28"/>
        </w:rPr>
        <w:t>Industrial Designs</w:t>
      </w:r>
    </w:p>
    <w:p w14:paraId="1F029532" w14:textId="0211709C" w:rsidR="009E0904" w:rsidRPr="00852118" w:rsidRDefault="00C86702" w:rsidP="006D0173">
      <w:pPr>
        <w:spacing w:before="480"/>
        <w:rPr>
          <w:b/>
          <w:sz w:val="24"/>
          <w:szCs w:val="24"/>
        </w:rPr>
      </w:pPr>
      <w:r w:rsidRPr="00852118">
        <w:rPr>
          <w:b/>
          <w:sz w:val="24"/>
          <w:szCs w:val="24"/>
        </w:rPr>
        <w:t>Nin</w:t>
      </w:r>
      <w:r w:rsidR="009E0904" w:rsidRPr="00852118">
        <w:rPr>
          <w:b/>
          <w:sz w:val="24"/>
          <w:szCs w:val="24"/>
        </w:rPr>
        <w:t>th Session</w:t>
      </w:r>
    </w:p>
    <w:p w14:paraId="412260CD" w14:textId="429156D5" w:rsidR="009E0904" w:rsidRPr="00852118" w:rsidRDefault="009E0904" w:rsidP="009E0904">
      <w:pPr>
        <w:rPr>
          <w:b/>
          <w:sz w:val="24"/>
          <w:szCs w:val="24"/>
        </w:rPr>
      </w:pPr>
      <w:r w:rsidRPr="00852118">
        <w:rPr>
          <w:b/>
          <w:sz w:val="24"/>
          <w:szCs w:val="24"/>
        </w:rPr>
        <w:t xml:space="preserve">Geneva, </w:t>
      </w:r>
      <w:r w:rsidR="00DC046F" w:rsidRPr="00852118">
        <w:rPr>
          <w:b/>
          <w:sz w:val="24"/>
          <w:szCs w:val="24"/>
        </w:rPr>
        <w:t>December 14 to 16, 2020</w:t>
      </w:r>
    </w:p>
    <w:p w14:paraId="07D8C355" w14:textId="7197444D" w:rsidR="009E0904" w:rsidRPr="00852118" w:rsidRDefault="00F33BB0" w:rsidP="006D0173">
      <w:pPr>
        <w:spacing w:before="720"/>
        <w:rPr>
          <w:caps/>
          <w:sz w:val="24"/>
        </w:rPr>
      </w:pPr>
      <w:bookmarkStart w:id="3" w:name="TitleOfDoc"/>
      <w:bookmarkEnd w:id="3"/>
      <w:r w:rsidRPr="00852118">
        <w:rPr>
          <w:caps/>
          <w:sz w:val="24"/>
        </w:rPr>
        <w:t>study of renewal fee</w:t>
      </w:r>
      <w:r w:rsidR="00B26D21" w:rsidRPr="00852118">
        <w:rPr>
          <w:caps/>
          <w:sz w:val="24"/>
        </w:rPr>
        <w:t>s</w:t>
      </w:r>
      <w:r w:rsidRPr="00852118">
        <w:rPr>
          <w:caps/>
          <w:sz w:val="24"/>
        </w:rPr>
        <w:t xml:space="preserve"> and amounts in national or regional multiple design systems</w:t>
      </w:r>
    </w:p>
    <w:p w14:paraId="635187FD" w14:textId="553DE6BC" w:rsidR="00A53CA0" w:rsidRPr="00852118" w:rsidRDefault="009E0904" w:rsidP="005D6720">
      <w:pPr>
        <w:spacing w:before="240" w:after="960"/>
        <w:rPr>
          <w:i/>
        </w:rPr>
      </w:pPr>
      <w:bookmarkStart w:id="4" w:name="Prepared"/>
      <w:bookmarkEnd w:id="4"/>
      <w:proofErr w:type="gramStart"/>
      <w:r w:rsidRPr="00852118">
        <w:rPr>
          <w:i/>
        </w:rPr>
        <w:t>prepared</w:t>
      </w:r>
      <w:proofErr w:type="gramEnd"/>
      <w:r w:rsidRPr="00852118">
        <w:rPr>
          <w:i/>
        </w:rPr>
        <w:t xml:space="preserve"> by the International Bureau</w:t>
      </w:r>
    </w:p>
    <w:p w14:paraId="5A711E54" w14:textId="7A0D64A0" w:rsidR="00306FC3" w:rsidRPr="00852118" w:rsidRDefault="00306FC3" w:rsidP="00D85552">
      <w:pPr>
        <w:pStyle w:val="Heading1"/>
        <w:spacing w:before="220" w:after="220"/>
      </w:pPr>
      <w:r w:rsidRPr="00852118">
        <w:t>I.</w:t>
      </w:r>
      <w:r w:rsidRPr="00852118">
        <w:tab/>
        <w:t>introduction</w:t>
      </w:r>
    </w:p>
    <w:p w14:paraId="252EB008" w14:textId="08BFDC3B" w:rsidR="000D57B7" w:rsidRPr="00852118" w:rsidRDefault="000D57B7" w:rsidP="00D85552">
      <w:pPr>
        <w:pStyle w:val="ONUME"/>
        <w:tabs>
          <w:tab w:val="clear" w:pos="837"/>
          <w:tab w:val="num" w:pos="567"/>
        </w:tabs>
        <w:spacing w:before="220"/>
        <w:ind w:left="0"/>
        <w:rPr>
          <w:lang w:eastAsia="en-US"/>
        </w:rPr>
      </w:pPr>
      <w:proofErr w:type="gramStart"/>
      <w:r w:rsidRPr="00852118">
        <w:t xml:space="preserve">At its eighth session, held from October 30 to November 1, 2019, the Working Group on the Legal Development of the Hague System for the International Registration of Industrial Designs (hereinafter referred to as the “Working Group” and the “Hague System”) discussed document H/LD/WG/8/4, </w:t>
      </w:r>
      <w:r w:rsidR="00375320" w:rsidRPr="00852118">
        <w:t>en</w:t>
      </w:r>
      <w:r w:rsidR="00016F4F" w:rsidRPr="00852118">
        <w:t>titled</w:t>
      </w:r>
      <w:r w:rsidRPr="00852118">
        <w:t xml:space="preserve"> </w:t>
      </w:r>
      <w:r w:rsidR="00016F4F" w:rsidRPr="00852118">
        <w:t>“F</w:t>
      </w:r>
      <w:r w:rsidRPr="00852118">
        <w:t xml:space="preserve">inancial </w:t>
      </w:r>
      <w:r w:rsidR="00375320" w:rsidRPr="00852118">
        <w:t>S</w:t>
      </w:r>
      <w:r w:rsidRPr="00852118">
        <w:t xml:space="preserve">ustainability of the Hague System and </w:t>
      </w:r>
      <w:r w:rsidR="00375320" w:rsidRPr="00852118">
        <w:t>P</w:t>
      </w:r>
      <w:r w:rsidRPr="00852118">
        <w:t xml:space="preserve">ossible </w:t>
      </w:r>
      <w:r w:rsidR="00375320" w:rsidRPr="00852118">
        <w:t>R</w:t>
      </w:r>
      <w:r w:rsidRPr="00852118">
        <w:t>evision of the Schedule of Fees</w:t>
      </w:r>
      <w:r w:rsidR="00016F4F" w:rsidRPr="00852118">
        <w:t>”</w:t>
      </w:r>
      <w:r w:rsidRPr="00852118">
        <w:t>.</w:t>
      </w:r>
      <w:proofErr w:type="gramEnd"/>
    </w:p>
    <w:p w14:paraId="1BAE8E1D" w14:textId="75DF5082" w:rsidR="00910B78" w:rsidRPr="00852118" w:rsidRDefault="000D57B7" w:rsidP="00375320">
      <w:pPr>
        <w:pStyle w:val="ONUME"/>
        <w:tabs>
          <w:tab w:val="clear" w:pos="837"/>
          <w:tab w:val="num" w:pos="567"/>
        </w:tabs>
        <w:ind w:left="0"/>
        <w:rPr>
          <w:lang w:eastAsia="en-US"/>
        </w:rPr>
      </w:pPr>
      <w:r w:rsidRPr="00852118">
        <w:t>The Working Group considered favorably the submission of a proposal to amend the amount of the basic fee for each additional design included in the same international application, as contained in the above document.  Moreover,</w:t>
      </w:r>
      <w:r w:rsidR="00EB7CA4" w:rsidRPr="00852118">
        <w:t xml:space="preserve"> noting </w:t>
      </w:r>
      <w:r w:rsidR="00EB7CA4" w:rsidRPr="00852118">
        <w:rPr>
          <w:lang w:eastAsia="en-US"/>
        </w:rPr>
        <w:t>a significant difference between the amount of the renewal fee for the first design and that for each additional design</w:t>
      </w:r>
      <w:r w:rsidR="00C25398" w:rsidRPr="00852118">
        <w:rPr>
          <w:lang w:eastAsia="en-US"/>
        </w:rPr>
        <w:t>,</w:t>
      </w:r>
      <w:r w:rsidR="00375320" w:rsidRPr="00852118">
        <w:t xml:space="preserve"> </w:t>
      </w:r>
      <w:r w:rsidRPr="00852118">
        <w:t xml:space="preserve">the </w:t>
      </w:r>
      <w:r w:rsidR="0089020D" w:rsidRPr="00852118">
        <w:rPr>
          <w:lang w:eastAsia="en-US"/>
        </w:rPr>
        <w:t xml:space="preserve">Working Group requested the International Bureau to prepare a study on the possible increase </w:t>
      </w:r>
      <w:proofErr w:type="gramStart"/>
      <w:r w:rsidR="00375320" w:rsidRPr="00852118">
        <w:rPr>
          <w:lang w:eastAsia="en-US"/>
        </w:rPr>
        <w:t>in</w:t>
      </w:r>
      <w:r w:rsidR="0089020D" w:rsidRPr="00852118">
        <w:rPr>
          <w:lang w:eastAsia="en-US"/>
        </w:rPr>
        <w:t xml:space="preserve"> the amount of the basic </w:t>
      </w:r>
      <w:r w:rsidR="00EB7CA4" w:rsidRPr="00852118">
        <w:rPr>
          <w:lang w:eastAsia="en-US"/>
        </w:rPr>
        <w:t>renewal</w:t>
      </w:r>
      <w:proofErr w:type="gramEnd"/>
      <w:r w:rsidR="00EB7CA4" w:rsidRPr="00852118">
        <w:rPr>
          <w:lang w:eastAsia="en-US"/>
        </w:rPr>
        <w:t xml:space="preserve"> </w:t>
      </w:r>
      <w:r w:rsidR="0089020D" w:rsidRPr="00852118">
        <w:rPr>
          <w:lang w:eastAsia="en-US"/>
        </w:rPr>
        <w:t xml:space="preserve">fee for each additional design, to be discussed at the </w:t>
      </w:r>
      <w:r w:rsidRPr="00852118">
        <w:rPr>
          <w:lang w:eastAsia="en-US"/>
        </w:rPr>
        <w:t>next</w:t>
      </w:r>
      <w:r w:rsidR="0089020D" w:rsidRPr="00852118">
        <w:rPr>
          <w:lang w:eastAsia="en-US"/>
        </w:rPr>
        <w:t xml:space="preserve"> session</w:t>
      </w:r>
      <w:r w:rsidR="0089020D" w:rsidRPr="00852118">
        <w:rPr>
          <w:rStyle w:val="FootnoteReference"/>
          <w:lang w:eastAsia="en-US"/>
        </w:rPr>
        <w:footnoteReference w:id="2"/>
      </w:r>
      <w:r w:rsidR="00C25398" w:rsidRPr="00852118">
        <w:rPr>
          <w:lang w:eastAsia="en-US"/>
        </w:rPr>
        <w:t>.</w:t>
      </w:r>
    </w:p>
    <w:p w14:paraId="72EB524C" w14:textId="27478D05" w:rsidR="00A32C2A" w:rsidRPr="00852118" w:rsidRDefault="00053748" w:rsidP="00910B78">
      <w:pPr>
        <w:pStyle w:val="ONUME"/>
        <w:tabs>
          <w:tab w:val="clear" w:pos="837"/>
          <w:tab w:val="num" w:pos="567"/>
        </w:tabs>
        <w:ind w:left="0"/>
        <w:rPr>
          <w:lang w:eastAsia="en-US"/>
        </w:rPr>
      </w:pPr>
      <w:r w:rsidRPr="00852118">
        <w:rPr>
          <w:lang w:eastAsia="en-US"/>
        </w:rPr>
        <w:t>Following the r</w:t>
      </w:r>
      <w:r w:rsidR="00C14039" w:rsidRPr="00852118">
        <w:rPr>
          <w:lang w:eastAsia="en-US"/>
        </w:rPr>
        <w:t xml:space="preserve">equest of the Working Group, </w:t>
      </w:r>
      <w:r w:rsidR="007431D6" w:rsidRPr="00852118">
        <w:rPr>
          <w:lang w:eastAsia="en-US"/>
        </w:rPr>
        <w:t>this</w:t>
      </w:r>
      <w:r w:rsidR="00B26D21" w:rsidRPr="00852118">
        <w:rPr>
          <w:lang w:eastAsia="en-US"/>
        </w:rPr>
        <w:t xml:space="preserve"> document </w:t>
      </w:r>
      <w:r w:rsidR="007431D6" w:rsidRPr="00852118">
        <w:rPr>
          <w:lang w:eastAsia="en-US"/>
        </w:rPr>
        <w:t>present</w:t>
      </w:r>
      <w:r w:rsidR="00110E25" w:rsidRPr="00852118">
        <w:rPr>
          <w:lang w:eastAsia="en-US"/>
        </w:rPr>
        <w:t>s</w:t>
      </w:r>
      <w:r w:rsidR="00B26D21" w:rsidRPr="00852118">
        <w:rPr>
          <w:lang w:eastAsia="en-US"/>
        </w:rPr>
        <w:t xml:space="preserve"> </w:t>
      </w:r>
      <w:r w:rsidR="00110E25" w:rsidRPr="00852118">
        <w:rPr>
          <w:lang w:eastAsia="en-US"/>
        </w:rPr>
        <w:t xml:space="preserve">a </w:t>
      </w:r>
      <w:r w:rsidR="007431D6" w:rsidRPr="00852118">
        <w:rPr>
          <w:lang w:eastAsia="en-US"/>
        </w:rPr>
        <w:t xml:space="preserve">comparative analysis of the </w:t>
      </w:r>
      <w:r w:rsidR="00016F4F" w:rsidRPr="00852118">
        <w:rPr>
          <w:lang w:eastAsia="en-US"/>
        </w:rPr>
        <w:t>renewal fee structures</w:t>
      </w:r>
      <w:r w:rsidR="00B26D21" w:rsidRPr="00852118">
        <w:rPr>
          <w:lang w:eastAsia="en-US"/>
        </w:rPr>
        <w:t xml:space="preserve"> and amounts </w:t>
      </w:r>
      <w:r w:rsidR="007431D6" w:rsidRPr="00852118">
        <w:rPr>
          <w:lang w:eastAsia="en-US"/>
        </w:rPr>
        <w:t>in national or regional design systems which accept multiple designs as under the Hague System</w:t>
      </w:r>
      <w:r w:rsidR="00110E25" w:rsidRPr="00852118">
        <w:rPr>
          <w:lang w:eastAsia="en-US"/>
        </w:rPr>
        <w:t>.  T</w:t>
      </w:r>
      <w:r w:rsidR="007431D6" w:rsidRPr="00852118">
        <w:rPr>
          <w:lang w:eastAsia="en-US"/>
        </w:rPr>
        <w:t xml:space="preserve">he </w:t>
      </w:r>
      <w:r w:rsidR="00C14039" w:rsidRPr="00852118">
        <w:rPr>
          <w:lang w:eastAsia="en-US"/>
        </w:rPr>
        <w:t>document</w:t>
      </w:r>
      <w:r w:rsidR="00110E25" w:rsidRPr="00852118">
        <w:rPr>
          <w:lang w:eastAsia="en-US"/>
        </w:rPr>
        <w:t xml:space="preserve"> </w:t>
      </w:r>
      <w:r w:rsidR="00EB7CA4" w:rsidRPr="00852118">
        <w:rPr>
          <w:lang w:eastAsia="en-US"/>
        </w:rPr>
        <w:t xml:space="preserve">however </w:t>
      </w:r>
      <w:r w:rsidR="00110E25" w:rsidRPr="00852118">
        <w:rPr>
          <w:lang w:eastAsia="en-US"/>
        </w:rPr>
        <w:t>does not attempt to propose any amendment to the Schedule of Fees</w:t>
      </w:r>
      <w:r w:rsidR="00C14039" w:rsidRPr="00852118">
        <w:rPr>
          <w:lang w:eastAsia="en-US"/>
        </w:rPr>
        <w:t xml:space="preserve"> at this stage</w:t>
      </w:r>
      <w:r w:rsidR="00110E25" w:rsidRPr="00852118">
        <w:rPr>
          <w:lang w:eastAsia="en-US"/>
        </w:rPr>
        <w:t>.</w:t>
      </w:r>
    </w:p>
    <w:p w14:paraId="56C3C4BD" w14:textId="1C3E5216" w:rsidR="00901312" w:rsidRPr="00852118" w:rsidRDefault="00A32C2A" w:rsidP="00A32C2A">
      <w:pPr>
        <w:rPr>
          <w:lang w:eastAsia="en-US"/>
        </w:rPr>
      </w:pPr>
      <w:r w:rsidRPr="00852118">
        <w:rPr>
          <w:lang w:eastAsia="en-US"/>
        </w:rPr>
        <w:br w:type="page"/>
      </w:r>
    </w:p>
    <w:p w14:paraId="79867CA7" w14:textId="5716F97E" w:rsidR="001A4488" w:rsidRPr="00852118" w:rsidRDefault="004A4F56" w:rsidP="00157CB8">
      <w:pPr>
        <w:pStyle w:val="Heading1"/>
        <w:spacing w:before="0"/>
      </w:pPr>
      <w:r w:rsidRPr="00852118">
        <w:lastRenderedPageBreak/>
        <w:t>I</w:t>
      </w:r>
      <w:r w:rsidR="00306FC3" w:rsidRPr="00852118">
        <w:t>i</w:t>
      </w:r>
      <w:r w:rsidR="00637680" w:rsidRPr="00852118">
        <w:t>.</w:t>
      </w:r>
      <w:r w:rsidR="00637680" w:rsidRPr="00852118">
        <w:tab/>
      </w:r>
      <w:r w:rsidR="001A4488" w:rsidRPr="00852118">
        <w:t>CURRENT FEE STRU</w:t>
      </w:r>
      <w:r w:rsidR="00306FC3" w:rsidRPr="00852118">
        <w:t>CTURE AND main sources of income</w:t>
      </w:r>
    </w:p>
    <w:p w14:paraId="22F3B4F0" w14:textId="2D69045D" w:rsidR="006827C2" w:rsidRPr="00852118" w:rsidRDefault="006827C2" w:rsidP="00A10D89">
      <w:pPr>
        <w:pStyle w:val="BodyText"/>
        <w:tabs>
          <w:tab w:val="clear" w:pos="837"/>
        </w:tabs>
        <w:spacing w:before="240"/>
        <w:ind w:left="0"/>
        <w:rPr>
          <w:szCs w:val="22"/>
        </w:rPr>
      </w:pPr>
      <w:r w:rsidRPr="00852118">
        <w:t>The Schedule of Fees comprises several items, among which, fees intended for the International Bureau</w:t>
      </w:r>
      <w:r w:rsidR="005514A8" w:rsidRPr="00852118">
        <w:t xml:space="preserve"> as follows</w:t>
      </w:r>
      <w:r w:rsidRPr="00852118">
        <w:t>:</w:t>
      </w:r>
    </w:p>
    <w:p w14:paraId="500986B7" w14:textId="0F829CE8" w:rsidR="001A4488" w:rsidRPr="00852118" w:rsidRDefault="001A4488" w:rsidP="00375320">
      <w:pPr>
        <w:pStyle w:val="BodyText"/>
        <w:numPr>
          <w:ilvl w:val="0"/>
          <w:numId w:val="43"/>
        </w:numPr>
        <w:ind w:left="993" w:hanging="426"/>
        <w:rPr>
          <w:szCs w:val="22"/>
        </w:rPr>
      </w:pPr>
      <w:r w:rsidRPr="00852118">
        <w:t>Basic international application fee (Items</w:t>
      </w:r>
      <w:r w:rsidRPr="00852118">
        <w:rPr>
          <w:szCs w:val="22"/>
        </w:rPr>
        <w:t xml:space="preserve"> I.1 to I.3);</w:t>
      </w:r>
    </w:p>
    <w:p w14:paraId="458E86BE" w14:textId="1B10EBB2" w:rsidR="001A4488" w:rsidRPr="00852118" w:rsidRDefault="001A4488" w:rsidP="00375320">
      <w:pPr>
        <w:pStyle w:val="BodyText"/>
        <w:numPr>
          <w:ilvl w:val="0"/>
          <w:numId w:val="43"/>
        </w:numPr>
        <w:ind w:left="993" w:hanging="426"/>
        <w:rPr>
          <w:bCs/>
          <w:szCs w:val="22"/>
          <w:u w:val="single"/>
        </w:rPr>
      </w:pPr>
      <w:r w:rsidRPr="00852118">
        <w:rPr>
          <w:bCs/>
          <w:szCs w:val="22"/>
        </w:rPr>
        <w:t xml:space="preserve">Basic renewal fee (Item III.7); </w:t>
      </w:r>
      <w:r w:rsidR="00854813" w:rsidRPr="00852118">
        <w:rPr>
          <w:bCs/>
          <w:szCs w:val="22"/>
        </w:rPr>
        <w:t xml:space="preserve"> </w:t>
      </w:r>
      <w:r w:rsidRPr="00852118">
        <w:rPr>
          <w:bCs/>
          <w:szCs w:val="22"/>
        </w:rPr>
        <w:t>and</w:t>
      </w:r>
    </w:p>
    <w:p w14:paraId="25666368" w14:textId="1DAE95B5" w:rsidR="001A4488" w:rsidRPr="00852118" w:rsidRDefault="001A4488" w:rsidP="00375320">
      <w:pPr>
        <w:pStyle w:val="BodyText"/>
        <w:numPr>
          <w:ilvl w:val="0"/>
          <w:numId w:val="43"/>
        </w:numPr>
        <w:ind w:left="993" w:hanging="426"/>
        <w:rPr>
          <w:bCs/>
          <w:szCs w:val="22"/>
        </w:rPr>
      </w:pPr>
      <w:r w:rsidRPr="00852118">
        <w:rPr>
          <w:szCs w:val="22"/>
        </w:rPr>
        <w:t>O</w:t>
      </w:r>
      <w:r w:rsidRPr="00852118">
        <w:rPr>
          <w:bCs/>
          <w:szCs w:val="22"/>
        </w:rPr>
        <w:t>ther fees (Items V and VI).</w:t>
      </w:r>
    </w:p>
    <w:p w14:paraId="3F32E1FA" w14:textId="508CDE93" w:rsidR="006827C2" w:rsidRPr="00852118" w:rsidRDefault="001A4488" w:rsidP="006827C2">
      <w:pPr>
        <w:pStyle w:val="BodyText"/>
        <w:tabs>
          <w:tab w:val="clear" w:pos="837"/>
        </w:tabs>
        <w:ind w:left="0"/>
      </w:pPr>
      <w:r w:rsidRPr="00852118">
        <w:t>Similar to the basic international application fee, the basic renewal fee</w:t>
      </w:r>
      <w:r w:rsidR="006827C2" w:rsidRPr="00852118">
        <w:t xml:space="preserve"> </w:t>
      </w:r>
      <w:proofErr w:type="gramStart"/>
      <w:r w:rsidR="006827C2" w:rsidRPr="00852118">
        <w:t>is charged</w:t>
      </w:r>
      <w:proofErr w:type="gramEnd"/>
      <w:r w:rsidR="006827C2" w:rsidRPr="00852118">
        <w:t xml:space="preserve"> per design, which is also common in national and regional systems accepting multiple designs.  The current amounts of the basic fee are 200 Swiss </w:t>
      </w:r>
      <w:r w:rsidR="00D85552" w:rsidRPr="00852118">
        <w:t>francs</w:t>
      </w:r>
      <w:r w:rsidR="006827C2" w:rsidRPr="00852118">
        <w:t xml:space="preserve"> for </w:t>
      </w:r>
      <w:proofErr w:type="gramStart"/>
      <w:r w:rsidR="006827C2" w:rsidRPr="00852118">
        <w:t>one</w:t>
      </w:r>
      <w:proofErr w:type="gramEnd"/>
      <w:r w:rsidR="006827C2" w:rsidRPr="00852118">
        <w:t xml:space="preserve"> design and 17 Swiss </w:t>
      </w:r>
      <w:r w:rsidR="00D85552" w:rsidRPr="00852118">
        <w:t>francs</w:t>
      </w:r>
      <w:r w:rsidR="006827C2" w:rsidRPr="00852118">
        <w:t xml:space="preserve"> for each additional design.  </w:t>
      </w:r>
    </w:p>
    <w:p w14:paraId="0928D99B" w14:textId="08B7E9E9" w:rsidR="006827C2" w:rsidRPr="00852118" w:rsidRDefault="006827C2" w:rsidP="006827C2">
      <w:pPr>
        <w:pStyle w:val="BodyText"/>
        <w:tabs>
          <w:tab w:val="clear" w:pos="837"/>
        </w:tabs>
        <w:ind w:left="0"/>
      </w:pPr>
      <w:r w:rsidRPr="00852118">
        <w:t xml:space="preserve"> </w:t>
      </w:r>
      <w:r w:rsidR="004F0E54" w:rsidRPr="00852118">
        <w:t>As indicated in the table below, t</w:t>
      </w:r>
      <w:r w:rsidR="00156127" w:rsidRPr="00852118">
        <w:t xml:space="preserve">he income </w:t>
      </w:r>
      <w:r w:rsidR="004F0E54" w:rsidRPr="00852118">
        <w:t>received under</w:t>
      </w:r>
      <w:r w:rsidR="00156127" w:rsidRPr="00852118">
        <w:t xml:space="preserve"> the basic renewal fee in 2019 was approximately </w:t>
      </w:r>
      <w:r w:rsidR="009A258D" w:rsidRPr="00852118">
        <w:t xml:space="preserve">939,000 Swiss </w:t>
      </w:r>
      <w:r w:rsidR="00D85552" w:rsidRPr="00852118">
        <w:t>francs</w:t>
      </w:r>
      <w:r w:rsidR="009A258D" w:rsidRPr="00852118">
        <w:t>, representing 18.2 per cent of the total income of the Hague System.  After the basic international application fee (</w:t>
      </w:r>
      <w:r w:rsidR="00021DA8" w:rsidRPr="00852118">
        <w:t xml:space="preserve">representing </w:t>
      </w:r>
      <w:r w:rsidR="00854813" w:rsidRPr="00852118">
        <w:t>77.2 per</w:t>
      </w:r>
      <w:r w:rsidR="00C8323F" w:rsidRPr="00852118">
        <w:t xml:space="preserve"> </w:t>
      </w:r>
      <w:r w:rsidR="009A258D" w:rsidRPr="00852118">
        <w:t>cent</w:t>
      </w:r>
      <w:r w:rsidR="00021DA8" w:rsidRPr="00852118">
        <w:t xml:space="preserve"> of the total income</w:t>
      </w:r>
      <w:r w:rsidR="009A258D" w:rsidRPr="00852118">
        <w:t xml:space="preserve">), the basic renewal fee is the second main source of </w:t>
      </w:r>
      <w:r w:rsidR="004F0E54" w:rsidRPr="00852118">
        <w:t>the income.</w:t>
      </w:r>
      <w:r w:rsidR="009A258D" w:rsidRPr="00852118">
        <w:t xml:space="preserve">  </w:t>
      </w:r>
    </w:p>
    <w:p w14:paraId="44C82306" w14:textId="13207F85" w:rsidR="006827C2" w:rsidRPr="00852118" w:rsidRDefault="006827C2" w:rsidP="00D85552">
      <w:pPr>
        <w:pStyle w:val="ONUME"/>
        <w:numPr>
          <w:ilvl w:val="0"/>
          <w:numId w:val="0"/>
        </w:numPr>
        <w:spacing w:after="240"/>
        <w:jc w:val="center"/>
      </w:pPr>
      <w:r w:rsidRPr="00852118">
        <w:t xml:space="preserve">The Hague System – Fees and </w:t>
      </w:r>
      <w:r w:rsidR="00375320" w:rsidRPr="00852118">
        <w:t>I</w:t>
      </w:r>
      <w:r w:rsidRPr="00852118">
        <w:t>ncome</w:t>
      </w:r>
      <w:r w:rsidR="00CB600E" w:rsidRPr="00852118">
        <w:t xml:space="preserve"> in 2019</w:t>
      </w:r>
      <w:r w:rsidR="004F0E54" w:rsidRPr="00852118">
        <w:rPr>
          <w:vertAlign w:val="superscript"/>
        </w:rPr>
        <w:footnoteReference w:id="3"/>
      </w:r>
    </w:p>
    <w:tbl>
      <w:tblPr>
        <w:tblStyle w:val="TableGrid"/>
        <w:tblW w:w="9176" w:type="dxa"/>
        <w:tblInd w:w="175" w:type="dxa"/>
        <w:tblLayout w:type="fixed"/>
        <w:tblLook w:val="04A0" w:firstRow="1" w:lastRow="0" w:firstColumn="1" w:lastColumn="0" w:noHBand="0" w:noVBand="1"/>
      </w:tblPr>
      <w:tblGrid>
        <w:gridCol w:w="541"/>
        <w:gridCol w:w="4099"/>
        <w:gridCol w:w="2020"/>
        <w:gridCol w:w="1170"/>
        <w:gridCol w:w="1346"/>
      </w:tblGrid>
      <w:tr w:rsidR="006827C2" w:rsidRPr="00852118" w14:paraId="5A33F72A" w14:textId="77777777" w:rsidTr="00C8323F">
        <w:tc>
          <w:tcPr>
            <w:tcW w:w="4640" w:type="dxa"/>
            <w:gridSpan w:val="2"/>
          </w:tcPr>
          <w:p w14:paraId="4CF4803C" w14:textId="2F84355C" w:rsidR="006827C2" w:rsidRPr="00852118" w:rsidRDefault="006827C2" w:rsidP="00910B78">
            <w:pPr>
              <w:rPr>
                <w:sz w:val="18"/>
              </w:rPr>
            </w:pPr>
            <w:r w:rsidRPr="00852118">
              <w:rPr>
                <w:sz w:val="18"/>
              </w:rPr>
              <w:t>Fees for the International Bureau</w:t>
            </w:r>
          </w:p>
        </w:tc>
        <w:tc>
          <w:tcPr>
            <w:tcW w:w="2020" w:type="dxa"/>
          </w:tcPr>
          <w:p w14:paraId="5AE85C94" w14:textId="77777777" w:rsidR="006827C2" w:rsidRPr="00852118" w:rsidRDefault="006827C2" w:rsidP="00910B78">
            <w:pPr>
              <w:jc w:val="center"/>
              <w:rPr>
                <w:sz w:val="18"/>
              </w:rPr>
            </w:pPr>
            <w:r w:rsidRPr="00852118">
              <w:rPr>
                <w:sz w:val="18"/>
              </w:rPr>
              <w:t>Cases</w:t>
            </w:r>
            <w:r w:rsidRPr="00852118">
              <w:rPr>
                <w:rStyle w:val="FootnoteReference"/>
                <w:rFonts w:eastAsia="MS Mincho"/>
                <w:color w:val="000000"/>
                <w:lang w:eastAsia="en-US"/>
              </w:rPr>
              <w:footnoteReference w:id="4"/>
            </w:r>
          </w:p>
        </w:tc>
        <w:tc>
          <w:tcPr>
            <w:tcW w:w="1170" w:type="dxa"/>
          </w:tcPr>
          <w:p w14:paraId="1F34915A" w14:textId="77777777" w:rsidR="006827C2" w:rsidRPr="00852118" w:rsidRDefault="006827C2" w:rsidP="00910B78">
            <w:pPr>
              <w:jc w:val="center"/>
              <w:rPr>
                <w:sz w:val="18"/>
              </w:rPr>
            </w:pPr>
            <w:r w:rsidRPr="00852118">
              <w:rPr>
                <w:sz w:val="18"/>
              </w:rPr>
              <w:t>Amount</w:t>
            </w:r>
            <w:r w:rsidRPr="00852118">
              <w:rPr>
                <w:rStyle w:val="FootnoteReference"/>
                <w:rFonts w:eastAsia="MS Mincho"/>
                <w:color w:val="000000"/>
                <w:lang w:eastAsia="en-US"/>
              </w:rPr>
              <w:footnoteReference w:id="5"/>
            </w:r>
          </w:p>
        </w:tc>
        <w:tc>
          <w:tcPr>
            <w:tcW w:w="1346" w:type="dxa"/>
          </w:tcPr>
          <w:p w14:paraId="3EB8FFA3" w14:textId="77777777" w:rsidR="006827C2" w:rsidRPr="00852118" w:rsidRDefault="006827C2" w:rsidP="00910B78">
            <w:pPr>
              <w:jc w:val="center"/>
              <w:rPr>
                <w:sz w:val="18"/>
              </w:rPr>
            </w:pPr>
            <w:r w:rsidRPr="00852118">
              <w:rPr>
                <w:sz w:val="18"/>
              </w:rPr>
              <w:t>Share</w:t>
            </w:r>
          </w:p>
        </w:tc>
      </w:tr>
      <w:tr w:rsidR="006827C2" w:rsidRPr="00852118" w14:paraId="20B9A8BF" w14:textId="77777777" w:rsidTr="00C8323F">
        <w:tc>
          <w:tcPr>
            <w:tcW w:w="4640" w:type="dxa"/>
            <w:gridSpan w:val="2"/>
            <w:tcBorders>
              <w:bottom w:val="nil"/>
            </w:tcBorders>
            <w:shd w:val="clear" w:color="auto" w:fill="C6D9F1" w:themeFill="text2" w:themeFillTint="33"/>
          </w:tcPr>
          <w:p w14:paraId="169DF621" w14:textId="10A3D3D1" w:rsidR="006827C2" w:rsidRPr="00852118" w:rsidRDefault="006827C2" w:rsidP="00910B78">
            <w:pPr>
              <w:rPr>
                <w:sz w:val="18"/>
              </w:rPr>
            </w:pPr>
            <w:r w:rsidRPr="00852118">
              <w:rPr>
                <w:sz w:val="18"/>
              </w:rPr>
              <w:t>International applications (items I.1 to 3)</w:t>
            </w:r>
          </w:p>
        </w:tc>
        <w:tc>
          <w:tcPr>
            <w:tcW w:w="2020" w:type="dxa"/>
            <w:shd w:val="clear" w:color="auto" w:fill="C6D9F1" w:themeFill="text2" w:themeFillTint="33"/>
          </w:tcPr>
          <w:p w14:paraId="44F80ABB" w14:textId="5F159D1D" w:rsidR="006827C2" w:rsidRPr="00852118" w:rsidRDefault="00447F7B" w:rsidP="00910B78">
            <w:pPr>
              <w:jc w:val="right"/>
              <w:rPr>
                <w:sz w:val="18"/>
              </w:rPr>
            </w:pPr>
            <w:r w:rsidRPr="00852118">
              <w:rPr>
                <w:sz w:val="18"/>
              </w:rPr>
              <w:t>5,042</w:t>
            </w:r>
            <w:r w:rsidR="006827C2" w:rsidRPr="00852118">
              <w:rPr>
                <w:sz w:val="18"/>
              </w:rPr>
              <w:t xml:space="preserve"> filings</w:t>
            </w:r>
          </w:p>
        </w:tc>
        <w:tc>
          <w:tcPr>
            <w:tcW w:w="1170" w:type="dxa"/>
            <w:shd w:val="clear" w:color="auto" w:fill="C6D9F1" w:themeFill="text2" w:themeFillTint="33"/>
          </w:tcPr>
          <w:p w14:paraId="7AC0915B" w14:textId="0187600E" w:rsidR="006827C2" w:rsidRPr="00852118" w:rsidRDefault="00447F7B" w:rsidP="00910B78">
            <w:pPr>
              <w:jc w:val="right"/>
              <w:rPr>
                <w:sz w:val="18"/>
              </w:rPr>
            </w:pPr>
            <w:r w:rsidRPr="00852118">
              <w:rPr>
                <w:sz w:val="18"/>
              </w:rPr>
              <w:t>3,972</w:t>
            </w:r>
          </w:p>
        </w:tc>
        <w:tc>
          <w:tcPr>
            <w:tcW w:w="1346" w:type="dxa"/>
            <w:shd w:val="clear" w:color="auto" w:fill="C6D9F1" w:themeFill="text2" w:themeFillTint="33"/>
          </w:tcPr>
          <w:p w14:paraId="48953FB4" w14:textId="37A808A3" w:rsidR="006827C2" w:rsidRPr="00852118" w:rsidRDefault="00BF05B4" w:rsidP="00910B78">
            <w:pPr>
              <w:jc w:val="right"/>
              <w:rPr>
                <w:sz w:val="18"/>
              </w:rPr>
            </w:pPr>
            <w:r w:rsidRPr="00852118">
              <w:rPr>
                <w:sz w:val="18"/>
              </w:rPr>
              <w:t>77.2</w:t>
            </w:r>
            <w:r w:rsidR="006827C2" w:rsidRPr="00852118">
              <w:rPr>
                <w:sz w:val="18"/>
              </w:rPr>
              <w:t>%</w:t>
            </w:r>
          </w:p>
        </w:tc>
      </w:tr>
      <w:tr w:rsidR="006827C2" w:rsidRPr="00852118" w14:paraId="6815A834" w14:textId="77777777" w:rsidTr="00C8323F">
        <w:tc>
          <w:tcPr>
            <w:tcW w:w="541" w:type="dxa"/>
            <w:vMerge w:val="restart"/>
            <w:tcBorders>
              <w:top w:val="nil"/>
            </w:tcBorders>
          </w:tcPr>
          <w:p w14:paraId="0D8B5E63" w14:textId="77777777" w:rsidR="006827C2" w:rsidRPr="00852118" w:rsidRDefault="006827C2" w:rsidP="00910B78">
            <w:pPr>
              <w:rPr>
                <w:sz w:val="18"/>
              </w:rPr>
            </w:pPr>
          </w:p>
        </w:tc>
        <w:tc>
          <w:tcPr>
            <w:tcW w:w="4099" w:type="dxa"/>
          </w:tcPr>
          <w:p w14:paraId="36B0BBE1" w14:textId="22C8E8C7" w:rsidR="006827C2" w:rsidRPr="00852118" w:rsidRDefault="006827C2" w:rsidP="00910B78">
            <w:pPr>
              <w:rPr>
                <w:sz w:val="18"/>
              </w:rPr>
            </w:pPr>
            <w:r w:rsidRPr="00852118">
              <w:rPr>
                <w:sz w:val="18"/>
              </w:rPr>
              <w:t>Basic fee for the first design</w:t>
            </w:r>
          </w:p>
        </w:tc>
        <w:tc>
          <w:tcPr>
            <w:tcW w:w="2020" w:type="dxa"/>
          </w:tcPr>
          <w:p w14:paraId="35247E41" w14:textId="78A6F98E" w:rsidR="006827C2" w:rsidRPr="00852118" w:rsidRDefault="00447F7B" w:rsidP="00910B78">
            <w:pPr>
              <w:jc w:val="right"/>
              <w:rPr>
                <w:sz w:val="18"/>
              </w:rPr>
            </w:pPr>
            <w:r w:rsidRPr="00852118">
              <w:rPr>
                <w:sz w:val="18"/>
              </w:rPr>
              <w:t>5,042</w:t>
            </w:r>
            <w:r w:rsidR="006827C2" w:rsidRPr="00852118">
              <w:rPr>
                <w:sz w:val="18"/>
              </w:rPr>
              <w:t xml:space="preserve"> designs</w:t>
            </w:r>
          </w:p>
        </w:tc>
        <w:tc>
          <w:tcPr>
            <w:tcW w:w="1170" w:type="dxa"/>
          </w:tcPr>
          <w:p w14:paraId="540C6372" w14:textId="3F761261" w:rsidR="006827C2" w:rsidRPr="00852118" w:rsidRDefault="00447F7B" w:rsidP="00910B78">
            <w:pPr>
              <w:jc w:val="right"/>
              <w:rPr>
                <w:sz w:val="18"/>
              </w:rPr>
            </w:pPr>
            <w:r w:rsidRPr="00852118">
              <w:rPr>
                <w:sz w:val="18"/>
              </w:rPr>
              <w:t>1,998</w:t>
            </w:r>
          </w:p>
        </w:tc>
        <w:tc>
          <w:tcPr>
            <w:tcW w:w="1346" w:type="dxa"/>
          </w:tcPr>
          <w:p w14:paraId="7A4FF277" w14:textId="0E577857" w:rsidR="006827C2" w:rsidRPr="00852118" w:rsidRDefault="00D22D6F" w:rsidP="00910B78">
            <w:pPr>
              <w:jc w:val="right"/>
              <w:rPr>
                <w:sz w:val="18"/>
              </w:rPr>
            </w:pPr>
            <w:r w:rsidRPr="00852118">
              <w:rPr>
                <w:sz w:val="18"/>
              </w:rPr>
              <w:t>38</w:t>
            </w:r>
            <w:r w:rsidR="006827C2" w:rsidRPr="00852118">
              <w:rPr>
                <w:sz w:val="18"/>
              </w:rPr>
              <w:t>.4%</w:t>
            </w:r>
          </w:p>
        </w:tc>
      </w:tr>
      <w:tr w:rsidR="006827C2" w:rsidRPr="00852118" w14:paraId="276D7D1D" w14:textId="77777777" w:rsidTr="00C8323F">
        <w:tc>
          <w:tcPr>
            <w:tcW w:w="541" w:type="dxa"/>
            <w:vMerge/>
          </w:tcPr>
          <w:p w14:paraId="21E2BF2A" w14:textId="77777777" w:rsidR="006827C2" w:rsidRPr="00852118" w:rsidRDefault="006827C2" w:rsidP="00910B78">
            <w:pPr>
              <w:rPr>
                <w:sz w:val="18"/>
              </w:rPr>
            </w:pPr>
          </w:p>
        </w:tc>
        <w:tc>
          <w:tcPr>
            <w:tcW w:w="4099" w:type="dxa"/>
          </w:tcPr>
          <w:p w14:paraId="12CC73CB" w14:textId="08A93EE9" w:rsidR="006827C2" w:rsidRPr="00852118" w:rsidRDefault="006827C2" w:rsidP="00910B78">
            <w:pPr>
              <w:rPr>
                <w:sz w:val="18"/>
              </w:rPr>
            </w:pPr>
            <w:r w:rsidRPr="00852118">
              <w:rPr>
                <w:sz w:val="18"/>
              </w:rPr>
              <w:t>Basic fee for additional designs</w:t>
            </w:r>
          </w:p>
        </w:tc>
        <w:tc>
          <w:tcPr>
            <w:tcW w:w="2020" w:type="dxa"/>
          </w:tcPr>
          <w:p w14:paraId="4882FBCD" w14:textId="76755762" w:rsidR="006827C2" w:rsidRPr="00852118" w:rsidRDefault="00447F7B" w:rsidP="00910B78">
            <w:pPr>
              <w:jc w:val="right"/>
              <w:rPr>
                <w:sz w:val="18"/>
              </w:rPr>
            </w:pPr>
            <w:r w:rsidRPr="00852118">
              <w:rPr>
                <w:sz w:val="18"/>
              </w:rPr>
              <w:t>13,493</w:t>
            </w:r>
            <w:r w:rsidR="006827C2" w:rsidRPr="00852118">
              <w:rPr>
                <w:sz w:val="18"/>
              </w:rPr>
              <w:t xml:space="preserve"> designs</w:t>
            </w:r>
          </w:p>
        </w:tc>
        <w:tc>
          <w:tcPr>
            <w:tcW w:w="1170" w:type="dxa"/>
          </w:tcPr>
          <w:p w14:paraId="6402C522" w14:textId="2D0072E3" w:rsidR="006827C2" w:rsidRPr="00852118" w:rsidRDefault="00447F7B" w:rsidP="00910B78">
            <w:pPr>
              <w:jc w:val="right"/>
              <w:rPr>
                <w:sz w:val="18"/>
              </w:rPr>
            </w:pPr>
            <w:r w:rsidRPr="00852118">
              <w:rPr>
                <w:sz w:val="18"/>
              </w:rPr>
              <w:t>256</w:t>
            </w:r>
          </w:p>
        </w:tc>
        <w:tc>
          <w:tcPr>
            <w:tcW w:w="1346" w:type="dxa"/>
          </w:tcPr>
          <w:p w14:paraId="59518523" w14:textId="2187B35A" w:rsidR="006827C2" w:rsidRPr="00852118" w:rsidRDefault="00D22D6F" w:rsidP="00910B78">
            <w:pPr>
              <w:jc w:val="right"/>
              <w:rPr>
                <w:sz w:val="18"/>
              </w:rPr>
            </w:pPr>
            <w:r w:rsidRPr="00852118">
              <w:rPr>
                <w:sz w:val="18"/>
              </w:rPr>
              <w:t>5.0</w:t>
            </w:r>
            <w:r w:rsidR="006827C2" w:rsidRPr="00852118">
              <w:rPr>
                <w:sz w:val="18"/>
              </w:rPr>
              <w:t>%</w:t>
            </w:r>
          </w:p>
        </w:tc>
      </w:tr>
      <w:tr w:rsidR="006827C2" w:rsidRPr="00852118" w14:paraId="66339F6D" w14:textId="77777777" w:rsidTr="00C8323F">
        <w:tc>
          <w:tcPr>
            <w:tcW w:w="541" w:type="dxa"/>
            <w:vMerge/>
          </w:tcPr>
          <w:p w14:paraId="2E657C81" w14:textId="77777777" w:rsidR="006827C2" w:rsidRPr="00852118" w:rsidRDefault="006827C2" w:rsidP="00910B78">
            <w:pPr>
              <w:rPr>
                <w:sz w:val="18"/>
              </w:rPr>
            </w:pPr>
          </w:p>
        </w:tc>
        <w:tc>
          <w:tcPr>
            <w:tcW w:w="4099" w:type="dxa"/>
          </w:tcPr>
          <w:p w14:paraId="066638D5" w14:textId="62EFF285" w:rsidR="006827C2" w:rsidRPr="00852118" w:rsidRDefault="006827C2" w:rsidP="00910B78">
            <w:pPr>
              <w:rPr>
                <w:sz w:val="18"/>
              </w:rPr>
            </w:pPr>
            <w:r w:rsidRPr="00852118">
              <w:rPr>
                <w:sz w:val="18"/>
              </w:rPr>
              <w:t>Publication fee per reproduction</w:t>
            </w:r>
          </w:p>
        </w:tc>
        <w:tc>
          <w:tcPr>
            <w:tcW w:w="2020" w:type="dxa"/>
          </w:tcPr>
          <w:p w14:paraId="1A9F004C" w14:textId="06178EF6" w:rsidR="006827C2" w:rsidRPr="00852118" w:rsidRDefault="00447F7B" w:rsidP="00910B78">
            <w:pPr>
              <w:jc w:val="right"/>
              <w:rPr>
                <w:sz w:val="18"/>
              </w:rPr>
            </w:pPr>
            <w:r w:rsidRPr="00852118">
              <w:rPr>
                <w:sz w:val="18"/>
              </w:rPr>
              <w:t>94,765</w:t>
            </w:r>
            <w:r w:rsidR="006827C2" w:rsidRPr="00852118">
              <w:rPr>
                <w:sz w:val="18"/>
              </w:rPr>
              <w:t xml:space="preserve"> reproductions</w:t>
            </w:r>
          </w:p>
        </w:tc>
        <w:tc>
          <w:tcPr>
            <w:tcW w:w="1170" w:type="dxa"/>
          </w:tcPr>
          <w:p w14:paraId="60DB30EF" w14:textId="53259833" w:rsidR="006827C2" w:rsidRPr="00852118" w:rsidRDefault="00447F7B" w:rsidP="00910B78">
            <w:pPr>
              <w:jc w:val="right"/>
              <w:rPr>
                <w:sz w:val="18"/>
              </w:rPr>
            </w:pPr>
            <w:r w:rsidRPr="00852118">
              <w:rPr>
                <w:sz w:val="18"/>
              </w:rPr>
              <w:t>1,611</w:t>
            </w:r>
          </w:p>
        </w:tc>
        <w:tc>
          <w:tcPr>
            <w:tcW w:w="1346" w:type="dxa"/>
          </w:tcPr>
          <w:p w14:paraId="53F12C0C" w14:textId="010B07E7" w:rsidR="006827C2" w:rsidRPr="00852118" w:rsidRDefault="00D22D6F" w:rsidP="00910B78">
            <w:pPr>
              <w:jc w:val="right"/>
              <w:rPr>
                <w:sz w:val="18"/>
              </w:rPr>
            </w:pPr>
            <w:r w:rsidRPr="00852118">
              <w:rPr>
                <w:sz w:val="18"/>
              </w:rPr>
              <w:t>31.3</w:t>
            </w:r>
            <w:r w:rsidR="006827C2" w:rsidRPr="00852118">
              <w:rPr>
                <w:sz w:val="18"/>
              </w:rPr>
              <w:t>%</w:t>
            </w:r>
          </w:p>
        </w:tc>
      </w:tr>
      <w:tr w:rsidR="006827C2" w:rsidRPr="00852118" w14:paraId="39268983" w14:textId="77777777" w:rsidTr="00C8323F">
        <w:trPr>
          <w:trHeight w:val="285"/>
        </w:trPr>
        <w:tc>
          <w:tcPr>
            <w:tcW w:w="541" w:type="dxa"/>
            <w:vMerge/>
          </w:tcPr>
          <w:p w14:paraId="6577F4FB" w14:textId="77777777" w:rsidR="006827C2" w:rsidRPr="00852118" w:rsidRDefault="006827C2" w:rsidP="00910B78">
            <w:pPr>
              <w:rPr>
                <w:sz w:val="18"/>
              </w:rPr>
            </w:pPr>
          </w:p>
        </w:tc>
        <w:tc>
          <w:tcPr>
            <w:tcW w:w="4099" w:type="dxa"/>
          </w:tcPr>
          <w:p w14:paraId="45FE3FF6" w14:textId="77777777" w:rsidR="006827C2" w:rsidRPr="00852118" w:rsidRDefault="006827C2" w:rsidP="00910B78">
            <w:pPr>
              <w:rPr>
                <w:sz w:val="18"/>
              </w:rPr>
            </w:pPr>
            <w:r w:rsidRPr="00852118">
              <w:rPr>
                <w:sz w:val="18"/>
              </w:rPr>
              <w:t>Publication fee per page (for paper filing)</w:t>
            </w:r>
          </w:p>
        </w:tc>
        <w:tc>
          <w:tcPr>
            <w:tcW w:w="2020" w:type="dxa"/>
          </w:tcPr>
          <w:p w14:paraId="45E8A718" w14:textId="57AD1C42" w:rsidR="006827C2" w:rsidRPr="00852118" w:rsidRDefault="00447F7B" w:rsidP="00910B78">
            <w:pPr>
              <w:jc w:val="right"/>
              <w:rPr>
                <w:sz w:val="18"/>
              </w:rPr>
            </w:pPr>
            <w:r w:rsidRPr="00852118">
              <w:rPr>
                <w:sz w:val="18"/>
              </w:rPr>
              <w:t>233</w:t>
            </w:r>
            <w:r w:rsidR="006827C2" w:rsidRPr="00852118">
              <w:rPr>
                <w:sz w:val="18"/>
              </w:rPr>
              <w:t xml:space="preserve"> pages</w:t>
            </w:r>
          </w:p>
        </w:tc>
        <w:tc>
          <w:tcPr>
            <w:tcW w:w="1170" w:type="dxa"/>
          </w:tcPr>
          <w:p w14:paraId="095F1EAF" w14:textId="734C09BF" w:rsidR="006827C2" w:rsidRPr="00852118" w:rsidRDefault="00447F7B" w:rsidP="00910B78">
            <w:pPr>
              <w:jc w:val="right"/>
              <w:rPr>
                <w:sz w:val="18"/>
              </w:rPr>
            </w:pPr>
            <w:r w:rsidRPr="00852118">
              <w:rPr>
                <w:sz w:val="18"/>
              </w:rPr>
              <w:t>35</w:t>
            </w:r>
          </w:p>
        </w:tc>
        <w:tc>
          <w:tcPr>
            <w:tcW w:w="1346" w:type="dxa"/>
          </w:tcPr>
          <w:p w14:paraId="2128E6AF" w14:textId="204974D4" w:rsidR="006827C2" w:rsidRPr="00852118" w:rsidRDefault="00D22D6F" w:rsidP="00910B78">
            <w:pPr>
              <w:jc w:val="right"/>
              <w:rPr>
                <w:sz w:val="18"/>
              </w:rPr>
            </w:pPr>
            <w:r w:rsidRPr="00852118">
              <w:rPr>
                <w:sz w:val="18"/>
              </w:rPr>
              <w:t>0.7</w:t>
            </w:r>
            <w:r w:rsidR="006827C2" w:rsidRPr="00852118">
              <w:rPr>
                <w:sz w:val="18"/>
              </w:rPr>
              <w:t>%</w:t>
            </w:r>
          </w:p>
        </w:tc>
      </w:tr>
      <w:tr w:rsidR="006827C2" w:rsidRPr="00852118" w14:paraId="18F57A54" w14:textId="77777777" w:rsidTr="00C8323F">
        <w:trPr>
          <w:trHeight w:val="221"/>
        </w:trPr>
        <w:tc>
          <w:tcPr>
            <w:tcW w:w="541" w:type="dxa"/>
            <w:vMerge/>
          </w:tcPr>
          <w:p w14:paraId="16763A70" w14:textId="77777777" w:rsidR="006827C2" w:rsidRPr="00852118" w:rsidRDefault="006827C2" w:rsidP="00910B78">
            <w:pPr>
              <w:rPr>
                <w:sz w:val="18"/>
              </w:rPr>
            </w:pPr>
          </w:p>
        </w:tc>
        <w:tc>
          <w:tcPr>
            <w:tcW w:w="4099" w:type="dxa"/>
          </w:tcPr>
          <w:p w14:paraId="50AC97FA" w14:textId="53C9FBEA" w:rsidR="006827C2" w:rsidRPr="00852118" w:rsidRDefault="006827C2" w:rsidP="00910B78">
            <w:pPr>
              <w:rPr>
                <w:sz w:val="18"/>
              </w:rPr>
            </w:pPr>
            <w:r w:rsidRPr="00852118">
              <w:rPr>
                <w:sz w:val="18"/>
              </w:rPr>
              <w:t>Additional fee for description per word exceeding 100 words</w:t>
            </w:r>
          </w:p>
        </w:tc>
        <w:tc>
          <w:tcPr>
            <w:tcW w:w="2020" w:type="dxa"/>
          </w:tcPr>
          <w:p w14:paraId="084F41FE" w14:textId="6CB3DED9" w:rsidR="006827C2" w:rsidRPr="00852118" w:rsidRDefault="00447F7B" w:rsidP="00910B78">
            <w:pPr>
              <w:jc w:val="right"/>
              <w:rPr>
                <w:sz w:val="18"/>
              </w:rPr>
            </w:pPr>
            <w:r w:rsidRPr="00852118">
              <w:rPr>
                <w:sz w:val="18"/>
              </w:rPr>
              <w:t>28,500</w:t>
            </w:r>
            <w:r w:rsidR="006827C2" w:rsidRPr="00852118">
              <w:rPr>
                <w:sz w:val="18"/>
              </w:rPr>
              <w:t xml:space="preserve"> words</w:t>
            </w:r>
          </w:p>
        </w:tc>
        <w:tc>
          <w:tcPr>
            <w:tcW w:w="1170" w:type="dxa"/>
          </w:tcPr>
          <w:p w14:paraId="63A35D87" w14:textId="03DBA134" w:rsidR="006827C2" w:rsidRPr="00852118" w:rsidRDefault="00447F7B" w:rsidP="00910B78">
            <w:pPr>
              <w:jc w:val="right"/>
              <w:rPr>
                <w:sz w:val="18"/>
              </w:rPr>
            </w:pPr>
            <w:r w:rsidRPr="00852118">
              <w:rPr>
                <w:sz w:val="18"/>
              </w:rPr>
              <w:t>57</w:t>
            </w:r>
          </w:p>
        </w:tc>
        <w:tc>
          <w:tcPr>
            <w:tcW w:w="1346" w:type="dxa"/>
          </w:tcPr>
          <w:p w14:paraId="0D47DCFC" w14:textId="4E8AE5B7" w:rsidR="006827C2" w:rsidRPr="00852118" w:rsidRDefault="00D82E6E" w:rsidP="00910B78">
            <w:pPr>
              <w:jc w:val="right"/>
              <w:rPr>
                <w:sz w:val="18"/>
              </w:rPr>
            </w:pPr>
            <w:r w:rsidRPr="00852118">
              <w:rPr>
                <w:sz w:val="18"/>
              </w:rPr>
              <w:t>1.1</w:t>
            </w:r>
            <w:r w:rsidR="006827C2" w:rsidRPr="00852118">
              <w:rPr>
                <w:sz w:val="18"/>
              </w:rPr>
              <w:t>%</w:t>
            </w:r>
          </w:p>
        </w:tc>
      </w:tr>
      <w:tr w:rsidR="006827C2" w:rsidRPr="00852118" w14:paraId="3C97C39C" w14:textId="77777777" w:rsidTr="00C8323F">
        <w:trPr>
          <w:trHeight w:val="208"/>
        </w:trPr>
        <w:tc>
          <w:tcPr>
            <w:tcW w:w="541" w:type="dxa"/>
            <w:vMerge/>
          </w:tcPr>
          <w:p w14:paraId="1C62A6A2" w14:textId="77777777" w:rsidR="006827C2" w:rsidRPr="00852118" w:rsidRDefault="006827C2" w:rsidP="00910B78">
            <w:pPr>
              <w:rPr>
                <w:sz w:val="18"/>
              </w:rPr>
            </w:pPr>
          </w:p>
        </w:tc>
        <w:tc>
          <w:tcPr>
            <w:tcW w:w="4099" w:type="dxa"/>
          </w:tcPr>
          <w:p w14:paraId="0F9F5E96" w14:textId="77777777" w:rsidR="006827C2" w:rsidRPr="00852118" w:rsidRDefault="006827C2" w:rsidP="00910B78">
            <w:pPr>
              <w:rPr>
                <w:sz w:val="18"/>
              </w:rPr>
            </w:pPr>
            <w:r w:rsidRPr="00852118">
              <w:rPr>
                <w:sz w:val="18"/>
              </w:rPr>
              <w:t>Applications abandoned (Rule 14(3))</w:t>
            </w:r>
          </w:p>
        </w:tc>
        <w:tc>
          <w:tcPr>
            <w:tcW w:w="2020" w:type="dxa"/>
          </w:tcPr>
          <w:p w14:paraId="6FFC49C6" w14:textId="7D350D8C" w:rsidR="006827C2" w:rsidRPr="00852118" w:rsidRDefault="00447F7B" w:rsidP="00910B78">
            <w:pPr>
              <w:jc w:val="right"/>
              <w:rPr>
                <w:sz w:val="18"/>
              </w:rPr>
            </w:pPr>
            <w:r w:rsidRPr="00852118">
              <w:rPr>
                <w:sz w:val="18"/>
              </w:rPr>
              <w:t>70</w:t>
            </w:r>
            <w:r w:rsidR="006827C2" w:rsidRPr="00852118">
              <w:rPr>
                <w:sz w:val="18"/>
              </w:rPr>
              <w:t xml:space="preserve"> filings</w:t>
            </w:r>
          </w:p>
        </w:tc>
        <w:tc>
          <w:tcPr>
            <w:tcW w:w="1170" w:type="dxa"/>
          </w:tcPr>
          <w:p w14:paraId="3CA7345B" w14:textId="23083C69" w:rsidR="006827C2" w:rsidRPr="00852118" w:rsidRDefault="00447F7B" w:rsidP="00910B78">
            <w:pPr>
              <w:jc w:val="right"/>
              <w:rPr>
                <w:sz w:val="18"/>
              </w:rPr>
            </w:pPr>
            <w:r w:rsidRPr="00852118">
              <w:rPr>
                <w:sz w:val="18"/>
              </w:rPr>
              <w:t>15</w:t>
            </w:r>
          </w:p>
        </w:tc>
        <w:tc>
          <w:tcPr>
            <w:tcW w:w="1346" w:type="dxa"/>
          </w:tcPr>
          <w:p w14:paraId="7590519C" w14:textId="4D9A1FCF" w:rsidR="006827C2" w:rsidRPr="00852118" w:rsidRDefault="00D82E6E" w:rsidP="00910B78">
            <w:pPr>
              <w:jc w:val="right"/>
              <w:rPr>
                <w:sz w:val="18"/>
              </w:rPr>
            </w:pPr>
            <w:r w:rsidRPr="00852118">
              <w:rPr>
                <w:sz w:val="18"/>
              </w:rPr>
              <w:t>0.3</w:t>
            </w:r>
            <w:r w:rsidR="006827C2" w:rsidRPr="00852118">
              <w:rPr>
                <w:sz w:val="18"/>
              </w:rPr>
              <w:t>%</w:t>
            </w:r>
          </w:p>
        </w:tc>
      </w:tr>
      <w:tr w:rsidR="006827C2" w:rsidRPr="00852118" w14:paraId="0DE0CDCF" w14:textId="77777777" w:rsidTr="00C8323F">
        <w:tc>
          <w:tcPr>
            <w:tcW w:w="4640" w:type="dxa"/>
            <w:gridSpan w:val="2"/>
            <w:tcBorders>
              <w:bottom w:val="nil"/>
            </w:tcBorders>
            <w:shd w:val="clear" w:color="auto" w:fill="C6D9F1" w:themeFill="text2" w:themeFillTint="33"/>
          </w:tcPr>
          <w:p w14:paraId="25380DEB" w14:textId="77777777" w:rsidR="006827C2" w:rsidRPr="00852118" w:rsidRDefault="006827C2" w:rsidP="00910B78">
            <w:pPr>
              <w:rPr>
                <w:sz w:val="18"/>
              </w:rPr>
            </w:pPr>
            <w:r w:rsidRPr="00852118">
              <w:rPr>
                <w:sz w:val="18"/>
              </w:rPr>
              <w:t>Renewal (item III.7)</w:t>
            </w:r>
          </w:p>
        </w:tc>
        <w:tc>
          <w:tcPr>
            <w:tcW w:w="2020" w:type="dxa"/>
            <w:shd w:val="clear" w:color="auto" w:fill="C6D9F1" w:themeFill="text2" w:themeFillTint="33"/>
          </w:tcPr>
          <w:p w14:paraId="727AA677" w14:textId="5B133FD1" w:rsidR="006827C2" w:rsidRPr="00852118" w:rsidRDefault="00447F7B" w:rsidP="00910B78">
            <w:pPr>
              <w:jc w:val="right"/>
              <w:rPr>
                <w:sz w:val="18"/>
              </w:rPr>
            </w:pPr>
            <w:r w:rsidRPr="00852118">
              <w:rPr>
                <w:sz w:val="18"/>
              </w:rPr>
              <w:t>3,547</w:t>
            </w:r>
            <w:r w:rsidR="006827C2" w:rsidRPr="00852118">
              <w:rPr>
                <w:sz w:val="18"/>
              </w:rPr>
              <w:t xml:space="preserve"> renewals</w:t>
            </w:r>
          </w:p>
        </w:tc>
        <w:tc>
          <w:tcPr>
            <w:tcW w:w="1170" w:type="dxa"/>
            <w:shd w:val="clear" w:color="auto" w:fill="C6D9F1" w:themeFill="text2" w:themeFillTint="33"/>
          </w:tcPr>
          <w:p w14:paraId="665128FA" w14:textId="2DDEE72C" w:rsidR="006827C2" w:rsidRPr="00852118" w:rsidRDefault="00447F7B" w:rsidP="00910B78">
            <w:pPr>
              <w:jc w:val="right"/>
              <w:rPr>
                <w:sz w:val="18"/>
              </w:rPr>
            </w:pPr>
            <w:r w:rsidRPr="00852118">
              <w:rPr>
                <w:sz w:val="18"/>
              </w:rPr>
              <w:t>939</w:t>
            </w:r>
          </w:p>
        </w:tc>
        <w:tc>
          <w:tcPr>
            <w:tcW w:w="1346" w:type="dxa"/>
            <w:shd w:val="clear" w:color="auto" w:fill="C6D9F1" w:themeFill="text2" w:themeFillTint="33"/>
          </w:tcPr>
          <w:p w14:paraId="529DE180" w14:textId="12DBDB31" w:rsidR="006827C2" w:rsidRPr="00852118" w:rsidRDefault="00D82E6E" w:rsidP="00910B78">
            <w:pPr>
              <w:jc w:val="right"/>
              <w:rPr>
                <w:sz w:val="18"/>
              </w:rPr>
            </w:pPr>
            <w:r w:rsidRPr="00852118">
              <w:rPr>
                <w:sz w:val="18"/>
              </w:rPr>
              <w:t>18.2</w:t>
            </w:r>
            <w:r w:rsidR="006827C2" w:rsidRPr="00852118">
              <w:rPr>
                <w:sz w:val="18"/>
              </w:rPr>
              <w:t>%</w:t>
            </w:r>
          </w:p>
        </w:tc>
      </w:tr>
      <w:tr w:rsidR="006827C2" w:rsidRPr="00852118" w14:paraId="5578CF32" w14:textId="77777777" w:rsidTr="00C8323F">
        <w:tc>
          <w:tcPr>
            <w:tcW w:w="541" w:type="dxa"/>
            <w:vMerge w:val="restart"/>
            <w:tcBorders>
              <w:top w:val="nil"/>
            </w:tcBorders>
          </w:tcPr>
          <w:p w14:paraId="04443DAB" w14:textId="77777777" w:rsidR="006827C2" w:rsidRPr="00852118" w:rsidRDefault="006827C2" w:rsidP="00910B78">
            <w:pPr>
              <w:rPr>
                <w:sz w:val="18"/>
              </w:rPr>
            </w:pPr>
          </w:p>
        </w:tc>
        <w:tc>
          <w:tcPr>
            <w:tcW w:w="4099" w:type="dxa"/>
          </w:tcPr>
          <w:p w14:paraId="48FE76D4" w14:textId="77777777" w:rsidR="006827C2" w:rsidRPr="00852118" w:rsidRDefault="006827C2" w:rsidP="00910B78">
            <w:pPr>
              <w:rPr>
                <w:sz w:val="18"/>
              </w:rPr>
            </w:pPr>
            <w:r w:rsidRPr="00852118">
              <w:rPr>
                <w:sz w:val="18"/>
              </w:rPr>
              <w:t>Basic fee for the first design</w:t>
            </w:r>
          </w:p>
        </w:tc>
        <w:tc>
          <w:tcPr>
            <w:tcW w:w="2020" w:type="dxa"/>
          </w:tcPr>
          <w:p w14:paraId="65217536" w14:textId="6815D5D0" w:rsidR="006827C2" w:rsidRPr="00852118" w:rsidRDefault="00447F7B" w:rsidP="00910B78">
            <w:pPr>
              <w:jc w:val="right"/>
              <w:rPr>
                <w:sz w:val="18"/>
              </w:rPr>
            </w:pPr>
            <w:r w:rsidRPr="00852118">
              <w:rPr>
                <w:sz w:val="18"/>
              </w:rPr>
              <w:t>3,547</w:t>
            </w:r>
            <w:r w:rsidR="006827C2" w:rsidRPr="00852118">
              <w:rPr>
                <w:sz w:val="18"/>
              </w:rPr>
              <w:t xml:space="preserve"> designs</w:t>
            </w:r>
          </w:p>
        </w:tc>
        <w:tc>
          <w:tcPr>
            <w:tcW w:w="1170" w:type="dxa"/>
          </w:tcPr>
          <w:p w14:paraId="4F9A7C6C" w14:textId="412ED396" w:rsidR="006827C2" w:rsidRPr="00852118" w:rsidRDefault="00447F7B" w:rsidP="0090509F">
            <w:pPr>
              <w:jc w:val="right"/>
              <w:rPr>
                <w:sz w:val="18"/>
              </w:rPr>
            </w:pPr>
            <w:r w:rsidRPr="00852118">
              <w:rPr>
                <w:sz w:val="18"/>
              </w:rPr>
              <w:t>710</w:t>
            </w:r>
            <w:r w:rsidR="0090509F" w:rsidRPr="00852118">
              <w:rPr>
                <w:rStyle w:val="FootnoteReference"/>
                <w:sz w:val="18"/>
              </w:rPr>
              <w:footnoteReference w:id="6"/>
            </w:r>
          </w:p>
        </w:tc>
        <w:tc>
          <w:tcPr>
            <w:tcW w:w="1346" w:type="dxa"/>
          </w:tcPr>
          <w:p w14:paraId="74A412F9" w14:textId="46362E88" w:rsidR="006827C2" w:rsidRPr="00852118" w:rsidRDefault="00D82E6E" w:rsidP="00910B78">
            <w:pPr>
              <w:jc w:val="right"/>
              <w:rPr>
                <w:sz w:val="18"/>
              </w:rPr>
            </w:pPr>
            <w:r w:rsidRPr="00852118">
              <w:rPr>
                <w:sz w:val="18"/>
              </w:rPr>
              <w:t>13.8</w:t>
            </w:r>
            <w:r w:rsidR="006827C2" w:rsidRPr="00852118">
              <w:rPr>
                <w:sz w:val="18"/>
              </w:rPr>
              <w:t>%</w:t>
            </w:r>
          </w:p>
        </w:tc>
      </w:tr>
      <w:tr w:rsidR="006827C2" w:rsidRPr="00852118" w14:paraId="7D7C60ED" w14:textId="77777777" w:rsidTr="00C8323F">
        <w:trPr>
          <w:trHeight w:val="242"/>
        </w:trPr>
        <w:tc>
          <w:tcPr>
            <w:tcW w:w="541" w:type="dxa"/>
            <w:vMerge/>
            <w:tcBorders>
              <w:bottom w:val="single" w:sz="4" w:space="0" w:color="auto"/>
            </w:tcBorders>
          </w:tcPr>
          <w:p w14:paraId="16B18B02" w14:textId="77777777" w:rsidR="006827C2" w:rsidRPr="00852118" w:rsidRDefault="006827C2" w:rsidP="00910B78">
            <w:pPr>
              <w:rPr>
                <w:sz w:val="18"/>
              </w:rPr>
            </w:pPr>
          </w:p>
        </w:tc>
        <w:tc>
          <w:tcPr>
            <w:tcW w:w="4099" w:type="dxa"/>
            <w:tcBorders>
              <w:bottom w:val="single" w:sz="4" w:space="0" w:color="auto"/>
            </w:tcBorders>
          </w:tcPr>
          <w:p w14:paraId="342E7709" w14:textId="78D79740" w:rsidR="006827C2" w:rsidRPr="00852118" w:rsidRDefault="006827C2" w:rsidP="00910B78">
            <w:pPr>
              <w:rPr>
                <w:sz w:val="18"/>
              </w:rPr>
            </w:pPr>
            <w:r w:rsidRPr="00852118">
              <w:rPr>
                <w:sz w:val="18"/>
              </w:rPr>
              <w:t>Basic fee for additional designs</w:t>
            </w:r>
          </w:p>
        </w:tc>
        <w:tc>
          <w:tcPr>
            <w:tcW w:w="2020" w:type="dxa"/>
          </w:tcPr>
          <w:p w14:paraId="75996DA8" w14:textId="1F7F36F6" w:rsidR="006827C2" w:rsidRPr="00852118" w:rsidRDefault="00447F7B" w:rsidP="00910B78">
            <w:pPr>
              <w:jc w:val="right"/>
              <w:rPr>
                <w:sz w:val="18"/>
              </w:rPr>
            </w:pPr>
            <w:r w:rsidRPr="00852118">
              <w:rPr>
                <w:sz w:val="18"/>
              </w:rPr>
              <w:t>13,703</w:t>
            </w:r>
            <w:r w:rsidR="006827C2" w:rsidRPr="00852118">
              <w:rPr>
                <w:sz w:val="18"/>
              </w:rPr>
              <w:t xml:space="preserve"> designs</w:t>
            </w:r>
          </w:p>
        </w:tc>
        <w:tc>
          <w:tcPr>
            <w:tcW w:w="1170" w:type="dxa"/>
          </w:tcPr>
          <w:p w14:paraId="1A10BA9F" w14:textId="08E7DBF5" w:rsidR="006827C2" w:rsidRPr="00852118" w:rsidRDefault="00447F7B" w:rsidP="00910B78">
            <w:pPr>
              <w:jc w:val="right"/>
              <w:rPr>
                <w:sz w:val="18"/>
              </w:rPr>
            </w:pPr>
            <w:r w:rsidRPr="00852118">
              <w:rPr>
                <w:sz w:val="18"/>
              </w:rPr>
              <w:t>229</w:t>
            </w:r>
          </w:p>
        </w:tc>
        <w:tc>
          <w:tcPr>
            <w:tcW w:w="1346" w:type="dxa"/>
          </w:tcPr>
          <w:p w14:paraId="0ED43184" w14:textId="0E4367B8" w:rsidR="006827C2" w:rsidRPr="00852118" w:rsidRDefault="00D82E6E" w:rsidP="00910B78">
            <w:pPr>
              <w:jc w:val="right"/>
              <w:rPr>
                <w:sz w:val="18"/>
              </w:rPr>
            </w:pPr>
            <w:r w:rsidRPr="00852118">
              <w:rPr>
                <w:sz w:val="18"/>
              </w:rPr>
              <w:t>4.4</w:t>
            </w:r>
            <w:r w:rsidR="006827C2" w:rsidRPr="00852118">
              <w:rPr>
                <w:sz w:val="18"/>
              </w:rPr>
              <w:t>%</w:t>
            </w:r>
          </w:p>
        </w:tc>
      </w:tr>
      <w:tr w:rsidR="006827C2" w:rsidRPr="00852118" w14:paraId="754B9185" w14:textId="77777777" w:rsidTr="00C8323F">
        <w:tc>
          <w:tcPr>
            <w:tcW w:w="4640" w:type="dxa"/>
            <w:gridSpan w:val="2"/>
            <w:tcBorders>
              <w:top w:val="single" w:sz="4" w:space="0" w:color="auto"/>
              <w:left w:val="single" w:sz="4" w:space="0" w:color="auto"/>
              <w:bottom w:val="nil"/>
              <w:right w:val="nil"/>
            </w:tcBorders>
            <w:shd w:val="clear" w:color="auto" w:fill="C6D9F1" w:themeFill="text2" w:themeFillTint="33"/>
          </w:tcPr>
          <w:p w14:paraId="279F6B58" w14:textId="77777777" w:rsidR="006827C2" w:rsidRPr="00852118" w:rsidRDefault="006827C2" w:rsidP="00910B78">
            <w:pPr>
              <w:keepNext/>
              <w:rPr>
                <w:sz w:val="18"/>
              </w:rPr>
            </w:pPr>
            <w:r w:rsidRPr="00852118">
              <w:rPr>
                <w:sz w:val="18"/>
              </w:rPr>
              <w:t>Other fees (items V and VI)</w:t>
            </w:r>
          </w:p>
        </w:tc>
        <w:tc>
          <w:tcPr>
            <w:tcW w:w="2020" w:type="dxa"/>
            <w:tcBorders>
              <w:left w:val="nil"/>
            </w:tcBorders>
            <w:shd w:val="clear" w:color="auto" w:fill="C6D9F1" w:themeFill="text2" w:themeFillTint="33"/>
          </w:tcPr>
          <w:p w14:paraId="29E5E391" w14:textId="77777777" w:rsidR="006827C2" w:rsidRPr="00852118" w:rsidRDefault="006827C2" w:rsidP="00910B78">
            <w:pPr>
              <w:keepNext/>
              <w:jc w:val="right"/>
              <w:rPr>
                <w:sz w:val="18"/>
              </w:rPr>
            </w:pPr>
          </w:p>
        </w:tc>
        <w:tc>
          <w:tcPr>
            <w:tcW w:w="1170" w:type="dxa"/>
            <w:shd w:val="clear" w:color="auto" w:fill="C6D9F1" w:themeFill="text2" w:themeFillTint="33"/>
          </w:tcPr>
          <w:p w14:paraId="7357E7EC" w14:textId="60C8C132" w:rsidR="006827C2" w:rsidRPr="00852118" w:rsidRDefault="00375320" w:rsidP="00910B78">
            <w:pPr>
              <w:keepNext/>
              <w:jc w:val="right"/>
              <w:rPr>
                <w:sz w:val="18"/>
              </w:rPr>
            </w:pPr>
            <w:r w:rsidRPr="00852118">
              <w:rPr>
                <w:sz w:val="18"/>
              </w:rPr>
              <w:t>23</w:t>
            </w:r>
            <w:r w:rsidR="00375DFA" w:rsidRPr="00852118">
              <w:rPr>
                <w:sz w:val="18"/>
              </w:rPr>
              <w:t>6</w:t>
            </w:r>
          </w:p>
        </w:tc>
        <w:tc>
          <w:tcPr>
            <w:tcW w:w="1346" w:type="dxa"/>
            <w:shd w:val="clear" w:color="auto" w:fill="C6D9F1" w:themeFill="text2" w:themeFillTint="33"/>
          </w:tcPr>
          <w:p w14:paraId="0E69360F" w14:textId="059B165A" w:rsidR="006827C2" w:rsidRPr="00852118" w:rsidRDefault="00D82E6E" w:rsidP="00910B78">
            <w:pPr>
              <w:keepNext/>
              <w:jc w:val="right"/>
              <w:rPr>
                <w:sz w:val="18"/>
              </w:rPr>
            </w:pPr>
            <w:r w:rsidRPr="00852118">
              <w:rPr>
                <w:sz w:val="18"/>
              </w:rPr>
              <w:t>4.6</w:t>
            </w:r>
            <w:r w:rsidR="006827C2" w:rsidRPr="00852118">
              <w:rPr>
                <w:sz w:val="18"/>
              </w:rPr>
              <w:t>%</w:t>
            </w:r>
          </w:p>
        </w:tc>
      </w:tr>
      <w:tr w:rsidR="006827C2" w:rsidRPr="00852118" w14:paraId="04902976" w14:textId="77777777" w:rsidTr="00C8323F">
        <w:trPr>
          <w:trHeight w:val="242"/>
        </w:trPr>
        <w:tc>
          <w:tcPr>
            <w:tcW w:w="541" w:type="dxa"/>
            <w:vMerge w:val="restart"/>
            <w:tcBorders>
              <w:top w:val="nil"/>
              <w:left w:val="single" w:sz="4" w:space="0" w:color="auto"/>
              <w:bottom w:val="nil"/>
              <w:right w:val="single" w:sz="4" w:space="0" w:color="auto"/>
            </w:tcBorders>
          </w:tcPr>
          <w:p w14:paraId="6F1AA4BB" w14:textId="77777777" w:rsidR="006827C2" w:rsidRPr="00852118" w:rsidRDefault="006827C2" w:rsidP="00910B78">
            <w:pPr>
              <w:keepNext/>
              <w:rPr>
                <w:sz w:val="18"/>
              </w:rPr>
            </w:pPr>
          </w:p>
        </w:tc>
        <w:tc>
          <w:tcPr>
            <w:tcW w:w="4099" w:type="dxa"/>
            <w:tcBorders>
              <w:left w:val="single" w:sz="4" w:space="0" w:color="auto"/>
            </w:tcBorders>
          </w:tcPr>
          <w:p w14:paraId="3CEC52FB" w14:textId="77777777" w:rsidR="00375320" w:rsidRPr="00852118" w:rsidRDefault="006827C2" w:rsidP="00910B78">
            <w:pPr>
              <w:keepNext/>
              <w:rPr>
                <w:sz w:val="18"/>
              </w:rPr>
            </w:pPr>
            <w:r w:rsidRPr="00852118">
              <w:rPr>
                <w:sz w:val="18"/>
              </w:rPr>
              <w:t xml:space="preserve">Change in ownership/name/address </w:t>
            </w:r>
          </w:p>
          <w:p w14:paraId="6C2E9F3B" w14:textId="710DE3E2" w:rsidR="006827C2" w:rsidRPr="00852118" w:rsidRDefault="006827C2" w:rsidP="00910B78">
            <w:pPr>
              <w:keepNext/>
              <w:rPr>
                <w:sz w:val="18"/>
              </w:rPr>
            </w:pPr>
            <w:r w:rsidRPr="00852118">
              <w:rPr>
                <w:sz w:val="18"/>
              </w:rPr>
              <w:t>(V. items 13 and 14)</w:t>
            </w:r>
          </w:p>
        </w:tc>
        <w:tc>
          <w:tcPr>
            <w:tcW w:w="2020" w:type="dxa"/>
          </w:tcPr>
          <w:p w14:paraId="539F79AB" w14:textId="0540D401" w:rsidR="006827C2" w:rsidRPr="00852118" w:rsidRDefault="00447F7B" w:rsidP="00910B78">
            <w:pPr>
              <w:keepNext/>
              <w:jc w:val="right"/>
              <w:rPr>
                <w:sz w:val="18"/>
              </w:rPr>
            </w:pPr>
            <w:r w:rsidRPr="00852118">
              <w:rPr>
                <w:sz w:val="18"/>
              </w:rPr>
              <w:t>169</w:t>
            </w:r>
            <w:r w:rsidR="006827C2" w:rsidRPr="00852118">
              <w:rPr>
                <w:sz w:val="18"/>
              </w:rPr>
              <w:t xml:space="preserve"> registrations</w:t>
            </w:r>
          </w:p>
        </w:tc>
        <w:tc>
          <w:tcPr>
            <w:tcW w:w="1170" w:type="dxa"/>
          </w:tcPr>
          <w:p w14:paraId="280B69DE" w14:textId="0EF9544E" w:rsidR="006827C2" w:rsidRPr="00852118" w:rsidRDefault="00447F7B" w:rsidP="00910B78">
            <w:pPr>
              <w:keepNext/>
              <w:jc w:val="right"/>
              <w:rPr>
                <w:sz w:val="18"/>
              </w:rPr>
            </w:pPr>
            <w:r w:rsidRPr="00852118">
              <w:rPr>
                <w:sz w:val="18"/>
              </w:rPr>
              <w:t>20</w:t>
            </w:r>
          </w:p>
        </w:tc>
        <w:tc>
          <w:tcPr>
            <w:tcW w:w="1346" w:type="dxa"/>
          </w:tcPr>
          <w:p w14:paraId="58E92DD5" w14:textId="10F8B3ED" w:rsidR="006827C2" w:rsidRPr="00852118" w:rsidRDefault="00D82E6E" w:rsidP="00910B78">
            <w:pPr>
              <w:keepNext/>
              <w:jc w:val="right"/>
              <w:rPr>
                <w:sz w:val="18"/>
              </w:rPr>
            </w:pPr>
            <w:r w:rsidRPr="00852118">
              <w:rPr>
                <w:sz w:val="18"/>
              </w:rPr>
              <w:t>0.4</w:t>
            </w:r>
            <w:r w:rsidR="006827C2" w:rsidRPr="00852118">
              <w:rPr>
                <w:sz w:val="18"/>
              </w:rPr>
              <w:t>%</w:t>
            </w:r>
          </w:p>
        </w:tc>
      </w:tr>
      <w:tr w:rsidR="006827C2" w:rsidRPr="00852118" w14:paraId="27B6F2C1" w14:textId="77777777" w:rsidTr="00C8323F">
        <w:trPr>
          <w:trHeight w:val="242"/>
        </w:trPr>
        <w:tc>
          <w:tcPr>
            <w:tcW w:w="541" w:type="dxa"/>
            <w:vMerge/>
            <w:tcBorders>
              <w:top w:val="nil"/>
              <w:left w:val="single" w:sz="4" w:space="0" w:color="auto"/>
              <w:bottom w:val="nil"/>
              <w:right w:val="single" w:sz="4" w:space="0" w:color="auto"/>
            </w:tcBorders>
          </w:tcPr>
          <w:p w14:paraId="2993489E" w14:textId="77777777" w:rsidR="006827C2" w:rsidRPr="00852118" w:rsidRDefault="006827C2" w:rsidP="00910B78">
            <w:pPr>
              <w:keepNext/>
              <w:rPr>
                <w:sz w:val="18"/>
              </w:rPr>
            </w:pPr>
          </w:p>
        </w:tc>
        <w:tc>
          <w:tcPr>
            <w:tcW w:w="4099" w:type="dxa"/>
            <w:tcBorders>
              <w:left w:val="single" w:sz="4" w:space="0" w:color="auto"/>
            </w:tcBorders>
          </w:tcPr>
          <w:p w14:paraId="1255AA72" w14:textId="77777777" w:rsidR="006827C2" w:rsidRPr="00852118" w:rsidRDefault="006827C2" w:rsidP="00910B78">
            <w:pPr>
              <w:keepNext/>
              <w:rPr>
                <w:sz w:val="18"/>
              </w:rPr>
            </w:pPr>
            <w:r w:rsidRPr="00852118">
              <w:rPr>
                <w:sz w:val="18"/>
              </w:rPr>
              <w:t>Renunciations/limitations (V. items 15 and 16)</w:t>
            </w:r>
          </w:p>
        </w:tc>
        <w:tc>
          <w:tcPr>
            <w:tcW w:w="2020" w:type="dxa"/>
          </w:tcPr>
          <w:p w14:paraId="7B78911B" w14:textId="3523EAEE" w:rsidR="006827C2" w:rsidRPr="00852118" w:rsidRDefault="00447F7B" w:rsidP="00910B78">
            <w:pPr>
              <w:keepNext/>
              <w:jc w:val="right"/>
              <w:rPr>
                <w:sz w:val="18"/>
              </w:rPr>
            </w:pPr>
            <w:r w:rsidRPr="00852118">
              <w:rPr>
                <w:sz w:val="18"/>
              </w:rPr>
              <w:t>31</w:t>
            </w:r>
            <w:r w:rsidR="006827C2" w:rsidRPr="00852118">
              <w:rPr>
                <w:sz w:val="18"/>
              </w:rPr>
              <w:t xml:space="preserve"> registrations</w:t>
            </w:r>
          </w:p>
        </w:tc>
        <w:tc>
          <w:tcPr>
            <w:tcW w:w="1170" w:type="dxa"/>
          </w:tcPr>
          <w:p w14:paraId="5B63B3C4" w14:textId="664932ED" w:rsidR="006827C2" w:rsidRPr="00852118" w:rsidRDefault="00447F7B" w:rsidP="00910B78">
            <w:pPr>
              <w:keepNext/>
              <w:jc w:val="right"/>
              <w:rPr>
                <w:sz w:val="18"/>
              </w:rPr>
            </w:pPr>
            <w:r w:rsidRPr="00852118">
              <w:rPr>
                <w:sz w:val="18"/>
              </w:rPr>
              <w:t>4</w:t>
            </w:r>
          </w:p>
        </w:tc>
        <w:tc>
          <w:tcPr>
            <w:tcW w:w="1346" w:type="dxa"/>
          </w:tcPr>
          <w:p w14:paraId="1AF442E4" w14:textId="77777777" w:rsidR="006827C2" w:rsidRPr="00852118" w:rsidRDefault="006827C2" w:rsidP="00910B78">
            <w:pPr>
              <w:keepNext/>
              <w:jc w:val="right"/>
              <w:rPr>
                <w:sz w:val="18"/>
              </w:rPr>
            </w:pPr>
            <w:r w:rsidRPr="00852118">
              <w:rPr>
                <w:sz w:val="18"/>
              </w:rPr>
              <w:t>0.1%</w:t>
            </w:r>
          </w:p>
        </w:tc>
      </w:tr>
      <w:tr w:rsidR="006827C2" w:rsidRPr="00852118" w14:paraId="4AD9C826" w14:textId="77777777" w:rsidTr="00C8323F">
        <w:trPr>
          <w:trHeight w:val="242"/>
        </w:trPr>
        <w:tc>
          <w:tcPr>
            <w:tcW w:w="541" w:type="dxa"/>
            <w:vMerge/>
            <w:tcBorders>
              <w:top w:val="nil"/>
              <w:left w:val="single" w:sz="4" w:space="0" w:color="auto"/>
              <w:bottom w:val="nil"/>
              <w:right w:val="single" w:sz="4" w:space="0" w:color="auto"/>
            </w:tcBorders>
          </w:tcPr>
          <w:p w14:paraId="308BAC5B" w14:textId="77777777" w:rsidR="006827C2" w:rsidRPr="00852118" w:rsidRDefault="006827C2" w:rsidP="00910B78">
            <w:pPr>
              <w:keepNext/>
              <w:rPr>
                <w:sz w:val="18"/>
              </w:rPr>
            </w:pPr>
          </w:p>
        </w:tc>
        <w:tc>
          <w:tcPr>
            <w:tcW w:w="4099" w:type="dxa"/>
            <w:tcBorders>
              <w:left w:val="single" w:sz="4" w:space="0" w:color="auto"/>
            </w:tcBorders>
          </w:tcPr>
          <w:p w14:paraId="795FFB84" w14:textId="646BD301" w:rsidR="006827C2" w:rsidRPr="00852118" w:rsidRDefault="006827C2" w:rsidP="00910B78">
            <w:pPr>
              <w:keepNext/>
              <w:rPr>
                <w:sz w:val="18"/>
              </w:rPr>
            </w:pPr>
            <w:r w:rsidRPr="00852118">
              <w:rPr>
                <w:sz w:val="18"/>
              </w:rPr>
              <w:t xml:space="preserve">Certified copies; </w:t>
            </w:r>
            <w:r w:rsidR="005D08D7" w:rsidRPr="00852118">
              <w:rPr>
                <w:sz w:val="18"/>
              </w:rPr>
              <w:t xml:space="preserve"> </w:t>
            </w:r>
            <w:r w:rsidRPr="00852118">
              <w:rPr>
                <w:sz w:val="18"/>
              </w:rPr>
              <w:t>extracts and other information (item VI)</w:t>
            </w:r>
          </w:p>
        </w:tc>
        <w:tc>
          <w:tcPr>
            <w:tcW w:w="2020" w:type="dxa"/>
          </w:tcPr>
          <w:p w14:paraId="7240FCB3" w14:textId="7E21218D" w:rsidR="006827C2" w:rsidRPr="00852118" w:rsidRDefault="00447F7B" w:rsidP="0090509F">
            <w:pPr>
              <w:keepNext/>
              <w:jc w:val="right"/>
              <w:rPr>
                <w:sz w:val="18"/>
              </w:rPr>
            </w:pPr>
            <w:r w:rsidRPr="00852118">
              <w:rPr>
                <w:sz w:val="18"/>
              </w:rPr>
              <w:t>2,284</w:t>
            </w:r>
            <w:r w:rsidR="006827C2" w:rsidRPr="00852118">
              <w:rPr>
                <w:sz w:val="18"/>
              </w:rPr>
              <w:t xml:space="preserve"> cases</w:t>
            </w:r>
          </w:p>
        </w:tc>
        <w:tc>
          <w:tcPr>
            <w:tcW w:w="1170" w:type="dxa"/>
          </w:tcPr>
          <w:p w14:paraId="422B41B5" w14:textId="46A52FA0" w:rsidR="006827C2" w:rsidRPr="00852118" w:rsidRDefault="00447F7B" w:rsidP="00910B78">
            <w:pPr>
              <w:keepNext/>
              <w:jc w:val="right"/>
              <w:rPr>
                <w:sz w:val="18"/>
              </w:rPr>
            </w:pPr>
            <w:r w:rsidRPr="00852118">
              <w:rPr>
                <w:sz w:val="18"/>
              </w:rPr>
              <w:t>212</w:t>
            </w:r>
          </w:p>
        </w:tc>
        <w:tc>
          <w:tcPr>
            <w:tcW w:w="1346" w:type="dxa"/>
          </w:tcPr>
          <w:p w14:paraId="10849F23" w14:textId="667F5F2B" w:rsidR="006827C2" w:rsidRPr="00852118" w:rsidRDefault="00D82E6E" w:rsidP="00910B78">
            <w:pPr>
              <w:keepNext/>
              <w:jc w:val="right"/>
              <w:rPr>
                <w:sz w:val="18"/>
              </w:rPr>
            </w:pPr>
            <w:r w:rsidRPr="00852118">
              <w:rPr>
                <w:sz w:val="18"/>
              </w:rPr>
              <w:t>4.1</w:t>
            </w:r>
            <w:r w:rsidR="006827C2" w:rsidRPr="00852118">
              <w:rPr>
                <w:sz w:val="18"/>
              </w:rPr>
              <w:t>%</w:t>
            </w:r>
          </w:p>
        </w:tc>
      </w:tr>
      <w:tr w:rsidR="006827C2" w:rsidRPr="00852118" w14:paraId="2F59AE92" w14:textId="77777777" w:rsidTr="00C8323F">
        <w:trPr>
          <w:trHeight w:val="85"/>
        </w:trPr>
        <w:tc>
          <w:tcPr>
            <w:tcW w:w="4640" w:type="dxa"/>
            <w:gridSpan w:val="2"/>
            <w:shd w:val="clear" w:color="auto" w:fill="C6D9F1" w:themeFill="text2" w:themeFillTint="33"/>
          </w:tcPr>
          <w:p w14:paraId="1FE029C1" w14:textId="36625862" w:rsidR="006827C2" w:rsidRPr="00852118" w:rsidRDefault="006827C2" w:rsidP="00910B78">
            <w:pPr>
              <w:keepNext/>
              <w:rPr>
                <w:sz w:val="18"/>
              </w:rPr>
            </w:pPr>
            <w:r w:rsidRPr="00852118">
              <w:rPr>
                <w:sz w:val="18"/>
              </w:rPr>
              <w:t>Total</w:t>
            </w:r>
          </w:p>
        </w:tc>
        <w:tc>
          <w:tcPr>
            <w:tcW w:w="2020" w:type="dxa"/>
            <w:shd w:val="clear" w:color="auto" w:fill="C6D9F1" w:themeFill="text2" w:themeFillTint="33"/>
          </w:tcPr>
          <w:p w14:paraId="75AEA3AE" w14:textId="77777777" w:rsidR="006827C2" w:rsidRPr="00852118" w:rsidRDefault="006827C2" w:rsidP="00910B78">
            <w:pPr>
              <w:keepNext/>
              <w:jc w:val="right"/>
              <w:rPr>
                <w:sz w:val="18"/>
              </w:rPr>
            </w:pPr>
          </w:p>
        </w:tc>
        <w:tc>
          <w:tcPr>
            <w:tcW w:w="1170" w:type="dxa"/>
            <w:shd w:val="clear" w:color="auto" w:fill="C6D9F1" w:themeFill="text2" w:themeFillTint="33"/>
          </w:tcPr>
          <w:p w14:paraId="47CA50DB" w14:textId="4E4AADD4" w:rsidR="006827C2" w:rsidRPr="00852118" w:rsidRDefault="00444893" w:rsidP="00910B78">
            <w:pPr>
              <w:keepNext/>
              <w:jc w:val="right"/>
              <w:rPr>
                <w:sz w:val="18"/>
              </w:rPr>
            </w:pPr>
            <w:r w:rsidRPr="00852118">
              <w:rPr>
                <w:sz w:val="18"/>
              </w:rPr>
              <w:t>5,147</w:t>
            </w:r>
          </w:p>
        </w:tc>
        <w:tc>
          <w:tcPr>
            <w:tcW w:w="1346" w:type="dxa"/>
            <w:shd w:val="clear" w:color="auto" w:fill="C6D9F1" w:themeFill="text2" w:themeFillTint="33"/>
          </w:tcPr>
          <w:p w14:paraId="378CCB22" w14:textId="77777777" w:rsidR="006827C2" w:rsidRPr="00852118" w:rsidRDefault="006827C2" w:rsidP="00910B78">
            <w:pPr>
              <w:keepNext/>
              <w:jc w:val="right"/>
              <w:rPr>
                <w:sz w:val="18"/>
              </w:rPr>
            </w:pPr>
            <w:r w:rsidRPr="00852118">
              <w:rPr>
                <w:sz w:val="18"/>
              </w:rPr>
              <w:t>100%</w:t>
            </w:r>
          </w:p>
        </w:tc>
      </w:tr>
    </w:tbl>
    <w:p w14:paraId="5A3087FC" w14:textId="77777777" w:rsidR="00A24EF0" w:rsidRPr="00852118" w:rsidRDefault="00A24EF0" w:rsidP="006827C2">
      <w:pPr>
        <w:pStyle w:val="ONUME"/>
        <w:numPr>
          <w:ilvl w:val="0"/>
          <w:numId w:val="0"/>
        </w:numPr>
        <w:spacing w:after="0"/>
        <w:rPr>
          <w:sz w:val="16"/>
          <w:szCs w:val="16"/>
        </w:rPr>
      </w:pPr>
    </w:p>
    <w:p w14:paraId="5620F373" w14:textId="77777777" w:rsidR="00DC73BE" w:rsidRPr="00852118" w:rsidRDefault="00A24EF0" w:rsidP="00DC73BE">
      <w:pPr>
        <w:pStyle w:val="ONUME"/>
        <w:numPr>
          <w:ilvl w:val="0"/>
          <w:numId w:val="0"/>
        </w:numPr>
        <w:spacing w:after="0"/>
        <w:ind w:left="270" w:firstLine="1006"/>
        <w:rPr>
          <w:sz w:val="16"/>
          <w:szCs w:val="16"/>
        </w:rPr>
        <w:sectPr w:rsidR="00DC73BE" w:rsidRPr="00852118" w:rsidSect="00857468">
          <w:headerReference w:type="default" r:id="rId9"/>
          <w:headerReference w:type="first" r:id="rId10"/>
          <w:endnotePr>
            <w:numFmt w:val="decimal"/>
          </w:endnotePr>
          <w:pgSz w:w="11907" w:h="16840" w:code="9"/>
          <w:pgMar w:top="567" w:right="1134" w:bottom="851" w:left="1418" w:header="510" w:footer="1021" w:gutter="0"/>
          <w:pgNumType w:start="1"/>
          <w:cols w:space="720"/>
          <w:titlePg/>
          <w:docGrid w:linePitch="299"/>
        </w:sectPr>
      </w:pPr>
      <w:r w:rsidRPr="00852118">
        <w:rPr>
          <w:noProof/>
          <w:sz w:val="16"/>
          <w:szCs w:val="16"/>
          <w:lang w:eastAsia="en-US"/>
        </w:rPr>
        <w:drawing>
          <wp:inline distT="0" distB="0" distL="0" distR="0" wp14:anchorId="141DABE1" wp14:editId="73D92BA3">
            <wp:extent cx="4508205" cy="1712202"/>
            <wp:effectExtent l="0" t="0" r="698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JPG"/>
                    <pic:cNvPicPr/>
                  </pic:nvPicPr>
                  <pic:blipFill>
                    <a:blip r:embed="rId11">
                      <a:extLst>
                        <a:ext uri="{28A0092B-C50C-407E-A947-70E740481C1C}">
                          <a14:useLocalDpi xmlns:a14="http://schemas.microsoft.com/office/drawing/2010/main" val="0"/>
                        </a:ext>
                      </a:extLst>
                    </a:blip>
                    <a:stretch>
                      <a:fillRect/>
                    </a:stretch>
                  </pic:blipFill>
                  <pic:spPr>
                    <a:xfrm>
                      <a:off x="0" y="0"/>
                      <a:ext cx="4567716" cy="1734804"/>
                    </a:xfrm>
                    <a:prstGeom prst="rect">
                      <a:avLst/>
                    </a:prstGeom>
                  </pic:spPr>
                </pic:pic>
              </a:graphicData>
            </a:graphic>
          </wp:inline>
        </w:drawing>
      </w:r>
    </w:p>
    <w:p w14:paraId="74FCF8A8" w14:textId="4BEC3D05" w:rsidR="00622CE7" w:rsidRPr="00852118" w:rsidRDefault="008A5FAF">
      <w:pPr>
        <w:pStyle w:val="Heading1"/>
        <w:spacing w:before="100" w:beforeAutospacing="1"/>
      </w:pPr>
      <w:r w:rsidRPr="00852118">
        <w:lastRenderedPageBreak/>
        <w:t>III.</w:t>
      </w:r>
      <w:r w:rsidRPr="00852118">
        <w:tab/>
      </w:r>
      <w:r w:rsidR="001D437F" w:rsidRPr="00852118">
        <w:t xml:space="preserve">RENEWAL </w:t>
      </w:r>
      <w:r w:rsidR="00622CE7" w:rsidRPr="00852118">
        <w:t>FEE STRUCTURES AND AMOUNTS IN NATIONAL OR REGIONAL MULTIPLE DESIGN SYSTEMS</w:t>
      </w:r>
    </w:p>
    <w:p w14:paraId="14985016" w14:textId="47AACF28" w:rsidR="000F24F7" w:rsidRPr="00852118" w:rsidRDefault="00413A57" w:rsidP="00D85552">
      <w:pPr>
        <w:pStyle w:val="BodyText"/>
        <w:tabs>
          <w:tab w:val="clear" w:pos="837"/>
        </w:tabs>
        <w:spacing w:before="240"/>
        <w:ind w:left="0"/>
        <w:rPr>
          <w:lang w:eastAsia="en-US"/>
        </w:rPr>
      </w:pPr>
      <w:r w:rsidRPr="00852118">
        <w:rPr>
          <w:lang w:eastAsia="en-US"/>
        </w:rPr>
        <w:t xml:space="preserve">The structure of renewal fee applicable to industrial designs </w:t>
      </w:r>
      <w:r w:rsidR="00EA0472" w:rsidRPr="00852118">
        <w:rPr>
          <w:lang w:eastAsia="en-US"/>
        </w:rPr>
        <w:t xml:space="preserve">vary </w:t>
      </w:r>
      <w:r w:rsidR="00486CBB" w:rsidRPr="00852118">
        <w:rPr>
          <w:lang w:eastAsia="en-US"/>
        </w:rPr>
        <w:t>from one jurisdiction to another.  In some jurisdictions, the amount of renewal fee increases gradually and at each time of renewal</w:t>
      </w:r>
      <w:r w:rsidR="001B4DA4" w:rsidRPr="00852118">
        <w:rPr>
          <w:rStyle w:val="FootnoteReference"/>
          <w:lang w:eastAsia="en-US"/>
        </w:rPr>
        <w:footnoteReference w:id="7"/>
      </w:r>
      <w:r w:rsidR="00486CBB" w:rsidRPr="00852118">
        <w:rPr>
          <w:lang w:eastAsia="en-US"/>
        </w:rPr>
        <w:t xml:space="preserve">, while the amount </w:t>
      </w:r>
      <w:r w:rsidR="009411F8" w:rsidRPr="00852118">
        <w:rPr>
          <w:lang w:eastAsia="en-US"/>
        </w:rPr>
        <w:t>remain</w:t>
      </w:r>
      <w:r w:rsidR="00486CBB" w:rsidRPr="00852118">
        <w:rPr>
          <w:lang w:eastAsia="en-US"/>
        </w:rPr>
        <w:t xml:space="preserve">s the same </w:t>
      </w:r>
      <w:r w:rsidR="009411F8" w:rsidRPr="00852118">
        <w:rPr>
          <w:lang w:eastAsia="en-US"/>
        </w:rPr>
        <w:t>for each</w:t>
      </w:r>
      <w:r w:rsidR="00486CBB" w:rsidRPr="00852118">
        <w:rPr>
          <w:lang w:eastAsia="en-US"/>
        </w:rPr>
        <w:t xml:space="preserve"> renewal in other jurisdictions</w:t>
      </w:r>
      <w:r w:rsidR="001B4DA4" w:rsidRPr="00852118">
        <w:rPr>
          <w:rStyle w:val="FootnoteReference"/>
          <w:lang w:eastAsia="en-US"/>
        </w:rPr>
        <w:footnoteReference w:id="8"/>
      </w:r>
      <w:r w:rsidR="00486CBB" w:rsidRPr="00852118">
        <w:rPr>
          <w:lang w:eastAsia="en-US"/>
        </w:rPr>
        <w:t xml:space="preserve">.  </w:t>
      </w:r>
      <w:r w:rsidR="000870DF" w:rsidRPr="00852118">
        <w:rPr>
          <w:lang w:eastAsia="en-US"/>
        </w:rPr>
        <w:t>When it comes to the renewal of multiple designs, i</w:t>
      </w:r>
      <w:r w:rsidR="00486CBB" w:rsidRPr="00852118">
        <w:rPr>
          <w:lang w:eastAsia="en-US"/>
        </w:rPr>
        <w:t>n some jurisdictions</w:t>
      </w:r>
      <w:r w:rsidR="00AD46E1" w:rsidRPr="00852118">
        <w:rPr>
          <w:lang w:eastAsia="en-US"/>
        </w:rPr>
        <w:t>,</w:t>
      </w:r>
      <w:r w:rsidR="008B4AEB" w:rsidRPr="00852118">
        <w:rPr>
          <w:lang w:eastAsia="en-US"/>
        </w:rPr>
        <w:t xml:space="preserve"> </w:t>
      </w:r>
      <w:r w:rsidR="000870DF" w:rsidRPr="00852118">
        <w:rPr>
          <w:lang w:eastAsia="en-US"/>
        </w:rPr>
        <w:t xml:space="preserve">a </w:t>
      </w:r>
      <w:r w:rsidR="009B1E55" w:rsidRPr="00852118">
        <w:rPr>
          <w:lang w:eastAsia="en-US"/>
        </w:rPr>
        <w:t>flat</w:t>
      </w:r>
      <w:r w:rsidR="000870DF" w:rsidRPr="00852118">
        <w:rPr>
          <w:lang w:eastAsia="en-US"/>
        </w:rPr>
        <w:t xml:space="preserve"> fee </w:t>
      </w:r>
      <w:r w:rsidR="008B4AEB" w:rsidRPr="00852118">
        <w:rPr>
          <w:lang w:eastAsia="en-US"/>
        </w:rPr>
        <w:t xml:space="preserve">applies </w:t>
      </w:r>
      <w:r w:rsidR="007D4002" w:rsidRPr="00852118">
        <w:rPr>
          <w:lang w:eastAsia="en-US"/>
        </w:rPr>
        <w:t>regardless of the number of designs</w:t>
      </w:r>
      <w:r w:rsidR="007D4002" w:rsidRPr="00852118">
        <w:rPr>
          <w:rStyle w:val="FootnoteReference"/>
          <w:lang w:eastAsia="en-US"/>
        </w:rPr>
        <w:footnoteReference w:id="9"/>
      </w:r>
      <w:r w:rsidR="007D4002" w:rsidRPr="00852118">
        <w:rPr>
          <w:lang w:eastAsia="en-US"/>
        </w:rPr>
        <w:t xml:space="preserve">, or </w:t>
      </w:r>
      <w:r w:rsidR="008B4AEB" w:rsidRPr="00852118">
        <w:rPr>
          <w:lang w:eastAsia="en-US"/>
        </w:rPr>
        <w:t>up to a</w:t>
      </w:r>
      <w:r w:rsidR="000870DF" w:rsidRPr="00852118">
        <w:rPr>
          <w:lang w:eastAsia="en-US"/>
        </w:rPr>
        <w:t xml:space="preserve"> certain number of designs</w:t>
      </w:r>
      <w:r w:rsidR="008B4AEB" w:rsidRPr="00852118">
        <w:rPr>
          <w:lang w:eastAsia="en-US"/>
        </w:rPr>
        <w:t xml:space="preserve"> </w:t>
      </w:r>
      <w:r w:rsidR="005F72BA" w:rsidRPr="00852118">
        <w:rPr>
          <w:lang w:eastAsia="en-US"/>
        </w:rPr>
        <w:t>after which</w:t>
      </w:r>
      <w:r w:rsidR="008B4AEB" w:rsidRPr="00852118">
        <w:rPr>
          <w:lang w:eastAsia="en-US"/>
        </w:rPr>
        <w:t xml:space="preserve"> an additional fee applies (</w:t>
      </w:r>
      <w:r w:rsidR="00136FD4" w:rsidRPr="00852118">
        <w:rPr>
          <w:lang w:eastAsia="en-US"/>
        </w:rPr>
        <w:t>for instance,</w:t>
      </w:r>
      <w:r w:rsidR="005F72BA" w:rsidRPr="00852118">
        <w:rPr>
          <w:lang w:eastAsia="en-US"/>
        </w:rPr>
        <w:t xml:space="preserve"> </w:t>
      </w:r>
      <w:r w:rsidR="009B1E55" w:rsidRPr="00852118">
        <w:rPr>
          <w:lang w:eastAsia="en-US"/>
        </w:rPr>
        <w:t>a flat fee</w:t>
      </w:r>
      <w:r w:rsidR="007D4002" w:rsidRPr="00852118">
        <w:rPr>
          <w:lang w:eastAsia="en-US"/>
        </w:rPr>
        <w:t xml:space="preserve"> </w:t>
      </w:r>
      <w:r w:rsidR="005F72BA" w:rsidRPr="00852118">
        <w:rPr>
          <w:lang w:eastAsia="en-US"/>
        </w:rPr>
        <w:t>up to 10 designs, and an additional fee up to 20 and so on</w:t>
      </w:r>
      <w:r w:rsidR="008B4AEB" w:rsidRPr="00852118">
        <w:rPr>
          <w:lang w:eastAsia="en-US"/>
        </w:rPr>
        <w:t>)</w:t>
      </w:r>
      <w:r w:rsidR="00D15332" w:rsidRPr="00852118">
        <w:rPr>
          <w:rStyle w:val="FootnoteReference"/>
          <w:lang w:eastAsia="en-US"/>
        </w:rPr>
        <w:footnoteReference w:id="10"/>
      </w:r>
      <w:r w:rsidR="007A6B2A" w:rsidRPr="00852118">
        <w:rPr>
          <w:lang w:eastAsia="en-US"/>
        </w:rPr>
        <w:t>.</w:t>
      </w:r>
      <w:r w:rsidR="000F24F7" w:rsidRPr="00852118">
        <w:rPr>
          <w:lang w:eastAsia="en-US"/>
        </w:rPr>
        <w:t xml:space="preserve">  However, i</w:t>
      </w:r>
      <w:r w:rsidR="005E1499" w:rsidRPr="00852118">
        <w:rPr>
          <w:lang w:eastAsia="en-US"/>
        </w:rPr>
        <w:t xml:space="preserve">n many other jurisdictions under which multiple designs are accepted, </w:t>
      </w:r>
      <w:r w:rsidR="009B1E55" w:rsidRPr="00852118">
        <w:rPr>
          <w:lang w:eastAsia="en-US"/>
        </w:rPr>
        <w:t xml:space="preserve">the </w:t>
      </w:r>
      <w:r w:rsidR="005E1499" w:rsidRPr="00852118">
        <w:rPr>
          <w:lang w:eastAsia="en-US"/>
        </w:rPr>
        <w:t xml:space="preserve">renewal fee </w:t>
      </w:r>
      <w:proofErr w:type="gramStart"/>
      <w:r w:rsidR="0024453F" w:rsidRPr="00852118">
        <w:rPr>
          <w:lang w:eastAsia="en-US"/>
        </w:rPr>
        <w:t>is charged</w:t>
      </w:r>
      <w:proofErr w:type="gramEnd"/>
      <w:r w:rsidR="0024453F" w:rsidRPr="00852118">
        <w:rPr>
          <w:lang w:eastAsia="en-US"/>
        </w:rPr>
        <w:t xml:space="preserve"> per design</w:t>
      </w:r>
      <w:r w:rsidR="009B1E55" w:rsidRPr="00852118">
        <w:rPr>
          <w:lang w:eastAsia="en-US"/>
        </w:rPr>
        <w:t>,</w:t>
      </w:r>
      <w:r w:rsidR="005E1499" w:rsidRPr="00852118">
        <w:rPr>
          <w:lang w:eastAsia="en-US"/>
        </w:rPr>
        <w:t xml:space="preserve"> as</w:t>
      </w:r>
      <w:r w:rsidR="009B1E55" w:rsidRPr="00852118">
        <w:rPr>
          <w:lang w:eastAsia="en-US"/>
        </w:rPr>
        <w:t xml:space="preserve"> in the case</w:t>
      </w:r>
      <w:r w:rsidR="005E1499" w:rsidRPr="00852118">
        <w:rPr>
          <w:lang w:eastAsia="en-US"/>
        </w:rPr>
        <w:t xml:space="preserve"> under the Hague System. </w:t>
      </w:r>
      <w:r w:rsidR="00A44CF1" w:rsidRPr="00852118">
        <w:rPr>
          <w:lang w:eastAsia="en-US"/>
        </w:rPr>
        <w:t xml:space="preserve"> </w:t>
      </w:r>
    </w:p>
    <w:p w14:paraId="3F259B39" w14:textId="13E55204" w:rsidR="0024453F" w:rsidRPr="00852118" w:rsidRDefault="00622CE7" w:rsidP="0024453F">
      <w:pPr>
        <w:pStyle w:val="BodyText"/>
        <w:tabs>
          <w:tab w:val="clear" w:pos="837"/>
        </w:tabs>
        <w:ind w:left="0"/>
      </w:pPr>
      <w:r w:rsidRPr="00852118">
        <w:rPr>
          <w:lang w:eastAsia="en-US"/>
        </w:rPr>
        <w:t xml:space="preserve">In view of the above, the </w:t>
      </w:r>
      <w:r w:rsidR="005819D3" w:rsidRPr="00852118">
        <w:rPr>
          <w:lang w:eastAsia="en-US"/>
        </w:rPr>
        <w:t>Secretariat</w:t>
      </w:r>
      <w:r w:rsidRPr="00852118">
        <w:rPr>
          <w:lang w:eastAsia="en-US"/>
        </w:rPr>
        <w:t xml:space="preserve"> conducted a comparative analysis of the fee structure in 3</w:t>
      </w:r>
      <w:r w:rsidR="00A32C19" w:rsidRPr="00852118">
        <w:rPr>
          <w:lang w:eastAsia="en-US"/>
        </w:rPr>
        <w:t>3</w:t>
      </w:r>
      <w:r w:rsidRPr="00852118">
        <w:rPr>
          <w:lang w:eastAsia="en-US"/>
        </w:rPr>
        <w:t xml:space="preserve"> jurisdictions</w:t>
      </w:r>
      <w:r w:rsidR="0024453F" w:rsidRPr="00852118">
        <w:rPr>
          <w:lang w:eastAsia="en-US"/>
        </w:rPr>
        <w:t xml:space="preserve">.  </w:t>
      </w:r>
      <w:r w:rsidR="0024453F" w:rsidRPr="00852118">
        <w:t>Those jurisdictions have been selected using the following three objective criteria (in design count):</w:t>
      </w:r>
    </w:p>
    <w:p w14:paraId="47233353" w14:textId="63236D2C" w:rsidR="00DC73BE" w:rsidRPr="00852118" w:rsidRDefault="0024453F" w:rsidP="00E93195">
      <w:pPr>
        <w:pStyle w:val="BodyText"/>
        <w:numPr>
          <w:ilvl w:val="0"/>
          <w:numId w:val="43"/>
        </w:numPr>
        <w:ind w:left="993" w:hanging="426"/>
      </w:pPr>
      <w:r w:rsidRPr="00852118">
        <w:t>frequently designated Contracting Parties:  top 20 most designated Contracting Parties in international applications in 2019</w:t>
      </w:r>
      <w:r w:rsidR="005E453E" w:rsidRPr="00852118">
        <w:t>;</w:t>
      </w:r>
    </w:p>
    <w:p w14:paraId="1AB5D89A" w14:textId="2696A374" w:rsidR="00DC73BE" w:rsidRPr="00852118" w:rsidRDefault="0024453F" w:rsidP="00E93195">
      <w:pPr>
        <w:pStyle w:val="BodyText"/>
        <w:numPr>
          <w:ilvl w:val="0"/>
          <w:numId w:val="43"/>
        </w:numPr>
        <w:ind w:left="993" w:hanging="426"/>
      </w:pPr>
      <w:r w:rsidRPr="00852118">
        <w:t>active users of the Hague System:  top 20 origins from which most international applications were filed in 2019</w:t>
      </w:r>
      <w:r w:rsidR="00854813" w:rsidRPr="00852118">
        <w:t>;</w:t>
      </w:r>
      <w:r w:rsidRPr="00852118">
        <w:t xml:space="preserve"> </w:t>
      </w:r>
      <w:r w:rsidR="00854813" w:rsidRPr="00852118">
        <w:t xml:space="preserve"> </w:t>
      </w:r>
      <w:r w:rsidRPr="00852118">
        <w:t>and</w:t>
      </w:r>
    </w:p>
    <w:p w14:paraId="46DC9151" w14:textId="0F73510B" w:rsidR="00D9170E" w:rsidRPr="00852118" w:rsidRDefault="0024453F" w:rsidP="00E93195">
      <w:pPr>
        <w:pStyle w:val="BodyText"/>
        <w:numPr>
          <w:ilvl w:val="0"/>
          <w:numId w:val="43"/>
        </w:numPr>
        <w:ind w:left="993" w:hanging="426"/>
      </w:pPr>
      <w:proofErr w:type="gramStart"/>
      <w:r w:rsidRPr="00852118">
        <w:t>jurisdictions</w:t>
      </w:r>
      <w:proofErr w:type="gramEnd"/>
      <w:r w:rsidRPr="00852118">
        <w:t xml:space="preserve"> in which design systems are used actively:  top 20 jurisdictions which received most design applications in 2018.</w:t>
      </w:r>
    </w:p>
    <w:p w14:paraId="0B278F7F" w14:textId="4B441E1D" w:rsidR="00D9170E" w:rsidRPr="00852118" w:rsidRDefault="00D9170E" w:rsidP="00A10D89">
      <w:pPr>
        <w:pStyle w:val="BodyText"/>
        <w:tabs>
          <w:tab w:val="clear" w:pos="837"/>
        </w:tabs>
        <w:ind w:left="0"/>
      </w:pPr>
      <w:r w:rsidRPr="00852118">
        <w:rPr>
          <w:lang w:eastAsia="en-US"/>
        </w:rPr>
        <w:t xml:space="preserve">It turns out that, out of these 33 jurisdictions, </w:t>
      </w:r>
      <w:r w:rsidRPr="00852118">
        <w:rPr>
          <w:rFonts w:eastAsiaTheme="minorEastAsia" w:hint="eastAsia"/>
          <w:lang w:eastAsia="ja-JP"/>
        </w:rPr>
        <w:t>18</w:t>
      </w:r>
      <w:r w:rsidRPr="00852118">
        <w:rPr>
          <w:rStyle w:val="FootnoteReference"/>
        </w:rPr>
        <w:footnoteReference w:id="11"/>
      </w:r>
      <w:r w:rsidRPr="00852118">
        <w:rPr>
          <w:rStyle w:val="FootnoteReference"/>
        </w:rPr>
        <w:t xml:space="preserve"> </w:t>
      </w:r>
      <w:r w:rsidRPr="00852118">
        <w:rPr>
          <w:lang w:eastAsia="en-US"/>
        </w:rPr>
        <w:t>have a fee structure similar to the Hague System, meaning that for designs that were filed together at the time of application, a fee is charged in respect of each at the time of renewal</w:t>
      </w:r>
      <w:r w:rsidRPr="00852118">
        <w:rPr>
          <w:rStyle w:val="FootnoteReference"/>
        </w:rPr>
        <w:footnoteReference w:id="12"/>
      </w:r>
      <w:r w:rsidRPr="00852118">
        <w:rPr>
          <w:lang w:eastAsia="en-US"/>
        </w:rPr>
        <w:t xml:space="preserve">.  In 11 of those jurisdictions, the same fee is being charged for each design </w:t>
      </w:r>
      <w:r w:rsidR="005E453E" w:rsidRPr="00852118">
        <w:rPr>
          <w:lang w:eastAsia="en-US"/>
        </w:rPr>
        <w:t>whilst in the seven</w:t>
      </w:r>
      <w:r w:rsidRPr="00852118">
        <w:rPr>
          <w:lang w:eastAsia="en-US"/>
        </w:rPr>
        <w:t xml:space="preserve"> others the fee for each additional design stays the same but is lower than that for the first design (as is exactly the case under the Hague System). </w:t>
      </w:r>
      <w:r w:rsidR="005E453E" w:rsidRPr="00852118">
        <w:rPr>
          <w:lang w:eastAsia="en-US"/>
        </w:rPr>
        <w:t xml:space="preserve"> </w:t>
      </w:r>
      <w:r w:rsidRPr="00852118">
        <w:rPr>
          <w:lang w:eastAsia="en-US"/>
        </w:rPr>
        <w:t>The graph below illustrates these findings:</w:t>
      </w:r>
    </w:p>
    <w:p w14:paraId="7790CDF5" w14:textId="4BBA08C6" w:rsidR="00910B78" w:rsidRPr="00852118" w:rsidRDefault="00DC73BE" w:rsidP="00854813">
      <w:pPr>
        <w:pStyle w:val="BodyText"/>
        <w:numPr>
          <w:ilvl w:val="0"/>
          <w:numId w:val="0"/>
        </w:numPr>
        <w:ind w:left="270"/>
        <w:jc w:val="center"/>
      </w:pPr>
      <w:r w:rsidRPr="00852118">
        <w:t>R</w:t>
      </w:r>
      <w:r w:rsidR="00A119C0" w:rsidRPr="00852118">
        <w:t xml:space="preserve">ate of </w:t>
      </w:r>
      <w:r w:rsidRPr="00852118">
        <w:t>R</w:t>
      </w:r>
      <w:r w:rsidR="00A119C0" w:rsidRPr="00852118">
        <w:t xml:space="preserve">enewal </w:t>
      </w:r>
      <w:r w:rsidRPr="00852118">
        <w:t>F</w:t>
      </w:r>
      <w:r w:rsidR="00A119C0" w:rsidRPr="00852118">
        <w:t xml:space="preserve">ee for </w:t>
      </w:r>
      <w:r w:rsidRPr="00852118">
        <w:t>E</w:t>
      </w:r>
      <w:r w:rsidR="00A119C0" w:rsidRPr="00852118">
        <w:t xml:space="preserve">ach </w:t>
      </w:r>
      <w:r w:rsidRPr="00852118">
        <w:t>A</w:t>
      </w:r>
      <w:r w:rsidR="00A119C0" w:rsidRPr="00852118">
        <w:t xml:space="preserve">dditional </w:t>
      </w:r>
      <w:r w:rsidRPr="00852118">
        <w:t>D</w:t>
      </w:r>
      <w:r w:rsidR="00A119C0" w:rsidRPr="00852118">
        <w:t xml:space="preserve">esign </w:t>
      </w:r>
      <w:proofErr w:type="gramStart"/>
      <w:r w:rsidRPr="00852118">
        <w:t>A</w:t>
      </w:r>
      <w:r w:rsidR="00A119C0" w:rsidRPr="00852118">
        <w:t>gainst</w:t>
      </w:r>
      <w:proofErr w:type="gramEnd"/>
      <w:r w:rsidR="00A119C0" w:rsidRPr="00852118">
        <w:t xml:space="preserve"> that for the </w:t>
      </w:r>
      <w:r w:rsidRPr="00852118">
        <w:t>F</w:t>
      </w:r>
      <w:r w:rsidR="00A119C0" w:rsidRPr="00852118">
        <w:t xml:space="preserve">irst </w:t>
      </w:r>
      <w:r w:rsidRPr="00852118">
        <w:t>D</w:t>
      </w:r>
      <w:r w:rsidR="00A119C0" w:rsidRPr="00852118">
        <w:t>esign</w:t>
      </w:r>
    </w:p>
    <w:p w14:paraId="77730C0E" w14:textId="77777777" w:rsidR="00DC73BE" w:rsidRPr="00852118" w:rsidRDefault="00157CB8" w:rsidP="00A119C0">
      <w:pPr>
        <w:pStyle w:val="BodyText"/>
        <w:numPr>
          <w:ilvl w:val="0"/>
          <w:numId w:val="0"/>
        </w:numPr>
        <w:ind w:left="270"/>
        <w:sectPr w:rsidR="00DC73BE" w:rsidRPr="00852118" w:rsidSect="00157CB8">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568" w:left="1418" w:header="510" w:footer="1021" w:gutter="0"/>
          <w:pgNumType w:start="1"/>
          <w:cols w:space="720"/>
          <w:titlePg/>
          <w:docGrid w:linePitch="299"/>
        </w:sectPr>
      </w:pPr>
      <w:r w:rsidRPr="00852118">
        <w:rPr>
          <w:noProof/>
          <w:lang w:eastAsia="en-US"/>
        </w:rPr>
        <w:drawing>
          <wp:inline distT="0" distB="0" distL="0" distR="0" wp14:anchorId="23081719" wp14:editId="0319B976">
            <wp:extent cx="5979381" cy="2090807"/>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EF2C27" w14:textId="6831AA46" w:rsidR="00D9170E" w:rsidRPr="00852118" w:rsidRDefault="00D9170E" w:rsidP="00E93195">
      <w:pPr>
        <w:rPr>
          <w:lang w:eastAsia="en-US"/>
        </w:rPr>
      </w:pPr>
      <w:r w:rsidRPr="00852118">
        <w:rPr>
          <w:lang w:eastAsia="en-US"/>
        </w:rPr>
        <w:lastRenderedPageBreak/>
        <w:t>1</w:t>
      </w:r>
      <w:r w:rsidR="003A79BF" w:rsidRPr="00852118">
        <w:rPr>
          <w:lang w:eastAsia="en-US"/>
        </w:rPr>
        <w:t>0</w:t>
      </w:r>
      <w:r w:rsidRPr="00852118">
        <w:rPr>
          <w:lang w:eastAsia="en-US"/>
        </w:rPr>
        <w:t>.</w:t>
      </w:r>
      <w:r w:rsidR="003A79BF" w:rsidRPr="00852118">
        <w:rPr>
          <w:lang w:eastAsia="en-US"/>
        </w:rPr>
        <w:tab/>
      </w:r>
      <w:r w:rsidR="001A72E9" w:rsidRPr="00852118">
        <w:rPr>
          <w:lang w:eastAsia="en-US"/>
        </w:rPr>
        <w:t xml:space="preserve">Under the Hague System, the amount of the basic renewal fee for the first design </w:t>
      </w:r>
      <w:r w:rsidR="005D08D7" w:rsidRPr="00852118">
        <w:rPr>
          <w:lang w:eastAsia="en-US"/>
        </w:rPr>
        <w:t xml:space="preserve">                     </w:t>
      </w:r>
      <w:r w:rsidR="001A72E9" w:rsidRPr="00852118">
        <w:rPr>
          <w:lang w:eastAsia="en-US"/>
        </w:rPr>
        <w:t xml:space="preserve">is 200 Swiss </w:t>
      </w:r>
      <w:r w:rsidR="00D85552" w:rsidRPr="00852118">
        <w:rPr>
          <w:lang w:eastAsia="en-US"/>
        </w:rPr>
        <w:t>francs</w:t>
      </w:r>
      <w:r w:rsidR="001A72E9" w:rsidRPr="00852118">
        <w:rPr>
          <w:lang w:eastAsia="en-US"/>
        </w:rPr>
        <w:t xml:space="preserve"> and that for each additional design contained in the same international registration is 17 Swiss </w:t>
      </w:r>
      <w:r w:rsidR="00D85552" w:rsidRPr="00852118">
        <w:rPr>
          <w:lang w:eastAsia="en-US"/>
        </w:rPr>
        <w:t>francs</w:t>
      </w:r>
      <w:r w:rsidR="001A72E9" w:rsidRPr="00852118">
        <w:rPr>
          <w:lang w:eastAsia="en-US"/>
        </w:rPr>
        <w:t xml:space="preserve"> per design.  This means that the rate </w:t>
      </w:r>
      <w:r w:rsidR="005B6896" w:rsidRPr="00852118">
        <w:rPr>
          <w:lang w:eastAsia="en-US"/>
        </w:rPr>
        <w:t xml:space="preserve">of the renewal fee </w:t>
      </w:r>
      <w:r w:rsidR="001A72E9" w:rsidRPr="00852118">
        <w:rPr>
          <w:lang w:eastAsia="en-US"/>
        </w:rPr>
        <w:t>applicable to each additional design against th</w:t>
      </w:r>
      <w:r w:rsidR="00C050FC" w:rsidRPr="00852118">
        <w:rPr>
          <w:lang w:eastAsia="en-US"/>
        </w:rPr>
        <w:t>at for</w:t>
      </w:r>
      <w:r w:rsidR="005B6896" w:rsidRPr="00852118">
        <w:rPr>
          <w:lang w:eastAsia="en-US"/>
        </w:rPr>
        <w:t xml:space="preserve"> the</w:t>
      </w:r>
      <w:r w:rsidR="001A72E9" w:rsidRPr="00852118">
        <w:rPr>
          <w:lang w:eastAsia="en-US"/>
        </w:rPr>
        <w:t xml:space="preserve"> first design is 8.5 per cent.</w:t>
      </w:r>
    </w:p>
    <w:p w14:paraId="693E6B4F" w14:textId="77777777" w:rsidR="00DC73BE" w:rsidRPr="00852118" w:rsidRDefault="00DC73BE" w:rsidP="00E93195">
      <w:pPr>
        <w:rPr>
          <w:lang w:eastAsia="en-US"/>
        </w:rPr>
      </w:pPr>
    </w:p>
    <w:p w14:paraId="21B7D247" w14:textId="4F479814" w:rsidR="001C5339" w:rsidRPr="00852118" w:rsidRDefault="00D9170E" w:rsidP="00A10D89">
      <w:pPr>
        <w:pStyle w:val="BodyText"/>
        <w:numPr>
          <w:ilvl w:val="0"/>
          <w:numId w:val="0"/>
        </w:numPr>
      </w:pPr>
      <w:r w:rsidRPr="00852118">
        <w:rPr>
          <w:lang w:eastAsia="en-US"/>
        </w:rPr>
        <w:t>11.</w:t>
      </w:r>
      <w:r w:rsidRPr="00852118">
        <w:rPr>
          <w:lang w:eastAsia="en-US"/>
        </w:rPr>
        <w:tab/>
      </w:r>
      <w:r w:rsidR="001A72E9" w:rsidRPr="00852118">
        <w:rPr>
          <w:lang w:eastAsia="en-US"/>
        </w:rPr>
        <w:t xml:space="preserve">Accordingly, the analysis proceeds to compare </w:t>
      </w:r>
      <w:r w:rsidR="00C834A3" w:rsidRPr="00852118">
        <w:rPr>
          <w:lang w:eastAsia="en-US"/>
        </w:rPr>
        <w:t>such rate applicable to each additional design</w:t>
      </w:r>
      <w:r w:rsidR="001A72E9" w:rsidRPr="00852118">
        <w:rPr>
          <w:lang w:eastAsia="en-US"/>
        </w:rPr>
        <w:t xml:space="preserve"> in those </w:t>
      </w:r>
      <w:r w:rsidR="005E453E" w:rsidRPr="00852118">
        <w:rPr>
          <w:lang w:eastAsia="en-US"/>
        </w:rPr>
        <w:t>seven</w:t>
      </w:r>
      <w:r w:rsidR="001A72E9" w:rsidRPr="00852118">
        <w:rPr>
          <w:lang w:eastAsia="en-US"/>
        </w:rPr>
        <w:t xml:space="preserve"> jurisdictions</w:t>
      </w:r>
      <w:r w:rsidR="00730AB3" w:rsidRPr="00852118">
        <w:rPr>
          <w:lang w:eastAsia="en-US"/>
        </w:rPr>
        <w:t xml:space="preserve"> with a fee structure similar to that under the Hague System</w:t>
      </w:r>
      <w:r w:rsidR="00D93DD3" w:rsidRPr="00852118">
        <w:rPr>
          <w:lang w:eastAsia="en-US"/>
        </w:rPr>
        <w:t xml:space="preserve"> and i</w:t>
      </w:r>
      <w:r w:rsidR="00490300" w:rsidRPr="00852118">
        <w:rPr>
          <w:lang w:eastAsia="en-US"/>
        </w:rPr>
        <w:t>t has turned out that the average rate is</w:t>
      </w:r>
      <w:r w:rsidR="00622CE7" w:rsidRPr="00852118">
        <w:rPr>
          <w:lang w:eastAsia="en-US"/>
        </w:rPr>
        <w:t xml:space="preserve"> </w:t>
      </w:r>
      <w:r w:rsidR="005B6896" w:rsidRPr="00852118">
        <w:rPr>
          <w:lang w:eastAsia="en-US"/>
        </w:rPr>
        <w:t>50</w:t>
      </w:r>
      <w:r w:rsidR="00940A23" w:rsidRPr="00852118">
        <w:rPr>
          <w:lang w:eastAsia="en-US"/>
        </w:rPr>
        <w:t>.</w:t>
      </w:r>
      <w:r w:rsidR="005B6896" w:rsidRPr="00852118">
        <w:rPr>
          <w:lang w:eastAsia="en-US"/>
        </w:rPr>
        <w:t>2</w:t>
      </w:r>
      <w:r w:rsidR="00C8323F" w:rsidRPr="00852118">
        <w:rPr>
          <w:lang w:eastAsia="en-US"/>
        </w:rPr>
        <w:t xml:space="preserve"> per </w:t>
      </w:r>
      <w:r w:rsidR="00622CE7" w:rsidRPr="00852118">
        <w:rPr>
          <w:lang w:eastAsia="en-US"/>
        </w:rPr>
        <w:t>cent</w:t>
      </w:r>
      <w:r w:rsidR="00490300" w:rsidRPr="00852118">
        <w:rPr>
          <w:rStyle w:val="FootnoteReference"/>
          <w:lang w:eastAsia="en-US"/>
        </w:rPr>
        <w:footnoteReference w:id="13"/>
      </w:r>
      <w:r w:rsidR="00ED2235" w:rsidRPr="00852118">
        <w:rPr>
          <w:lang w:eastAsia="en-US"/>
        </w:rPr>
        <w:t>, as presented in the chart below:</w:t>
      </w:r>
    </w:p>
    <w:p w14:paraId="546C07CF" w14:textId="1E312C0A" w:rsidR="001C5339" w:rsidRPr="00852118" w:rsidRDefault="00DC73BE" w:rsidP="003A79BF">
      <w:pPr>
        <w:pStyle w:val="ONUME"/>
        <w:numPr>
          <w:ilvl w:val="0"/>
          <w:numId w:val="0"/>
        </w:numPr>
        <w:spacing w:after="60"/>
        <w:jc w:val="center"/>
      </w:pPr>
      <w:r w:rsidRPr="00852118">
        <w:t>A</w:t>
      </w:r>
      <w:r w:rsidR="00C050FC" w:rsidRPr="00852118">
        <w:t xml:space="preserve">verage </w:t>
      </w:r>
      <w:r w:rsidRPr="00852118">
        <w:t>R</w:t>
      </w:r>
      <w:r w:rsidR="001C5339" w:rsidRPr="00852118">
        <w:t xml:space="preserve">ate of </w:t>
      </w:r>
      <w:r w:rsidRPr="00852118">
        <w:t>R</w:t>
      </w:r>
      <w:r w:rsidR="0016754F" w:rsidRPr="00852118">
        <w:t xml:space="preserve">enewal </w:t>
      </w:r>
      <w:r w:rsidRPr="00852118">
        <w:t xml:space="preserve">Fee </w:t>
      </w:r>
      <w:r w:rsidR="001C5339" w:rsidRPr="00852118">
        <w:t xml:space="preserve">for </w:t>
      </w:r>
      <w:r w:rsidRPr="00852118">
        <w:t>E</w:t>
      </w:r>
      <w:r w:rsidR="0016754F" w:rsidRPr="00852118">
        <w:t xml:space="preserve">ach </w:t>
      </w:r>
      <w:r w:rsidRPr="00852118">
        <w:t>A</w:t>
      </w:r>
      <w:r w:rsidR="001C5339" w:rsidRPr="00852118">
        <w:t xml:space="preserve">dditional </w:t>
      </w:r>
      <w:r w:rsidRPr="00852118">
        <w:t>D</w:t>
      </w:r>
      <w:r w:rsidR="001C5339" w:rsidRPr="00852118">
        <w:t>esign</w:t>
      </w:r>
    </w:p>
    <w:p w14:paraId="07C48DB2" w14:textId="0640EE1E" w:rsidR="001C5339" w:rsidRPr="00852118" w:rsidRDefault="00157CB8" w:rsidP="00C050FC">
      <w:pPr>
        <w:pStyle w:val="BodyText"/>
        <w:numPr>
          <w:ilvl w:val="0"/>
          <w:numId w:val="0"/>
        </w:numPr>
        <w:jc w:val="center"/>
      </w:pPr>
      <w:r w:rsidRPr="00852118">
        <w:rPr>
          <w:noProof/>
          <w:lang w:eastAsia="en-US"/>
        </w:rPr>
        <w:drawing>
          <wp:inline distT="0" distB="0" distL="0" distR="0" wp14:anchorId="03FB9C17" wp14:editId="669FD1C1">
            <wp:extent cx="4533900" cy="239077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0349CDB" w14:textId="3D7124BC" w:rsidR="009555D3" w:rsidRPr="00852118" w:rsidRDefault="009555D3" w:rsidP="005E453E">
      <w:pPr>
        <w:pStyle w:val="Heading1"/>
        <w:spacing w:before="480"/>
      </w:pPr>
      <w:r w:rsidRPr="00852118">
        <w:t>IV.</w:t>
      </w:r>
      <w:r w:rsidRPr="00852118">
        <w:tab/>
        <w:t>conclusions</w:t>
      </w:r>
    </w:p>
    <w:p w14:paraId="5AF26A54" w14:textId="32CDDC1E" w:rsidR="0016754F" w:rsidRPr="00852118" w:rsidRDefault="00D57DD5" w:rsidP="003A79BF">
      <w:pPr>
        <w:pStyle w:val="BodyText"/>
        <w:numPr>
          <w:ilvl w:val="0"/>
          <w:numId w:val="44"/>
        </w:numPr>
        <w:spacing w:before="240"/>
        <w:ind w:left="0"/>
      </w:pPr>
      <w:r w:rsidRPr="00852118">
        <w:t>A</w:t>
      </w:r>
      <w:r w:rsidR="0016754F" w:rsidRPr="00852118">
        <w:t xml:space="preserve">s </w:t>
      </w:r>
      <w:r w:rsidR="0016754F" w:rsidRPr="00852118">
        <w:rPr>
          <w:lang w:eastAsia="en-US"/>
        </w:rPr>
        <w:t xml:space="preserve">noted by the Working Group at its eighth session, </w:t>
      </w:r>
      <w:r w:rsidR="00EB7CA4" w:rsidRPr="00852118">
        <w:rPr>
          <w:lang w:eastAsia="en-US"/>
        </w:rPr>
        <w:t>the 8.5 per cent rate for each additional design against the a</w:t>
      </w:r>
      <w:r w:rsidR="0016754F" w:rsidRPr="00852118">
        <w:rPr>
          <w:lang w:eastAsia="en-US"/>
        </w:rPr>
        <w:t xml:space="preserve">mount of the </w:t>
      </w:r>
      <w:r w:rsidR="00EB7CA4" w:rsidRPr="00852118">
        <w:rPr>
          <w:lang w:eastAsia="en-US"/>
        </w:rPr>
        <w:t xml:space="preserve">basic </w:t>
      </w:r>
      <w:r w:rsidR="0016754F" w:rsidRPr="00852118">
        <w:rPr>
          <w:lang w:eastAsia="en-US"/>
        </w:rPr>
        <w:t xml:space="preserve">renewal fee for the first design </w:t>
      </w:r>
      <w:r w:rsidR="00EB7CA4" w:rsidRPr="00852118">
        <w:rPr>
          <w:lang w:eastAsia="en-US"/>
        </w:rPr>
        <w:t xml:space="preserve">appears far lower than the prevailing average rates in other multiple design systems having </w:t>
      </w:r>
      <w:r w:rsidR="00517230" w:rsidRPr="00852118">
        <w:rPr>
          <w:lang w:eastAsia="en-US"/>
        </w:rPr>
        <w:t xml:space="preserve">exactly </w:t>
      </w:r>
      <w:r w:rsidR="0052329F" w:rsidRPr="00852118">
        <w:rPr>
          <w:lang w:eastAsia="en-US"/>
        </w:rPr>
        <w:t>the same</w:t>
      </w:r>
      <w:r w:rsidR="00EB7CA4" w:rsidRPr="00852118">
        <w:rPr>
          <w:lang w:eastAsia="en-US"/>
        </w:rPr>
        <w:t xml:space="preserve"> renewal fee structure </w:t>
      </w:r>
      <w:r w:rsidR="0052329F" w:rsidRPr="00852118">
        <w:rPr>
          <w:lang w:eastAsia="en-US"/>
        </w:rPr>
        <w:t xml:space="preserve">as </w:t>
      </w:r>
      <w:r w:rsidR="00517230" w:rsidRPr="00852118">
        <w:rPr>
          <w:lang w:eastAsia="en-US"/>
        </w:rPr>
        <w:t>under</w:t>
      </w:r>
      <w:r w:rsidR="00EB7CA4" w:rsidRPr="00852118">
        <w:rPr>
          <w:lang w:eastAsia="en-US"/>
        </w:rPr>
        <w:t xml:space="preserve"> the Hague System</w:t>
      </w:r>
      <w:r w:rsidR="0016754F" w:rsidRPr="00852118">
        <w:rPr>
          <w:lang w:eastAsia="en-US"/>
        </w:rPr>
        <w:t>.</w:t>
      </w:r>
    </w:p>
    <w:p w14:paraId="575B5F19" w14:textId="5F735000" w:rsidR="00956F67" w:rsidRPr="00852118" w:rsidRDefault="00B66694" w:rsidP="00E93195">
      <w:pPr>
        <w:pStyle w:val="BodyText"/>
        <w:tabs>
          <w:tab w:val="clear" w:pos="837"/>
        </w:tabs>
        <w:spacing w:after="0"/>
        <w:ind w:left="0"/>
      </w:pPr>
      <w:r w:rsidRPr="00852118">
        <w:rPr>
          <w:lang w:eastAsia="en-US"/>
        </w:rPr>
        <w:t xml:space="preserve">Given the mandate received from the Working Group, the International Bureau </w:t>
      </w:r>
      <w:r w:rsidR="00AF12DD" w:rsidRPr="00852118">
        <w:rPr>
          <w:lang w:eastAsia="en-US"/>
        </w:rPr>
        <w:t xml:space="preserve">will </w:t>
      </w:r>
      <w:r w:rsidRPr="00852118">
        <w:rPr>
          <w:lang w:eastAsia="en-US"/>
        </w:rPr>
        <w:t xml:space="preserve">continue this study with a view to </w:t>
      </w:r>
      <w:r w:rsidR="00AF12DD" w:rsidRPr="00852118">
        <w:rPr>
          <w:lang w:eastAsia="en-US"/>
        </w:rPr>
        <w:t>proposing a possible</w:t>
      </w:r>
      <w:r w:rsidR="00C855A6" w:rsidRPr="00852118">
        <w:rPr>
          <w:lang w:eastAsia="en-US"/>
        </w:rPr>
        <w:t xml:space="preserve"> increase </w:t>
      </w:r>
      <w:proofErr w:type="gramStart"/>
      <w:r w:rsidR="00DC73BE" w:rsidRPr="00852118">
        <w:rPr>
          <w:lang w:eastAsia="en-US"/>
        </w:rPr>
        <w:t>in</w:t>
      </w:r>
      <w:r w:rsidR="00C855A6" w:rsidRPr="00852118">
        <w:rPr>
          <w:lang w:eastAsia="en-US"/>
        </w:rPr>
        <w:t xml:space="preserve"> the amount of the basic renewal</w:t>
      </w:r>
      <w:proofErr w:type="gramEnd"/>
      <w:r w:rsidR="00C855A6" w:rsidRPr="00852118">
        <w:rPr>
          <w:lang w:eastAsia="en-US"/>
        </w:rPr>
        <w:t xml:space="preserve"> fee for each additional design, to be discussed at </w:t>
      </w:r>
      <w:r w:rsidR="0028601A" w:rsidRPr="00852118">
        <w:rPr>
          <w:lang w:eastAsia="en-US"/>
        </w:rPr>
        <w:t>a future</w:t>
      </w:r>
      <w:r w:rsidR="00C855A6" w:rsidRPr="00852118">
        <w:rPr>
          <w:lang w:eastAsia="en-US"/>
        </w:rPr>
        <w:t xml:space="preserve"> session</w:t>
      </w:r>
      <w:r w:rsidR="00AF12DD" w:rsidRPr="00852118">
        <w:rPr>
          <w:lang w:eastAsia="en-US"/>
        </w:rPr>
        <w:t>.</w:t>
      </w:r>
    </w:p>
    <w:p w14:paraId="716CBEF4" w14:textId="2648266D" w:rsidR="00DC73BE" w:rsidRPr="00852118" w:rsidRDefault="00DC73BE" w:rsidP="00E93195">
      <w:pPr>
        <w:pStyle w:val="BodyText"/>
        <w:numPr>
          <w:ilvl w:val="0"/>
          <w:numId w:val="0"/>
        </w:numPr>
        <w:spacing w:after="0"/>
        <w:ind w:left="272"/>
        <w:rPr>
          <w:lang w:eastAsia="en-US"/>
        </w:rPr>
      </w:pPr>
    </w:p>
    <w:p w14:paraId="38F6FBA4" w14:textId="77777777" w:rsidR="00DC73BE" w:rsidRPr="00852118" w:rsidRDefault="00DC73BE" w:rsidP="00E93195">
      <w:pPr>
        <w:pStyle w:val="BodyText"/>
        <w:numPr>
          <w:ilvl w:val="0"/>
          <w:numId w:val="0"/>
        </w:numPr>
        <w:spacing w:after="0"/>
        <w:ind w:left="272"/>
        <w:rPr>
          <w:lang w:eastAsia="en-US"/>
        </w:rPr>
      </w:pPr>
    </w:p>
    <w:p w14:paraId="6CD19545" w14:textId="75F7FF2B" w:rsidR="00DC73BE" w:rsidRPr="00852118" w:rsidRDefault="00DC73BE" w:rsidP="00E93195">
      <w:pPr>
        <w:pStyle w:val="BodyText"/>
        <w:numPr>
          <w:ilvl w:val="0"/>
          <w:numId w:val="0"/>
        </w:numPr>
        <w:spacing w:after="0"/>
        <w:ind w:left="270"/>
      </w:pPr>
    </w:p>
    <w:p w14:paraId="460510ED" w14:textId="1E7F5E4A" w:rsidR="00DC73BE" w:rsidRDefault="00DC73BE" w:rsidP="00DC73BE">
      <w:pPr>
        <w:pStyle w:val="BodyText"/>
        <w:numPr>
          <w:ilvl w:val="0"/>
          <w:numId w:val="0"/>
        </w:numPr>
        <w:tabs>
          <w:tab w:val="left" w:pos="3969"/>
          <w:tab w:val="left" w:pos="4962"/>
        </w:tabs>
        <w:ind w:left="270"/>
        <w:jc w:val="center"/>
      </w:pPr>
      <w:r w:rsidRPr="00852118">
        <w:tab/>
        <w:t>[End of document]</w:t>
      </w:r>
      <w:bookmarkStart w:id="5" w:name="_GoBack"/>
      <w:bookmarkEnd w:id="5"/>
    </w:p>
    <w:p w14:paraId="17510DF5" w14:textId="77777777" w:rsidR="00DC73BE" w:rsidRPr="00DC73BE" w:rsidRDefault="00DC73BE" w:rsidP="00E93195">
      <w:pPr>
        <w:jc w:val="right"/>
      </w:pPr>
    </w:p>
    <w:sectPr w:rsidR="00DC73BE" w:rsidRPr="00DC73BE" w:rsidSect="00157CB8">
      <w:headerReference w:type="first" r:id="rId20"/>
      <w:endnotePr>
        <w:numFmt w:val="decimal"/>
      </w:endnotePr>
      <w:pgSz w:w="11907" w:h="16840" w:code="9"/>
      <w:pgMar w:top="567" w:right="1134" w:bottom="56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D2760" w14:textId="77777777" w:rsidR="00877A59" w:rsidRDefault="00877A59">
      <w:r>
        <w:separator/>
      </w:r>
    </w:p>
  </w:endnote>
  <w:endnote w:type="continuationSeparator" w:id="0">
    <w:p w14:paraId="385A7235" w14:textId="77777777" w:rsidR="00877A59" w:rsidRDefault="00877A59" w:rsidP="003B38C1">
      <w:r>
        <w:separator/>
      </w:r>
    </w:p>
    <w:p w14:paraId="00DC2237" w14:textId="77777777" w:rsidR="00877A59" w:rsidRPr="003B38C1" w:rsidRDefault="00877A59" w:rsidP="003B38C1">
      <w:pPr>
        <w:spacing w:after="60"/>
        <w:rPr>
          <w:sz w:val="17"/>
        </w:rPr>
      </w:pPr>
      <w:r>
        <w:rPr>
          <w:sz w:val="17"/>
        </w:rPr>
        <w:t>[Endnote continued from previous page]</w:t>
      </w:r>
    </w:p>
  </w:endnote>
  <w:endnote w:type="continuationNotice" w:id="1">
    <w:p w14:paraId="1D84B846" w14:textId="77777777" w:rsidR="00877A59" w:rsidRPr="003B38C1" w:rsidRDefault="00877A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2497C" w14:textId="77777777" w:rsidR="00A24EF0" w:rsidRDefault="00A24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9042" w14:textId="77777777" w:rsidR="00A24EF0" w:rsidRDefault="00A24E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20D65" w14:textId="77777777" w:rsidR="00A24EF0" w:rsidRDefault="00A24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28D6E" w14:textId="77777777" w:rsidR="00877A59" w:rsidRDefault="00877A59">
      <w:r>
        <w:separator/>
      </w:r>
    </w:p>
  </w:footnote>
  <w:footnote w:type="continuationSeparator" w:id="0">
    <w:p w14:paraId="1659D4B2" w14:textId="77777777" w:rsidR="00877A59" w:rsidRDefault="00877A59" w:rsidP="008B60B2">
      <w:r>
        <w:separator/>
      </w:r>
    </w:p>
    <w:p w14:paraId="0F4174DA" w14:textId="77777777" w:rsidR="00877A59" w:rsidRPr="00ED77FB" w:rsidRDefault="00877A59" w:rsidP="008B60B2">
      <w:pPr>
        <w:spacing w:after="60"/>
        <w:rPr>
          <w:sz w:val="17"/>
          <w:szCs w:val="17"/>
        </w:rPr>
      </w:pPr>
      <w:r w:rsidRPr="00ED77FB">
        <w:rPr>
          <w:sz w:val="17"/>
          <w:szCs w:val="17"/>
        </w:rPr>
        <w:t>[Footnote continued from previous page]</w:t>
      </w:r>
    </w:p>
  </w:footnote>
  <w:footnote w:type="continuationNotice" w:id="1">
    <w:p w14:paraId="114CFEC3" w14:textId="77777777" w:rsidR="00877A59" w:rsidRPr="00ED77FB" w:rsidRDefault="00877A59" w:rsidP="008B60B2">
      <w:pPr>
        <w:spacing w:before="60"/>
        <w:jc w:val="right"/>
        <w:rPr>
          <w:sz w:val="17"/>
          <w:szCs w:val="17"/>
        </w:rPr>
      </w:pPr>
      <w:r w:rsidRPr="00ED77FB">
        <w:rPr>
          <w:sz w:val="17"/>
          <w:szCs w:val="17"/>
        </w:rPr>
        <w:t>[Footnote continued on next page]</w:t>
      </w:r>
    </w:p>
  </w:footnote>
  <w:footnote w:id="2">
    <w:p w14:paraId="0F995700" w14:textId="2BA02013" w:rsidR="00E853E5" w:rsidRPr="0089020D" w:rsidRDefault="00E853E5">
      <w:pPr>
        <w:pStyle w:val="FootnoteText"/>
      </w:pPr>
      <w:r>
        <w:rPr>
          <w:rStyle w:val="FootnoteReference"/>
        </w:rPr>
        <w:footnoteRef/>
      </w:r>
      <w:r>
        <w:t xml:space="preserve"> </w:t>
      </w:r>
      <w:r>
        <w:tab/>
      </w:r>
      <w:r w:rsidRPr="0089020D">
        <w:t>Refer to document H/LD/WG/8/8 “Summary by the Chair”, p</w:t>
      </w:r>
      <w:r>
        <w:t>aragraph 27.</w:t>
      </w:r>
    </w:p>
  </w:footnote>
  <w:footnote w:id="3">
    <w:p w14:paraId="3D554074" w14:textId="77777777" w:rsidR="00E853E5" w:rsidRPr="007F20C4" w:rsidRDefault="00E853E5" w:rsidP="004F0E54">
      <w:pPr>
        <w:pStyle w:val="FootnoteText"/>
        <w:ind w:left="567" w:hanging="567"/>
        <w:rPr>
          <w:szCs w:val="18"/>
        </w:rPr>
      </w:pPr>
      <w:r w:rsidRPr="00644E01">
        <w:rPr>
          <w:rStyle w:val="FootnoteReference"/>
          <w:szCs w:val="18"/>
        </w:rPr>
        <w:footnoteRef/>
      </w:r>
      <w:r w:rsidRPr="00644E01">
        <w:rPr>
          <w:szCs w:val="18"/>
        </w:rPr>
        <w:tab/>
      </w:r>
      <w:r w:rsidRPr="006B5E1F">
        <w:rPr>
          <w:szCs w:val="18"/>
        </w:rPr>
        <w:t xml:space="preserve">According to the </w:t>
      </w:r>
      <w:r>
        <w:rPr>
          <w:szCs w:val="18"/>
        </w:rPr>
        <w:t xml:space="preserve">internal </w:t>
      </w:r>
      <w:r w:rsidRPr="006B5E1F">
        <w:rPr>
          <w:szCs w:val="18"/>
        </w:rPr>
        <w:t xml:space="preserve">monthly report </w:t>
      </w:r>
      <w:r>
        <w:rPr>
          <w:szCs w:val="18"/>
        </w:rPr>
        <w:t>provided by</w:t>
      </w:r>
      <w:r w:rsidRPr="006B5E1F">
        <w:rPr>
          <w:szCs w:val="18"/>
        </w:rPr>
        <w:t xml:space="preserve"> the Income Section</w:t>
      </w:r>
      <w:r>
        <w:rPr>
          <w:szCs w:val="18"/>
        </w:rPr>
        <w:t xml:space="preserve"> of the Finance Division</w:t>
      </w:r>
      <w:r w:rsidRPr="006B5E1F">
        <w:rPr>
          <w:szCs w:val="18"/>
        </w:rPr>
        <w:t>.</w:t>
      </w:r>
    </w:p>
  </w:footnote>
  <w:footnote w:id="4">
    <w:p w14:paraId="2F64A9F4" w14:textId="77777777" w:rsidR="00E853E5" w:rsidRDefault="00E853E5" w:rsidP="00C8323F">
      <w:pPr>
        <w:pStyle w:val="FootnoteText"/>
        <w:rPr>
          <w:szCs w:val="18"/>
        </w:rPr>
      </w:pPr>
      <w:r w:rsidRPr="006B5E1F">
        <w:rPr>
          <w:rStyle w:val="FootnoteReference"/>
          <w:szCs w:val="18"/>
        </w:rPr>
        <w:footnoteRef/>
      </w:r>
      <w:r w:rsidRPr="006B5E1F">
        <w:rPr>
          <w:szCs w:val="18"/>
        </w:rPr>
        <w:tab/>
      </w:r>
      <w:r>
        <w:rPr>
          <w:szCs w:val="18"/>
        </w:rPr>
        <w:t>T</w:t>
      </w:r>
      <w:r w:rsidRPr="002E501A">
        <w:rPr>
          <w:szCs w:val="18"/>
        </w:rPr>
        <w:t xml:space="preserve">he figures for </w:t>
      </w:r>
      <w:r>
        <w:rPr>
          <w:szCs w:val="18"/>
        </w:rPr>
        <w:t xml:space="preserve">international </w:t>
      </w:r>
      <w:r w:rsidRPr="002E501A">
        <w:rPr>
          <w:szCs w:val="18"/>
        </w:rPr>
        <w:t xml:space="preserve">applications are based on the international registrations with a recording date </w:t>
      </w:r>
    </w:p>
    <w:p w14:paraId="174A2165" w14:textId="488B9F22" w:rsidR="00E853E5" w:rsidRPr="006B5E1F" w:rsidRDefault="00E853E5" w:rsidP="00C8323F">
      <w:pPr>
        <w:pStyle w:val="FootnoteText"/>
        <w:rPr>
          <w:szCs w:val="18"/>
        </w:rPr>
      </w:pPr>
      <w:proofErr w:type="gramStart"/>
      <w:r w:rsidRPr="002E501A">
        <w:rPr>
          <w:szCs w:val="18"/>
        </w:rPr>
        <w:t>in</w:t>
      </w:r>
      <w:proofErr w:type="gramEnd"/>
      <w:r w:rsidRPr="002E501A">
        <w:rPr>
          <w:szCs w:val="18"/>
        </w:rPr>
        <w:t xml:space="preserve"> 2019. </w:t>
      </w:r>
      <w:r>
        <w:rPr>
          <w:szCs w:val="18"/>
        </w:rPr>
        <w:t xml:space="preserve"> </w:t>
      </w:r>
      <w:r w:rsidRPr="002E501A">
        <w:rPr>
          <w:szCs w:val="18"/>
        </w:rPr>
        <w:t xml:space="preserve">Similarly, renewal and change cases </w:t>
      </w:r>
      <w:proofErr w:type="gramStart"/>
      <w:r w:rsidRPr="002E501A">
        <w:rPr>
          <w:szCs w:val="18"/>
        </w:rPr>
        <w:t>a</w:t>
      </w:r>
      <w:r>
        <w:rPr>
          <w:szCs w:val="18"/>
        </w:rPr>
        <w:t>re counted</w:t>
      </w:r>
      <w:proofErr w:type="gramEnd"/>
      <w:r>
        <w:rPr>
          <w:szCs w:val="18"/>
        </w:rPr>
        <w:t xml:space="preserve"> on a recorded basis.</w:t>
      </w:r>
    </w:p>
  </w:footnote>
  <w:footnote w:id="5">
    <w:p w14:paraId="11EFDCD6" w14:textId="05AA4AE9" w:rsidR="00E853E5" w:rsidRPr="006B5E1F" w:rsidRDefault="00E853E5" w:rsidP="006827C2">
      <w:pPr>
        <w:pStyle w:val="FootnoteText"/>
        <w:ind w:left="567" w:hanging="567"/>
        <w:rPr>
          <w:szCs w:val="18"/>
        </w:rPr>
      </w:pPr>
      <w:r w:rsidRPr="006B5E1F">
        <w:rPr>
          <w:rStyle w:val="FootnoteReference"/>
          <w:szCs w:val="18"/>
        </w:rPr>
        <w:footnoteRef/>
      </w:r>
      <w:r w:rsidRPr="006B5E1F">
        <w:rPr>
          <w:szCs w:val="18"/>
        </w:rPr>
        <w:tab/>
        <w:t xml:space="preserve">In thousands of Swiss </w:t>
      </w:r>
      <w:r>
        <w:rPr>
          <w:szCs w:val="18"/>
        </w:rPr>
        <w:t>francs</w:t>
      </w:r>
      <w:r w:rsidRPr="006B5E1F">
        <w:rPr>
          <w:szCs w:val="18"/>
        </w:rPr>
        <w:t>.</w:t>
      </w:r>
    </w:p>
  </w:footnote>
  <w:footnote w:id="6">
    <w:p w14:paraId="3C77EA9F" w14:textId="7BB250DE" w:rsidR="00E853E5" w:rsidRPr="0090509F" w:rsidRDefault="00E853E5">
      <w:pPr>
        <w:pStyle w:val="FootnoteText"/>
      </w:pPr>
      <w:r>
        <w:rPr>
          <w:rStyle w:val="FootnoteReference"/>
        </w:rPr>
        <w:footnoteRef/>
      </w:r>
      <w:r>
        <w:t xml:space="preserve"> </w:t>
      </w:r>
      <w:r>
        <w:tab/>
      </w:r>
      <w:r>
        <w:rPr>
          <w:szCs w:val="18"/>
        </w:rPr>
        <w:t>T</w:t>
      </w:r>
      <w:r w:rsidRPr="006B5E1F">
        <w:rPr>
          <w:szCs w:val="18"/>
        </w:rPr>
        <w:t>his amount includes the surcharge collected pursuant to Rule</w:t>
      </w:r>
      <w:r>
        <w:rPr>
          <w:szCs w:val="18"/>
        </w:rPr>
        <w:t> </w:t>
      </w:r>
      <w:r w:rsidRPr="006B5E1F">
        <w:rPr>
          <w:szCs w:val="18"/>
        </w:rPr>
        <w:t>24(1</w:t>
      </w:r>
      <w:proofErr w:type="gramStart"/>
      <w:r w:rsidRPr="006B5E1F">
        <w:rPr>
          <w:szCs w:val="18"/>
        </w:rPr>
        <w:t>)(</w:t>
      </w:r>
      <w:proofErr w:type="gramEnd"/>
      <w:r w:rsidRPr="006B5E1F">
        <w:rPr>
          <w:szCs w:val="18"/>
        </w:rPr>
        <w:t>c) for a late renewal</w:t>
      </w:r>
      <w:r>
        <w:rPr>
          <w:szCs w:val="18"/>
        </w:rPr>
        <w:t>.</w:t>
      </w:r>
    </w:p>
  </w:footnote>
  <w:footnote w:id="7">
    <w:p w14:paraId="52A9F27A" w14:textId="37C5C0E6" w:rsidR="00E853E5" w:rsidRPr="001B4DA4" w:rsidRDefault="00E853E5">
      <w:pPr>
        <w:pStyle w:val="FootnoteText"/>
      </w:pPr>
      <w:r>
        <w:rPr>
          <w:rStyle w:val="FootnoteReference"/>
        </w:rPr>
        <w:footnoteRef/>
      </w:r>
      <w:r>
        <w:t xml:space="preserve"> </w:t>
      </w:r>
      <w:r>
        <w:tab/>
        <w:t>For example,</w:t>
      </w:r>
      <w:r w:rsidRPr="001B4DA4">
        <w:t xml:space="preserve"> the European Union, </w:t>
      </w:r>
      <w:r>
        <w:t xml:space="preserve">Japan, </w:t>
      </w:r>
      <w:r w:rsidRPr="001B4DA4">
        <w:t>Norway</w:t>
      </w:r>
      <w:r>
        <w:t xml:space="preserve"> and</w:t>
      </w:r>
      <w:r w:rsidRPr="001B4DA4">
        <w:t xml:space="preserve"> the Republic of Korea are</w:t>
      </w:r>
      <w:r>
        <w:t xml:space="preserve"> such jurisdictions.</w:t>
      </w:r>
    </w:p>
  </w:footnote>
  <w:footnote w:id="8">
    <w:p w14:paraId="0A8D1498" w14:textId="6FA20DF0" w:rsidR="00E853E5" w:rsidRPr="001B4DA4" w:rsidRDefault="00E853E5">
      <w:pPr>
        <w:pStyle w:val="FootnoteText"/>
      </w:pPr>
      <w:r>
        <w:rPr>
          <w:rStyle w:val="FootnoteReference"/>
        </w:rPr>
        <w:footnoteRef/>
      </w:r>
      <w:r>
        <w:t xml:space="preserve"> </w:t>
      </w:r>
      <w:r w:rsidRPr="001B4DA4">
        <w:tab/>
        <w:t>For example, Denmark, Sweden, Switzerland and Turkey</w:t>
      </w:r>
      <w:r>
        <w:t xml:space="preserve"> are such jurisdictions.</w:t>
      </w:r>
      <w:r w:rsidRPr="001B4DA4">
        <w:t xml:space="preserve"> </w:t>
      </w:r>
    </w:p>
  </w:footnote>
  <w:footnote w:id="9">
    <w:p w14:paraId="29592ABD" w14:textId="6B077AEB" w:rsidR="00E853E5" w:rsidRPr="007D4002" w:rsidRDefault="00E853E5">
      <w:pPr>
        <w:pStyle w:val="FootnoteText"/>
      </w:pPr>
      <w:r>
        <w:rPr>
          <w:rStyle w:val="FootnoteReference"/>
        </w:rPr>
        <w:footnoteRef/>
      </w:r>
      <w:r>
        <w:t xml:space="preserve"> </w:t>
      </w:r>
      <w:r>
        <w:tab/>
        <w:t>For example, France is such a jurisdiction.</w:t>
      </w:r>
    </w:p>
  </w:footnote>
  <w:footnote w:id="10">
    <w:p w14:paraId="0194022D" w14:textId="41531F6E" w:rsidR="00E853E5" w:rsidRPr="00136FD4" w:rsidRDefault="00E853E5">
      <w:pPr>
        <w:pStyle w:val="FootnoteText"/>
      </w:pPr>
      <w:r>
        <w:rPr>
          <w:rStyle w:val="FootnoteReference"/>
        </w:rPr>
        <w:footnoteRef/>
      </w:r>
      <w:r>
        <w:t xml:space="preserve"> </w:t>
      </w:r>
      <w:r>
        <w:tab/>
        <w:t>For example, Morocco and Spain are such jurisdictions.</w:t>
      </w:r>
    </w:p>
  </w:footnote>
  <w:footnote w:id="11">
    <w:p w14:paraId="07B8A759" w14:textId="2DEDA270" w:rsidR="00E853E5" w:rsidRPr="006B5E1F" w:rsidRDefault="00E853E5" w:rsidP="00910B78">
      <w:pPr>
        <w:pStyle w:val="FootnoteText"/>
        <w:rPr>
          <w:szCs w:val="18"/>
        </w:rPr>
      </w:pPr>
      <w:r w:rsidRPr="006B5E1F">
        <w:rPr>
          <w:rStyle w:val="FootnoteReference"/>
          <w:szCs w:val="18"/>
        </w:rPr>
        <w:footnoteRef/>
      </w:r>
      <w:r w:rsidRPr="006B5E1F">
        <w:rPr>
          <w:szCs w:val="18"/>
        </w:rPr>
        <w:tab/>
        <w:t xml:space="preserve">Those jurisdictions </w:t>
      </w:r>
      <w:proofErr w:type="gramStart"/>
      <w:r w:rsidRPr="006B5E1F">
        <w:rPr>
          <w:szCs w:val="18"/>
        </w:rPr>
        <w:t>are</w:t>
      </w:r>
      <w:r>
        <w:rPr>
          <w:szCs w:val="18"/>
        </w:rPr>
        <w:t>:</w:t>
      </w:r>
      <w:proofErr w:type="gramEnd"/>
      <w:r>
        <w:rPr>
          <w:szCs w:val="18"/>
        </w:rPr>
        <w:t xml:space="preserve">  Australia, Austria, Benelux, Cyprus, Czech Republic, Denmark, European Union, Germany, Italy, Monaco, Norway, Republic of Korea, Serbia, Singapore, Spain, Sweden, Turkey and the </w:t>
      </w:r>
      <w:r w:rsidRPr="00E955F5">
        <w:rPr>
          <w:szCs w:val="18"/>
        </w:rPr>
        <w:t>United Kingdom</w:t>
      </w:r>
      <w:r>
        <w:rPr>
          <w:szCs w:val="18"/>
        </w:rPr>
        <w:t>.</w:t>
      </w:r>
      <w:r w:rsidRPr="006B5E1F">
        <w:rPr>
          <w:szCs w:val="18"/>
        </w:rPr>
        <w:t xml:space="preserve"> </w:t>
      </w:r>
    </w:p>
  </w:footnote>
  <w:footnote w:id="12">
    <w:p w14:paraId="51F8BB40" w14:textId="24144ECE" w:rsidR="00E853E5" w:rsidRPr="006B5E1F" w:rsidRDefault="00E853E5" w:rsidP="00910B78">
      <w:pPr>
        <w:pStyle w:val="FootnoteText"/>
        <w:rPr>
          <w:szCs w:val="18"/>
        </w:rPr>
      </w:pPr>
      <w:r w:rsidRPr="006B5E1F">
        <w:rPr>
          <w:rStyle w:val="FootnoteReference"/>
          <w:szCs w:val="18"/>
        </w:rPr>
        <w:footnoteRef/>
      </w:r>
      <w:r w:rsidRPr="006B5E1F">
        <w:rPr>
          <w:szCs w:val="18"/>
        </w:rPr>
        <w:tab/>
        <w:t>The data are those available on the websites of the Offices or through t</w:t>
      </w:r>
      <w:r>
        <w:rPr>
          <w:szCs w:val="18"/>
        </w:rPr>
        <w:t>he WIPO Lex website (as of September</w:t>
      </w:r>
      <w:r w:rsidRPr="006B5E1F">
        <w:rPr>
          <w:szCs w:val="18"/>
        </w:rPr>
        <w:t> 20</w:t>
      </w:r>
      <w:r>
        <w:rPr>
          <w:szCs w:val="18"/>
        </w:rPr>
        <w:t>20</w:t>
      </w:r>
      <w:r w:rsidRPr="000F24F7">
        <w:rPr>
          <w:szCs w:val="18"/>
        </w:rPr>
        <w:t xml:space="preserve">).  </w:t>
      </w:r>
      <w:r>
        <w:rPr>
          <w:szCs w:val="18"/>
        </w:rPr>
        <w:t>Except</w:t>
      </w:r>
      <w:r w:rsidRPr="000F24F7">
        <w:rPr>
          <w:szCs w:val="18"/>
        </w:rPr>
        <w:t xml:space="preserve"> </w:t>
      </w:r>
      <w:r w:rsidR="00DC73BE">
        <w:rPr>
          <w:szCs w:val="18"/>
        </w:rPr>
        <w:t xml:space="preserve">for </w:t>
      </w:r>
      <w:r w:rsidRPr="000F24F7">
        <w:rPr>
          <w:szCs w:val="18"/>
        </w:rPr>
        <w:t>the Republic of Korea, a registration</w:t>
      </w:r>
      <w:r>
        <w:rPr>
          <w:szCs w:val="18"/>
        </w:rPr>
        <w:t xml:space="preserve"> </w:t>
      </w:r>
      <w:proofErr w:type="gramStart"/>
      <w:r>
        <w:rPr>
          <w:szCs w:val="18"/>
        </w:rPr>
        <w:t>may be renewed</w:t>
      </w:r>
      <w:proofErr w:type="gramEnd"/>
      <w:r>
        <w:rPr>
          <w:szCs w:val="18"/>
        </w:rPr>
        <w:t xml:space="preserve"> every five years. </w:t>
      </w:r>
    </w:p>
  </w:footnote>
  <w:footnote w:id="13">
    <w:p w14:paraId="0B9FC324" w14:textId="07E19760" w:rsidR="00E853E5" w:rsidRPr="00490300" w:rsidRDefault="00E853E5">
      <w:pPr>
        <w:pStyle w:val="FootnoteText"/>
        <w:rPr>
          <w:rFonts w:eastAsiaTheme="minorEastAsia"/>
          <w:lang w:eastAsia="ja-JP"/>
        </w:rPr>
      </w:pPr>
      <w:r>
        <w:rPr>
          <w:rStyle w:val="FootnoteReference"/>
        </w:rPr>
        <w:footnoteRef/>
      </w:r>
      <w:r>
        <w:t xml:space="preserve"> </w:t>
      </w:r>
      <w:r>
        <w:rPr>
          <w:rFonts w:eastAsiaTheme="minorEastAsia"/>
          <w:lang w:eastAsia="ja-JP"/>
        </w:rPr>
        <w:tab/>
      </w:r>
      <w:r w:rsidRPr="00490300">
        <w:rPr>
          <w:rFonts w:eastAsiaTheme="minorEastAsia"/>
          <w:lang w:eastAsia="ja-JP"/>
        </w:rPr>
        <w:t xml:space="preserve">In </w:t>
      </w:r>
      <w:r>
        <w:rPr>
          <w:rFonts w:eastAsiaTheme="minorEastAsia"/>
          <w:lang w:eastAsia="ja-JP"/>
        </w:rPr>
        <w:t xml:space="preserve">the case of Norway, </w:t>
      </w:r>
      <w:r w:rsidRPr="00490300">
        <w:rPr>
          <w:rFonts w:eastAsiaTheme="minorEastAsia"/>
          <w:lang w:eastAsia="ja-JP"/>
        </w:rPr>
        <w:t>the amount of renewal fee increases gradually and at each time of renewal</w:t>
      </w:r>
      <w:r>
        <w:rPr>
          <w:rFonts w:eastAsiaTheme="minorEastAsia"/>
          <w:lang w:eastAsia="ja-JP"/>
        </w:rPr>
        <w:t xml:space="preserve"> with respect to the first design only and the amount of the fee applicable to each additional design remains the same</w:t>
      </w:r>
      <w:r w:rsidRPr="00490300">
        <w:rPr>
          <w:rFonts w:eastAsiaTheme="minorEastAsia"/>
          <w:lang w:eastAsia="ja-JP"/>
        </w:rPr>
        <w:t xml:space="preserve">.  </w:t>
      </w:r>
      <w:r>
        <w:rPr>
          <w:rFonts w:eastAsiaTheme="minorEastAsia"/>
          <w:lang w:eastAsia="ja-JP"/>
        </w:rPr>
        <w:t>Therefore</w:t>
      </w:r>
      <w:r w:rsidRPr="00490300">
        <w:rPr>
          <w:rFonts w:eastAsiaTheme="minorEastAsia"/>
          <w:lang w:eastAsia="ja-JP"/>
        </w:rPr>
        <w:t>,</w:t>
      </w:r>
      <w:r>
        <w:rPr>
          <w:rFonts w:eastAsiaTheme="minorEastAsia"/>
          <w:lang w:eastAsia="ja-JP"/>
        </w:rPr>
        <w:t xml:space="preserve"> the amounts applicable at the first renewal (for the 6</w:t>
      </w:r>
      <w:r w:rsidRPr="00D93DD3">
        <w:rPr>
          <w:rFonts w:eastAsiaTheme="minorEastAsia"/>
          <w:vertAlign w:val="superscript"/>
          <w:lang w:eastAsia="ja-JP"/>
        </w:rPr>
        <w:t>th</w:t>
      </w:r>
      <w:r>
        <w:rPr>
          <w:rFonts w:eastAsiaTheme="minorEastAsia"/>
          <w:lang w:eastAsia="ja-JP"/>
        </w:rPr>
        <w:t xml:space="preserve"> to 10</w:t>
      </w:r>
      <w:r w:rsidRPr="00D93DD3">
        <w:rPr>
          <w:rFonts w:eastAsiaTheme="minorEastAsia"/>
          <w:vertAlign w:val="superscript"/>
          <w:lang w:eastAsia="ja-JP"/>
        </w:rPr>
        <w:t>th</w:t>
      </w:r>
      <w:r>
        <w:rPr>
          <w:rFonts w:eastAsiaTheme="minorEastAsia"/>
          <w:lang w:eastAsia="ja-JP"/>
        </w:rPr>
        <w:t xml:space="preserve"> years) </w:t>
      </w:r>
      <w:proofErr w:type="gramStart"/>
      <w:r>
        <w:rPr>
          <w:rFonts w:eastAsiaTheme="minorEastAsia"/>
          <w:lang w:eastAsia="ja-JP"/>
        </w:rPr>
        <w:t>are used</w:t>
      </w:r>
      <w:proofErr w:type="gramEnd"/>
      <w:r>
        <w:rPr>
          <w:rFonts w:eastAsiaTheme="minorEastAsia"/>
          <w:lang w:eastAsia="ja-JP"/>
        </w:rPr>
        <w:t xml:space="preserve"> for comparison. </w:t>
      </w:r>
      <w:r w:rsidRPr="00490300">
        <w:rPr>
          <w:rFonts w:eastAsiaTheme="minorEastAsia"/>
          <w:lang w:eastAsia="ja-JP"/>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993073"/>
      <w:docPartObj>
        <w:docPartGallery w:val="Page Numbers (Top of Page)"/>
        <w:docPartUnique/>
      </w:docPartObj>
    </w:sdtPr>
    <w:sdtEndPr>
      <w:rPr>
        <w:noProof/>
      </w:rPr>
    </w:sdtEndPr>
    <w:sdtContent>
      <w:p w14:paraId="1F9C0543" w14:textId="77777777" w:rsidR="00C21500" w:rsidRDefault="00C21500" w:rsidP="00157CB8">
        <w:pPr>
          <w:pStyle w:val="Header"/>
          <w:jc w:val="right"/>
        </w:pPr>
        <w:r>
          <w:t>H/LD/WG/9/INF/1</w:t>
        </w:r>
      </w:p>
      <w:p w14:paraId="446DEBC0" w14:textId="0700C3AE" w:rsidR="00157CB8" w:rsidRDefault="00157CB8" w:rsidP="00157CB8">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246E94">
          <w:rPr>
            <w:noProof/>
          </w:rPr>
          <w:t>2</w:t>
        </w:r>
        <w:r>
          <w:rPr>
            <w:noProof/>
          </w:rPr>
          <w:fldChar w:fldCharType="end"/>
        </w:r>
      </w:p>
      <w:p w14:paraId="28C04590" w14:textId="4FB928A9" w:rsidR="00E853E5" w:rsidRDefault="00246E94" w:rsidP="00DC73BE">
        <w:pPr>
          <w:pStyle w:val="Header"/>
          <w:jc w:val="right"/>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1949C" w14:textId="6219F4EA" w:rsidR="00157CB8" w:rsidRDefault="00157CB8">
    <w:pPr>
      <w:pStyle w:val="Header"/>
      <w:jc w:val="right"/>
    </w:pPr>
  </w:p>
  <w:p w14:paraId="1E600F8B" w14:textId="77777777" w:rsidR="00157CB8" w:rsidRDefault="00157C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D5B97" w14:textId="77777777" w:rsidR="00A24EF0" w:rsidRDefault="00A24E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634914"/>
      <w:docPartObj>
        <w:docPartGallery w:val="Page Numbers (Top of Page)"/>
        <w:docPartUnique/>
      </w:docPartObj>
    </w:sdtPr>
    <w:sdtEndPr>
      <w:rPr>
        <w:noProof/>
      </w:rPr>
    </w:sdtEndPr>
    <w:sdtContent>
      <w:p w14:paraId="41FE6018" w14:textId="77777777" w:rsidR="00157CB8" w:rsidRDefault="00157CB8" w:rsidP="00157CB8">
        <w:pPr>
          <w:pStyle w:val="Header"/>
          <w:jc w:val="right"/>
        </w:pPr>
        <w:r>
          <w:t>H/LD/WG/9/INF/1</w:t>
        </w:r>
      </w:p>
      <w:p w14:paraId="08C28AF3" w14:textId="7957994D" w:rsidR="00157CB8" w:rsidRDefault="00157CB8" w:rsidP="00157CB8">
        <w:pPr>
          <w:pStyle w:val="Header"/>
          <w:jc w:val="right"/>
        </w:pPr>
        <w:proofErr w:type="gramStart"/>
        <w:r>
          <w:t>page</w:t>
        </w:r>
        <w:proofErr w:type="gramEnd"/>
        <w:r>
          <w:t xml:space="preserve"> </w:t>
        </w:r>
        <w:r w:rsidR="00A24EF0">
          <w:t>2</w:t>
        </w:r>
      </w:p>
    </w:sdtContent>
  </w:sdt>
  <w:p w14:paraId="533E57DA" w14:textId="77777777" w:rsidR="00E853E5" w:rsidRDefault="00E853E5" w:rsidP="00D85552">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939592"/>
      <w:docPartObj>
        <w:docPartGallery w:val="Page Numbers (Top of Page)"/>
        <w:docPartUnique/>
      </w:docPartObj>
    </w:sdtPr>
    <w:sdtEndPr>
      <w:rPr>
        <w:noProof/>
      </w:rPr>
    </w:sdtEndPr>
    <w:sdtContent>
      <w:p w14:paraId="5D2F384E" w14:textId="77777777" w:rsidR="00C21500" w:rsidRDefault="00C21500" w:rsidP="00C21500">
        <w:pPr>
          <w:pStyle w:val="Header"/>
          <w:jc w:val="right"/>
        </w:pPr>
        <w:r>
          <w:t>H/LD/WG/9/INF/1</w:t>
        </w:r>
      </w:p>
      <w:p w14:paraId="593E6311" w14:textId="0EAEA651" w:rsidR="00157CB8" w:rsidRDefault="00157CB8" w:rsidP="00157CB8">
        <w:pPr>
          <w:pStyle w:val="Header"/>
          <w:jc w:val="right"/>
        </w:pPr>
        <w:proofErr w:type="gramStart"/>
        <w:r>
          <w:t>page</w:t>
        </w:r>
        <w:proofErr w:type="gramEnd"/>
        <w:r>
          <w:t xml:space="preserve"> 3</w:t>
        </w:r>
      </w:p>
    </w:sdtContent>
  </w:sdt>
  <w:p w14:paraId="496B6D0D" w14:textId="77777777" w:rsidR="00157CB8" w:rsidRDefault="00157C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527966"/>
      <w:docPartObj>
        <w:docPartGallery w:val="Page Numbers (Top of Page)"/>
        <w:docPartUnique/>
      </w:docPartObj>
    </w:sdtPr>
    <w:sdtEndPr>
      <w:rPr>
        <w:noProof/>
      </w:rPr>
    </w:sdtEndPr>
    <w:sdtContent>
      <w:p w14:paraId="34E2778A" w14:textId="77777777" w:rsidR="00C21500" w:rsidRDefault="00C21500" w:rsidP="00C21500">
        <w:pPr>
          <w:pStyle w:val="Header"/>
          <w:jc w:val="right"/>
        </w:pPr>
        <w:r>
          <w:t>H/LD/WG/9/INF/1</w:t>
        </w:r>
      </w:p>
      <w:p w14:paraId="6234A2F3" w14:textId="22265DA0" w:rsidR="00DC73BE" w:rsidRDefault="00DC73BE" w:rsidP="00157CB8">
        <w:pPr>
          <w:pStyle w:val="Header"/>
          <w:jc w:val="right"/>
        </w:pPr>
        <w:proofErr w:type="gramStart"/>
        <w:r>
          <w:t>page</w:t>
        </w:r>
        <w:proofErr w:type="gramEnd"/>
        <w:r>
          <w:t xml:space="preserve"> 4</w:t>
        </w:r>
      </w:p>
    </w:sdtContent>
  </w:sdt>
  <w:p w14:paraId="185C24B6" w14:textId="77777777" w:rsidR="00DC73BE" w:rsidRDefault="00DC7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54693D4"/>
    <w:lvl w:ilvl="0">
      <w:start w:val="1"/>
      <w:numFmt w:val="decimal"/>
      <w:lvlRestart w:val="0"/>
      <w:pStyle w:val="BodyText"/>
      <w:lvlText w:val="%1."/>
      <w:lvlJc w:val="left"/>
      <w:pPr>
        <w:tabs>
          <w:tab w:val="num" w:pos="851"/>
        </w:tabs>
        <w:ind w:left="284"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2" w15:restartNumberingAfterBreak="0">
    <w:nsid w:val="0D826FAA"/>
    <w:multiLevelType w:val="hybridMultilevel"/>
    <w:tmpl w:val="09960042"/>
    <w:lvl w:ilvl="0" w:tplc="4F7C9774">
      <w:start w:val="1"/>
      <w:numFmt w:val="lowerLetter"/>
      <w:lvlText w:val="(%1)"/>
      <w:lvlJc w:val="left"/>
      <w:pPr>
        <w:ind w:left="360" w:hanging="360"/>
      </w:pPr>
      <w:rPr>
        <w:rFonts w:hint="default"/>
        <w:b w:val="0"/>
        <w:i w:val="0"/>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C20843"/>
    <w:multiLevelType w:val="hybridMultilevel"/>
    <w:tmpl w:val="C37AA49A"/>
    <w:lvl w:ilvl="0" w:tplc="99D4CB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350E1"/>
    <w:multiLevelType w:val="hybridMultilevel"/>
    <w:tmpl w:val="1C30DC2A"/>
    <w:lvl w:ilvl="0" w:tplc="21144C08">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F20B9"/>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6" w15:restartNumberingAfterBreak="0">
    <w:nsid w:val="16AB5925"/>
    <w:multiLevelType w:val="hybridMultilevel"/>
    <w:tmpl w:val="9892BC0C"/>
    <w:lvl w:ilvl="0" w:tplc="C3CE57E0">
      <w:start w:val="13"/>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997752A"/>
    <w:multiLevelType w:val="hybridMultilevel"/>
    <w:tmpl w:val="10946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1A07C2"/>
    <w:multiLevelType w:val="hybridMultilevel"/>
    <w:tmpl w:val="BD7CBA98"/>
    <w:lvl w:ilvl="0" w:tplc="0B4A5770">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1D47CE6"/>
    <w:multiLevelType w:val="hybridMultilevel"/>
    <w:tmpl w:val="BFFE0094"/>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2" w15:restartNumberingAfterBreak="0">
    <w:nsid w:val="2256743D"/>
    <w:multiLevelType w:val="hybridMultilevel"/>
    <w:tmpl w:val="7B0E32BC"/>
    <w:lvl w:ilvl="0" w:tplc="ABC4E8FA">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C2E18"/>
    <w:multiLevelType w:val="hybridMultilevel"/>
    <w:tmpl w:val="31E45586"/>
    <w:lvl w:ilvl="0" w:tplc="D09433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870010"/>
    <w:multiLevelType w:val="hybridMultilevel"/>
    <w:tmpl w:val="64243484"/>
    <w:lvl w:ilvl="0" w:tplc="8104F5DA">
      <w:numFmt w:val="bullet"/>
      <w:lvlText w:val="-"/>
      <w:lvlJc w:val="left"/>
      <w:pPr>
        <w:ind w:left="930" w:hanging="360"/>
      </w:pPr>
      <w:rPr>
        <w:rFonts w:ascii="Arial" w:eastAsia="SimSu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5" w15:restartNumberingAfterBreak="0">
    <w:nsid w:val="2DD219CF"/>
    <w:multiLevelType w:val="hybridMultilevel"/>
    <w:tmpl w:val="9DE87624"/>
    <w:lvl w:ilvl="0" w:tplc="A5D80226">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ECF6671"/>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C3A40"/>
    <w:multiLevelType w:val="hybridMultilevel"/>
    <w:tmpl w:val="E668E07E"/>
    <w:lvl w:ilvl="0" w:tplc="CCE6076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301976C7"/>
    <w:multiLevelType w:val="hybridMultilevel"/>
    <w:tmpl w:val="69F0B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764B61"/>
    <w:multiLevelType w:val="hybridMultilevel"/>
    <w:tmpl w:val="37EA6DEC"/>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5E7C82"/>
    <w:multiLevelType w:val="hybridMultilevel"/>
    <w:tmpl w:val="CFB4CC00"/>
    <w:lvl w:ilvl="0" w:tplc="24FC33F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C19B1"/>
    <w:multiLevelType w:val="hybridMultilevel"/>
    <w:tmpl w:val="66E6F30C"/>
    <w:lvl w:ilvl="0" w:tplc="22486A9C">
      <w:start w:val="5"/>
      <w:numFmt w:val="bullet"/>
      <w:lvlText w:val="-"/>
      <w:lvlJc w:val="left"/>
      <w:pPr>
        <w:ind w:left="5893" w:hanging="360"/>
      </w:pPr>
      <w:rPr>
        <w:rFonts w:ascii="Arial" w:eastAsia="SimSun" w:hAnsi="Arial" w:cs="Arial" w:hint="default"/>
      </w:rPr>
    </w:lvl>
    <w:lvl w:ilvl="1" w:tplc="04090003" w:tentative="1">
      <w:start w:val="1"/>
      <w:numFmt w:val="bullet"/>
      <w:lvlText w:val="o"/>
      <w:lvlJc w:val="left"/>
      <w:pPr>
        <w:ind w:left="6613" w:hanging="360"/>
      </w:pPr>
      <w:rPr>
        <w:rFonts w:ascii="Courier New" w:hAnsi="Courier New" w:cs="Courier New" w:hint="default"/>
      </w:rPr>
    </w:lvl>
    <w:lvl w:ilvl="2" w:tplc="04090005" w:tentative="1">
      <w:start w:val="1"/>
      <w:numFmt w:val="bullet"/>
      <w:lvlText w:val=""/>
      <w:lvlJc w:val="left"/>
      <w:pPr>
        <w:ind w:left="7333" w:hanging="360"/>
      </w:pPr>
      <w:rPr>
        <w:rFonts w:ascii="Wingdings" w:hAnsi="Wingdings" w:hint="default"/>
      </w:rPr>
    </w:lvl>
    <w:lvl w:ilvl="3" w:tplc="04090001" w:tentative="1">
      <w:start w:val="1"/>
      <w:numFmt w:val="bullet"/>
      <w:lvlText w:val=""/>
      <w:lvlJc w:val="left"/>
      <w:pPr>
        <w:ind w:left="8053" w:hanging="360"/>
      </w:pPr>
      <w:rPr>
        <w:rFonts w:ascii="Symbol" w:hAnsi="Symbol" w:hint="default"/>
      </w:rPr>
    </w:lvl>
    <w:lvl w:ilvl="4" w:tplc="04090003" w:tentative="1">
      <w:start w:val="1"/>
      <w:numFmt w:val="bullet"/>
      <w:lvlText w:val="o"/>
      <w:lvlJc w:val="left"/>
      <w:pPr>
        <w:ind w:left="8773" w:hanging="360"/>
      </w:pPr>
      <w:rPr>
        <w:rFonts w:ascii="Courier New" w:hAnsi="Courier New" w:cs="Courier New" w:hint="default"/>
      </w:rPr>
    </w:lvl>
    <w:lvl w:ilvl="5" w:tplc="04090005" w:tentative="1">
      <w:start w:val="1"/>
      <w:numFmt w:val="bullet"/>
      <w:lvlText w:val=""/>
      <w:lvlJc w:val="left"/>
      <w:pPr>
        <w:ind w:left="9493" w:hanging="360"/>
      </w:pPr>
      <w:rPr>
        <w:rFonts w:ascii="Wingdings" w:hAnsi="Wingdings" w:hint="default"/>
      </w:rPr>
    </w:lvl>
    <w:lvl w:ilvl="6" w:tplc="04090001" w:tentative="1">
      <w:start w:val="1"/>
      <w:numFmt w:val="bullet"/>
      <w:lvlText w:val=""/>
      <w:lvlJc w:val="left"/>
      <w:pPr>
        <w:ind w:left="10213" w:hanging="360"/>
      </w:pPr>
      <w:rPr>
        <w:rFonts w:ascii="Symbol" w:hAnsi="Symbol" w:hint="default"/>
      </w:rPr>
    </w:lvl>
    <w:lvl w:ilvl="7" w:tplc="04090003" w:tentative="1">
      <w:start w:val="1"/>
      <w:numFmt w:val="bullet"/>
      <w:lvlText w:val="o"/>
      <w:lvlJc w:val="left"/>
      <w:pPr>
        <w:ind w:left="10933" w:hanging="360"/>
      </w:pPr>
      <w:rPr>
        <w:rFonts w:ascii="Courier New" w:hAnsi="Courier New" w:cs="Courier New" w:hint="default"/>
      </w:rPr>
    </w:lvl>
    <w:lvl w:ilvl="8" w:tplc="04090005" w:tentative="1">
      <w:start w:val="1"/>
      <w:numFmt w:val="bullet"/>
      <w:lvlText w:val=""/>
      <w:lvlJc w:val="left"/>
      <w:pPr>
        <w:ind w:left="11653" w:hanging="360"/>
      </w:pPr>
      <w:rPr>
        <w:rFonts w:ascii="Wingdings" w:hAnsi="Wingdings" w:hint="default"/>
      </w:rPr>
    </w:lvl>
  </w:abstractNum>
  <w:abstractNum w:abstractNumId="22" w15:restartNumberingAfterBreak="0">
    <w:nsid w:val="3C750BB5"/>
    <w:multiLevelType w:val="hybridMultilevel"/>
    <w:tmpl w:val="590ED79E"/>
    <w:lvl w:ilvl="0" w:tplc="2604CE86">
      <w:numFmt w:val="bullet"/>
      <w:lvlText w:val="–"/>
      <w:lvlJc w:val="left"/>
      <w:pPr>
        <w:ind w:left="-981" w:hanging="360"/>
      </w:pPr>
      <w:rPr>
        <w:rFonts w:ascii="Arial" w:hAnsi="Arial" w:hint="default"/>
        <w:sz w:val="22"/>
      </w:rPr>
    </w:lvl>
    <w:lvl w:ilvl="1" w:tplc="04090003">
      <w:start w:val="1"/>
      <w:numFmt w:val="bullet"/>
      <w:lvlText w:val="o"/>
      <w:lvlJc w:val="left"/>
      <w:pPr>
        <w:ind w:left="-261" w:hanging="360"/>
      </w:pPr>
      <w:rPr>
        <w:rFonts w:ascii="Courier New" w:hAnsi="Courier New" w:cs="Courier New" w:hint="default"/>
      </w:rPr>
    </w:lvl>
    <w:lvl w:ilvl="2" w:tplc="04090005" w:tentative="1">
      <w:start w:val="1"/>
      <w:numFmt w:val="bullet"/>
      <w:lvlText w:val=""/>
      <w:lvlJc w:val="left"/>
      <w:pPr>
        <w:ind w:left="459" w:hanging="360"/>
      </w:pPr>
      <w:rPr>
        <w:rFonts w:ascii="Wingdings" w:hAnsi="Wingdings" w:hint="default"/>
      </w:rPr>
    </w:lvl>
    <w:lvl w:ilvl="3" w:tplc="04090001" w:tentative="1">
      <w:start w:val="1"/>
      <w:numFmt w:val="bullet"/>
      <w:lvlText w:val=""/>
      <w:lvlJc w:val="left"/>
      <w:pPr>
        <w:ind w:left="1179" w:hanging="360"/>
      </w:pPr>
      <w:rPr>
        <w:rFonts w:ascii="Symbol" w:hAnsi="Symbol" w:hint="default"/>
      </w:rPr>
    </w:lvl>
    <w:lvl w:ilvl="4" w:tplc="04090003" w:tentative="1">
      <w:start w:val="1"/>
      <w:numFmt w:val="bullet"/>
      <w:lvlText w:val="o"/>
      <w:lvlJc w:val="left"/>
      <w:pPr>
        <w:ind w:left="1899" w:hanging="360"/>
      </w:pPr>
      <w:rPr>
        <w:rFonts w:ascii="Courier New" w:hAnsi="Courier New" w:cs="Courier New" w:hint="default"/>
      </w:rPr>
    </w:lvl>
    <w:lvl w:ilvl="5" w:tplc="04090005" w:tentative="1">
      <w:start w:val="1"/>
      <w:numFmt w:val="bullet"/>
      <w:lvlText w:val=""/>
      <w:lvlJc w:val="left"/>
      <w:pPr>
        <w:ind w:left="2619" w:hanging="360"/>
      </w:pPr>
      <w:rPr>
        <w:rFonts w:ascii="Wingdings" w:hAnsi="Wingdings" w:hint="default"/>
      </w:rPr>
    </w:lvl>
    <w:lvl w:ilvl="6" w:tplc="04090001" w:tentative="1">
      <w:start w:val="1"/>
      <w:numFmt w:val="bullet"/>
      <w:lvlText w:val=""/>
      <w:lvlJc w:val="left"/>
      <w:pPr>
        <w:ind w:left="3339" w:hanging="360"/>
      </w:pPr>
      <w:rPr>
        <w:rFonts w:ascii="Symbol" w:hAnsi="Symbol" w:hint="default"/>
      </w:rPr>
    </w:lvl>
    <w:lvl w:ilvl="7" w:tplc="04090003" w:tentative="1">
      <w:start w:val="1"/>
      <w:numFmt w:val="bullet"/>
      <w:lvlText w:val="o"/>
      <w:lvlJc w:val="left"/>
      <w:pPr>
        <w:ind w:left="4059" w:hanging="360"/>
      </w:pPr>
      <w:rPr>
        <w:rFonts w:ascii="Courier New" w:hAnsi="Courier New" w:cs="Courier New" w:hint="default"/>
      </w:rPr>
    </w:lvl>
    <w:lvl w:ilvl="8" w:tplc="04090005" w:tentative="1">
      <w:start w:val="1"/>
      <w:numFmt w:val="bullet"/>
      <w:lvlText w:val=""/>
      <w:lvlJc w:val="left"/>
      <w:pPr>
        <w:ind w:left="4779" w:hanging="360"/>
      </w:pPr>
      <w:rPr>
        <w:rFonts w:ascii="Wingdings" w:hAnsi="Wingdings" w:hint="default"/>
      </w:r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ED51C3"/>
    <w:multiLevelType w:val="hybridMultilevel"/>
    <w:tmpl w:val="DD1892DC"/>
    <w:lvl w:ilvl="0" w:tplc="A5D8022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F15B9"/>
    <w:multiLevelType w:val="hybridMultilevel"/>
    <w:tmpl w:val="E4508656"/>
    <w:lvl w:ilvl="0" w:tplc="9EC6A378">
      <w:start w:val="16"/>
      <w:numFmt w:val="bullet"/>
      <w:lvlText w:val="-"/>
      <w:lvlJc w:val="left"/>
      <w:pPr>
        <w:ind w:left="630" w:hanging="360"/>
      </w:pPr>
      <w:rPr>
        <w:rFonts w:ascii="Arial" w:eastAsia="SimSu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5A6336"/>
    <w:multiLevelType w:val="hybridMultilevel"/>
    <w:tmpl w:val="AD0878A4"/>
    <w:lvl w:ilvl="0" w:tplc="7C5E9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815E00"/>
    <w:multiLevelType w:val="hybridMultilevel"/>
    <w:tmpl w:val="F66E5C4A"/>
    <w:lvl w:ilvl="0" w:tplc="99D4CB10">
      <w:numFmt w:val="bullet"/>
      <w:lvlText w:val="–"/>
      <w:lvlJc w:val="left"/>
      <w:pPr>
        <w:ind w:left="930" w:hanging="360"/>
      </w:pPr>
      <w:rPr>
        <w:rFonts w:ascii="Arial" w:eastAsia="MS Mincho"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9"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30" w15:restartNumberingAfterBreak="0">
    <w:nsid w:val="59D05924"/>
    <w:multiLevelType w:val="hybridMultilevel"/>
    <w:tmpl w:val="9A58A6CE"/>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D57AF9"/>
    <w:multiLevelType w:val="hybridMultilevel"/>
    <w:tmpl w:val="8140E46C"/>
    <w:lvl w:ilvl="0" w:tplc="99D4CB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26D9B"/>
    <w:multiLevelType w:val="hybridMultilevel"/>
    <w:tmpl w:val="29D89ECC"/>
    <w:lvl w:ilvl="0" w:tplc="A5D80226">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3" w15:restartNumberingAfterBreak="0">
    <w:nsid w:val="67ED3B79"/>
    <w:multiLevelType w:val="hybridMultilevel"/>
    <w:tmpl w:val="C13EF238"/>
    <w:lvl w:ilvl="0" w:tplc="BA1E8CF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FC5E0A"/>
    <w:multiLevelType w:val="hybridMultilevel"/>
    <w:tmpl w:val="DF5EC2E4"/>
    <w:lvl w:ilvl="0" w:tplc="1FB2565E">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5" w15:restartNumberingAfterBreak="0">
    <w:nsid w:val="7072063B"/>
    <w:multiLevelType w:val="hybridMultilevel"/>
    <w:tmpl w:val="902EA596"/>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FE470E"/>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7" w15:restartNumberingAfterBreak="0">
    <w:nsid w:val="7A9215BE"/>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EC7044"/>
    <w:multiLevelType w:val="hybridMultilevel"/>
    <w:tmpl w:val="22127A4A"/>
    <w:lvl w:ilvl="0" w:tplc="99D4CB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9C514A"/>
    <w:multiLevelType w:val="hybridMultilevel"/>
    <w:tmpl w:val="75888666"/>
    <w:lvl w:ilvl="0" w:tplc="C938EE6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23"/>
  </w:num>
  <w:num w:numId="3">
    <w:abstractNumId w:val="0"/>
  </w:num>
  <w:num w:numId="4">
    <w:abstractNumId w:val="26"/>
  </w:num>
  <w:num w:numId="5">
    <w:abstractNumId w:val="1"/>
  </w:num>
  <w:num w:numId="6">
    <w:abstractNumId w:val="10"/>
  </w:num>
  <w:num w:numId="7">
    <w:abstractNumId w:val="16"/>
  </w:num>
  <w:num w:numId="8">
    <w:abstractNumId w:val="36"/>
  </w:num>
  <w:num w:numId="9">
    <w:abstractNumId w:val="34"/>
  </w:num>
  <w:num w:numId="10">
    <w:abstractNumId w:val="5"/>
  </w:num>
  <w:num w:numId="11">
    <w:abstractNumId w:val="11"/>
  </w:num>
  <w:num w:numId="12">
    <w:abstractNumId w:val="37"/>
  </w:num>
  <w:num w:numId="13">
    <w:abstractNumId w:val="9"/>
  </w:num>
  <w:num w:numId="14">
    <w:abstractNumId w:val="35"/>
  </w:num>
  <w:num w:numId="15">
    <w:abstractNumId w:val="30"/>
  </w:num>
  <w:num w:numId="16">
    <w:abstractNumId w:val="13"/>
  </w:num>
  <w:num w:numId="17">
    <w:abstractNumId w:val="2"/>
  </w:num>
  <w:num w:numId="18">
    <w:abstractNumId w:val="19"/>
  </w:num>
  <w:num w:numId="19">
    <w:abstractNumId w:val="22"/>
  </w:num>
  <w:num w:numId="20">
    <w:abstractNumId w:val="6"/>
  </w:num>
  <w:num w:numId="21">
    <w:abstractNumId w:val="18"/>
  </w:num>
  <w:num w:numId="22">
    <w:abstractNumId w:val="4"/>
  </w:num>
  <w:num w:numId="23">
    <w:abstractNumId w:val="1"/>
    <w:lvlOverride w:ilvl="0">
      <w:startOverride w:val="3"/>
    </w:lvlOverride>
  </w:num>
  <w:num w:numId="24">
    <w:abstractNumId w:val="21"/>
  </w:num>
  <w:num w:numId="25">
    <w:abstractNumId w:val="8"/>
  </w:num>
  <w:num w:numId="26">
    <w:abstractNumId w:val="27"/>
  </w:num>
  <w:num w:numId="27">
    <w:abstractNumId w:val="39"/>
  </w:num>
  <w:num w:numId="28">
    <w:abstractNumId w:val="14"/>
  </w:num>
  <w:num w:numId="29">
    <w:abstractNumId w:val="24"/>
  </w:num>
  <w:num w:numId="30">
    <w:abstractNumId w:val="3"/>
  </w:num>
  <w:num w:numId="31">
    <w:abstractNumId w:val="38"/>
  </w:num>
  <w:num w:numId="32">
    <w:abstractNumId w:val="17"/>
  </w:num>
  <w:num w:numId="33">
    <w:abstractNumId w:val="31"/>
  </w:num>
  <w:num w:numId="34">
    <w:abstractNumId w:val="1"/>
  </w:num>
  <w:num w:numId="35">
    <w:abstractNumId w:val="25"/>
  </w:num>
  <w:num w:numId="36">
    <w:abstractNumId w:val="1"/>
  </w:num>
  <w:num w:numId="37">
    <w:abstractNumId w:val="29"/>
  </w:num>
  <w:num w:numId="38">
    <w:abstractNumId w:val="15"/>
  </w:num>
  <w:num w:numId="39">
    <w:abstractNumId w:val="28"/>
  </w:num>
  <w:num w:numId="40">
    <w:abstractNumId w:val="32"/>
  </w:num>
  <w:num w:numId="41">
    <w:abstractNumId w:val="33"/>
  </w:num>
  <w:num w:numId="42">
    <w:abstractNumId w:val="20"/>
  </w:num>
  <w:num w:numId="43">
    <w:abstractNumId w:val="12"/>
  </w:num>
  <w:num w:numId="44">
    <w:abstractNumId w:val="1"/>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06003"/>
    <w:rsid w:val="00007F08"/>
    <w:rsid w:val="000103FF"/>
    <w:rsid w:val="00011C1F"/>
    <w:rsid w:val="000122EF"/>
    <w:rsid w:val="00014225"/>
    <w:rsid w:val="00014A54"/>
    <w:rsid w:val="00016F4F"/>
    <w:rsid w:val="00021DA8"/>
    <w:rsid w:val="00022393"/>
    <w:rsid w:val="00023367"/>
    <w:rsid w:val="000312DE"/>
    <w:rsid w:val="00031452"/>
    <w:rsid w:val="00036CDC"/>
    <w:rsid w:val="00036D8F"/>
    <w:rsid w:val="00040663"/>
    <w:rsid w:val="0004311D"/>
    <w:rsid w:val="000437BC"/>
    <w:rsid w:val="00043CAA"/>
    <w:rsid w:val="00045915"/>
    <w:rsid w:val="00046985"/>
    <w:rsid w:val="00046F15"/>
    <w:rsid w:val="00047054"/>
    <w:rsid w:val="00053748"/>
    <w:rsid w:val="00055911"/>
    <w:rsid w:val="00055B88"/>
    <w:rsid w:val="000626A5"/>
    <w:rsid w:val="00065DBE"/>
    <w:rsid w:val="00067CA7"/>
    <w:rsid w:val="00070280"/>
    <w:rsid w:val="000752FD"/>
    <w:rsid w:val="00075432"/>
    <w:rsid w:val="00076388"/>
    <w:rsid w:val="00076C1B"/>
    <w:rsid w:val="000816AF"/>
    <w:rsid w:val="00084AC0"/>
    <w:rsid w:val="00086545"/>
    <w:rsid w:val="000870DF"/>
    <w:rsid w:val="00087B15"/>
    <w:rsid w:val="000910A0"/>
    <w:rsid w:val="0009156C"/>
    <w:rsid w:val="00092C37"/>
    <w:rsid w:val="00092C51"/>
    <w:rsid w:val="000939FE"/>
    <w:rsid w:val="000940EC"/>
    <w:rsid w:val="000968ED"/>
    <w:rsid w:val="000A4079"/>
    <w:rsid w:val="000A50DD"/>
    <w:rsid w:val="000A7146"/>
    <w:rsid w:val="000B1CDC"/>
    <w:rsid w:val="000B2477"/>
    <w:rsid w:val="000B2CBA"/>
    <w:rsid w:val="000B45E1"/>
    <w:rsid w:val="000B5F4E"/>
    <w:rsid w:val="000B7668"/>
    <w:rsid w:val="000C0491"/>
    <w:rsid w:val="000C3895"/>
    <w:rsid w:val="000C38FD"/>
    <w:rsid w:val="000C4635"/>
    <w:rsid w:val="000C4E77"/>
    <w:rsid w:val="000D57B7"/>
    <w:rsid w:val="000D5BAE"/>
    <w:rsid w:val="000E0207"/>
    <w:rsid w:val="000E2538"/>
    <w:rsid w:val="000E290E"/>
    <w:rsid w:val="000E32C1"/>
    <w:rsid w:val="000E675A"/>
    <w:rsid w:val="000F1EBB"/>
    <w:rsid w:val="000F24F7"/>
    <w:rsid w:val="000F4798"/>
    <w:rsid w:val="000F5E56"/>
    <w:rsid w:val="000F7ABE"/>
    <w:rsid w:val="00100674"/>
    <w:rsid w:val="00101002"/>
    <w:rsid w:val="00102933"/>
    <w:rsid w:val="0010579E"/>
    <w:rsid w:val="00106BDA"/>
    <w:rsid w:val="00107391"/>
    <w:rsid w:val="001100F9"/>
    <w:rsid w:val="00110B00"/>
    <w:rsid w:val="00110E25"/>
    <w:rsid w:val="0011188B"/>
    <w:rsid w:val="00111FCF"/>
    <w:rsid w:val="00111FF9"/>
    <w:rsid w:val="00112C02"/>
    <w:rsid w:val="00117964"/>
    <w:rsid w:val="0012228D"/>
    <w:rsid w:val="00122484"/>
    <w:rsid w:val="001228E6"/>
    <w:rsid w:val="00122F68"/>
    <w:rsid w:val="00125399"/>
    <w:rsid w:val="00131C25"/>
    <w:rsid w:val="00135817"/>
    <w:rsid w:val="00136120"/>
    <w:rsid w:val="001362EE"/>
    <w:rsid w:val="00136B76"/>
    <w:rsid w:val="00136FD4"/>
    <w:rsid w:val="001405F6"/>
    <w:rsid w:val="00140FBB"/>
    <w:rsid w:val="00145C7B"/>
    <w:rsid w:val="00146127"/>
    <w:rsid w:val="0015155C"/>
    <w:rsid w:val="001523A9"/>
    <w:rsid w:val="0015296C"/>
    <w:rsid w:val="0015457F"/>
    <w:rsid w:val="00156127"/>
    <w:rsid w:val="00157CB8"/>
    <w:rsid w:val="00163020"/>
    <w:rsid w:val="001651F4"/>
    <w:rsid w:val="001659B9"/>
    <w:rsid w:val="0016754F"/>
    <w:rsid w:val="0017476B"/>
    <w:rsid w:val="0017714E"/>
    <w:rsid w:val="001772B6"/>
    <w:rsid w:val="00180B57"/>
    <w:rsid w:val="00180F56"/>
    <w:rsid w:val="0018147A"/>
    <w:rsid w:val="001832A6"/>
    <w:rsid w:val="001860DE"/>
    <w:rsid w:val="0019562D"/>
    <w:rsid w:val="001A24A6"/>
    <w:rsid w:val="001A4488"/>
    <w:rsid w:val="001A72E9"/>
    <w:rsid w:val="001A79F1"/>
    <w:rsid w:val="001B176D"/>
    <w:rsid w:val="001B4DA4"/>
    <w:rsid w:val="001B5E58"/>
    <w:rsid w:val="001B6149"/>
    <w:rsid w:val="001B6993"/>
    <w:rsid w:val="001B73E7"/>
    <w:rsid w:val="001C1DA6"/>
    <w:rsid w:val="001C41EE"/>
    <w:rsid w:val="001C52A9"/>
    <w:rsid w:val="001C5339"/>
    <w:rsid w:val="001C69D8"/>
    <w:rsid w:val="001C7FBE"/>
    <w:rsid w:val="001D0A78"/>
    <w:rsid w:val="001D437F"/>
    <w:rsid w:val="001D5374"/>
    <w:rsid w:val="001E1BA6"/>
    <w:rsid w:val="001E2633"/>
    <w:rsid w:val="001E2BBC"/>
    <w:rsid w:val="001F038F"/>
    <w:rsid w:val="001F12CE"/>
    <w:rsid w:val="001F236C"/>
    <w:rsid w:val="001F38A0"/>
    <w:rsid w:val="001F3B07"/>
    <w:rsid w:val="001F4551"/>
    <w:rsid w:val="002031CD"/>
    <w:rsid w:val="002049F4"/>
    <w:rsid w:val="002064AC"/>
    <w:rsid w:val="00206BBD"/>
    <w:rsid w:val="00207850"/>
    <w:rsid w:val="00212F41"/>
    <w:rsid w:val="002133E8"/>
    <w:rsid w:val="00215BAC"/>
    <w:rsid w:val="00215DEE"/>
    <w:rsid w:val="00216087"/>
    <w:rsid w:val="00216AFB"/>
    <w:rsid w:val="0021717F"/>
    <w:rsid w:val="00221E91"/>
    <w:rsid w:val="00222297"/>
    <w:rsid w:val="00222D72"/>
    <w:rsid w:val="00231625"/>
    <w:rsid w:val="00232E14"/>
    <w:rsid w:val="002342D6"/>
    <w:rsid w:val="00234EB9"/>
    <w:rsid w:val="0023635E"/>
    <w:rsid w:val="00236D3B"/>
    <w:rsid w:val="00236DF8"/>
    <w:rsid w:val="002415F1"/>
    <w:rsid w:val="00243332"/>
    <w:rsid w:val="00243B94"/>
    <w:rsid w:val="002440CD"/>
    <w:rsid w:val="0024453F"/>
    <w:rsid w:val="0024626D"/>
    <w:rsid w:val="00246E94"/>
    <w:rsid w:val="0025164C"/>
    <w:rsid w:val="00252C00"/>
    <w:rsid w:val="00254B96"/>
    <w:rsid w:val="00256AF3"/>
    <w:rsid w:val="002602E3"/>
    <w:rsid w:val="002634C4"/>
    <w:rsid w:val="00263694"/>
    <w:rsid w:val="00264445"/>
    <w:rsid w:val="00270791"/>
    <w:rsid w:val="00270AC3"/>
    <w:rsid w:val="00270C47"/>
    <w:rsid w:val="00271472"/>
    <w:rsid w:val="0027216D"/>
    <w:rsid w:val="0027218F"/>
    <w:rsid w:val="002737A1"/>
    <w:rsid w:val="0027597C"/>
    <w:rsid w:val="0027705A"/>
    <w:rsid w:val="0027745A"/>
    <w:rsid w:val="002774D7"/>
    <w:rsid w:val="0028057C"/>
    <w:rsid w:val="00280A4B"/>
    <w:rsid w:val="002830D0"/>
    <w:rsid w:val="0028372B"/>
    <w:rsid w:val="002846F0"/>
    <w:rsid w:val="0028601A"/>
    <w:rsid w:val="002870EC"/>
    <w:rsid w:val="0028752D"/>
    <w:rsid w:val="002928D3"/>
    <w:rsid w:val="00292BEA"/>
    <w:rsid w:val="002945BA"/>
    <w:rsid w:val="00295C98"/>
    <w:rsid w:val="00296D7E"/>
    <w:rsid w:val="002971C0"/>
    <w:rsid w:val="00297CFB"/>
    <w:rsid w:val="002A0C4C"/>
    <w:rsid w:val="002A5F21"/>
    <w:rsid w:val="002A68BA"/>
    <w:rsid w:val="002A7BC0"/>
    <w:rsid w:val="002B2198"/>
    <w:rsid w:val="002B2CA1"/>
    <w:rsid w:val="002B3EFB"/>
    <w:rsid w:val="002C4078"/>
    <w:rsid w:val="002C6634"/>
    <w:rsid w:val="002D1FD9"/>
    <w:rsid w:val="002E15DA"/>
    <w:rsid w:val="002E21CD"/>
    <w:rsid w:val="002E501A"/>
    <w:rsid w:val="002E6840"/>
    <w:rsid w:val="002F1A15"/>
    <w:rsid w:val="002F1FE6"/>
    <w:rsid w:val="002F2BA3"/>
    <w:rsid w:val="002F2CC5"/>
    <w:rsid w:val="002F39DF"/>
    <w:rsid w:val="002F4BC7"/>
    <w:rsid w:val="002F4E68"/>
    <w:rsid w:val="002F54D3"/>
    <w:rsid w:val="002F59B0"/>
    <w:rsid w:val="002F61DC"/>
    <w:rsid w:val="003001FB"/>
    <w:rsid w:val="00305494"/>
    <w:rsid w:val="00306FC3"/>
    <w:rsid w:val="00307190"/>
    <w:rsid w:val="003073B9"/>
    <w:rsid w:val="00307E01"/>
    <w:rsid w:val="00312F7F"/>
    <w:rsid w:val="00314439"/>
    <w:rsid w:val="00316067"/>
    <w:rsid w:val="00316E56"/>
    <w:rsid w:val="00317E65"/>
    <w:rsid w:val="00321B37"/>
    <w:rsid w:val="0032307E"/>
    <w:rsid w:val="00323AA8"/>
    <w:rsid w:val="00323DE0"/>
    <w:rsid w:val="00325429"/>
    <w:rsid w:val="00332BB2"/>
    <w:rsid w:val="00335EA3"/>
    <w:rsid w:val="003363CA"/>
    <w:rsid w:val="00343D7E"/>
    <w:rsid w:val="003442EC"/>
    <w:rsid w:val="003448DA"/>
    <w:rsid w:val="00351CAC"/>
    <w:rsid w:val="003547CD"/>
    <w:rsid w:val="00354E43"/>
    <w:rsid w:val="0035701F"/>
    <w:rsid w:val="0036114B"/>
    <w:rsid w:val="00361346"/>
    <w:rsid w:val="00361450"/>
    <w:rsid w:val="003653F6"/>
    <w:rsid w:val="00365C54"/>
    <w:rsid w:val="0036648E"/>
    <w:rsid w:val="00366649"/>
    <w:rsid w:val="003673CF"/>
    <w:rsid w:val="0036747C"/>
    <w:rsid w:val="003705FB"/>
    <w:rsid w:val="00371EF6"/>
    <w:rsid w:val="003736C0"/>
    <w:rsid w:val="00373E8B"/>
    <w:rsid w:val="003748A9"/>
    <w:rsid w:val="00374A94"/>
    <w:rsid w:val="00375320"/>
    <w:rsid w:val="00375DFA"/>
    <w:rsid w:val="00376DA2"/>
    <w:rsid w:val="00377D99"/>
    <w:rsid w:val="003815AD"/>
    <w:rsid w:val="0038255F"/>
    <w:rsid w:val="00383722"/>
    <w:rsid w:val="003845C1"/>
    <w:rsid w:val="0038577E"/>
    <w:rsid w:val="00386DEF"/>
    <w:rsid w:val="003874D9"/>
    <w:rsid w:val="00392A82"/>
    <w:rsid w:val="00393FE8"/>
    <w:rsid w:val="00395959"/>
    <w:rsid w:val="003965CF"/>
    <w:rsid w:val="00396D7E"/>
    <w:rsid w:val="00397196"/>
    <w:rsid w:val="00397A87"/>
    <w:rsid w:val="00397C27"/>
    <w:rsid w:val="00397F0E"/>
    <w:rsid w:val="003A6F89"/>
    <w:rsid w:val="003A79BF"/>
    <w:rsid w:val="003A7FE2"/>
    <w:rsid w:val="003B23AF"/>
    <w:rsid w:val="003B2D31"/>
    <w:rsid w:val="003B38C1"/>
    <w:rsid w:val="003B588B"/>
    <w:rsid w:val="003C12A2"/>
    <w:rsid w:val="003C1C31"/>
    <w:rsid w:val="003C28B8"/>
    <w:rsid w:val="003C5432"/>
    <w:rsid w:val="003D03BF"/>
    <w:rsid w:val="003D1198"/>
    <w:rsid w:val="003D299B"/>
    <w:rsid w:val="003D2C3F"/>
    <w:rsid w:val="003D3B55"/>
    <w:rsid w:val="003D4510"/>
    <w:rsid w:val="003D4B95"/>
    <w:rsid w:val="003D554F"/>
    <w:rsid w:val="003D5B85"/>
    <w:rsid w:val="003D69A6"/>
    <w:rsid w:val="003E18C8"/>
    <w:rsid w:val="003E2CED"/>
    <w:rsid w:val="003E46B3"/>
    <w:rsid w:val="003E53E6"/>
    <w:rsid w:val="003F0931"/>
    <w:rsid w:val="003F20B7"/>
    <w:rsid w:val="003F2114"/>
    <w:rsid w:val="003F3CE2"/>
    <w:rsid w:val="003F3D85"/>
    <w:rsid w:val="003F7702"/>
    <w:rsid w:val="00400C15"/>
    <w:rsid w:val="004026A7"/>
    <w:rsid w:val="00404318"/>
    <w:rsid w:val="00406AFC"/>
    <w:rsid w:val="00406D8C"/>
    <w:rsid w:val="0041021D"/>
    <w:rsid w:val="004114B5"/>
    <w:rsid w:val="00413A57"/>
    <w:rsid w:val="00414DE5"/>
    <w:rsid w:val="0041692D"/>
    <w:rsid w:val="00422790"/>
    <w:rsid w:val="00423990"/>
    <w:rsid w:val="00423E3E"/>
    <w:rsid w:val="0042446F"/>
    <w:rsid w:val="00427AF4"/>
    <w:rsid w:val="0043062B"/>
    <w:rsid w:val="004330F9"/>
    <w:rsid w:val="00440B41"/>
    <w:rsid w:val="00440D4F"/>
    <w:rsid w:val="00440F7C"/>
    <w:rsid w:val="00441A99"/>
    <w:rsid w:val="00444893"/>
    <w:rsid w:val="004461BC"/>
    <w:rsid w:val="0044750D"/>
    <w:rsid w:val="00447F7B"/>
    <w:rsid w:val="004632FD"/>
    <w:rsid w:val="0046347A"/>
    <w:rsid w:val="00463FA2"/>
    <w:rsid w:val="00464402"/>
    <w:rsid w:val="004647DA"/>
    <w:rsid w:val="00464C2C"/>
    <w:rsid w:val="00467504"/>
    <w:rsid w:val="004705BE"/>
    <w:rsid w:val="00470B00"/>
    <w:rsid w:val="00470F65"/>
    <w:rsid w:val="00474062"/>
    <w:rsid w:val="00477D6B"/>
    <w:rsid w:val="00484BA9"/>
    <w:rsid w:val="00486CBB"/>
    <w:rsid w:val="00487844"/>
    <w:rsid w:val="00490300"/>
    <w:rsid w:val="004909BB"/>
    <w:rsid w:val="0049145A"/>
    <w:rsid w:val="00497DBE"/>
    <w:rsid w:val="004A1507"/>
    <w:rsid w:val="004A1EAC"/>
    <w:rsid w:val="004A30DC"/>
    <w:rsid w:val="004A4222"/>
    <w:rsid w:val="004A4F56"/>
    <w:rsid w:val="004A6B2E"/>
    <w:rsid w:val="004B0149"/>
    <w:rsid w:val="004B2B23"/>
    <w:rsid w:val="004B3A8C"/>
    <w:rsid w:val="004B60EB"/>
    <w:rsid w:val="004C0818"/>
    <w:rsid w:val="004C2797"/>
    <w:rsid w:val="004D0E6F"/>
    <w:rsid w:val="004D1BF3"/>
    <w:rsid w:val="004D2CCE"/>
    <w:rsid w:val="004D426B"/>
    <w:rsid w:val="004D42C2"/>
    <w:rsid w:val="004D4F4E"/>
    <w:rsid w:val="004D7439"/>
    <w:rsid w:val="004E2151"/>
    <w:rsid w:val="004E6B5D"/>
    <w:rsid w:val="004F0597"/>
    <w:rsid w:val="004F07A7"/>
    <w:rsid w:val="004F0A8B"/>
    <w:rsid w:val="004F0E54"/>
    <w:rsid w:val="004F31BC"/>
    <w:rsid w:val="004F4153"/>
    <w:rsid w:val="004F7DA7"/>
    <w:rsid w:val="00500492"/>
    <w:rsid w:val="005019FF"/>
    <w:rsid w:val="00503DB7"/>
    <w:rsid w:val="00505BF6"/>
    <w:rsid w:val="00506579"/>
    <w:rsid w:val="005066BF"/>
    <w:rsid w:val="00507B01"/>
    <w:rsid w:val="00507B33"/>
    <w:rsid w:val="00511AEA"/>
    <w:rsid w:val="00512092"/>
    <w:rsid w:val="00515195"/>
    <w:rsid w:val="005156E7"/>
    <w:rsid w:val="00517230"/>
    <w:rsid w:val="00517620"/>
    <w:rsid w:val="0052329F"/>
    <w:rsid w:val="00526284"/>
    <w:rsid w:val="00526B3F"/>
    <w:rsid w:val="0053057A"/>
    <w:rsid w:val="00530D34"/>
    <w:rsid w:val="00530E2F"/>
    <w:rsid w:val="00532CD6"/>
    <w:rsid w:val="00533D0F"/>
    <w:rsid w:val="00535A7D"/>
    <w:rsid w:val="00536008"/>
    <w:rsid w:val="00536882"/>
    <w:rsid w:val="00536A79"/>
    <w:rsid w:val="00536E94"/>
    <w:rsid w:val="00537ED8"/>
    <w:rsid w:val="0054150D"/>
    <w:rsid w:val="00545B9A"/>
    <w:rsid w:val="00547CB0"/>
    <w:rsid w:val="005514A8"/>
    <w:rsid w:val="005524F2"/>
    <w:rsid w:val="00552541"/>
    <w:rsid w:val="005533B5"/>
    <w:rsid w:val="00553A15"/>
    <w:rsid w:val="00555155"/>
    <w:rsid w:val="00560A29"/>
    <w:rsid w:val="005617F0"/>
    <w:rsid w:val="00565FD0"/>
    <w:rsid w:val="00566FB3"/>
    <w:rsid w:val="00572913"/>
    <w:rsid w:val="00572C28"/>
    <w:rsid w:val="00572FDD"/>
    <w:rsid w:val="00574923"/>
    <w:rsid w:val="00575771"/>
    <w:rsid w:val="00576511"/>
    <w:rsid w:val="005819D3"/>
    <w:rsid w:val="005832F9"/>
    <w:rsid w:val="005852EB"/>
    <w:rsid w:val="0058532B"/>
    <w:rsid w:val="00586377"/>
    <w:rsid w:val="00591D1C"/>
    <w:rsid w:val="00592A83"/>
    <w:rsid w:val="00594A30"/>
    <w:rsid w:val="00597066"/>
    <w:rsid w:val="005A142B"/>
    <w:rsid w:val="005A3B20"/>
    <w:rsid w:val="005A41C6"/>
    <w:rsid w:val="005A44C8"/>
    <w:rsid w:val="005A7A00"/>
    <w:rsid w:val="005B05D8"/>
    <w:rsid w:val="005B1E3E"/>
    <w:rsid w:val="005B1F6C"/>
    <w:rsid w:val="005B6896"/>
    <w:rsid w:val="005B6B85"/>
    <w:rsid w:val="005B7D8B"/>
    <w:rsid w:val="005C08F7"/>
    <w:rsid w:val="005C0F8F"/>
    <w:rsid w:val="005C2E38"/>
    <w:rsid w:val="005C306B"/>
    <w:rsid w:val="005C373E"/>
    <w:rsid w:val="005C479F"/>
    <w:rsid w:val="005C6649"/>
    <w:rsid w:val="005C6D0D"/>
    <w:rsid w:val="005D08D7"/>
    <w:rsid w:val="005D0947"/>
    <w:rsid w:val="005D09FB"/>
    <w:rsid w:val="005D1971"/>
    <w:rsid w:val="005D377A"/>
    <w:rsid w:val="005D511A"/>
    <w:rsid w:val="005D6720"/>
    <w:rsid w:val="005E1499"/>
    <w:rsid w:val="005E1738"/>
    <w:rsid w:val="005E1A90"/>
    <w:rsid w:val="005E1B0D"/>
    <w:rsid w:val="005E2B9B"/>
    <w:rsid w:val="005E453E"/>
    <w:rsid w:val="005E56B8"/>
    <w:rsid w:val="005E633F"/>
    <w:rsid w:val="005E6F02"/>
    <w:rsid w:val="005E7065"/>
    <w:rsid w:val="005E7E8A"/>
    <w:rsid w:val="005F1C7E"/>
    <w:rsid w:val="005F2005"/>
    <w:rsid w:val="005F49E1"/>
    <w:rsid w:val="005F6EA1"/>
    <w:rsid w:val="005F72BA"/>
    <w:rsid w:val="005F7350"/>
    <w:rsid w:val="006041E7"/>
    <w:rsid w:val="00605827"/>
    <w:rsid w:val="00606B26"/>
    <w:rsid w:val="0061119A"/>
    <w:rsid w:val="00617A2F"/>
    <w:rsid w:val="006206A7"/>
    <w:rsid w:val="00621C2F"/>
    <w:rsid w:val="00622CE7"/>
    <w:rsid w:val="00622E7E"/>
    <w:rsid w:val="00623EFA"/>
    <w:rsid w:val="00624AD3"/>
    <w:rsid w:val="006255BA"/>
    <w:rsid w:val="0063217F"/>
    <w:rsid w:val="00633E5B"/>
    <w:rsid w:val="00635380"/>
    <w:rsid w:val="00637680"/>
    <w:rsid w:val="006378C7"/>
    <w:rsid w:val="00640101"/>
    <w:rsid w:val="006428CF"/>
    <w:rsid w:val="00646050"/>
    <w:rsid w:val="00647763"/>
    <w:rsid w:val="006508ED"/>
    <w:rsid w:val="00653500"/>
    <w:rsid w:val="0066225C"/>
    <w:rsid w:val="006623AC"/>
    <w:rsid w:val="0066350E"/>
    <w:rsid w:val="00665557"/>
    <w:rsid w:val="006713CA"/>
    <w:rsid w:val="00672A44"/>
    <w:rsid w:val="00673CBF"/>
    <w:rsid w:val="00674BAB"/>
    <w:rsid w:val="00676810"/>
    <w:rsid w:val="00676C5C"/>
    <w:rsid w:val="006800C2"/>
    <w:rsid w:val="00681884"/>
    <w:rsid w:val="006827C2"/>
    <w:rsid w:val="00682871"/>
    <w:rsid w:val="00684CFB"/>
    <w:rsid w:val="0068514C"/>
    <w:rsid w:val="006852B8"/>
    <w:rsid w:val="00687026"/>
    <w:rsid w:val="006876DD"/>
    <w:rsid w:val="006949DA"/>
    <w:rsid w:val="00695E32"/>
    <w:rsid w:val="006A6546"/>
    <w:rsid w:val="006A7903"/>
    <w:rsid w:val="006B3497"/>
    <w:rsid w:val="006B4104"/>
    <w:rsid w:val="006B458D"/>
    <w:rsid w:val="006B77A4"/>
    <w:rsid w:val="006C335F"/>
    <w:rsid w:val="006C38FF"/>
    <w:rsid w:val="006C428E"/>
    <w:rsid w:val="006D0173"/>
    <w:rsid w:val="006D04F6"/>
    <w:rsid w:val="006D1006"/>
    <w:rsid w:val="006D1A0B"/>
    <w:rsid w:val="006D678B"/>
    <w:rsid w:val="006E0806"/>
    <w:rsid w:val="006E20CA"/>
    <w:rsid w:val="006E3CD4"/>
    <w:rsid w:val="006E41F1"/>
    <w:rsid w:val="006E6FA7"/>
    <w:rsid w:val="006F06C5"/>
    <w:rsid w:val="006F1EBB"/>
    <w:rsid w:val="006F24D6"/>
    <w:rsid w:val="00701124"/>
    <w:rsid w:val="007071AA"/>
    <w:rsid w:val="007074F6"/>
    <w:rsid w:val="007113B0"/>
    <w:rsid w:val="0071234D"/>
    <w:rsid w:val="0071291E"/>
    <w:rsid w:val="00712D7C"/>
    <w:rsid w:val="0071343D"/>
    <w:rsid w:val="00714E8A"/>
    <w:rsid w:val="007174A0"/>
    <w:rsid w:val="007177CC"/>
    <w:rsid w:val="00723CF5"/>
    <w:rsid w:val="007252A1"/>
    <w:rsid w:val="0072564F"/>
    <w:rsid w:val="007266B2"/>
    <w:rsid w:val="00730AB3"/>
    <w:rsid w:val="007315D5"/>
    <w:rsid w:val="00735D59"/>
    <w:rsid w:val="00735D69"/>
    <w:rsid w:val="00740D1C"/>
    <w:rsid w:val="007431D6"/>
    <w:rsid w:val="00743D2F"/>
    <w:rsid w:val="00744423"/>
    <w:rsid w:val="00745ED3"/>
    <w:rsid w:val="007479D5"/>
    <w:rsid w:val="00750CA1"/>
    <w:rsid w:val="00754163"/>
    <w:rsid w:val="00756A22"/>
    <w:rsid w:val="0075715A"/>
    <w:rsid w:val="00762883"/>
    <w:rsid w:val="00766F2C"/>
    <w:rsid w:val="007709D7"/>
    <w:rsid w:val="00774786"/>
    <w:rsid w:val="00780A4E"/>
    <w:rsid w:val="007815F3"/>
    <w:rsid w:val="007918F0"/>
    <w:rsid w:val="00791B81"/>
    <w:rsid w:val="007952E0"/>
    <w:rsid w:val="007A0641"/>
    <w:rsid w:val="007A0AE4"/>
    <w:rsid w:val="007A103E"/>
    <w:rsid w:val="007A35EE"/>
    <w:rsid w:val="007A41D4"/>
    <w:rsid w:val="007A48FA"/>
    <w:rsid w:val="007A6B2A"/>
    <w:rsid w:val="007A7574"/>
    <w:rsid w:val="007B10B9"/>
    <w:rsid w:val="007B5D69"/>
    <w:rsid w:val="007C05BA"/>
    <w:rsid w:val="007C0E00"/>
    <w:rsid w:val="007C235E"/>
    <w:rsid w:val="007C329B"/>
    <w:rsid w:val="007D1613"/>
    <w:rsid w:val="007D1DC7"/>
    <w:rsid w:val="007D22EC"/>
    <w:rsid w:val="007D2807"/>
    <w:rsid w:val="007D3895"/>
    <w:rsid w:val="007D3F08"/>
    <w:rsid w:val="007D4002"/>
    <w:rsid w:val="007D48AB"/>
    <w:rsid w:val="007D7142"/>
    <w:rsid w:val="007E0EA5"/>
    <w:rsid w:val="007E1EF8"/>
    <w:rsid w:val="007E40A2"/>
    <w:rsid w:val="007E7A54"/>
    <w:rsid w:val="007E7F07"/>
    <w:rsid w:val="007F03AC"/>
    <w:rsid w:val="007F20C4"/>
    <w:rsid w:val="007F3DC9"/>
    <w:rsid w:val="007F5A39"/>
    <w:rsid w:val="007F62A5"/>
    <w:rsid w:val="007F7070"/>
    <w:rsid w:val="00803987"/>
    <w:rsid w:val="008060A6"/>
    <w:rsid w:val="008101FF"/>
    <w:rsid w:val="00813F49"/>
    <w:rsid w:val="00816D05"/>
    <w:rsid w:val="00820D5E"/>
    <w:rsid w:val="008210B4"/>
    <w:rsid w:val="00822777"/>
    <w:rsid w:val="008246A8"/>
    <w:rsid w:val="008256E7"/>
    <w:rsid w:val="008258C2"/>
    <w:rsid w:val="008259A2"/>
    <w:rsid w:val="0082604D"/>
    <w:rsid w:val="00830EA1"/>
    <w:rsid w:val="00834D1F"/>
    <w:rsid w:val="00840CDD"/>
    <w:rsid w:val="008410F9"/>
    <w:rsid w:val="00842850"/>
    <w:rsid w:val="008451D7"/>
    <w:rsid w:val="0084545D"/>
    <w:rsid w:val="0084597A"/>
    <w:rsid w:val="00852118"/>
    <w:rsid w:val="00854081"/>
    <w:rsid w:val="00854813"/>
    <w:rsid w:val="00857468"/>
    <w:rsid w:val="00857ED1"/>
    <w:rsid w:val="00861FFF"/>
    <w:rsid w:val="0086299D"/>
    <w:rsid w:val="00864755"/>
    <w:rsid w:val="00866A5F"/>
    <w:rsid w:val="00871436"/>
    <w:rsid w:val="008732CD"/>
    <w:rsid w:val="00874097"/>
    <w:rsid w:val="00874942"/>
    <w:rsid w:val="008765B9"/>
    <w:rsid w:val="00877A59"/>
    <w:rsid w:val="008875C6"/>
    <w:rsid w:val="0089020D"/>
    <w:rsid w:val="00891D9E"/>
    <w:rsid w:val="00892ACC"/>
    <w:rsid w:val="00895E76"/>
    <w:rsid w:val="008A2629"/>
    <w:rsid w:val="008A3878"/>
    <w:rsid w:val="008A51E4"/>
    <w:rsid w:val="008A5FAF"/>
    <w:rsid w:val="008A6BF4"/>
    <w:rsid w:val="008B1E35"/>
    <w:rsid w:val="008B2CC1"/>
    <w:rsid w:val="008B4AEB"/>
    <w:rsid w:val="008B60B2"/>
    <w:rsid w:val="008B65B0"/>
    <w:rsid w:val="008B7D33"/>
    <w:rsid w:val="008C2880"/>
    <w:rsid w:val="008C40F6"/>
    <w:rsid w:val="008C7F05"/>
    <w:rsid w:val="008D1530"/>
    <w:rsid w:val="008D1AC1"/>
    <w:rsid w:val="008D2108"/>
    <w:rsid w:val="008D4899"/>
    <w:rsid w:val="008D64BE"/>
    <w:rsid w:val="008D6E54"/>
    <w:rsid w:val="008E01B3"/>
    <w:rsid w:val="008E0B83"/>
    <w:rsid w:val="008F22AA"/>
    <w:rsid w:val="008F3415"/>
    <w:rsid w:val="00901312"/>
    <w:rsid w:val="00901772"/>
    <w:rsid w:val="009021A6"/>
    <w:rsid w:val="009037E5"/>
    <w:rsid w:val="009042A6"/>
    <w:rsid w:val="0090454A"/>
    <w:rsid w:val="0090509F"/>
    <w:rsid w:val="0090615A"/>
    <w:rsid w:val="0090731E"/>
    <w:rsid w:val="009077B6"/>
    <w:rsid w:val="00910B78"/>
    <w:rsid w:val="00916EE2"/>
    <w:rsid w:val="0092006F"/>
    <w:rsid w:val="0092046B"/>
    <w:rsid w:val="0092344D"/>
    <w:rsid w:val="00923A92"/>
    <w:rsid w:val="00923ED2"/>
    <w:rsid w:val="009248C8"/>
    <w:rsid w:val="00924FE4"/>
    <w:rsid w:val="009254C2"/>
    <w:rsid w:val="009301E6"/>
    <w:rsid w:val="00932825"/>
    <w:rsid w:val="00932C36"/>
    <w:rsid w:val="009366EB"/>
    <w:rsid w:val="00937991"/>
    <w:rsid w:val="00940A23"/>
    <w:rsid w:val="00940BEB"/>
    <w:rsid w:val="009411F8"/>
    <w:rsid w:val="00943EAC"/>
    <w:rsid w:val="009447A4"/>
    <w:rsid w:val="00946153"/>
    <w:rsid w:val="0094784D"/>
    <w:rsid w:val="009508B8"/>
    <w:rsid w:val="009555D3"/>
    <w:rsid w:val="00955AF7"/>
    <w:rsid w:val="00956493"/>
    <w:rsid w:val="00956F67"/>
    <w:rsid w:val="00956F83"/>
    <w:rsid w:val="0096075D"/>
    <w:rsid w:val="0096165A"/>
    <w:rsid w:val="00962BA7"/>
    <w:rsid w:val="00963853"/>
    <w:rsid w:val="0096451E"/>
    <w:rsid w:val="00965303"/>
    <w:rsid w:val="00966A22"/>
    <w:rsid w:val="0096722F"/>
    <w:rsid w:val="009675B1"/>
    <w:rsid w:val="00970846"/>
    <w:rsid w:val="00975DB1"/>
    <w:rsid w:val="00977467"/>
    <w:rsid w:val="00980843"/>
    <w:rsid w:val="00982E1D"/>
    <w:rsid w:val="00985EBD"/>
    <w:rsid w:val="009874FE"/>
    <w:rsid w:val="00991C6E"/>
    <w:rsid w:val="00992712"/>
    <w:rsid w:val="009937A3"/>
    <w:rsid w:val="009945E6"/>
    <w:rsid w:val="0099509B"/>
    <w:rsid w:val="00996659"/>
    <w:rsid w:val="0099674C"/>
    <w:rsid w:val="00996F03"/>
    <w:rsid w:val="0099711F"/>
    <w:rsid w:val="009A002B"/>
    <w:rsid w:val="009A258D"/>
    <w:rsid w:val="009A2683"/>
    <w:rsid w:val="009A2C64"/>
    <w:rsid w:val="009A3307"/>
    <w:rsid w:val="009A6E26"/>
    <w:rsid w:val="009B1E55"/>
    <w:rsid w:val="009B45E7"/>
    <w:rsid w:val="009B6AAB"/>
    <w:rsid w:val="009B6C63"/>
    <w:rsid w:val="009B7099"/>
    <w:rsid w:val="009B71ED"/>
    <w:rsid w:val="009B7637"/>
    <w:rsid w:val="009C12FE"/>
    <w:rsid w:val="009C3A01"/>
    <w:rsid w:val="009D14A3"/>
    <w:rsid w:val="009D46A3"/>
    <w:rsid w:val="009D49A0"/>
    <w:rsid w:val="009D56DB"/>
    <w:rsid w:val="009E0904"/>
    <w:rsid w:val="009E19F9"/>
    <w:rsid w:val="009E2791"/>
    <w:rsid w:val="009E3F6F"/>
    <w:rsid w:val="009E4D91"/>
    <w:rsid w:val="009F00C8"/>
    <w:rsid w:val="009F064C"/>
    <w:rsid w:val="009F24C9"/>
    <w:rsid w:val="009F499F"/>
    <w:rsid w:val="00A00B70"/>
    <w:rsid w:val="00A018D6"/>
    <w:rsid w:val="00A02950"/>
    <w:rsid w:val="00A04566"/>
    <w:rsid w:val="00A0799C"/>
    <w:rsid w:val="00A07B77"/>
    <w:rsid w:val="00A103E2"/>
    <w:rsid w:val="00A10D89"/>
    <w:rsid w:val="00A116D2"/>
    <w:rsid w:val="00A119C0"/>
    <w:rsid w:val="00A14605"/>
    <w:rsid w:val="00A2022A"/>
    <w:rsid w:val="00A2177F"/>
    <w:rsid w:val="00A22CF2"/>
    <w:rsid w:val="00A23340"/>
    <w:rsid w:val="00A235A1"/>
    <w:rsid w:val="00A23E6E"/>
    <w:rsid w:val="00A24EF0"/>
    <w:rsid w:val="00A255AF"/>
    <w:rsid w:val="00A25CE4"/>
    <w:rsid w:val="00A27475"/>
    <w:rsid w:val="00A32C19"/>
    <w:rsid w:val="00A32C2A"/>
    <w:rsid w:val="00A37C1F"/>
    <w:rsid w:val="00A4002C"/>
    <w:rsid w:val="00A42144"/>
    <w:rsid w:val="00A422FE"/>
    <w:rsid w:val="00A42DAF"/>
    <w:rsid w:val="00A43D38"/>
    <w:rsid w:val="00A44CF1"/>
    <w:rsid w:val="00A45BD8"/>
    <w:rsid w:val="00A52B0A"/>
    <w:rsid w:val="00A53CA0"/>
    <w:rsid w:val="00A57BEB"/>
    <w:rsid w:val="00A60D24"/>
    <w:rsid w:val="00A6142B"/>
    <w:rsid w:val="00A63015"/>
    <w:rsid w:val="00A631A3"/>
    <w:rsid w:val="00A64766"/>
    <w:rsid w:val="00A6558D"/>
    <w:rsid w:val="00A6673C"/>
    <w:rsid w:val="00A70CFD"/>
    <w:rsid w:val="00A70D39"/>
    <w:rsid w:val="00A758EA"/>
    <w:rsid w:val="00A75969"/>
    <w:rsid w:val="00A815D6"/>
    <w:rsid w:val="00A82093"/>
    <w:rsid w:val="00A84712"/>
    <w:rsid w:val="00A869B7"/>
    <w:rsid w:val="00A90F8D"/>
    <w:rsid w:val="00A9139E"/>
    <w:rsid w:val="00A93C91"/>
    <w:rsid w:val="00A95450"/>
    <w:rsid w:val="00AA50A6"/>
    <w:rsid w:val="00AA5B24"/>
    <w:rsid w:val="00AA7B8C"/>
    <w:rsid w:val="00AB08B4"/>
    <w:rsid w:val="00AB290D"/>
    <w:rsid w:val="00AB2EE7"/>
    <w:rsid w:val="00AB4772"/>
    <w:rsid w:val="00AB4B2D"/>
    <w:rsid w:val="00AC205C"/>
    <w:rsid w:val="00AC278C"/>
    <w:rsid w:val="00AC4EC0"/>
    <w:rsid w:val="00AC54CE"/>
    <w:rsid w:val="00AD079A"/>
    <w:rsid w:val="00AD3A5A"/>
    <w:rsid w:val="00AD46E1"/>
    <w:rsid w:val="00AD573A"/>
    <w:rsid w:val="00AD5F99"/>
    <w:rsid w:val="00AD6BA7"/>
    <w:rsid w:val="00AD6CBF"/>
    <w:rsid w:val="00AE2EEB"/>
    <w:rsid w:val="00AE55D6"/>
    <w:rsid w:val="00AF0A6B"/>
    <w:rsid w:val="00AF12DD"/>
    <w:rsid w:val="00AF1712"/>
    <w:rsid w:val="00AF3802"/>
    <w:rsid w:val="00AF394F"/>
    <w:rsid w:val="00B004E1"/>
    <w:rsid w:val="00B01124"/>
    <w:rsid w:val="00B026B6"/>
    <w:rsid w:val="00B027A7"/>
    <w:rsid w:val="00B03788"/>
    <w:rsid w:val="00B03DE0"/>
    <w:rsid w:val="00B05A69"/>
    <w:rsid w:val="00B079F8"/>
    <w:rsid w:val="00B1082F"/>
    <w:rsid w:val="00B11028"/>
    <w:rsid w:val="00B118DC"/>
    <w:rsid w:val="00B126E2"/>
    <w:rsid w:val="00B12733"/>
    <w:rsid w:val="00B1555F"/>
    <w:rsid w:val="00B2033B"/>
    <w:rsid w:val="00B22637"/>
    <w:rsid w:val="00B24B3C"/>
    <w:rsid w:val="00B26D21"/>
    <w:rsid w:val="00B35748"/>
    <w:rsid w:val="00B40D1F"/>
    <w:rsid w:val="00B40F62"/>
    <w:rsid w:val="00B4706C"/>
    <w:rsid w:val="00B50CF7"/>
    <w:rsid w:val="00B50EAB"/>
    <w:rsid w:val="00B52AF3"/>
    <w:rsid w:val="00B52DCA"/>
    <w:rsid w:val="00B52DD0"/>
    <w:rsid w:val="00B536EF"/>
    <w:rsid w:val="00B572C3"/>
    <w:rsid w:val="00B632EB"/>
    <w:rsid w:val="00B63934"/>
    <w:rsid w:val="00B66694"/>
    <w:rsid w:val="00B70B9F"/>
    <w:rsid w:val="00B7115A"/>
    <w:rsid w:val="00B71C4B"/>
    <w:rsid w:val="00B75F93"/>
    <w:rsid w:val="00B80128"/>
    <w:rsid w:val="00B813FE"/>
    <w:rsid w:val="00B81B0D"/>
    <w:rsid w:val="00B82420"/>
    <w:rsid w:val="00B828B8"/>
    <w:rsid w:val="00B8384B"/>
    <w:rsid w:val="00B84F3B"/>
    <w:rsid w:val="00B86D41"/>
    <w:rsid w:val="00B91667"/>
    <w:rsid w:val="00B91794"/>
    <w:rsid w:val="00B969EA"/>
    <w:rsid w:val="00B9734B"/>
    <w:rsid w:val="00BA2854"/>
    <w:rsid w:val="00BA53AA"/>
    <w:rsid w:val="00BA555E"/>
    <w:rsid w:val="00BA6237"/>
    <w:rsid w:val="00BA6255"/>
    <w:rsid w:val="00BB5A7E"/>
    <w:rsid w:val="00BB5E8D"/>
    <w:rsid w:val="00BB7026"/>
    <w:rsid w:val="00BB7B6C"/>
    <w:rsid w:val="00BC2C22"/>
    <w:rsid w:val="00BC4326"/>
    <w:rsid w:val="00BC47CF"/>
    <w:rsid w:val="00BC48B7"/>
    <w:rsid w:val="00BC57E9"/>
    <w:rsid w:val="00BD00DC"/>
    <w:rsid w:val="00BD11A4"/>
    <w:rsid w:val="00BD3EEA"/>
    <w:rsid w:val="00BD503A"/>
    <w:rsid w:val="00BE16C7"/>
    <w:rsid w:val="00BE2E49"/>
    <w:rsid w:val="00BE58A4"/>
    <w:rsid w:val="00BE5FFF"/>
    <w:rsid w:val="00BE6DDD"/>
    <w:rsid w:val="00BF0506"/>
    <w:rsid w:val="00BF05B4"/>
    <w:rsid w:val="00BF14B7"/>
    <w:rsid w:val="00BF1675"/>
    <w:rsid w:val="00BF392A"/>
    <w:rsid w:val="00BF3939"/>
    <w:rsid w:val="00BF4E6B"/>
    <w:rsid w:val="00BF6E54"/>
    <w:rsid w:val="00C00338"/>
    <w:rsid w:val="00C03030"/>
    <w:rsid w:val="00C03372"/>
    <w:rsid w:val="00C050FC"/>
    <w:rsid w:val="00C05BFA"/>
    <w:rsid w:val="00C11BFE"/>
    <w:rsid w:val="00C12061"/>
    <w:rsid w:val="00C12D82"/>
    <w:rsid w:val="00C13DF7"/>
    <w:rsid w:val="00C14039"/>
    <w:rsid w:val="00C14075"/>
    <w:rsid w:val="00C14582"/>
    <w:rsid w:val="00C14D41"/>
    <w:rsid w:val="00C14EF1"/>
    <w:rsid w:val="00C200B5"/>
    <w:rsid w:val="00C21500"/>
    <w:rsid w:val="00C224C3"/>
    <w:rsid w:val="00C25398"/>
    <w:rsid w:val="00C2714B"/>
    <w:rsid w:val="00C31CE5"/>
    <w:rsid w:val="00C3538C"/>
    <w:rsid w:val="00C35CB2"/>
    <w:rsid w:val="00C365F9"/>
    <w:rsid w:val="00C44E43"/>
    <w:rsid w:val="00C4502B"/>
    <w:rsid w:val="00C505DA"/>
    <w:rsid w:val="00C51317"/>
    <w:rsid w:val="00C51883"/>
    <w:rsid w:val="00C5320A"/>
    <w:rsid w:val="00C55161"/>
    <w:rsid w:val="00C554D5"/>
    <w:rsid w:val="00C57022"/>
    <w:rsid w:val="00C6022B"/>
    <w:rsid w:val="00C67219"/>
    <w:rsid w:val="00C70A99"/>
    <w:rsid w:val="00C70F7C"/>
    <w:rsid w:val="00C717D0"/>
    <w:rsid w:val="00C71F6A"/>
    <w:rsid w:val="00C72D8D"/>
    <w:rsid w:val="00C72F70"/>
    <w:rsid w:val="00C7480E"/>
    <w:rsid w:val="00C7678E"/>
    <w:rsid w:val="00C76897"/>
    <w:rsid w:val="00C76B2D"/>
    <w:rsid w:val="00C779B4"/>
    <w:rsid w:val="00C811EA"/>
    <w:rsid w:val="00C8197E"/>
    <w:rsid w:val="00C8323F"/>
    <w:rsid w:val="00C834A3"/>
    <w:rsid w:val="00C83EAE"/>
    <w:rsid w:val="00C8500C"/>
    <w:rsid w:val="00C855A6"/>
    <w:rsid w:val="00C860F9"/>
    <w:rsid w:val="00C86702"/>
    <w:rsid w:val="00C9065B"/>
    <w:rsid w:val="00C90A9B"/>
    <w:rsid w:val="00C93001"/>
    <w:rsid w:val="00C94210"/>
    <w:rsid w:val="00C96F77"/>
    <w:rsid w:val="00CA02C1"/>
    <w:rsid w:val="00CA1941"/>
    <w:rsid w:val="00CA278B"/>
    <w:rsid w:val="00CA7085"/>
    <w:rsid w:val="00CB22D3"/>
    <w:rsid w:val="00CB2C3E"/>
    <w:rsid w:val="00CB600E"/>
    <w:rsid w:val="00CB7A59"/>
    <w:rsid w:val="00CC0472"/>
    <w:rsid w:val="00CC09CD"/>
    <w:rsid w:val="00CC0D2A"/>
    <w:rsid w:val="00CC15CA"/>
    <w:rsid w:val="00CC406D"/>
    <w:rsid w:val="00CC7BA6"/>
    <w:rsid w:val="00CC7BEF"/>
    <w:rsid w:val="00CD0487"/>
    <w:rsid w:val="00CD1095"/>
    <w:rsid w:val="00CD29D0"/>
    <w:rsid w:val="00CD4EF4"/>
    <w:rsid w:val="00CE0374"/>
    <w:rsid w:val="00CE24AE"/>
    <w:rsid w:val="00CE2680"/>
    <w:rsid w:val="00CE4D7B"/>
    <w:rsid w:val="00CF0D3B"/>
    <w:rsid w:val="00CF29F8"/>
    <w:rsid w:val="00CF7724"/>
    <w:rsid w:val="00D0081B"/>
    <w:rsid w:val="00D03DD8"/>
    <w:rsid w:val="00D048FD"/>
    <w:rsid w:val="00D1145F"/>
    <w:rsid w:val="00D1411E"/>
    <w:rsid w:val="00D1471C"/>
    <w:rsid w:val="00D15332"/>
    <w:rsid w:val="00D15AD6"/>
    <w:rsid w:val="00D177A6"/>
    <w:rsid w:val="00D178DC"/>
    <w:rsid w:val="00D1792B"/>
    <w:rsid w:val="00D17AF8"/>
    <w:rsid w:val="00D22BA4"/>
    <w:rsid w:val="00D22D6F"/>
    <w:rsid w:val="00D23C8A"/>
    <w:rsid w:val="00D25439"/>
    <w:rsid w:val="00D31F26"/>
    <w:rsid w:val="00D33634"/>
    <w:rsid w:val="00D350AB"/>
    <w:rsid w:val="00D42864"/>
    <w:rsid w:val="00D4430B"/>
    <w:rsid w:val="00D45252"/>
    <w:rsid w:val="00D46415"/>
    <w:rsid w:val="00D50FC9"/>
    <w:rsid w:val="00D544D2"/>
    <w:rsid w:val="00D54F03"/>
    <w:rsid w:val="00D56797"/>
    <w:rsid w:val="00D57DD5"/>
    <w:rsid w:val="00D61B80"/>
    <w:rsid w:val="00D62433"/>
    <w:rsid w:val="00D6282E"/>
    <w:rsid w:val="00D62CF6"/>
    <w:rsid w:val="00D64DC8"/>
    <w:rsid w:val="00D67276"/>
    <w:rsid w:val="00D67E2C"/>
    <w:rsid w:val="00D714EA"/>
    <w:rsid w:val="00D71B4D"/>
    <w:rsid w:val="00D7241C"/>
    <w:rsid w:val="00D77260"/>
    <w:rsid w:val="00D816AC"/>
    <w:rsid w:val="00D81873"/>
    <w:rsid w:val="00D82E6E"/>
    <w:rsid w:val="00D85552"/>
    <w:rsid w:val="00D857B0"/>
    <w:rsid w:val="00D85DB6"/>
    <w:rsid w:val="00D87E4C"/>
    <w:rsid w:val="00D87F4E"/>
    <w:rsid w:val="00D87FCE"/>
    <w:rsid w:val="00D916BA"/>
    <w:rsid w:val="00D9170E"/>
    <w:rsid w:val="00D93D55"/>
    <w:rsid w:val="00D93DD3"/>
    <w:rsid w:val="00D9413E"/>
    <w:rsid w:val="00D9548C"/>
    <w:rsid w:val="00DA1685"/>
    <w:rsid w:val="00DA3B7A"/>
    <w:rsid w:val="00DA595C"/>
    <w:rsid w:val="00DB002A"/>
    <w:rsid w:val="00DB4AB2"/>
    <w:rsid w:val="00DB58C9"/>
    <w:rsid w:val="00DC0174"/>
    <w:rsid w:val="00DC046F"/>
    <w:rsid w:val="00DC1782"/>
    <w:rsid w:val="00DC2080"/>
    <w:rsid w:val="00DC344E"/>
    <w:rsid w:val="00DC3E08"/>
    <w:rsid w:val="00DC4268"/>
    <w:rsid w:val="00DC73BE"/>
    <w:rsid w:val="00DD001C"/>
    <w:rsid w:val="00DD0047"/>
    <w:rsid w:val="00DD3426"/>
    <w:rsid w:val="00DD4A84"/>
    <w:rsid w:val="00DE21FD"/>
    <w:rsid w:val="00DE28EA"/>
    <w:rsid w:val="00DE6034"/>
    <w:rsid w:val="00DE6DCD"/>
    <w:rsid w:val="00DE7493"/>
    <w:rsid w:val="00DF23E2"/>
    <w:rsid w:val="00DF4696"/>
    <w:rsid w:val="00DF70C2"/>
    <w:rsid w:val="00E00D88"/>
    <w:rsid w:val="00E01767"/>
    <w:rsid w:val="00E02DED"/>
    <w:rsid w:val="00E04350"/>
    <w:rsid w:val="00E066E9"/>
    <w:rsid w:val="00E10EA5"/>
    <w:rsid w:val="00E15CC4"/>
    <w:rsid w:val="00E215EC"/>
    <w:rsid w:val="00E2310C"/>
    <w:rsid w:val="00E245CF"/>
    <w:rsid w:val="00E322F5"/>
    <w:rsid w:val="00E335FE"/>
    <w:rsid w:val="00E33F9C"/>
    <w:rsid w:val="00E35DC8"/>
    <w:rsid w:val="00E41985"/>
    <w:rsid w:val="00E465AD"/>
    <w:rsid w:val="00E5238C"/>
    <w:rsid w:val="00E54F05"/>
    <w:rsid w:val="00E556FE"/>
    <w:rsid w:val="00E57B2A"/>
    <w:rsid w:val="00E605D7"/>
    <w:rsid w:val="00E62FDE"/>
    <w:rsid w:val="00E63361"/>
    <w:rsid w:val="00E63D98"/>
    <w:rsid w:val="00E63E3C"/>
    <w:rsid w:val="00E6540F"/>
    <w:rsid w:val="00E67909"/>
    <w:rsid w:val="00E72E5D"/>
    <w:rsid w:val="00E73D71"/>
    <w:rsid w:val="00E76523"/>
    <w:rsid w:val="00E80B06"/>
    <w:rsid w:val="00E81702"/>
    <w:rsid w:val="00E827B2"/>
    <w:rsid w:val="00E83108"/>
    <w:rsid w:val="00E84E33"/>
    <w:rsid w:val="00E8536E"/>
    <w:rsid w:val="00E853E5"/>
    <w:rsid w:val="00E856D7"/>
    <w:rsid w:val="00E86FA5"/>
    <w:rsid w:val="00E8783B"/>
    <w:rsid w:val="00E93195"/>
    <w:rsid w:val="00E937BA"/>
    <w:rsid w:val="00E94CB2"/>
    <w:rsid w:val="00E955F5"/>
    <w:rsid w:val="00EA03F0"/>
    <w:rsid w:val="00EA0472"/>
    <w:rsid w:val="00EA4385"/>
    <w:rsid w:val="00EB002B"/>
    <w:rsid w:val="00EB117B"/>
    <w:rsid w:val="00EB296D"/>
    <w:rsid w:val="00EB2D9E"/>
    <w:rsid w:val="00EB3214"/>
    <w:rsid w:val="00EB5381"/>
    <w:rsid w:val="00EB71F3"/>
    <w:rsid w:val="00EB7CA4"/>
    <w:rsid w:val="00EC4E49"/>
    <w:rsid w:val="00EC79CC"/>
    <w:rsid w:val="00ED12BE"/>
    <w:rsid w:val="00ED2235"/>
    <w:rsid w:val="00ED49D1"/>
    <w:rsid w:val="00ED6723"/>
    <w:rsid w:val="00ED6B8E"/>
    <w:rsid w:val="00ED77FB"/>
    <w:rsid w:val="00ED7ED8"/>
    <w:rsid w:val="00EE0FF3"/>
    <w:rsid w:val="00EE1CE7"/>
    <w:rsid w:val="00EE45FA"/>
    <w:rsid w:val="00EE4DEA"/>
    <w:rsid w:val="00EE7CCC"/>
    <w:rsid w:val="00EF00C4"/>
    <w:rsid w:val="00EF0732"/>
    <w:rsid w:val="00EF1C36"/>
    <w:rsid w:val="00EF7E92"/>
    <w:rsid w:val="00F0093A"/>
    <w:rsid w:val="00F00BAF"/>
    <w:rsid w:val="00F010B0"/>
    <w:rsid w:val="00F10190"/>
    <w:rsid w:val="00F10B41"/>
    <w:rsid w:val="00F11050"/>
    <w:rsid w:val="00F159D0"/>
    <w:rsid w:val="00F15D76"/>
    <w:rsid w:val="00F17989"/>
    <w:rsid w:val="00F219A1"/>
    <w:rsid w:val="00F236B1"/>
    <w:rsid w:val="00F23F46"/>
    <w:rsid w:val="00F25FAD"/>
    <w:rsid w:val="00F26531"/>
    <w:rsid w:val="00F26947"/>
    <w:rsid w:val="00F31D68"/>
    <w:rsid w:val="00F32973"/>
    <w:rsid w:val="00F33BB0"/>
    <w:rsid w:val="00F4229D"/>
    <w:rsid w:val="00F453D3"/>
    <w:rsid w:val="00F52477"/>
    <w:rsid w:val="00F55F9B"/>
    <w:rsid w:val="00F62683"/>
    <w:rsid w:val="00F626B3"/>
    <w:rsid w:val="00F64C1B"/>
    <w:rsid w:val="00F64F97"/>
    <w:rsid w:val="00F657CF"/>
    <w:rsid w:val="00F66152"/>
    <w:rsid w:val="00F678C3"/>
    <w:rsid w:val="00F716B1"/>
    <w:rsid w:val="00F7372C"/>
    <w:rsid w:val="00F73FBC"/>
    <w:rsid w:val="00F74A90"/>
    <w:rsid w:val="00F804F0"/>
    <w:rsid w:val="00F81130"/>
    <w:rsid w:val="00F848C8"/>
    <w:rsid w:val="00F853D8"/>
    <w:rsid w:val="00F8591D"/>
    <w:rsid w:val="00F87183"/>
    <w:rsid w:val="00F9124E"/>
    <w:rsid w:val="00F91DAF"/>
    <w:rsid w:val="00F934DD"/>
    <w:rsid w:val="00F937E8"/>
    <w:rsid w:val="00F93C53"/>
    <w:rsid w:val="00FA1E9B"/>
    <w:rsid w:val="00FA66AF"/>
    <w:rsid w:val="00FA7E5C"/>
    <w:rsid w:val="00FB2F95"/>
    <w:rsid w:val="00FB3155"/>
    <w:rsid w:val="00FB565C"/>
    <w:rsid w:val="00FB74C4"/>
    <w:rsid w:val="00FC08B0"/>
    <w:rsid w:val="00FC1378"/>
    <w:rsid w:val="00FC23B3"/>
    <w:rsid w:val="00FC7684"/>
    <w:rsid w:val="00FC7B9C"/>
    <w:rsid w:val="00FD4990"/>
    <w:rsid w:val="00FD5D50"/>
    <w:rsid w:val="00FD702B"/>
    <w:rsid w:val="00FE31FD"/>
    <w:rsid w:val="00FE3D45"/>
    <w:rsid w:val="00FE65C7"/>
    <w:rsid w:val="00FE7238"/>
    <w:rsid w:val="00FF040C"/>
    <w:rsid w:val="00FF1730"/>
    <w:rsid w:val="00FF3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66C149C7"/>
  <w15:docId w15:val="{A1C587E0-9F1D-4BD5-A821-1DBDA90A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D0173"/>
    <w:pPr>
      <w:keepNext/>
      <w:spacing w:before="240" w:after="24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9E0904"/>
    <w:pPr>
      <w:outlineLvl w:val="4"/>
    </w:pPr>
    <w:rPr>
      <w:rFonts w:eastAsia="Times New Roman" w:cs="Times New Roman"/>
      <w:lang w:eastAsia="en-US"/>
    </w:rPr>
  </w:style>
  <w:style w:type="paragraph" w:styleId="Heading6">
    <w:name w:val="heading 6"/>
    <w:basedOn w:val="Normal"/>
    <w:next w:val="Normal"/>
    <w:link w:val="Heading6Char"/>
    <w:qFormat/>
    <w:rsid w:val="009E0904"/>
    <w:pPr>
      <w:outlineLvl w:val="5"/>
    </w:pPr>
    <w:rPr>
      <w:rFonts w:eastAsia="Times New Roman" w:cs="Times New Roman"/>
      <w:lang w:eastAsia="en-US"/>
    </w:rPr>
  </w:style>
  <w:style w:type="paragraph" w:styleId="Heading7">
    <w:name w:val="heading 7"/>
    <w:basedOn w:val="Normal"/>
    <w:next w:val="Normal"/>
    <w:link w:val="Heading7Char"/>
    <w:qFormat/>
    <w:rsid w:val="009E0904"/>
    <w:pPr>
      <w:keepNext/>
      <w:keepLines/>
      <w:spacing w:before="80" w:after="60"/>
      <w:outlineLvl w:val="6"/>
    </w:pPr>
    <w:rPr>
      <w:rFonts w:eastAsia="Times New Roman" w:cs="Times New Roman"/>
      <w:b/>
      <w:kern w:val="28"/>
      <w:sz w:val="20"/>
      <w:lang w:eastAsia="en-US"/>
    </w:rPr>
  </w:style>
  <w:style w:type="paragraph" w:styleId="Heading8">
    <w:name w:val="heading 8"/>
    <w:basedOn w:val="Normal"/>
    <w:next w:val="Normal"/>
    <w:link w:val="Heading8Char"/>
    <w:qFormat/>
    <w:rsid w:val="009E0904"/>
    <w:pPr>
      <w:keepNext/>
      <w:keepLines/>
      <w:spacing w:before="80" w:after="60"/>
      <w:outlineLvl w:val="7"/>
    </w:pPr>
    <w:rPr>
      <w:rFonts w:eastAsia="Times New Roman" w:cs="Times New Roman"/>
      <w:i/>
      <w:kern w:val="28"/>
      <w:sz w:val="20"/>
      <w:lang w:eastAsia="en-US"/>
    </w:rPr>
  </w:style>
  <w:style w:type="paragraph" w:styleId="Heading9">
    <w:name w:val="heading 9"/>
    <w:basedOn w:val="Normal"/>
    <w:next w:val="Normal"/>
    <w:link w:val="Heading9Char"/>
    <w:qFormat/>
    <w:rsid w:val="009E0904"/>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D0173"/>
    <w:pPr>
      <w:numPr>
        <w:numId w:val="5"/>
      </w:numPr>
      <w:tabs>
        <w:tab w:val="clear" w:pos="851"/>
        <w:tab w:val="num" w:pos="837"/>
      </w:tabs>
      <w:spacing w:after="220"/>
      <w:ind w:left="27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Heading5Char">
    <w:name w:val="Heading 5 Char"/>
    <w:basedOn w:val="DefaultParagraphFont"/>
    <w:link w:val="Heading5"/>
    <w:rsid w:val="009E0904"/>
    <w:rPr>
      <w:rFonts w:ascii="Arial" w:hAnsi="Arial"/>
      <w:sz w:val="22"/>
    </w:rPr>
  </w:style>
  <w:style w:type="character" w:customStyle="1" w:styleId="Heading6Char">
    <w:name w:val="Heading 6 Char"/>
    <w:basedOn w:val="DefaultParagraphFont"/>
    <w:link w:val="Heading6"/>
    <w:rsid w:val="009E0904"/>
    <w:rPr>
      <w:rFonts w:ascii="Arial" w:hAnsi="Arial"/>
      <w:sz w:val="22"/>
    </w:rPr>
  </w:style>
  <w:style w:type="character" w:customStyle="1" w:styleId="Heading7Char">
    <w:name w:val="Heading 7 Char"/>
    <w:basedOn w:val="DefaultParagraphFont"/>
    <w:link w:val="Heading7"/>
    <w:rsid w:val="009E0904"/>
    <w:rPr>
      <w:rFonts w:ascii="Arial" w:hAnsi="Arial"/>
      <w:b/>
      <w:kern w:val="28"/>
    </w:rPr>
  </w:style>
  <w:style w:type="character" w:customStyle="1" w:styleId="Heading8Char">
    <w:name w:val="Heading 8 Char"/>
    <w:basedOn w:val="DefaultParagraphFont"/>
    <w:link w:val="Heading8"/>
    <w:rsid w:val="009E0904"/>
    <w:rPr>
      <w:rFonts w:ascii="Arial" w:hAnsi="Arial"/>
      <w:i/>
      <w:kern w:val="28"/>
    </w:rPr>
  </w:style>
  <w:style w:type="character" w:customStyle="1" w:styleId="Heading9Char">
    <w:name w:val="Heading 9 Char"/>
    <w:basedOn w:val="DefaultParagraphFont"/>
    <w:link w:val="Heading9"/>
    <w:rsid w:val="009E0904"/>
    <w:rPr>
      <w:rFonts w:ascii="Arial" w:hAnsi="Arial"/>
      <w:i/>
      <w:sz w:val="22"/>
    </w:rPr>
  </w:style>
  <w:style w:type="character" w:customStyle="1" w:styleId="FootnoteTextChar">
    <w:name w:val="Footnote Text Char"/>
    <w:basedOn w:val="DefaultParagraphFont"/>
    <w:link w:val="FootnoteText"/>
    <w:uiPriority w:val="99"/>
    <w:rsid w:val="009E0904"/>
    <w:rPr>
      <w:rFonts w:ascii="Arial" w:eastAsia="SimSun" w:hAnsi="Arial" w:cs="Arial"/>
      <w:sz w:val="18"/>
      <w:lang w:eastAsia="zh-CN"/>
    </w:rPr>
  </w:style>
  <w:style w:type="paragraph" w:customStyle="1" w:styleId="Default">
    <w:name w:val="Default"/>
    <w:rsid w:val="009E0904"/>
    <w:pPr>
      <w:autoSpaceDE w:val="0"/>
      <w:autoSpaceDN w:val="0"/>
      <w:adjustRightInd w:val="0"/>
    </w:pPr>
    <w:rPr>
      <w:rFonts w:ascii="Arial" w:eastAsiaTheme="minorHAnsi" w:hAnsi="Arial" w:cs="Arial"/>
      <w:color w:val="000000"/>
      <w:sz w:val="24"/>
      <w:szCs w:val="24"/>
    </w:rPr>
  </w:style>
  <w:style w:type="character" w:customStyle="1" w:styleId="CommentTextChar">
    <w:name w:val="Comment Text Char"/>
    <w:basedOn w:val="DefaultParagraphFont"/>
    <w:semiHidden/>
    <w:rsid w:val="009E0904"/>
    <w:rPr>
      <w:rFonts w:ascii="Arial" w:eastAsia="SimSun" w:hAnsi="Arial" w:cs="Arial"/>
      <w:sz w:val="18"/>
      <w:lang w:eastAsia="zh-CN"/>
    </w:rPr>
  </w:style>
  <w:style w:type="paragraph" w:styleId="ListParagraph">
    <w:name w:val="List Paragraph"/>
    <w:aliases w:val="First level list"/>
    <w:basedOn w:val="Normal"/>
    <w:link w:val="ListParagraphChar"/>
    <w:uiPriority w:val="34"/>
    <w:qFormat/>
    <w:rsid w:val="009E0904"/>
    <w:pPr>
      <w:ind w:left="720"/>
      <w:contextualSpacing/>
    </w:pPr>
    <w:rPr>
      <w:rFonts w:eastAsia="Times New Roman"/>
      <w:lang w:eastAsia="en-US"/>
    </w:rPr>
  </w:style>
  <w:style w:type="character" w:styleId="Hyperlink">
    <w:name w:val="Hyperlink"/>
    <w:basedOn w:val="DefaultParagraphFont"/>
    <w:unhideWhenUsed/>
    <w:rsid w:val="009E0904"/>
    <w:rPr>
      <w:color w:val="0000FF" w:themeColor="hyperlink"/>
      <w:u w:val="single"/>
    </w:rPr>
  </w:style>
  <w:style w:type="table" w:styleId="TableGrid">
    <w:name w:val="Table Grid"/>
    <w:basedOn w:val="TableNormal"/>
    <w:rsid w:val="009E0904"/>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E0904"/>
    <w:rPr>
      <w:rFonts w:ascii="Arial" w:hAnsi="Arial"/>
      <w:sz w:val="22"/>
    </w:rPr>
  </w:style>
  <w:style w:type="paragraph" w:styleId="BodyTextIndent">
    <w:name w:val="Body Text Indent"/>
    <w:basedOn w:val="Normal"/>
    <w:link w:val="BodyTextIndentChar"/>
    <w:semiHidden/>
    <w:rsid w:val="009E0904"/>
    <w:pPr>
      <w:tabs>
        <w:tab w:val="left" w:pos="567"/>
        <w:tab w:val="left" w:pos="1134"/>
        <w:tab w:val="left" w:pos="1701"/>
        <w:tab w:val="left" w:pos="5670"/>
      </w:tabs>
      <w:ind w:left="567"/>
    </w:pPr>
    <w:rPr>
      <w:rFonts w:eastAsia="Times New Roman" w:cs="Times New Roman"/>
      <w:lang w:eastAsia="en-US"/>
    </w:rPr>
  </w:style>
  <w:style w:type="character" w:customStyle="1" w:styleId="BodyTextIndentChar1">
    <w:name w:val="Body Text Indent Char1"/>
    <w:basedOn w:val="DefaultParagraphFont"/>
    <w:semiHidden/>
    <w:rsid w:val="009E0904"/>
    <w:rPr>
      <w:rFonts w:ascii="Arial" w:eastAsia="SimSun" w:hAnsi="Arial" w:cs="Arial"/>
      <w:sz w:val="22"/>
      <w:lang w:eastAsia="zh-CN"/>
    </w:rPr>
  </w:style>
  <w:style w:type="character" w:customStyle="1" w:styleId="ClosingChar">
    <w:name w:val="Closing Char"/>
    <w:basedOn w:val="DefaultParagraphFont"/>
    <w:link w:val="Closing"/>
    <w:semiHidden/>
    <w:rsid w:val="009E0904"/>
    <w:rPr>
      <w:rFonts w:ascii="Arial" w:hAnsi="Arial"/>
      <w:sz w:val="22"/>
    </w:rPr>
  </w:style>
  <w:style w:type="paragraph" w:styleId="Closing">
    <w:name w:val="Closing"/>
    <w:basedOn w:val="Normal"/>
    <w:link w:val="ClosingChar"/>
    <w:semiHidden/>
    <w:rsid w:val="009E0904"/>
    <w:pPr>
      <w:ind w:left="4253"/>
      <w:jc w:val="center"/>
    </w:pPr>
    <w:rPr>
      <w:rFonts w:eastAsia="Times New Roman" w:cs="Times New Roman"/>
      <w:lang w:eastAsia="en-US"/>
    </w:rPr>
  </w:style>
  <w:style w:type="character" w:customStyle="1" w:styleId="ClosingChar1">
    <w:name w:val="Closing Char1"/>
    <w:basedOn w:val="DefaultParagraphFont"/>
    <w:semiHidden/>
    <w:rsid w:val="009E0904"/>
    <w:rPr>
      <w:rFonts w:ascii="Arial" w:eastAsia="SimSun" w:hAnsi="Arial" w:cs="Arial"/>
      <w:sz w:val="22"/>
      <w:lang w:eastAsia="zh-CN"/>
    </w:rPr>
  </w:style>
  <w:style w:type="character" w:customStyle="1" w:styleId="MacroTextChar">
    <w:name w:val="Macro Text Char"/>
    <w:basedOn w:val="DefaultParagraphFont"/>
    <w:link w:val="MacroText"/>
    <w:semiHidden/>
    <w:rsid w:val="009E0904"/>
    <w:rPr>
      <w:rFonts w:ascii="Courier New" w:hAnsi="Courier New"/>
      <w:sz w:val="16"/>
    </w:rPr>
  </w:style>
  <w:style w:type="paragraph" w:styleId="MacroText">
    <w:name w:val="macro"/>
    <w:link w:val="MacroTextChar"/>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E0904"/>
    <w:rPr>
      <w:rFonts w:ascii="Consolas" w:eastAsia="SimSun" w:hAnsi="Consolas" w:cs="Arial"/>
      <w:lang w:eastAsia="zh-CN"/>
    </w:rPr>
  </w:style>
  <w:style w:type="paragraph" w:styleId="TOC9">
    <w:name w:val="toc 9"/>
    <w:basedOn w:val="Normal"/>
    <w:next w:val="Normal"/>
    <w:semiHidden/>
    <w:rsid w:val="009E0904"/>
    <w:pPr>
      <w:tabs>
        <w:tab w:val="right" w:leader="dot" w:pos="8504"/>
      </w:tabs>
      <w:ind w:left="2080"/>
    </w:pPr>
    <w:rPr>
      <w:rFonts w:eastAsia="Times New Roman" w:cs="Times New Roman"/>
      <w:lang w:eastAsia="en-US"/>
    </w:rPr>
  </w:style>
  <w:style w:type="character" w:styleId="PageNumber">
    <w:name w:val="page number"/>
    <w:basedOn w:val="DefaultParagraphFont"/>
    <w:semiHidden/>
    <w:rsid w:val="009E0904"/>
  </w:style>
  <w:style w:type="paragraph" w:customStyle="1" w:styleId="DateSignatureAligned">
    <w:name w:val="Date / Signature Aligned"/>
    <w:basedOn w:val="Normal"/>
    <w:rsid w:val="009E0904"/>
    <w:pPr>
      <w:ind w:left="5250"/>
    </w:pPr>
  </w:style>
  <w:style w:type="character" w:styleId="Emphasis">
    <w:name w:val="Emphasis"/>
    <w:basedOn w:val="DefaultParagraphFont"/>
    <w:uiPriority w:val="20"/>
    <w:qFormat/>
    <w:rsid w:val="009E0904"/>
    <w:rPr>
      <w:i/>
      <w:iCs/>
    </w:rPr>
  </w:style>
  <w:style w:type="character" w:customStyle="1" w:styleId="CommentSubjectChar">
    <w:name w:val="Comment Subject Char"/>
    <w:basedOn w:val="CommentTextChar"/>
    <w:link w:val="CommentSubject"/>
    <w:semiHidden/>
    <w:rsid w:val="009E0904"/>
    <w:rPr>
      <w:rFonts w:ascii="Arial" w:eastAsia="SimSun" w:hAnsi="Arial" w:cs="Arial"/>
      <w:b/>
      <w:bCs/>
      <w:sz w:val="18"/>
      <w:lang w:eastAsia="zh-CN"/>
    </w:rPr>
  </w:style>
  <w:style w:type="paragraph" w:styleId="CommentSubject">
    <w:name w:val="annotation subject"/>
    <w:basedOn w:val="CommentText"/>
    <w:next w:val="CommentText"/>
    <w:link w:val="CommentSubjectChar"/>
    <w:semiHidden/>
    <w:unhideWhenUsed/>
    <w:rsid w:val="009E0904"/>
    <w:rPr>
      <w:b/>
      <w:bCs/>
    </w:rPr>
  </w:style>
  <w:style w:type="character" w:customStyle="1" w:styleId="CommentTextChar1">
    <w:name w:val="Comment Text Char1"/>
    <w:basedOn w:val="DefaultParagraphFont"/>
    <w:link w:val="CommentText"/>
    <w:semiHidden/>
    <w:rsid w:val="009E0904"/>
    <w:rPr>
      <w:rFonts w:ascii="Arial" w:eastAsia="SimSun" w:hAnsi="Arial" w:cs="Arial"/>
      <w:sz w:val="18"/>
      <w:lang w:eastAsia="zh-CN"/>
    </w:rPr>
  </w:style>
  <w:style w:type="character" w:customStyle="1" w:styleId="CommentSubjectChar1">
    <w:name w:val="Comment Subject Char1"/>
    <w:basedOn w:val="CommentTextChar1"/>
    <w:semiHidden/>
    <w:rsid w:val="009E0904"/>
    <w:rPr>
      <w:rFonts w:ascii="Arial" w:eastAsia="SimSun" w:hAnsi="Arial" w:cs="Arial"/>
      <w:b/>
      <w:bCs/>
      <w:sz w:val="18"/>
      <w:lang w:eastAsia="zh-CN"/>
    </w:rPr>
  </w:style>
  <w:style w:type="character" w:styleId="CommentReference">
    <w:name w:val="annotation reference"/>
    <w:basedOn w:val="DefaultParagraphFont"/>
    <w:unhideWhenUsed/>
    <w:rsid w:val="009E0904"/>
    <w:rPr>
      <w:sz w:val="16"/>
      <w:szCs w:val="16"/>
    </w:rPr>
  </w:style>
  <w:style w:type="paragraph" w:styleId="Revision">
    <w:name w:val="Revision"/>
    <w:hidden/>
    <w:uiPriority w:val="99"/>
    <w:semiHidden/>
    <w:rsid w:val="009E0904"/>
    <w:rPr>
      <w:rFonts w:ascii="Arial" w:eastAsia="SimSun" w:hAnsi="Arial" w:cs="Arial"/>
      <w:sz w:val="22"/>
      <w:lang w:eastAsia="zh-CN"/>
    </w:rPr>
  </w:style>
  <w:style w:type="character" w:customStyle="1" w:styleId="Heading3Char">
    <w:name w:val="Heading 3 Char"/>
    <w:basedOn w:val="DefaultParagraphFont"/>
    <w:link w:val="Heading3"/>
    <w:rsid w:val="000B45E1"/>
    <w:rPr>
      <w:rFonts w:ascii="Arial" w:eastAsia="SimSun" w:hAnsi="Arial" w:cs="Arial"/>
      <w:bCs/>
      <w:sz w:val="22"/>
      <w:szCs w:val="26"/>
      <w:u w:val="single"/>
      <w:lang w:eastAsia="zh-CN"/>
    </w:rPr>
  </w:style>
  <w:style w:type="character" w:customStyle="1" w:styleId="ListParagraphChar">
    <w:name w:val="List Paragraph Char"/>
    <w:aliases w:val="First level list Char"/>
    <w:basedOn w:val="DefaultParagraphFont"/>
    <w:link w:val="ListParagraph"/>
    <w:uiPriority w:val="34"/>
    <w:rsid w:val="00373E8B"/>
    <w:rPr>
      <w:rFonts w:ascii="Arial" w:hAnsi="Arial" w:cs="Arial"/>
      <w:sz w:val="22"/>
    </w:rPr>
  </w:style>
  <w:style w:type="paragraph" w:styleId="BodyText3">
    <w:name w:val="Body Text 3"/>
    <w:basedOn w:val="Normal"/>
    <w:link w:val="BodyText3Char"/>
    <w:semiHidden/>
    <w:unhideWhenUsed/>
    <w:rsid w:val="007315D5"/>
    <w:pPr>
      <w:spacing w:after="120"/>
    </w:pPr>
    <w:rPr>
      <w:sz w:val="16"/>
      <w:szCs w:val="16"/>
    </w:rPr>
  </w:style>
  <w:style w:type="character" w:customStyle="1" w:styleId="BodyText3Char">
    <w:name w:val="Body Text 3 Char"/>
    <w:basedOn w:val="DefaultParagraphFont"/>
    <w:link w:val="BodyText3"/>
    <w:semiHidden/>
    <w:rsid w:val="007315D5"/>
    <w:rPr>
      <w:rFonts w:ascii="Arial" w:eastAsia="SimSun" w:hAnsi="Arial" w:cs="Arial"/>
      <w:sz w:val="16"/>
      <w:szCs w:val="16"/>
      <w:lang w:eastAsia="zh-CN"/>
    </w:rPr>
  </w:style>
  <w:style w:type="paragraph" w:styleId="BodyText2">
    <w:name w:val="Body Text 2"/>
    <w:basedOn w:val="Normal"/>
    <w:link w:val="BodyText2Char"/>
    <w:semiHidden/>
    <w:unhideWhenUsed/>
    <w:rsid w:val="007315D5"/>
    <w:pPr>
      <w:spacing w:after="120" w:line="480" w:lineRule="auto"/>
    </w:pPr>
  </w:style>
  <w:style w:type="character" w:customStyle="1" w:styleId="BodyText2Char">
    <w:name w:val="Body Text 2 Char"/>
    <w:basedOn w:val="DefaultParagraphFont"/>
    <w:link w:val="BodyText2"/>
    <w:semiHidden/>
    <w:rsid w:val="007315D5"/>
    <w:rPr>
      <w:rFonts w:ascii="Arial" w:eastAsia="SimSun" w:hAnsi="Arial" w:cs="Arial"/>
      <w:sz w:val="22"/>
      <w:lang w:eastAsia="zh-CN"/>
    </w:rPr>
  </w:style>
  <w:style w:type="paragraph" w:customStyle="1" w:styleId="indent1">
    <w:name w:val="indent_1"/>
    <w:basedOn w:val="Normal"/>
    <w:rsid w:val="007315D5"/>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7315D5"/>
    <w:pPr>
      <w:tabs>
        <w:tab w:val="left" w:pos="2268"/>
      </w:tabs>
      <w:jc w:val="both"/>
    </w:pPr>
    <w:rPr>
      <w:rFonts w:ascii="Times New Roman" w:eastAsia="Times New Roman" w:hAnsi="Times New Roman" w:cs="Times New Roman"/>
      <w:sz w:val="28"/>
      <w:szCs w:val="28"/>
      <w:lang w:val="en-GB" w:eastAsia="ja-JP"/>
    </w:rPr>
  </w:style>
  <w:style w:type="paragraph" w:styleId="Title">
    <w:name w:val="Title"/>
    <w:basedOn w:val="Normal"/>
    <w:link w:val="TitleChar"/>
    <w:qFormat/>
    <w:rsid w:val="007315D5"/>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7315D5"/>
    <w:rPr>
      <w:b/>
      <w:sz w:val="40"/>
      <w:szCs w:val="40"/>
      <w:lang w:val="en-GB" w:eastAsia="ja-JP"/>
    </w:rPr>
  </w:style>
  <w:style w:type="character" w:customStyle="1" w:styleId="Heading1Char">
    <w:name w:val="Heading 1 Char"/>
    <w:link w:val="Heading1"/>
    <w:locked/>
    <w:rsid w:val="007315D5"/>
    <w:rPr>
      <w:rFonts w:ascii="Arial" w:eastAsia="SimSun" w:hAnsi="Arial" w:cs="Arial"/>
      <w:b/>
      <w:bCs/>
      <w:caps/>
      <w:kern w:val="32"/>
      <w:sz w:val="22"/>
      <w:szCs w:val="32"/>
      <w:lang w:eastAsia="zh-CN"/>
    </w:rPr>
  </w:style>
  <w:style w:type="paragraph" w:styleId="NormalWeb">
    <w:name w:val="Normal (Web)"/>
    <w:basedOn w:val="Normal"/>
    <w:uiPriority w:val="99"/>
    <w:semiHidden/>
    <w:unhideWhenUsed/>
    <w:rsid w:val="002F2BA3"/>
    <w:pPr>
      <w:spacing w:before="100" w:beforeAutospacing="1" w:after="100" w:afterAutospacing="1"/>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892ACC"/>
    <w:rPr>
      <w:b/>
      <w:bCs/>
    </w:rPr>
  </w:style>
  <w:style w:type="character" w:customStyle="1" w:styleId="HeaderChar">
    <w:name w:val="Header Char"/>
    <w:basedOn w:val="DefaultParagraphFont"/>
    <w:link w:val="Header"/>
    <w:uiPriority w:val="99"/>
    <w:rsid w:val="00735D59"/>
    <w:rPr>
      <w:rFonts w:ascii="Arial" w:eastAsia="SimSun" w:hAnsi="Arial" w:cs="Arial"/>
      <w:sz w:val="22"/>
      <w:lang w:eastAsia="zh-CN"/>
    </w:rPr>
  </w:style>
  <w:style w:type="character" w:styleId="EndnoteReference">
    <w:name w:val="endnote reference"/>
    <w:basedOn w:val="DefaultParagraphFont"/>
    <w:semiHidden/>
    <w:unhideWhenUsed/>
    <w:rsid w:val="00735D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779518">
      <w:bodyDiv w:val="1"/>
      <w:marLeft w:val="0"/>
      <w:marRight w:val="0"/>
      <w:marTop w:val="0"/>
      <w:marBottom w:val="0"/>
      <w:divBdr>
        <w:top w:val="none" w:sz="0" w:space="0" w:color="auto"/>
        <w:left w:val="none" w:sz="0" w:space="0" w:color="auto"/>
        <w:bottom w:val="none" w:sz="0" w:space="0" w:color="auto"/>
        <w:right w:val="none" w:sz="0" w:space="0" w:color="auto"/>
      </w:divBdr>
    </w:div>
    <w:div w:id="1012217646">
      <w:bodyDiv w:val="1"/>
      <w:marLeft w:val="0"/>
      <w:marRight w:val="0"/>
      <w:marTop w:val="0"/>
      <w:marBottom w:val="0"/>
      <w:divBdr>
        <w:top w:val="none" w:sz="0" w:space="0" w:color="auto"/>
        <w:left w:val="none" w:sz="0" w:space="0" w:color="auto"/>
        <w:bottom w:val="none" w:sz="0" w:space="0" w:color="auto"/>
        <w:right w:val="none" w:sz="0" w:space="0" w:color="auto"/>
      </w:divBdr>
    </w:div>
    <w:div w:id="1145510941">
      <w:bodyDiv w:val="1"/>
      <w:marLeft w:val="0"/>
      <w:marRight w:val="0"/>
      <w:marTop w:val="0"/>
      <w:marBottom w:val="0"/>
      <w:divBdr>
        <w:top w:val="none" w:sz="0" w:space="0" w:color="auto"/>
        <w:left w:val="none" w:sz="0" w:space="0" w:color="auto"/>
        <w:bottom w:val="none" w:sz="0" w:space="0" w:color="auto"/>
        <w:right w:val="none" w:sz="0" w:space="0" w:color="auto"/>
      </w:divBdr>
    </w:div>
    <w:div w:id="1170293779">
      <w:bodyDiv w:val="1"/>
      <w:marLeft w:val="0"/>
      <w:marRight w:val="0"/>
      <w:marTop w:val="0"/>
      <w:marBottom w:val="0"/>
      <w:divBdr>
        <w:top w:val="none" w:sz="0" w:space="0" w:color="auto"/>
        <w:left w:val="none" w:sz="0" w:space="0" w:color="auto"/>
        <w:bottom w:val="none" w:sz="0" w:space="0" w:color="auto"/>
        <w:right w:val="none" w:sz="0" w:space="0" w:color="auto"/>
      </w:divBdr>
    </w:div>
    <w:div w:id="1569151313">
      <w:bodyDiv w:val="1"/>
      <w:marLeft w:val="0"/>
      <w:marRight w:val="0"/>
      <w:marTop w:val="0"/>
      <w:marBottom w:val="0"/>
      <w:divBdr>
        <w:top w:val="none" w:sz="0" w:space="0" w:color="auto"/>
        <w:left w:val="none" w:sz="0" w:space="0" w:color="auto"/>
        <w:bottom w:val="none" w:sz="0" w:space="0" w:color="auto"/>
        <w:right w:val="none" w:sz="0" w:space="0" w:color="auto"/>
      </w:divBdr>
    </w:div>
    <w:div w:id="1578787464">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'18 renewal fee structures'!$AI$31</c:f>
              <c:strCache>
                <c:ptCount val="1"/>
                <c:pt idx="0">
                  <c:v>1st</c:v>
                </c:pt>
              </c:strCache>
            </c:strRef>
          </c:tx>
          <c:spPr>
            <a:solidFill>
              <a:schemeClr val="accent5">
                <a:lumMod val="40000"/>
                <a:lumOff val="60000"/>
              </a:schemeClr>
            </a:solidFill>
            <a:ln>
              <a:noFill/>
            </a:ln>
            <a:effectLst/>
          </c:spPr>
          <c:invertIfNegative val="0"/>
          <c:dPt>
            <c:idx val="7"/>
            <c:invertIfNegative val="0"/>
            <c:bubble3D val="0"/>
            <c:spPr>
              <a:solidFill>
                <a:schemeClr val="accent5">
                  <a:lumMod val="40000"/>
                  <a:lumOff val="60000"/>
                </a:schemeClr>
              </a:solidFill>
              <a:ln>
                <a:noFill/>
              </a:ln>
              <a:effectLst/>
            </c:spPr>
            <c:extLst>
              <c:ext xmlns:c16="http://schemas.microsoft.com/office/drawing/2014/chart" uri="{C3380CC4-5D6E-409C-BE32-E72D297353CC}">
                <c16:uniqueId val="{00000001-0093-43DD-8D59-F333D3415142}"/>
              </c:ext>
            </c:extLst>
          </c:dPt>
          <c:dPt>
            <c:idx val="10"/>
            <c:invertIfNegative val="0"/>
            <c:bubble3D val="0"/>
            <c:spPr>
              <a:solidFill>
                <a:schemeClr val="accent5">
                  <a:lumMod val="40000"/>
                  <a:lumOff val="60000"/>
                </a:schemeClr>
              </a:solidFill>
              <a:ln>
                <a:noFill/>
              </a:ln>
              <a:effectLst/>
            </c:spPr>
            <c:extLst>
              <c:ext xmlns:c16="http://schemas.microsoft.com/office/drawing/2014/chart" uri="{C3380CC4-5D6E-409C-BE32-E72D297353CC}">
                <c16:uniqueId val="{00000003-0093-43DD-8D59-F333D3415142}"/>
              </c:ext>
            </c:extLst>
          </c:dPt>
          <c:dPt>
            <c:idx val="11"/>
            <c:invertIfNegative val="0"/>
            <c:bubble3D val="0"/>
            <c:spPr>
              <a:solidFill>
                <a:schemeClr val="accent5">
                  <a:lumMod val="40000"/>
                  <a:lumOff val="60000"/>
                </a:schemeClr>
              </a:solidFill>
              <a:ln>
                <a:noFill/>
              </a:ln>
              <a:effectLst/>
            </c:spPr>
            <c:extLst>
              <c:ext xmlns:c16="http://schemas.microsoft.com/office/drawing/2014/chart" uri="{C3380CC4-5D6E-409C-BE32-E72D297353CC}">
                <c16:uniqueId val="{00000005-0093-43DD-8D59-F333D3415142}"/>
              </c:ext>
            </c:extLst>
          </c:dPt>
          <c:dPt>
            <c:idx val="12"/>
            <c:invertIfNegative val="0"/>
            <c:bubble3D val="0"/>
            <c:spPr>
              <a:solidFill>
                <a:schemeClr val="accent5">
                  <a:lumMod val="40000"/>
                  <a:lumOff val="60000"/>
                </a:schemeClr>
              </a:solidFill>
              <a:ln>
                <a:noFill/>
              </a:ln>
              <a:effectLst/>
            </c:spPr>
            <c:extLst>
              <c:ext xmlns:c16="http://schemas.microsoft.com/office/drawing/2014/chart" uri="{C3380CC4-5D6E-409C-BE32-E72D297353CC}">
                <c16:uniqueId val="{00000007-0093-43DD-8D59-F333D3415142}"/>
              </c:ext>
            </c:extLst>
          </c:dPt>
          <c:dPt>
            <c:idx val="19"/>
            <c:invertIfNegative val="0"/>
            <c:bubble3D val="0"/>
            <c:spPr>
              <a:solidFill>
                <a:srgbClr val="FFC000"/>
              </a:solidFill>
              <a:ln>
                <a:noFill/>
              </a:ln>
              <a:effectLst/>
            </c:spPr>
            <c:extLst>
              <c:ext xmlns:c16="http://schemas.microsoft.com/office/drawing/2014/chart" uri="{C3380CC4-5D6E-409C-BE32-E72D297353CC}">
                <c16:uniqueId val="{00000009-0093-43DD-8D59-F333D3415142}"/>
              </c:ext>
            </c:extLst>
          </c:dPt>
          <c:dPt>
            <c:idx val="22"/>
            <c:invertIfNegative val="0"/>
            <c:bubble3D val="0"/>
            <c:spPr>
              <a:solidFill>
                <a:srgbClr val="FFC000"/>
              </a:solidFill>
              <a:ln>
                <a:noFill/>
              </a:ln>
              <a:effectLst/>
            </c:spPr>
            <c:extLst>
              <c:ext xmlns:c16="http://schemas.microsoft.com/office/drawing/2014/chart" uri="{C3380CC4-5D6E-409C-BE32-E72D297353CC}">
                <c16:uniqueId val="{0000000B-0093-43DD-8D59-F333D3415142}"/>
              </c:ext>
            </c:extLst>
          </c:dPt>
          <c:dLbls>
            <c:dLbl>
              <c:idx val="1"/>
              <c:delete val="1"/>
              <c:extLst>
                <c:ext xmlns:c15="http://schemas.microsoft.com/office/drawing/2012/chart" uri="{CE6537A1-D6FC-4f65-9D91-7224C49458BB}"/>
                <c:ext xmlns:c16="http://schemas.microsoft.com/office/drawing/2014/chart" uri="{C3380CC4-5D6E-409C-BE32-E72D297353CC}">
                  <c16:uniqueId val="{0000000C-0093-43DD-8D59-F333D3415142}"/>
                </c:ext>
              </c:extLst>
            </c:dLbl>
            <c:dLbl>
              <c:idx val="2"/>
              <c:delete val="1"/>
              <c:extLst>
                <c:ext xmlns:c15="http://schemas.microsoft.com/office/drawing/2012/chart" uri="{CE6537A1-D6FC-4f65-9D91-7224C49458BB}"/>
                <c:ext xmlns:c16="http://schemas.microsoft.com/office/drawing/2014/chart" uri="{C3380CC4-5D6E-409C-BE32-E72D297353CC}">
                  <c16:uniqueId val="{0000000D-0093-43DD-8D59-F333D3415142}"/>
                </c:ext>
              </c:extLst>
            </c:dLbl>
            <c:dLbl>
              <c:idx val="3"/>
              <c:delete val="1"/>
              <c:extLst>
                <c:ext xmlns:c15="http://schemas.microsoft.com/office/drawing/2012/chart" uri="{CE6537A1-D6FC-4f65-9D91-7224C49458BB}"/>
                <c:ext xmlns:c16="http://schemas.microsoft.com/office/drawing/2014/chart" uri="{C3380CC4-5D6E-409C-BE32-E72D297353CC}">
                  <c16:uniqueId val="{0000000E-0093-43DD-8D59-F333D3415142}"/>
                </c:ext>
              </c:extLst>
            </c:dLbl>
            <c:dLbl>
              <c:idx val="4"/>
              <c:delete val="1"/>
              <c:extLst>
                <c:ext xmlns:c15="http://schemas.microsoft.com/office/drawing/2012/chart" uri="{CE6537A1-D6FC-4f65-9D91-7224C49458BB}"/>
                <c:ext xmlns:c16="http://schemas.microsoft.com/office/drawing/2014/chart" uri="{C3380CC4-5D6E-409C-BE32-E72D297353CC}">
                  <c16:uniqueId val="{0000000F-0093-43DD-8D59-F333D3415142}"/>
                </c:ext>
              </c:extLst>
            </c:dLbl>
            <c:dLbl>
              <c:idx val="5"/>
              <c:delete val="1"/>
              <c:extLst>
                <c:ext xmlns:c15="http://schemas.microsoft.com/office/drawing/2012/chart" uri="{CE6537A1-D6FC-4f65-9D91-7224C49458BB}"/>
                <c:ext xmlns:c16="http://schemas.microsoft.com/office/drawing/2014/chart" uri="{C3380CC4-5D6E-409C-BE32-E72D297353CC}">
                  <c16:uniqueId val="{00000010-0093-43DD-8D59-F333D3415142}"/>
                </c:ext>
              </c:extLst>
            </c:dLbl>
            <c:dLbl>
              <c:idx val="6"/>
              <c:delete val="1"/>
              <c:extLst>
                <c:ext xmlns:c15="http://schemas.microsoft.com/office/drawing/2012/chart" uri="{CE6537A1-D6FC-4f65-9D91-7224C49458BB}"/>
                <c:ext xmlns:c16="http://schemas.microsoft.com/office/drawing/2014/chart" uri="{C3380CC4-5D6E-409C-BE32-E72D297353CC}">
                  <c16:uniqueId val="{00000011-0093-43DD-8D59-F333D3415142}"/>
                </c:ext>
              </c:extLst>
            </c:dLbl>
            <c:dLbl>
              <c:idx val="7"/>
              <c:delete val="1"/>
              <c:extLst>
                <c:ext xmlns:c15="http://schemas.microsoft.com/office/drawing/2012/chart" uri="{CE6537A1-D6FC-4f65-9D91-7224C49458BB}"/>
                <c:ext xmlns:c16="http://schemas.microsoft.com/office/drawing/2014/chart" uri="{C3380CC4-5D6E-409C-BE32-E72D297353CC}">
                  <c16:uniqueId val="{00000001-0093-43DD-8D59-F333D3415142}"/>
                </c:ext>
              </c:extLst>
            </c:dLbl>
            <c:dLbl>
              <c:idx val="8"/>
              <c:delete val="1"/>
              <c:extLst>
                <c:ext xmlns:c15="http://schemas.microsoft.com/office/drawing/2012/chart" uri="{CE6537A1-D6FC-4f65-9D91-7224C49458BB}"/>
                <c:ext xmlns:c16="http://schemas.microsoft.com/office/drawing/2014/chart" uri="{C3380CC4-5D6E-409C-BE32-E72D297353CC}">
                  <c16:uniqueId val="{00000012-0093-43DD-8D59-F333D3415142}"/>
                </c:ext>
              </c:extLst>
            </c:dLbl>
            <c:dLbl>
              <c:idx val="9"/>
              <c:delete val="1"/>
              <c:extLst>
                <c:ext xmlns:c15="http://schemas.microsoft.com/office/drawing/2012/chart" uri="{CE6537A1-D6FC-4f65-9D91-7224C49458BB}"/>
                <c:ext xmlns:c16="http://schemas.microsoft.com/office/drawing/2014/chart" uri="{C3380CC4-5D6E-409C-BE32-E72D297353CC}">
                  <c16:uniqueId val="{00000013-0093-43DD-8D59-F333D3415142}"/>
                </c:ext>
              </c:extLst>
            </c:dLbl>
            <c:dLbl>
              <c:idx val="10"/>
              <c:delete val="1"/>
              <c:extLst>
                <c:ext xmlns:c15="http://schemas.microsoft.com/office/drawing/2012/chart" uri="{CE6537A1-D6FC-4f65-9D91-7224C49458BB}"/>
                <c:ext xmlns:c16="http://schemas.microsoft.com/office/drawing/2014/chart" uri="{C3380CC4-5D6E-409C-BE32-E72D297353CC}">
                  <c16:uniqueId val="{00000003-0093-43DD-8D59-F333D341514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'18 renewal fee structures'!$AH$32:$AH$50</c:f>
              <c:strCache>
                <c:ptCount val="18"/>
                <c:pt idx="0">
                  <c:v>Australia</c:v>
                </c:pt>
                <c:pt idx="1">
                  <c:v>Cyprus</c:v>
                </c:pt>
                <c:pt idx="2">
                  <c:v>Czech Republic</c:v>
                </c:pt>
                <c:pt idx="3">
                  <c:v>European Union</c:v>
                </c:pt>
                <c:pt idx="4">
                  <c:v>Germany</c:v>
                </c:pt>
                <c:pt idx="5">
                  <c:v>Italy</c:v>
                </c:pt>
                <c:pt idx="6">
                  <c:v>Monaco</c:v>
                </c:pt>
                <c:pt idx="7">
                  <c:v>Republic of Korea</c:v>
                </c:pt>
                <c:pt idx="8">
                  <c:v>Singapore</c:v>
                </c:pt>
                <c:pt idx="9">
                  <c:v>Spain</c:v>
                </c:pt>
                <c:pt idx="10">
                  <c:v>United Kingdom</c:v>
                </c:pt>
                <c:pt idx="11">
                  <c:v>Serbia</c:v>
                </c:pt>
                <c:pt idx="12">
                  <c:v>Austria</c:v>
                </c:pt>
                <c:pt idx="13">
                  <c:v>Sweden</c:v>
                </c:pt>
                <c:pt idx="14">
                  <c:v>Denmark</c:v>
                </c:pt>
                <c:pt idx="15">
                  <c:v>Benelux</c:v>
                </c:pt>
                <c:pt idx="16">
                  <c:v>Norway</c:v>
                </c:pt>
                <c:pt idx="17">
                  <c:v>Turkey</c:v>
                </c:pt>
              </c:strCache>
            </c:strRef>
          </c:cat>
          <c:val>
            <c:numRef>
              <c:f>'18 renewal fee structures'!$AI$32:$AI$50</c:f>
              <c:numCache>
                <c:formatCode>0.0%</c:formatCode>
                <c:ptCount val="19"/>
                <c:pt idx="0">
                  <c:v>1</c:v>
                </c:pt>
                <c:pt idx="1">
                  <c:v>1</c:v>
                </c:pt>
                <c:pt idx="2">
                  <c:v>1</c:v>
                </c:pt>
                <c:pt idx="3">
                  <c:v>1</c:v>
                </c:pt>
                <c:pt idx="4">
                  <c:v>1</c:v>
                </c:pt>
                <c:pt idx="5">
                  <c:v>1</c:v>
                </c:pt>
                <c:pt idx="6">
                  <c:v>1</c:v>
                </c:pt>
                <c:pt idx="7">
                  <c:v>1</c:v>
                </c:pt>
                <c:pt idx="8">
                  <c:v>1</c:v>
                </c:pt>
                <c:pt idx="9">
                  <c:v>1</c:v>
                </c:pt>
                <c:pt idx="10">
                  <c:v>1</c:v>
                </c:pt>
                <c:pt idx="11">
                  <c:v>0.69948186528497414</c:v>
                </c:pt>
                <c:pt idx="12">
                  <c:v>0.67692307692307696</c:v>
                </c:pt>
                <c:pt idx="13">
                  <c:v>0.56000000000000005</c:v>
                </c:pt>
                <c:pt idx="14">
                  <c:v>0.5</c:v>
                </c:pt>
                <c:pt idx="15">
                  <c:v>0.5</c:v>
                </c:pt>
                <c:pt idx="16">
                  <c:v>0.44827586206896552</c:v>
                </c:pt>
                <c:pt idx="17">
                  <c:v>0.12962962962962962</c:v>
                </c:pt>
              </c:numCache>
            </c:numRef>
          </c:val>
          <c:extLst>
            <c:ext xmlns:c16="http://schemas.microsoft.com/office/drawing/2014/chart" uri="{C3380CC4-5D6E-409C-BE32-E72D297353CC}">
              <c16:uniqueId val="{00000014-0093-43DD-8D59-F333D3415142}"/>
            </c:ext>
          </c:extLst>
        </c:ser>
        <c:dLbls>
          <c:showLegendKey val="0"/>
          <c:showVal val="0"/>
          <c:showCatName val="0"/>
          <c:showSerName val="0"/>
          <c:showPercent val="0"/>
          <c:showBubbleSize val="0"/>
        </c:dLbls>
        <c:gapWidth val="40"/>
        <c:overlap val="-20"/>
        <c:axId val="1124339920"/>
        <c:axId val="1124350736"/>
      </c:barChart>
      <c:catAx>
        <c:axId val="112433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350736"/>
        <c:crosses val="autoZero"/>
        <c:auto val="1"/>
        <c:lblAlgn val="ctr"/>
        <c:lblOffset val="100"/>
        <c:noMultiLvlLbl val="0"/>
      </c:catAx>
      <c:valAx>
        <c:axId val="1124350736"/>
        <c:scaling>
          <c:orientation val="minMax"/>
        </c:scaling>
        <c:delete val="1"/>
        <c:axPos val="l"/>
        <c:numFmt formatCode="0.0%" sourceLinked="1"/>
        <c:majorTickMark val="none"/>
        <c:minorTickMark val="none"/>
        <c:tickLblPos val="nextTo"/>
        <c:crossAx val="112433992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5">
                <a:lumMod val="40000"/>
                <a:lumOff val="60000"/>
              </a:schemeClr>
            </a:solidFill>
            <a:ln>
              <a:noFill/>
            </a:ln>
            <a:effectLst/>
          </c:spPr>
          <c:invertIfNegative val="0"/>
          <c:dPt>
            <c:idx val="3"/>
            <c:invertIfNegative val="0"/>
            <c:bubble3D val="0"/>
            <c:spPr>
              <a:solidFill>
                <a:schemeClr val="accent5">
                  <a:lumMod val="75000"/>
                </a:schemeClr>
              </a:solidFill>
              <a:ln>
                <a:noFill/>
              </a:ln>
              <a:effectLst/>
            </c:spPr>
            <c:extLst>
              <c:ext xmlns:c16="http://schemas.microsoft.com/office/drawing/2014/chart" uri="{C3380CC4-5D6E-409C-BE32-E72D297353CC}">
                <c16:uniqueId val="{00000001-5F27-420A-BE47-05B9D9B9C6FB}"/>
              </c:ext>
            </c:extLst>
          </c:dPt>
          <c:dPt>
            <c:idx val="8"/>
            <c:invertIfNegative val="0"/>
            <c:bubble3D val="0"/>
            <c:spPr>
              <a:solidFill>
                <a:srgbClr val="FFC000"/>
              </a:solidFill>
              <a:ln>
                <a:noFill/>
              </a:ln>
              <a:effectLst/>
            </c:spPr>
            <c:extLst>
              <c:ext xmlns:c16="http://schemas.microsoft.com/office/drawing/2014/chart" uri="{C3380CC4-5D6E-409C-BE32-E72D297353CC}">
                <c16:uniqueId val="{00000003-5F27-420A-BE47-05B9D9B9C6F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'18 renewal fee structures'!$AH$59:$AH$67</c:f>
              <c:strCache>
                <c:ptCount val="9"/>
                <c:pt idx="0">
                  <c:v>Serbia</c:v>
                </c:pt>
                <c:pt idx="1">
                  <c:v>Austria</c:v>
                </c:pt>
                <c:pt idx="2">
                  <c:v>Sweden</c:v>
                </c:pt>
                <c:pt idx="3">
                  <c:v>Average</c:v>
                </c:pt>
                <c:pt idx="4">
                  <c:v>Denmark</c:v>
                </c:pt>
                <c:pt idx="5">
                  <c:v>Benelux</c:v>
                </c:pt>
                <c:pt idx="6">
                  <c:v>Norway</c:v>
                </c:pt>
                <c:pt idx="7">
                  <c:v>Turkey</c:v>
                </c:pt>
                <c:pt idx="8">
                  <c:v>Hague System</c:v>
                </c:pt>
              </c:strCache>
            </c:strRef>
          </c:cat>
          <c:val>
            <c:numRef>
              <c:f>'18 renewal fee structures'!$AI$59:$AI$67</c:f>
              <c:numCache>
                <c:formatCode>0.0%</c:formatCode>
                <c:ptCount val="9"/>
                <c:pt idx="0">
                  <c:v>0.69948186528497414</c:v>
                </c:pt>
                <c:pt idx="1">
                  <c:v>0.67692307692307696</c:v>
                </c:pt>
                <c:pt idx="2">
                  <c:v>0.56000000000000005</c:v>
                </c:pt>
                <c:pt idx="3">
                  <c:v>0.50204434770094952</c:v>
                </c:pt>
                <c:pt idx="4">
                  <c:v>0.5</c:v>
                </c:pt>
                <c:pt idx="5">
                  <c:v>0.5</c:v>
                </c:pt>
                <c:pt idx="6">
                  <c:v>0.44827586206896552</c:v>
                </c:pt>
                <c:pt idx="7">
                  <c:v>0.12962962962962962</c:v>
                </c:pt>
                <c:pt idx="8">
                  <c:v>8.5000000000000006E-2</c:v>
                </c:pt>
              </c:numCache>
            </c:numRef>
          </c:val>
          <c:extLst>
            <c:ext xmlns:c16="http://schemas.microsoft.com/office/drawing/2014/chart" uri="{C3380CC4-5D6E-409C-BE32-E72D297353CC}">
              <c16:uniqueId val="{00000004-5F27-420A-BE47-05B9D9B9C6FB}"/>
            </c:ext>
          </c:extLst>
        </c:ser>
        <c:dLbls>
          <c:showLegendKey val="0"/>
          <c:showVal val="0"/>
          <c:showCatName val="0"/>
          <c:showSerName val="0"/>
          <c:showPercent val="0"/>
          <c:showBubbleSize val="0"/>
        </c:dLbls>
        <c:gapWidth val="40"/>
        <c:overlap val="-20"/>
        <c:axId val="1002236432"/>
        <c:axId val="1002250576"/>
      </c:barChart>
      <c:catAx>
        <c:axId val="100223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2250576"/>
        <c:crosses val="autoZero"/>
        <c:auto val="1"/>
        <c:lblAlgn val="ctr"/>
        <c:lblOffset val="100"/>
        <c:noMultiLvlLbl val="0"/>
      </c:catAx>
      <c:valAx>
        <c:axId val="1002250576"/>
        <c:scaling>
          <c:orientation val="minMax"/>
        </c:scaling>
        <c:delete val="1"/>
        <c:axPos val="l"/>
        <c:numFmt formatCode="0.0%" sourceLinked="1"/>
        <c:majorTickMark val="none"/>
        <c:minorTickMark val="none"/>
        <c:tickLblPos val="nextTo"/>
        <c:crossAx val="100223643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B2CA7-7659-4BF1-AB0A-1850209C5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5791</Characters>
  <Application>Microsoft Office Word</Application>
  <DocSecurity>0</DocSecurity>
  <Lines>177</Lines>
  <Paragraphs>99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DiazN</dc:creator>
  <cp:keywords>FOR OFFICIAL USE ONLY</cp:keywords>
  <dc:description/>
  <cp:lastModifiedBy>ST LEGER Nathalie</cp:lastModifiedBy>
  <cp:revision>4</cp:revision>
  <cp:lastPrinted>2020-10-13T16:13:00Z</cp:lastPrinted>
  <dcterms:created xsi:type="dcterms:W3CDTF">2020-10-12T16:20:00Z</dcterms:created>
  <dcterms:modified xsi:type="dcterms:W3CDTF">2020-10-13T16:13:00Z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26e950b8-d6f6-4df3-a995-d5b850610a61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