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36D40" w14:paraId="552A251B" w14:textId="77777777" w:rsidTr="00A36D40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14:paraId="3C0C5E71" w14:textId="77777777" w:rsidR="00A36D40" w:rsidRDefault="00A36D40"/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FE9F2" w14:textId="6CBC2037" w:rsidR="00A36D40" w:rsidRDefault="00A36D40">
            <w:r>
              <w:rPr>
                <w:noProof/>
                <w:lang w:eastAsia="ja-JP"/>
              </w:rPr>
              <w:drawing>
                <wp:inline distT="0" distB="0" distL="0" distR="0" wp14:anchorId="0B685187" wp14:editId="656B9EE8">
                  <wp:extent cx="1854200" cy="1327150"/>
                  <wp:effectExtent l="0" t="0" r="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EBB09" w14:textId="77777777" w:rsidR="00A36D40" w:rsidRDefault="00A36D40">
            <w:pPr>
              <w:jc w:val="right"/>
            </w:pPr>
            <w:r>
              <w:rPr>
                <w:b/>
                <w:sz w:val="40"/>
                <w:szCs w:val="40"/>
              </w:rPr>
              <w:t>E</w:t>
            </w:r>
          </w:p>
        </w:tc>
      </w:tr>
      <w:tr w:rsidR="00A36D40" w14:paraId="08FC8C7D" w14:textId="77777777" w:rsidTr="00A36D40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DE58AC" w14:textId="22DD4395" w:rsidR="00A36D40" w:rsidRDefault="00A36D40" w:rsidP="00B1570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h/ld/wg/9/Inf/3</w:t>
            </w:r>
            <w:r w:rsidR="006F37C3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Prov</w:t>
            </w:r>
            <w:r w:rsidR="00B15706">
              <w:rPr>
                <w:rFonts w:ascii="Arial Black" w:hAnsi="Arial Black"/>
                <w:caps/>
                <w:sz w:val="15"/>
              </w:rPr>
              <w:t>.2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36D40" w14:paraId="16151252" w14:textId="77777777" w:rsidTr="00A36D40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A64E42" w14:textId="77777777" w:rsidR="00A36D40" w:rsidRDefault="00A36D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A36D40" w14:paraId="7C712328" w14:textId="77777777" w:rsidTr="00A36D40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6C8D2F" w14:textId="72342C20" w:rsidR="00A36D40" w:rsidRDefault="00771A1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 december </w:t>
            </w:r>
            <w:r w:rsidR="00B15706">
              <w:rPr>
                <w:rFonts w:ascii="Arial Black" w:hAnsi="Arial Black"/>
                <w:caps/>
                <w:sz w:val="15"/>
              </w:rPr>
              <w:t>11</w:t>
            </w:r>
            <w:r w:rsidR="00A36D40">
              <w:rPr>
                <w:rFonts w:ascii="Arial Black" w:hAnsi="Arial Black"/>
                <w:caps/>
                <w:sz w:val="15"/>
              </w:rPr>
              <w:t>, 2020</w:t>
            </w:r>
          </w:p>
        </w:tc>
      </w:tr>
      <w:tr w:rsidR="00A36D40" w14:paraId="1891BFF3" w14:textId="77777777" w:rsidTr="00A36D40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5EA2A1" w14:textId="77777777" w:rsidR="00A36D40" w:rsidRDefault="00A36D40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B001BF" w:rsidRPr="0090731E" w14:paraId="3F74EDF8" w14:textId="77777777" w:rsidTr="00A36D40">
        <w:trPr>
          <w:trHeight w:hRule="exact" w:val="340"/>
        </w:trPr>
        <w:tc>
          <w:tcPr>
            <w:tcW w:w="9356" w:type="dxa"/>
            <w:gridSpan w:val="3"/>
            <w:tcMar>
              <w:top w:w="170" w:type="dxa"/>
              <w:left w:w="0" w:type="dxa"/>
              <w:right w:w="0" w:type="dxa"/>
            </w:tcMar>
            <w:vAlign w:val="bottom"/>
          </w:tcPr>
          <w:p w14:paraId="33A0EB70" w14:textId="0B5F70C0" w:rsidR="00B001BF" w:rsidRPr="0090731E" w:rsidRDefault="00B001BF" w:rsidP="00E5139B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A25845" w:rsidRPr="0090731E" w14:paraId="495ED787" w14:textId="77777777" w:rsidTr="00A36D4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3D76588" w14:textId="1A37D4EB" w:rsidR="00A25845" w:rsidRPr="0090731E" w:rsidRDefault="00A25845" w:rsidP="00E5139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A25845" w:rsidRPr="0090731E" w14:paraId="68BA2E88" w14:textId="77777777" w:rsidTr="00A36D4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67F3251" w14:textId="67751B10" w:rsidR="00A25845" w:rsidRPr="0090731E" w:rsidRDefault="00A25845" w:rsidP="00E5139B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</w:tbl>
    <w:p w14:paraId="2D69C789" w14:textId="77777777" w:rsidR="00314B69" w:rsidRDefault="00314B69"/>
    <w:p w14:paraId="35EA5827" w14:textId="77777777" w:rsidR="008932E9" w:rsidRPr="008932E9" w:rsidRDefault="008932E9" w:rsidP="00477552">
      <w:pPr>
        <w:spacing w:before="1200"/>
        <w:rPr>
          <w:b/>
          <w:sz w:val="28"/>
          <w:szCs w:val="28"/>
        </w:rPr>
      </w:pPr>
      <w:r w:rsidRPr="008932E9">
        <w:rPr>
          <w:b/>
          <w:sz w:val="28"/>
          <w:szCs w:val="28"/>
        </w:rPr>
        <w:t>Working Group on the Legal Development of the Hague System for the International Registration of Industrial Designs</w:t>
      </w:r>
    </w:p>
    <w:p w14:paraId="7A449852" w14:textId="77777777" w:rsidR="004A5CCF" w:rsidRDefault="004A5CCF" w:rsidP="004A5CCF">
      <w:pPr>
        <w:spacing w:before="480"/>
        <w:rPr>
          <w:b/>
          <w:sz w:val="24"/>
          <w:szCs w:val="24"/>
        </w:rPr>
      </w:pPr>
      <w:r>
        <w:rPr>
          <w:b/>
          <w:sz w:val="24"/>
          <w:szCs w:val="24"/>
        </w:rPr>
        <w:t>Ninth Session</w:t>
      </w:r>
    </w:p>
    <w:p w14:paraId="34947EEC" w14:textId="77777777" w:rsidR="004A5CCF" w:rsidRDefault="004A5CCF" w:rsidP="004A5CCF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Geneva, December 14 to 16, 2020</w:t>
      </w:r>
    </w:p>
    <w:p w14:paraId="3FD5E466" w14:textId="2A03312A" w:rsidR="008B2CC1" w:rsidRPr="003845C1" w:rsidRDefault="00E46A39" w:rsidP="00477552">
      <w:pPr>
        <w:spacing w:before="720"/>
        <w:rPr>
          <w:caps/>
          <w:sz w:val="24"/>
        </w:rPr>
      </w:pPr>
      <w:bookmarkStart w:id="1" w:name="TitleOfDoc"/>
      <w:bookmarkEnd w:id="1"/>
      <w:r w:rsidRPr="00BE00BF">
        <w:rPr>
          <w:caps/>
          <w:sz w:val="24"/>
        </w:rPr>
        <w:t>proposed timetable</w:t>
      </w:r>
    </w:p>
    <w:p w14:paraId="0BA7ED88" w14:textId="77777777" w:rsidR="008B2CC1" w:rsidRDefault="00477D53" w:rsidP="00477552">
      <w:pPr>
        <w:spacing w:before="240"/>
        <w:rPr>
          <w:i/>
        </w:rPr>
      </w:pPr>
      <w:bookmarkStart w:id="2" w:name="Prepared"/>
      <w:bookmarkEnd w:id="2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14:paraId="44503107" w14:textId="77777777" w:rsidR="00D379F5" w:rsidRDefault="00D379F5" w:rsidP="00477552">
      <w:pPr>
        <w:spacing w:before="240"/>
      </w:pPr>
    </w:p>
    <w:p w14:paraId="5375C357" w14:textId="7A3538A6" w:rsidR="001E4010" w:rsidRPr="00A14A1E" w:rsidRDefault="00EB3D31" w:rsidP="00CF3A0D">
      <w:pPr>
        <w:rPr>
          <w:noProof/>
        </w:rPr>
      </w:pPr>
      <w:r>
        <w:rPr>
          <w:noProof/>
        </w:rPr>
        <w:t>For the convenience of all participants, t</w:t>
      </w:r>
      <w:r w:rsidR="00872D04" w:rsidRPr="00A14A1E">
        <w:rPr>
          <w:noProof/>
        </w:rPr>
        <w:t>he Secretariat prepare</w:t>
      </w:r>
      <w:r w:rsidR="001E4010" w:rsidRPr="00A14A1E">
        <w:rPr>
          <w:noProof/>
        </w:rPr>
        <w:t xml:space="preserve">d this </w:t>
      </w:r>
      <w:r w:rsidR="00795D7C">
        <w:rPr>
          <w:noProof/>
        </w:rPr>
        <w:t>proposed timetable for</w:t>
      </w:r>
      <w:r w:rsidR="00872D04" w:rsidRPr="00A14A1E">
        <w:rPr>
          <w:noProof/>
        </w:rPr>
        <w:t xml:space="preserve"> the ninth session of the Working Group on the Legal Development of the Hague System for the International Registration of Industrial Designs (hereinafter referred to as </w:t>
      </w:r>
      <w:r w:rsidR="00CF3A0D" w:rsidRPr="00A14A1E">
        <w:rPr>
          <w:noProof/>
        </w:rPr>
        <w:t xml:space="preserve">the </w:t>
      </w:r>
      <w:r w:rsidR="00872D04" w:rsidRPr="00A14A1E">
        <w:rPr>
          <w:noProof/>
        </w:rPr>
        <w:t>“the Working Group”)</w:t>
      </w:r>
      <w:r w:rsidR="00956594">
        <w:rPr>
          <w:noProof/>
        </w:rPr>
        <w:t xml:space="preserve">.  This proposed timetable </w:t>
      </w:r>
      <w:r w:rsidR="005F64A8">
        <w:rPr>
          <w:noProof/>
        </w:rPr>
        <w:t>replaces</w:t>
      </w:r>
      <w:r w:rsidR="00956594">
        <w:rPr>
          <w:noProof/>
        </w:rPr>
        <w:t xml:space="preserve"> the previous </w:t>
      </w:r>
      <w:r w:rsidR="005F64A8">
        <w:rPr>
          <w:noProof/>
        </w:rPr>
        <w:t xml:space="preserve">proposed </w:t>
      </w:r>
      <w:r w:rsidR="00956594">
        <w:rPr>
          <w:noProof/>
        </w:rPr>
        <w:t>timetable published on December</w:t>
      </w:r>
      <w:r w:rsidR="005F64A8">
        <w:rPr>
          <w:noProof/>
        </w:rPr>
        <w:t> </w:t>
      </w:r>
      <w:r w:rsidR="00956594">
        <w:rPr>
          <w:noProof/>
        </w:rPr>
        <w:t>4,</w:t>
      </w:r>
      <w:r w:rsidR="005F64A8">
        <w:rPr>
          <w:noProof/>
        </w:rPr>
        <w:t> </w:t>
      </w:r>
      <w:r w:rsidR="00956594">
        <w:rPr>
          <w:noProof/>
        </w:rPr>
        <w:t>2020</w:t>
      </w:r>
      <w:r w:rsidR="00650C63">
        <w:rPr>
          <w:noProof/>
        </w:rPr>
        <w:t xml:space="preserve">. </w:t>
      </w:r>
      <w:r w:rsidR="005F64A8">
        <w:rPr>
          <w:noProof/>
        </w:rPr>
        <w:t xml:space="preserve"> </w:t>
      </w:r>
      <w:r w:rsidR="00650C63">
        <w:rPr>
          <w:noProof/>
        </w:rPr>
        <w:t>It is based on</w:t>
      </w:r>
      <w:r w:rsidR="00956594">
        <w:rPr>
          <w:noProof/>
        </w:rPr>
        <w:t xml:space="preserve"> </w:t>
      </w:r>
      <w:r w:rsidR="00A72A9F">
        <w:rPr>
          <w:noProof/>
        </w:rPr>
        <w:t>the latest</w:t>
      </w:r>
      <w:r w:rsidR="00956594">
        <w:rPr>
          <w:noProof/>
        </w:rPr>
        <w:t xml:space="preserve"> Draft Agenda (document</w:t>
      </w:r>
      <w:r w:rsidR="005F64A8">
        <w:rPr>
          <w:noProof/>
        </w:rPr>
        <w:t> </w:t>
      </w:r>
      <w:r w:rsidR="00956594">
        <w:rPr>
          <w:noProof/>
        </w:rPr>
        <w:t>H/LD/WG/9/1 Prov.3)</w:t>
      </w:r>
      <w:r w:rsidR="00774073" w:rsidRPr="00A14A1E">
        <w:rPr>
          <w:noProof/>
        </w:rPr>
        <w:t>,</w:t>
      </w:r>
      <w:r w:rsidR="00872D04" w:rsidRPr="00A14A1E">
        <w:rPr>
          <w:noProof/>
        </w:rPr>
        <w:t xml:space="preserve"> </w:t>
      </w:r>
      <w:r w:rsidR="00650C63">
        <w:rPr>
          <w:noProof/>
        </w:rPr>
        <w:t xml:space="preserve"> </w:t>
      </w:r>
      <w:r w:rsidR="0088343E">
        <w:rPr>
          <w:noProof/>
        </w:rPr>
        <w:t>which results</w:t>
      </w:r>
      <w:r w:rsidR="00A72A9F">
        <w:rPr>
          <w:noProof/>
        </w:rPr>
        <w:t xml:space="preserve"> from</w:t>
      </w:r>
      <w:r w:rsidR="00774073" w:rsidRPr="00A14A1E">
        <w:rPr>
          <w:noProof/>
        </w:rPr>
        <w:t xml:space="preserve"> </w:t>
      </w:r>
      <w:r w:rsidR="00650C63">
        <w:rPr>
          <w:noProof/>
        </w:rPr>
        <w:t>further</w:t>
      </w:r>
      <w:r w:rsidR="00774073" w:rsidRPr="00A14A1E">
        <w:rPr>
          <w:noProof/>
        </w:rPr>
        <w:t xml:space="preserve"> consultations with </w:t>
      </w:r>
      <w:r w:rsidR="00D21439">
        <w:rPr>
          <w:noProof/>
        </w:rPr>
        <w:t>R</w:t>
      </w:r>
      <w:r w:rsidR="00872D04" w:rsidRPr="00A14A1E">
        <w:rPr>
          <w:noProof/>
        </w:rPr>
        <w:t xml:space="preserve">egional </w:t>
      </w:r>
      <w:r w:rsidR="00D21439">
        <w:rPr>
          <w:noProof/>
        </w:rPr>
        <w:t>Group C</w:t>
      </w:r>
      <w:r w:rsidR="00872D04" w:rsidRPr="00A14A1E">
        <w:rPr>
          <w:noProof/>
        </w:rPr>
        <w:t>oordinators.</w:t>
      </w:r>
    </w:p>
    <w:p w14:paraId="4361D988" w14:textId="6A96EAF4" w:rsidR="00872D04" w:rsidRPr="00A14A1E" w:rsidRDefault="00774073" w:rsidP="00295912">
      <w:pPr>
        <w:spacing w:before="240"/>
        <w:rPr>
          <w:noProof/>
        </w:rPr>
      </w:pPr>
      <w:r w:rsidRPr="00A14A1E">
        <w:rPr>
          <w:noProof/>
        </w:rPr>
        <w:t>In line with the</w:t>
      </w:r>
      <w:r w:rsidR="00956594">
        <w:rPr>
          <w:noProof/>
        </w:rPr>
        <w:t xml:space="preserve"> latest</w:t>
      </w:r>
      <w:r w:rsidRPr="00A14A1E">
        <w:rPr>
          <w:noProof/>
        </w:rPr>
        <w:t xml:space="preserve"> organizational arrangememe</w:t>
      </w:r>
      <w:r w:rsidR="001E4010" w:rsidRPr="00A14A1E">
        <w:rPr>
          <w:noProof/>
        </w:rPr>
        <w:t xml:space="preserve">nts, </w:t>
      </w:r>
      <w:r w:rsidRPr="00A14A1E">
        <w:rPr>
          <w:noProof/>
        </w:rPr>
        <w:t>t</w:t>
      </w:r>
      <w:r w:rsidR="00872D04" w:rsidRPr="00A14A1E">
        <w:rPr>
          <w:noProof/>
        </w:rPr>
        <w:t xml:space="preserve">he </w:t>
      </w:r>
      <w:r w:rsidRPr="00A14A1E">
        <w:rPr>
          <w:noProof/>
        </w:rPr>
        <w:t xml:space="preserve">Working Group </w:t>
      </w:r>
      <w:r w:rsidR="001E4010" w:rsidRPr="00A14A1E">
        <w:rPr>
          <w:noProof/>
        </w:rPr>
        <w:t xml:space="preserve">will </w:t>
      </w:r>
      <w:r w:rsidR="00872D04" w:rsidRPr="00A14A1E">
        <w:rPr>
          <w:noProof/>
        </w:rPr>
        <w:t>meet for two and a half</w:t>
      </w:r>
      <w:r w:rsidR="002F268F">
        <w:rPr>
          <w:noProof/>
        </w:rPr>
        <w:t xml:space="preserve"> </w:t>
      </w:r>
      <w:r w:rsidR="002F268F" w:rsidRPr="00A14A1E">
        <w:rPr>
          <w:noProof/>
        </w:rPr>
        <w:t>hours</w:t>
      </w:r>
      <w:r w:rsidR="00872D04" w:rsidRPr="00A14A1E">
        <w:rPr>
          <w:noProof/>
        </w:rPr>
        <w:t xml:space="preserve"> each day of the session (December 14 to 16, 2020)</w:t>
      </w:r>
      <w:r w:rsidR="000F6870" w:rsidRPr="00A14A1E">
        <w:rPr>
          <w:noProof/>
        </w:rPr>
        <w:t xml:space="preserve">, from 12 noon to </w:t>
      </w:r>
      <w:r w:rsidR="007D5BC1" w:rsidRPr="00A14A1E">
        <w:rPr>
          <w:noProof/>
        </w:rPr>
        <w:t>2</w:t>
      </w:r>
      <w:r w:rsidR="000F6870" w:rsidRPr="00A14A1E">
        <w:rPr>
          <w:noProof/>
        </w:rPr>
        <w:t>.30</w:t>
      </w:r>
      <w:r w:rsidR="007D5BC1" w:rsidRPr="00A14A1E">
        <w:rPr>
          <w:noProof/>
        </w:rPr>
        <w:t xml:space="preserve"> p.m.</w:t>
      </w:r>
      <w:r w:rsidRPr="00A14A1E">
        <w:rPr>
          <w:noProof/>
        </w:rPr>
        <w:t>, Geneva Time (GMT +1</w:t>
      </w:r>
      <w:r w:rsidR="00872D04" w:rsidRPr="00A14A1E">
        <w:rPr>
          <w:noProof/>
        </w:rPr>
        <w:t xml:space="preserve">).  Taking into account the progress of the discussions and preferences expressed by the delegations at the session, </w:t>
      </w:r>
      <w:r w:rsidR="00872D04" w:rsidRPr="00A14A1E">
        <w:t xml:space="preserve">the Chair may propose changes to the time and length of those meetings, as appropriate.  </w:t>
      </w:r>
    </w:p>
    <w:p w14:paraId="6FAB614D" w14:textId="0B98333A" w:rsidR="00314B69" w:rsidRDefault="00314B69">
      <w:r>
        <w:br w:type="page"/>
      </w:r>
    </w:p>
    <w:p w14:paraId="1CC0A9CE" w14:textId="5627ABF7" w:rsidR="00D379F5" w:rsidRDefault="00D379F5" w:rsidP="00D379F5">
      <w:pPr>
        <w:pStyle w:val="ONUME"/>
        <w:numPr>
          <w:ilvl w:val="0"/>
          <w:numId w:val="0"/>
        </w:numPr>
        <w:rPr>
          <w:b/>
        </w:rPr>
      </w:pPr>
      <w:r w:rsidRPr="00986467">
        <w:rPr>
          <w:b/>
        </w:rPr>
        <w:lastRenderedPageBreak/>
        <w:t xml:space="preserve">Monday, </w:t>
      </w:r>
      <w:r>
        <w:rPr>
          <w:b/>
        </w:rPr>
        <w:t>December 14,</w:t>
      </w:r>
      <w:r w:rsidRPr="00986467">
        <w:rPr>
          <w:b/>
        </w:rPr>
        <w:t xml:space="preserve"> 2020</w:t>
      </w:r>
      <w:r>
        <w:rPr>
          <w:rStyle w:val="FootnoteReference"/>
          <w:caps/>
          <w:sz w:val="24"/>
        </w:rPr>
        <w:footnoteReference w:id="2"/>
      </w:r>
      <w:r w:rsidRPr="00986467">
        <w:rPr>
          <w:b/>
        </w:rPr>
        <w:br/>
      </w:r>
      <w:r>
        <w:rPr>
          <w:b/>
        </w:rPr>
        <w:t>From 12 noon to 2.30 p.m.</w:t>
      </w:r>
    </w:p>
    <w:p w14:paraId="263F0DCB" w14:textId="77777777" w:rsidR="00477D53" w:rsidRDefault="00477D53" w:rsidP="004763A5">
      <w:pPr>
        <w:pStyle w:val="ONUME"/>
        <w:tabs>
          <w:tab w:val="clear" w:pos="993"/>
          <w:tab w:val="num" w:pos="630"/>
        </w:tabs>
        <w:ind w:left="0"/>
      </w:pPr>
      <w:r>
        <w:t xml:space="preserve">Opening of the </w:t>
      </w:r>
      <w:r w:rsidR="00714A63">
        <w:t>s</w:t>
      </w:r>
      <w:r>
        <w:t>ession</w:t>
      </w:r>
    </w:p>
    <w:p w14:paraId="5C00E2EF" w14:textId="361F6D31" w:rsidR="00F07EE4" w:rsidRDefault="00F07EE4" w:rsidP="004763A5">
      <w:pPr>
        <w:pStyle w:val="ONUME"/>
        <w:tabs>
          <w:tab w:val="clear" w:pos="993"/>
          <w:tab w:val="num" w:pos="630"/>
        </w:tabs>
        <w:ind w:left="0"/>
      </w:pPr>
      <w:r w:rsidRPr="00066540">
        <w:t>Election of the Chair and two Vice-Chairs</w:t>
      </w:r>
    </w:p>
    <w:p w14:paraId="33F57917" w14:textId="77777777" w:rsidR="00314B69" w:rsidRDefault="00113277" w:rsidP="00113277">
      <w:pPr>
        <w:pStyle w:val="ONUME"/>
        <w:numPr>
          <w:ilvl w:val="0"/>
          <w:numId w:val="0"/>
        </w:numPr>
        <w:tabs>
          <w:tab w:val="left" w:pos="567"/>
        </w:tabs>
        <w:spacing w:after="0"/>
        <w:ind w:left="567"/>
      </w:pPr>
      <w:r>
        <w:tab/>
      </w:r>
      <w:r w:rsidR="00314B69">
        <w:t>Proposal for Chair and Vice-Chairs:</w:t>
      </w:r>
    </w:p>
    <w:p w14:paraId="12913CAF" w14:textId="7C2F242A" w:rsidR="00314B69" w:rsidRDefault="00314B69" w:rsidP="00907E10">
      <w:pPr>
        <w:pStyle w:val="ONUME"/>
        <w:numPr>
          <w:ilvl w:val="0"/>
          <w:numId w:val="0"/>
        </w:numPr>
        <w:tabs>
          <w:tab w:val="left" w:pos="567"/>
        </w:tabs>
        <w:spacing w:before="240" w:after="0"/>
        <w:ind w:left="567"/>
      </w:pPr>
      <w:r>
        <w:tab/>
      </w:r>
      <w:r w:rsidR="00CF1A33" w:rsidRPr="00113277">
        <w:t>C</w:t>
      </w:r>
      <w:r w:rsidR="00406128" w:rsidRPr="00113277">
        <w:t>hair</w:t>
      </w:r>
      <w:r>
        <w:t>:</w:t>
      </w:r>
      <w:r>
        <w:tab/>
      </w:r>
      <w:r w:rsidR="005B511A">
        <w:t>(to be elected)</w:t>
      </w:r>
      <w:r w:rsidR="00406128" w:rsidRPr="00113277">
        <w:t xml:space="preserve"> </w:t>
      </w:r>
      <w:r>
        <w:t xml:space="preserve"> </w:t>
      </w:r>
    </w:p>
    <w:p w14:paraId="79E6C4A2" w14:textId="2775BB85" w:rsidR="00295912" w:rsidRPr="00113277" w:rsidRDefault="00314B69" w:rsidP="005B511A">
      <w:pPr>
        <w:pStyle w:val="ONUME"/>
        <w:numPr>
          <w:ilvl w:val="0"/>
          <w:numId w:val="0"/>
        </w:numPr>
        <w:tabs>
          <w:tab w:val="left" w:pos="567"/>
        </w:tabs>
        <w:spacing w:before="240" w:after="0"/>
        <w:ind w:left="426"/>
      </w:pPr>
      <w:r>
        <w:tab/>
      </w:r>
      <w:r w:rsidR="00413FC5">
        <w:tab/>
      </w:r>
      <w:r>
        <w:t>Vice-chairs:</w:t>
      </w:r>
      <w:r w:rsidR="00295912" w:rsidRPr="00113277">
        <w:t xml:space="preserve"> </w:t>
      </w:r>
      <w:r>
        <w:t xml:space="preserve"> </w:t>
      </w:r>
      <w:r w:rsidR="005B511A">
        <w:t>(to be elected)</w:t>
      </w:r>
    </w:p>
    <w:p w14:paraId="05B9C9B7" w14:textId="52EC2524" w:rsidR="00477D53" w:rsidRDefault="00477D53" w:rsidP="00907E10">
      <w:pPr>
        <w:pStyle w:val="ONUME"/>
        <w:tabs>
          <w:tab w:val="left" w:pos="567"/>
        </w:tabs>
        <w:spacing w:before="240" w:after="0"/>
        <w:ind w:left="1134" w:hanging="1134"/>
      </w:pPr>
      <w:r w:rsidRPr="00D81ADD">
        <w:t>Adoption of the Agenda</w:t>
      </w:r>
    </w:p>
    <w:p w14:paraId="437C1200" w14:textId="267509A3"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</w:t>
      </w:r>
      <w:r w:rsidR="00D379F5">
        <w:t xml:space="preserve"> H/LD/WG/9/1 Prov</w:t>
      </w:r>
      <w:r>
        <w:t>.</w:t>
      </w:r>
      <w:r w:rsidR="00956594">
        <w:t>3</w:t>
      </w:r>
    </w:p>
    <w:p w14:paraId="09CB5D66" w14:textId="77777777" w:rsidR="00477D53" w:rsidRDefault="00477D53" w:rsidP="00477D53">
      <w:pPr>
        <w:pStyle w:val="ONUME"/>
        <w:spacing w:after="0"/>
        <w:ind w:left="567" w:hanging="567"/>
      </w:pPr>
      <w:r>
        <w:t xml:space="preserve">Adoption of the </w:t>
      </w:r>
      <w:r w:rsidR="00AF1BF5">
        <w:t>D</w:t>
      </w:r>
      <w:r>
        <w:t xml:space="preserve">raft </w:t>
      </w:r>
      <w:r w:rsidR="00AF1BF5">
        <w:t>R</w:t>
      </w:r>
      <w:r>
        <w:t xml:space="preserve">eport of the </w:t>
      </w:r>
      <w:r w:rsidR="001F7456">
        <w:t>E</w:t>
      </w:r>
      <w:r w:rsidR="004A5CCF">
        <w:t>igh</w:t>
      </w:r>
      <w:r w:rsidR="00650CF1">
        <w:rPr>
          <w:iCs/>
        </w:rPr>
        <w:t>th</w:t>
      </w:r>
      <w:r w:rsidR="001F7456">
        <w:rPr>
          <w:iCs/>
        </w:rPr>
        <w:t xml:space="preserve"> S</w:t>
      </w:r>
      <w:r>
        <w:rPr>
          <w:iCs/>
        </w:rPr>
        <w:t xml:space="preserve">ession of the </w:t>
      </w:r>
      <w:r w:rsidR="00CF3A0D">
        <w:t>Working Group</w:t>
      </w:r>
    </w:p>
    <w:p w14:paraId="59CACBE6" w14:textId="77777777" w:rsidR="00477D53" w:rsidRDefault="00477D53" w:rsidP="00477D53">
      <w:pPr>
        <w:pStyle w:val="ONUME"/>
        <w:numPr>
          <w:ilvl w:val="0"/>
          <w:numId w:val="0"/>
        </w:numPr>
        <w:ind w:firstLine="1134"/>
      </w:pPr>
      <w:r>
        <w:t>See document H/LD/WG/</w:t>
      </w:r>
      <w:r w:rsidR="004A5CCF">
        <w:t>8</w:t>
      </w:r>
      <w:r>
        <w:t>/</w:t>
      </w:r>
      <w:r w:rsidR="004A5CCF">
        <w:t>9</w:t>
      </w:r>
      <w:r w:rsidR="001C272F">
        <w:t> Prov</w:t>
      </w:r>
      <w:r>
        <w:t>.</w:t>
      </w:r>
    </w:p>
    <w:p w14:paraId="53FD1916" w14:textId="7F5C7DD6" w:rsidR="00477D53" w:rsidRDefault="00F43728" w:rsidP="00477D53">
      <w:pPr>
        <w:pStyle w:val="ONUME"/>
        <w:spacing w:after="0"/>
        <w:ind w:left="567" w:hanging="567"/>
      </w:pPr>
      <w:r w:rsidRPr="00AB1665">
        <w:t>Proposal for Amendments to the Common Regulations</w:t>
      </w:r>
      <w:r w:rsidR="000264C0">
        <w:t xml:space="preserve"> Under the 1999 Act and the</w:t>
      </w:r>
      <w:r w:rsidR="006F37C3">
        <w:t> </w:t>
      </w:r>
      <w:r w:rsidR="002F268F">
        <w:br/>
      </w:r>
      <w:r w:rsidR="000264C0">
        <w:t>1960 Act of the Hague Agreement</w:t>
      </w:r>
      <w:r w:rsidR="00CF3A0D">
        <w:t xml:space="preserve"> (hereinafter referred to as the “Common Regulations”)</w:t>
      </w:r>
      <w:r w:rsidR="00BE00BF">
        <w:t>.</w:t>
      </w:r>
    </w:p>
    <w:p w14:paraId="48E3F87E" w14:textId="23DDB4E8" w:rsidR="000264C0" w:rsidRPr="00295912" w:rsidRDefault="006A3BFC" w:rsidP="00295912">
      <w:pPr>
        <w:pStyle w:val="ONUME"/>
        <w:numPr>
          <w:ilvl w:val="0"/>
          <w:numId w:val="0"/>
        </w:numPr>
        <w:spacing w:before="240"/>
        <w:ind w:firstLine="567"/>
        <w:rPr>
          <w:u w:val="single"/>
        </w:rPr>
      </w:pPr>
      <w:r w:rsidRPr="00295912">
        <w:rPr>
          <w:u w:val="single"/>
        </w:rPr>
        <w:t>Document H/LD/WG/9/</w:t>
      </w:r>
      <w:r w:rsidRPr="00507F33">
        <w:rPr>
          <w:u w:val="single"/>
        </w:rPr>
        <w:t>2</w:t>
      </w:r>
      <w:r w:rsidR="00507F33">
        <w:rPr>
          <w:rStyle w:val="FootnoteReference"/>
          <w:u w:val="single"/>
        </w:rPr>
        <w:footnoteReference w:id="3"/>
      </w:r>
    </w:p>
    <w:p w14:paraId="6CC0CD17" w14:textId="012C8F0E" w:rsidR="00E10FEF" w:rsidRDefault="00E10FEF" w:rsidP="00E10FEF">
      <w:pPr>
        <w:pStyle w:val="ONUME"/>
        <w:numPr>
          <w:ilvl w:val="0"/>
          <w:numId w:val="0"/>
        </w:numPr>
        <w:ind w:left="567"/>
      </w:pPr>
      <w:r>
        <w:t>At its previous session, the Working Group discussed a proposal to extend the six-month period of publication currently provided for in Rule 17(1)(iii) of the Common Regulations to a period of 12 months</w:t>
      </w:r>
      <w:r w:rsidR="003E3B07">
        <w:t xml:space="preserve"> (</w:t>
      </w:r>
      <w:r w:rsidR="003E3B07" w:rsidRPr="003E3B07">
        <w:t>hereinafter</w:t>
      </w:r>
      <w:r w:rsidR="003E3B07">
        <w:t xml:space="preserve"> referred to as</w:t>
      </w:r>
      <w:r w:rsidR="003E3B07" w:rsidRPr="003E3B07">
        <w:t xml:space="preserve"> </w:t>
      </w:r>
      <w:r w:rsidR="002F268F">
        <w:t xml:space="preserve">the </w:t>
      </w:r>
      <w:r w:rsidR="003E3B07" w:rsidRPr="003E3B07">
        <w:t>“</w:t>
      </w:r>
      <w:r w:rsidR="003E3B07">
        <w:t>standard publication</w:t>
      </w:r>
      <w:r w:rsidR="003E3B07" w:rsidRPr="003E3B07">
        <w:t>”</w:t>
      </w:r>
      <w:r w:rsidR="003E3B07">
        <w:t>)</w:t>
      </w:r>
      <w:r>
        <w:t xml:space="preserve">.  The Working Group requested the International Bureau to consult with user groups on this proposal and to report on its findings at the next session of the Working Group. </w:t>
      </w:r>
    </w:p>
    <w:p w14:paraId="3B88EAF5" w14:textId="77777777" w:rsidR="001E5DAB" w:rsidRDefault="001E5DAB" w:rsidP="00635118">
      <w:pPr>
        <w:pStyle w:val="ONUME"/>
        <w:numPr>
          <w:ilvl w:val="0"/>
          <w:numId w:val="0"/>
        </w:numPr>
        <w:ind w:left="567"/>
      </w:pPr>
      <w:r>
        <w:t xml:space="preserve">The document </w:t>
      </w:r>
      <w:r w:rsidR="00E10FEF">
        <w:t>sets out a summary of the responses received from the user groups and</w:t>
      </w:r>
      <w:r w:rsidR="00D96F38">
        <w:t>,</w:t>
      </w:r>
      <w:r w:rsidR="00E10FEF">
        <w:t xml:space="preserve"> </w:t>
      </w:r>
      <w:r w:rsidR="00BA534B">
        <w:t xml:space="preserve">these </w:t>
      </w:r>
      <w:r w:rsidR="00D96F38">
        <w:t xml:space="preserve">responses </w:t>
      </w:r>
      <w:r w:rsidR="00BA534B">
        <w:t xml:space="preserve">being unanimously supportive, </w:t>
      </w:r>
      <w:r w:rsidR="00E10FEF">
        <w:t>contains a proposal to</w:t>
      </w:r>
      <w:r>
        <w:t xml:space="preserve"> amend</w:t>
      </w:r>
      <w:r w:rsidR="00E10FEF">
        <w:t xml:space="preserve"> Rule 17 so as to extend the standard publication period from six to 12 months </w:t>
      </w:r>
      <w:r w:rsidR="00635118">
        <w:t>and</w:t>
      </w:r>
      <w:r w:rsidR="00E10FEF">
        <w:t xml:space="preserve"> to clarify that an earlier publication may be requested at any time before the expiry of the 12-month standard publication period</w:t>
      </w:r>
      <w:r w:rsidR="00635118">
        <w:t>, together with a transition provision in Rule 37</w:t>
      </w:r>
      <w:r w:rsidR="00E10FEF">
        <w:t xml:space="preserve">.  </w:t>
      </w:r>
    </w:p>
    <w:p w14:paraId="0EAA9FBC" w14:textId="77777777" w:rsidR="001E5DAB" w:rsidRPr="00DA0BEC" w:rsidRDefault="001E5DAB" w:rsidP="00CD1141">
      <w:pPr>
        <w:pStyle w:val="ONUME"/>
        <w:numPr>
          <w:ilvl w:val="0"/>
          <w:numId w:val="0"/>
        </w:numPr>
        <w:ind w:left="1134"/>
        <w:rPr>
          <w:i/>
        </w:rPr>
      </w:pPr>
      <w:r w:rsidRPr="00DA0BEC">
        <w:rPr>
          <w:i/>
        </w:rPr>
        <w:t xml:space="preserve">The Working Group is invited to:  </w:t>
      </w:r>
    </w:p>
    <w:p w14:paraId="42BEA3E6" w14:textId="77777777" w:rsidR="001E5DAB" w:rsidRPr="00314B69" w:rsidRDefault="001E5DAB" w:rsidP="00CD1141">
      <w:pPr>
        <w:pStyle w:val="ONUME"/>
        <w:numPr>
          <w:ilvl w:val="2"/>
          <w:numId w:val="5"/>
        </w:numPr>
        <w:rPr>
          <w:i/>
        </w:rPr>
      </w:pPr>
      <w:r w:rsidRPr="00314B69">
        <w:rPr>
          <w:i/>
        </w:rPr>
        <w:tab/>
        <w:t xml:space="preserve">consider and comment on the proposals made in this document;  and </w:t>
      </w:r>
    </w:p>
    <w:p w14:paraId="69513B05" w14:textId="0D6C4DE8" w:rsidR="00314B69" w:rsidRPr="00A87378" w:rsidRDefault="001E5DAB" w:rsidP="00CD1141">
      <w:pPr>
        <w:pStyle w:val="ONUME"/>
        <w:numPr>
          <w:ilvl w:val="2"/>
          <w:numId w:val="5"/>
        </w:numPr>
        <w:rPr>
          <w:i/>
        </w:rPr>
      </w:pPr>
      <w:r w:rsidRPr="00314B69">
        <w:rPr>
          <w:i/>
        </w:rPr>
        <w:t>recommend to the Assembly of the Hague Union for adoption, the proposed amendments to the Common Regulations with respect to Rule 17, together with the</w:t>
      </w:r>
      <w:r w:rsidRPr="00DA0BEC">
        <w:rPr>
          <w:i/>
        </w:rPr>
        <w:t xml:space="preserve"> proposed transitional provision in Rule 37, as provid</w:t>
      </w:r>
      <w:r>
        <w:rPr>
          <w:i/>
        </w:rPr>
        <w:t xml:space="preserve">ed in </w:t>
      </w:r>
      <w:r w:rsidRPr="00DA0BEC">
        <w:rPr>
          <w:i/>
        </w:rPr>
        <w:t>Annex II hereto, with a date of entry into force of January 1, 2022</w:t>
      </w:r>
      <w:r w:rsidRPr="00314B69">
        <w:rPr>
          <w:i/>
        </w:rPr>
        <w:t>.</w:t>
      </w:r>
      <w:r w:rsidR="00314B69" w:rsidRPr="00A87378">
        <w:rPr>
          <w:u w:val="single"/>
        </w:rPr>
        <w:br w:type="page"/>
      </w:r>
    </w:p>
    <w:p w14:paraId="225B4708" w14:textId="04822C8D" w:rsidR="00314B69" w:rsidRPr="00A87378" w:rsidRDefault="00314B69" w:rsidP="00E87DD7">
      <w:pPr>
        <w:pStyle w:val="ONUME"/>
        <w:numPr>
          <w:ilvl w:val="0"/>
          <w:numId w:val="0"/>
        </w:numPr>
        <w:tabs>
          <w:tab w:val="left" w:pos="8478"/>
        </w:tabs>
        <w:spacing w:before="480"/>
        <w:ind w:firstLine="567"/>
        <w:rPr>
          <w:u w:val="single"/>
        </w:rPr>
      </w:pPr>
      <w:bookmarkStart w:id="3" w:name="_GoBack"/>
      <w:bookmarkEnd w:id="3"/>
      <w:r w:rsidRPr="00907E10">
        <w:rPr>
          <w:u w:val="single"/>
        </w:rPr>
        <w:lastRenderedPageBreak/>
        <w:t>Document H/LD/WG/9/3</w:t>
      </w:r>
      <w:r w:rsidR="0097732D">
        <w:rPr>
          <w:u w:val="single"/>
        </w:rPr>
        <w:t xml:space="preserve"> Rev</w:t>
      </w:r>
      <w:r w:rsidR="0097732D" w:rsidRPr="00E87DD7">
        <w:t>.</w:t>
      </w:r>
      <w:r w:rsidR="00EB3D31" w:rsidRPr="00E87DD7">
        <w:rPr>
          <w:rStyle w:val="FootnoteReference"/>
        </w:rPr>
        <w:footnoteReference w:id="4"/>
      </w:r>
      <w:r w:rsidR="006F37C3" w:rsidRPr="00E87DD7">
        <w:tab/>
      </w:r>
    </w:p>
    <w:p w14:paraId="00A17AE3" w14:textId="1A5476AD" w:rsidR="006A3BFC" w:rsidRDefault="008A55EC" w:rsidP="006116BD">
      <w:pPr>
        <w:pStyle w:val="ONUME"/>
        <w:numPr>
          <w:ilvl w:val="0"/>
          <w:numId w:val="0"/>
        </w:numPr>
        <w:ind w:left="567"/>
      </w:pPr>
      <w:proofErr w:type="gramStart"/>
      <w:r>
        <w:t>Following the COVID-19 pandemic and the recent adoption of amendments by the Hague</w:t>
      </w:r>
      <w:r w:rsidR="006F37C3">
        <w:t> </w:t>
      </w:r>
      <w:r>
        <w:t>Union Assembly to the Common Regulations that will require users of the Hague System to indicate their e</w:t>
      </w:r>
      <w:r>
        <w:noBreakHyphen/>
        <w:t>mail address to receive communications from the International Bureau</w:t>
      </w:r>
      <w:r>
        <w:rPr>
          <w:rStyle w:val="FootnoteReference"/>
        </w:rPr>
        <w:footnoteReference w:id="5"/>
      </w:r>
      <w:r>
        <w:t>, t</w:t>
      </w:r>
      <w:r w:rsidR="006A3BFC">
        <w:t xml:space="preserve">his document proposes </w:t>
      </w:r>
      <w:r>
        <w:t xml:space="preserve">to amend Rule 5 of the Common Regulations </w:t>
      </w:r>
      <w:r w:rsidR="006A3BFC">
        <w:t>(excuse</w:t>
      </w:r>
      <w:r>
        <w:t xml:space="preserve"> of</w:t>
      </w:r>
      <w:r w:rsidR="006A3BFC">
        <w:t xml:space="preserve"> delay in meeting time</w:t>
      </w:r>
      <w:r>
        <w:t xml:space="preserve"> limits</w:t>
      </w:r>
      <w:r w:rsidR="006A3BFC">
        <w:t xml:space="preserve">) </w:t>
      </w:r>
      <w:r>
        <w:t>with a view to providing Hague System users with adequate safeguards</w:t>
      </w:r>
      <w:r w:rsidR="006A3BFC">
        <w:t>.</w:t>
      </w:r>
      <w:proofErr w:type="gramEnd"/>
      <w:r w:rsidR="006A3BFC">
        <w:t xml:space="preserve">  </w:t>
      </w:r>
    </w:p>
    <w:p w14:paraId="4DF3F9E8" w14:textId="77777777" w:rsidR="00FF4275" w:rsidRDefault="006A3BFC" w:rsidP="006A3BFC">
      <w:pPr>
        <w:pStyle w:val="ONUME"/>
        <w:numPr>
          <w:ilvl w:val="0"/>
          <w:numId w:val="0"/>
        </w:numPr>
        <w:spacing w:after="240"/>
        <w:ind w:left="1138"/>
        <w:rPr>
          <w:i/>
        </w:rPr>
      </w:pPr>
      <w:r w:rsidRPr="00AE6E96">
        <w:rPr>
          <w:i/>
        </w:rPr>
        <w:t xml:space="preserve">The Working Group </w:t>
      </w:r>
      <w:proofErr w:type="gramStart"/>
      <w:r w:rsidRPr="00AE6E96">
        <w:rPr>
          <w:i/>
        </w:rPr>
        <w:t>is invited</w:t>
      </w:r>
      <w:proofErr w:type="gramEnd"/>
      <w:r w:rsidRPr="00AE6E96">
        <w:rPr>
          <w:i/>
        </w:rPr>
        <w:t xml:space="preserve"> to:  </w:t>
      </w:r>
    </w:p>
    <w:p w14:paraId="23C70FE7" w14:textId="09CEDC38" w:rsidR="00FF4275" w:rsidRDefault="006A3BFC" w:rsidP="00295912">
      <w:pPr>
        <w:pStyle w:val="ONUME"/>
        <w:numPr>
          <w:ilvl w:val="2"/>
          <w:numId w:val="12"/>
        </w:numPr>
        <w:spacing w:after="240"/>
        <w:rPr>
          <w:i/>
        </w:rPr>
      </w:pPr>
      <w:r w:rsidRPr="00AE6E96">
        <w:rPr>
          <w:i/>
        </w:rPr>
        <w:t xml:space="preserve">consider </w:t>
      </w:r>
      <w:r>
        <w:rPr>
          <w:i/>
        </w:rPr>
        <w:t xml:space="preserve">and comment on </w:t>
      </w:r>
      <w:r w:rsidRPr="00AE6E96">
        <w:rPr>
          <w:i/>
        </w:rPr>
        <w:t>the proposals made in this document;</w:t>
      </w:r>
      <w:r w:rsidR="002F268F">
        <w:rPr>
          <w:i/>
        </w:rPr>
        <w:t xml:space="preserve"> </w:t>
      </w:r>
      <w:r w:rsidRPr="00AE6E96">
        <w:rPr>
          <w:i/>
        </w:rPr>
        <w:t xml:space="preserve"> </w:t>
      </w:r>
      <w:r>
        <w:rPr>
          <w:i/>
        </w:rPr>
        <w:t xml:space="preserve">and </w:t>
      </w:r>
    </w:p>
    <w:p w14:paraId="4654D019" w14:textId="219FF8D1" w:rsidR="00314B69" w:rsidRPr="00314B69" w:rsidRDefault="006A3BFC" w:rsidP="00314B69">
      <w:pPr>
        <w:pStyle w:val="ONUME"/>
        <w:numPr>
          <w:ilvl w:val="2"/>
          <w:numId w:val="12"/>
        </w:numPr>
        <w:spacing w:after="240"/>
        <w:rPr>
          <w:i/>
        </w:rPr>
      </w:pPr>
      <w:r w:rsidRPr="00314B69">
        <w:rPr>
          <w:i/>
        </w:rPr>
        <w:t xml:space="preserve">recommend to the </w:t>
      </w:r>
      <w:r w:rsidR="001E5DAB" w:rsidRPr="00314B69">
        <w:rPr>
          <w:i/>
        </w:rPr>
        <w:t xml:space="preserve">Assembly of the Hague Union the </w:t>
      </w:r>
      <w:r w:rsidRPr="00314B69">
        <w:rPr>
          <w:i/>
        </w:rPr>
        <w:t>adopti</w:t>
      </w:r>
      <w:r w:rsidR="001E5DAB" w:rsidRPr="00314B69">
        <w:rPr>
          <w:i/>
        </w:rPr>
        <w:t xml:space="preserve">on of </w:t>
      </w:r>
      <w:r w:rsidRPr="00314B69">
        <w:rPr>
          <w:i/>
        </w:rPr>
        <w:t>the proposed amendments to</w:t>
      </w:r>
      <w:r w:rsidR="00FF4275" w:rsidRPr="00314B69">
        <w:rPr>
          <w:i/>
        </w:rPr>
        <w:t xml:space="preserve"> </w:t>
      </w:r>
      <w:r w:rsidRPr="00314B69">
        <w:rPr>
          <w:i/>
        </w:rPr>
        <w:t>the Common Regulations</w:t>
      </w:r>
      <w:r w:rsidR="00E10FEF" w:rsidRPr="00314B69">
        <w:rPr>
          <w:i/>
        </w:rPr>
        <w:t xml:space="preserve"> with respect to Rule 5</w:t>
      </w:r>
      <w:r w:rsidRPr="00314B69">
        <w:rPr>
          <w:i/>
        </w:rPr>
        <w:t xml:space="preserve">, as presented in the Annex to </w:t>
      </w:r>
      <w:r w:rsidR="00FF4275" w:rsidRPr="00314B69">
        <w:rPr>
          <w:i/>
        </w:rPr>
        <w:t>this document</w:t>
      </w:r>
      <w:r w:rsidRPr="00314B69">
        <w:rPr>
          <w:i/>
        </w:rPr>
        <w:t xml:space="preserve">, for their entry into force two months following their adoption.  </w:t>
      </w:r>
    </w:p>
    <w:p w14:paraId="20D1A3C3" w14:textId="35FD027A" w:rsidR="00D379F5" w:rsidRPr="00D379F5" w:rsidRDefault="00D379F5" w:rsidP="00314B69">
      <w:pPr>
        <w:spacing w:before="480" w:after="360"/>
        <w:outlineLvl w:val="0"/>
        <w:rPr>
          <w:b/>
        </w:rPr>
      </w:pPr>
      <w:r w:rsidRPr="00986467">
        <w:rPr>
          <w:b/>
        </w:rPr>
        <w:t xml:space="preserve">Tuesday, </w:t>
      </w:r>
      <w:r>
        <w:rPr>
          <w:b/>
        </w:rPr>
        <w:t>December</w:t>
      </w:r>
      <w:r w:rsidRPr="00986467">
        <w:rPr>
          <w:b/>
        </w:rPr>
        <w:t xml:space="preserve"> 1</w:t>
      </w:r>
      <w:r>
        <w:rPr>
          <w:b/>
        </w:rPr>
        <w:t>5</w:t>
      </w:r>
      <w:r w:rsidRPr="00986467">
        <w:rPr>
          <w:b/>
        </w:rPr>
        <w:t>, 2020</w:t>
      </w:r>
      <w:r w:rsidRPr="00986467">
        <w:rPr>
          <w:b/>
        </w:rPr>
        <w:br/>
      </w:r>
      <w:proofErr w:type="gramStart"/>
      <w:r>
        <w:rPr>
          <w:b/>
        </w:rPr>
        <w:t>From</w:t>
      </w:r>
      <w:proofErr w:type="gramEnd"/>
      <w:r>
        <w:rPr>
          <w:b/>
        </w:rPr>
        <w:t xml:space="preserve"> 12 noon to 2.30 p.m.</w:t>
      </w:r>
    </w:p>
    <w:p w14:paraId="3105DF9F" w14:textId="3F7B4428" w:rsidR="00477D53" w:rsidRDefault="00477D53" w:rsidP="00CD1141">
      <w:pPr>
        <w:pStyle w:val="ONUME"/>
        <w:tabs>
          <w:tab w:val="clear" w:pos="993"/>
          <w:tab w:val="num" w:pos="567"/>
        </w:tabs>
        <w:ind w:left="0"/>
      </w:pPr>
      <w:r>
        <w:t>Other matters</w:t>
      </w:r>
    </w:p>
    <w:p w14:paraId="43476535" w14:textId="77777777" w:rsidR="00C15634" w:rsidRPr="00295912" w:rsidRDefault="00C15634" w:rsidP="00C15634">
      <w:pPr>
        <w:pStyle w:val="ONUME"/>
        <w:numPr>
          <w:ilvl w:val="0"/>
          <w:numId w:val="0"/>
        </w:numPr>
        <w:ind w:firstLine="567"/>
        <w:rPr>
          <w:u w:val="single"/>
          <w:lang w:val="fr-CH"/>
        </w:rPr>
      </w:pPr>
      <w:r w:rsidRPr="00295912">
        <w:rPr>
          <w:u w:val="single"/>
          <w:lang w:val="fr-CH"/>
        </w:rPr>
        <w:t>Document H/LD/WG/9/INF/1</w:t>
      </w:r>
    </w:p>
    <w:p w14:paraId="4A458419" w14:textId="77777777" w:rsidR="000B68C6" w:rsidRDefault="00C15634" w:rsidP="000B68C6">
      <w:pPr>
        <w:pStyle w:val="ONUME"/>
        <w:numPr>
          <w:ilvl w:val="0"/>
          <w:numId w:val="0"/>
        </w:numPr>
        <w:ind w:left="567"/>
      </w:pPr>
      <w:r>
        <w:t>At its previous session, the Working Group discussed a document H/LD/WG/</w:t>
      </w:r>
      <w:r w:rsidR="00F65D8B">
        <w:t>8/4, entitled “Financial Sustainability of the Hague System and Possible Revision of the Schedule of Fees”.  The Working Group considered favorably the submission of a proposal to amend the amount of the basic fee for each additional design included in the same international application.</w:t>
      </w:r>
    </w:p>
    <w:p w14:paraId="6E44A987" w14:textId="704553F5" w:rsidR="00F65D8B" w:rsidRDefault="00F65D8B" w:rsidP="000B68C6">
      <w:pPr>
        <w:pStyle w:val="ONUME"/>
        <w:numPr>
          <w:ilvl w:val="0"/>
          <w:numId w:val="0"/>
        </w:numPr>
        <w:ind w:left="567"/>
      </w:pPr>
      <w:r>
        <w:t>Furthermore, noting a significant difference between the amount of the renewal fee for the first design and that for each additional design, the Working Group also requested</w:t>
      </w:r>
      <w:r w:rsidR="003C5F05">
        <w:t xml:space="preserve"> the International Bureau</w:t>
      </w:r>
      <w:r>
        <w:t xml:space="preserve"> to prepare a study on the possible increase </w:t>
      </w:r>
      <w:proofErr w:type="gramStart"/>
      <w:r>
        <w:t>in the amount of the basic renewal</w:t>
      </w:r>
      <w:proofErr w:type="gramEnd"/>
      <w:r>
        <w:t xml:space="preserve"> fee for each additional design, to be discussed at the next session.</w:t>
      </w:r>
    </w:p>
    <w:p w14:paraId="25026CF6" w14:textId="38F65FEA" w:rsidR="00C15634" w:rsidRDefault="003C5F05" w:rsidP="00C15634">
      <w:pPr>
        <w:pStyle w:val="ONUME"/>
        <w:numPr>
          <w:ilvl w:val="0"/>
          <w:numId w:val="0"/>
        </w:numPr>
        <w:ind w:left="567"/>
      </w:pPr>
      <w:r>
        <w:rPr>
          <w:rFonts w:eastAsiaTheme="minorEastAsia"/>
          <w:lang w:eastAsia="ja-JP"/>
        </w:rPr>
        <w:t>The</w:t>
      </w:r>
      <w:r w:rsidR="00CE3327">
        <w:rPr>
          <w:rFonts w:eastAsiaTheme="minorEastAsia"/>
          <w:lang w:eastAsia="ja-JP"/>
        </w:rPr>
        <w:t xml:space="preserve"> </w:t>
      </w:r>
      <w:r>
        <w:rPr>
          <w:rFonts w:eastAsiaTheme="minorEastAsia"/>
          <w:lang w:eastAsia="ja-JP"/>
        </w:rPr>
        <w:t>International Bureau thus prepared the present information document for discussion by the</w:t>
      </w:r>
      <w:r w:rsidRPr="003C5F05">
        <w:rPr>
          <w:rFonts w:eastAsiaTheme="minorEastAsia"/>
          <w:lang w:eastAsia="ja-JP"/>
        </w:rPr>
        <w:t xml:space="preserve"> </w:t>
      </w:r>
      <w:r w:rsidR="00CE3327">
        <w:rPr>
          <w:rFonts w:eastAsiaTheme="minorEastAsia"/>
          <w:lang w:eastAsia="ja-JP"/>
        </w:rPr>
        <w:t>Working Group</w:t>
      </w:r>
      <w:r w:rsidR="00CE3327" w:rsidRPr="00CE3327">
        <w:t>.</w:t>
      </w:r>
      <w:r>
        <w:t xml:space="preserve"> </w:t>
      </w:r>
    </w:p>
    <w:p w14:paraId="496094A7" w14:textId="77777777" w:rsidR="00D379F5" w:rsidRPr="00D379F5" w:rsidRDefault="00D379F5" w:rsidP="00295912">
      <w:pPr>
        <w:spacing w:before="480" w:after="360"/>
        <w:outlineLvl w:val="0"/>
        <w:rPr>
          <w:b/>
        </w:rPr>
      </w:pPr>
      <w:r>
        <w:rPr>
          <w:b/>
        </w:rPr>
        <w:t>Wednesday, December 16</w:t>
      </w:r>
      <w:r w:rsidRPr="00D379F5">
        <w:rPr>
          <w:b/>
        </w:rPr>
        <w:t>, 2020</w:t>
      </w:r>
      <w:r w:rsidRPr="00D379F5">
        <w:rPr>
          <w:b/>
        </w:rPr>
        <w:br/>
      </w:r>
      <w:proofErr w:type="gramStart"/>
      <w:r w:rsidRPr="00D379F5">
        <w:rPr>
          <w:b/>
        </w:rPr>
        <w:t>From</w:t>
      </w:r>
      <w:proofErr w:type="gramEnd"/>
      <w:r w:rsidRPr="00D379F5">
        <w:rPr>
          <w:b/>
        </w:rPr>
        <w:t xml:space="preserve"> 12 noon to 2</w:t>
      </w:r>
      <w:r>
        <w:rPr>
          <w:b/>
        </w:rPr>
        <w:t>.30</w:t>
      </w:r>
      <w:r w:rsidRPr="00D379F5">
        <w:rPr>
          <w:b/>
        </w:rPr>
        <w:t xml:space="preserve"> p.m.</w:t>
      </w:r>
    </w:p>
    <w:p w14:paraId="1933A5DC" w14:textId="77777777" w:rsidR="00477D53" w:rsidRDefault="00477D53" w:rsidP="00CD1141">
      <w:pPr>
        <w:pStyle w:val="ONUME"/>
        <w:ind w:left="567" w:hanging="567"/>
      </w:pPr>
      <w:r>
        <w:t>Summary by the Chair</w:t>
      </w:r>
    </w:p>
    <w:p w14:paraId="6D6E9E91" w14:textId="77777777" w:rsidR="00477D53" w:rsidRDefault="00477D53" w:rsidP="00CD1141">
      <w:pPr>
        <w:pStyle w:val="ONUME"/>
        <w:ind w:left="567" w:hanging="567"/>
      </w:pPr>
      <w:r>
        <w:t xml:space="preserve">Closing of the </w:t>
      </w:r>
      <w:r w:rsidR="00714A63">
        <w:t>s</w:t>
      </w:r>
      <w:r>
        <w:t>ession</w:t>
      </w:r>
    </w:p>
    <w:p w14:paraId="47C622FA" w14:textId="77777777" w:rsidR="00477D53" w:rsidRPr="00633567" w:rsidRDefault="00477D53" w:rsidP="00477552">
      <w:pPr>
        <w:pStyle w:val="Endofdocument-Annex"/>
        <w:spacing w:before="480"/>
        <w:rPr>
          <w:rFonts w:eastAsiaTheme="minorEastAsia"/>
          <w:lang w:eastAsia="ja-JP"/>
        </w:rPr>
      </w:pPr>
      <w:r>
        <w:t>[End of document]</w:t>
      </w:r>
    </w:p>
    <w:sectPr w:rsidR="00477D53" w:rsidRPr="00633567" w:rsidSect="00BA1261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77CF2" w14:textId="77777777" w:rsidR="00485372" w:rsidRDefault="00485372">
      <w:r>
        <w:separator/>
      </w:r>
    </w:p>
  </w:endnote>
  <w:endnote w:type="continuationSeparator" w:id="0">
    <w:p w14:paraId="2BA21092" w14:textId="77777777" w:rsidR="00485372" w:rsidRDefault="00485372" w:rsidP="003B38C1">
      <w:r>
        <w:separator/>
      </w:r>
    </w:p>
    <w:p w14:paraId="03627C1F" w14:textId="77777777" w:rsidR="00485372" w:rsidRPr="003B38C1" w:rsidRDefault="004853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6B3812" w14:textId="77777777" w:rsidR="00485372" w:rsidRPr="003B38C1" w:rsidRDefault="004853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9A8B7" w14:textId="77777777" w:rsidR="00485372" w:rsidRDefault="00485372">
      <w:r>
        <w:separator/>
      </w:r>
    </w:p>
  </w:footnote>
  <w:footnote w:type="continuationSeparator" w:id="0">
    <w:p w14:paraId="360B39CD" w14:textId="77777777" w:rsidR="00485372" w:rsidRDefault="00485372" w:rsidP="008B60B2">
      <w:r>
        <w:separator/>
      </w:r>
    </w:p>
    <w:p w14:paraId="67B530C2" w14:textId="77777777" w:rsidR="00485372" w:rsidRPr="00ED77FB" w:rsidRDefault="004853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4B51999" w14:textId="77777777" w:rsidR="00485372" w:rsidRPr="00ED77FB" w:rsidRDefault="004853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16D6FD8" w14:textId="085EF705" w:rsidR="00D379F5" w:rsidRDefault="00D379F5" w:rsidP="00D379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proposed timetable is merely indicative.  If the Working Group does not finish discussions on an item by the end of the day, discussions on that item </w:t>
      </w:r>
      <w:r w:rsidR="00A4178A">
        <w:t xml:space="preserve">will </w:t>
      </w:r>
      <w:r>
        <w:t xml:space="preserve">continue at the start of the next day, unless otherwise proposed by the Chair.  </w:t>
      </w:r>
    </w:p>
  </w:footnote>
  <w:footnote w:id="3">
    <w:p w14:paraId="0B72008D" w14:textId="35598F1C" w:rsidR="00507F33" w:rsidRPr="00507F33" w:rsidRDefault="00507F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See also document H/LD/WG/9/2 Corr.</w:t>
      </w:r>
      <w:r w:rsidR="003564BC">
        <w:t xml:space="preserve">, </w:t>
      </w:r>
      <w:r w:rsidR="006F37C3">
        <w:t>as</w:t>
      </w:r>
      <w:r w:rsidR="003564BC">
        <w:t xml:space="preserve"> far as the Arabic, Chinese, English, French and Russian versions of the document are concerned.</w:t>
      </w:r>
    </w:p>
  </w:footnote>
  <w:footnote w:id="4">
    <w:p w14:paraId="02449A78" w14:textId="40E2F582" w:rsidR="00EB3D31" w:rsidRPr="00EB3D31" w:rsidRDefault="00EB3D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5A1179">
        <w:t>Si</w:t>
      </w:r>
      <w:r w:rsidR="005A1179" w:rsidRPr="0015313C">
        <w:t>milar proposal</w:t>
      </w:r>
      <w:r w:rsidR="005A1179">
        <w:t xml:space="preserve">s </w:t>
      </w:r>
      <w:proofErr w:type="gramStart"/>
      <w:r w:rsidR="005A1179">
        <w:t>were</w:t>
      </w:r>
      <w:r w:rsidR="005A1179" w:rsidRPr="0015313C">
        <w:t xml:space="preserve"> discussed</w:t>
      </w:r>
      <w:proofErr w:type="gramEnd"/>
      <w:r w:rsidR="005A1179" w:rsidRPr="0015313C">
        <w:t xml:space="preserve"> at the eighteenth session of the Working Group on the Legal Development of the Madrid System for the International Registration of Marks and </w:t>
      </w:r>
      <w:r w:rsidR="005A1179">
        <w:t>at the third session of the Working Group on the Development of the Lisbon System, respectively.  Consequently, t</w:t>
      </w:r>
      <w:r>
        <w:t>he original document H/LD/WG/9/3 published on October 14, 2020</w:t>
      </w:r>
      <w:r w:rsidR="001A3E20">
        <w:t>,</w:t>
      </w:r>
      <w:r>
        <w:t xml:space="preserve"> </w:t>
      </w:r>
      <w:r w:rsidR="005A1179">
        <w:t xml:space="preserve">and the specific amendment proposed therein </w:t>
      </w:r>
      <w:proofErr w:type="gramStart"/>
      <w:r w:rsidR="005A1179">
        <w:t>have been revised</w:t>
      </w:r>
      <w:proofErr w:type="gramEnd"/>
      <w:r w:rsidR="005A1179">
        <w:t xml:space="preserve"> to take into account the outcomes of both the Madrid and Lisbon Working Groups sessions (see documents MM/LD/WG/18/9 “Summary by the Chair” and LI/WG/DEV-SYS/3/4 “Summary by the Chair”).</w:t>
      </w:r>
    </w:p>
  </w:footnote>
  <w:footnote w:id="5">
    <w:p w14:paraId="2E686EE9" w14:textId="7AA3DB55" w:rsidR="008A55EC" w:rsidRDefault="008A55EC" w:rsidP="008A55EC">
      <w:pPr>
        <w:pStyle w:val="FootnoteText"/>
      </w:pPr>
      <w:r w:rsidRPr="00DA791E">
        <w:rPr>
          <w:rStyle w:val="FootnoteReference"/>
        </w:rPr>
        <w:footnoteRef/>
      </w:r>
      <w:r w:rsidRPr="00DA791E">
        <w:t xml:space="preserve"> </w:t>
      </w:r>
      <w:r w:rsidRPr="00DA791E">
        <w:tab/>
      </w:r>
      <w:r w:rsidR="00FF4275" w:rsidRPr="00DA791E">
        <w:t>See documents H/A/40</w:t>
      </w:r>
      <w:r w:rsidRPr="00DA791E">
        <w:t>/1 “COVID</w:t>
      </w:r>
      <w:r w:rsidRPr="00DA791E">
        <w:noBreakHyphen/>
        <w:t xml:space="preserve">19 Measures: </w:t>
      </w:r>
      <w:r w:rsidR="002A5B52">
        <w:t xml:space="preserve"> </w:t>
      </w:r>
      <w:r w:rsidRPr="00DA791E">
        <w:t>Making E</w:t>
      </w:r>
      <w:r w:rsidRPr="00DA791E">
        <w:noBreakHyphen/>
        <w:t xml:space="preserve">mail </w:t>
      </w:r>
      <w:r w:rsidR="00FF4275" w:rsidRPr="00DA791E">
        <w:t xml:space="preserve">Address </w:t>
      </w:r>
      <w:r w:rsidR="00DA791E" w:rsidRPr="00DA791E">
        <w:t>a Required Indication</w:t>
      </w:r>
      <w:r w:rsidR="00DA791E" w:rsidRPr="0015313C">
        <w:t xml:space="preserve">” and </w:t>
      </w:r>
      <w:r w:rsidR="00A4178A">
        <w:br/>
      </w:r>
      <w:r w:rsidR="00DA791E" w:rsidRPr="0015313C">
        <w:t>H/A/40</w:t>
      </w:r>
      <w:r w:rsidRPr="0015313C">
        <w:t>/2</w:t>
      </w:r>
      <w:r w:rsidR="00DA791E" w:rsidRPr="0015313C">
        <w:t xml:space="preserve"> Prov.</w:t>
      </w:r>
      <w:r w:rsidRPr="0015313C">
        <w:t xml:space="preserve"> “</w:t>
      </w:r>
      <w:r w:rsidR="00DA791E" w:rsidRPr="0015313C">
        <w:t xml:space="preserve">Draft </w:t>
      </w:r>
      <w:r w:rsidRPr="0015313C">
        <w:t>Report”</w:t>
      </w:r>
      <w:r w:rsidR="00DA791E" w:rsidRPr="0015313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D8D33" w14:textId="4D334DA0" w:rsidR="00974148" w:rsidRPr="006F37C3" w:rsidRDefault="00974148" w:rsidP="00974148">
    <w:pPr>
      <w:jc w:val="right"/>
    </w:pPr>
    <w:r w:rsidRPr="00E87DD7">
      <w:t xml:space="preserve">H/LD/WG/9/INF/3 </w:t>
    </w:r>
    <w:r w:rsidR="006120D8" w:rsidRPr="00E87DD7">
      <w:t>P</w:t>
    </w:r>
    <w:r w:rsidRPr="00E87DD7">
      <w:t>rov.</w:t>
    </w:r>
    <w:r w:rsidR="00B15706">
      <w:t>2</w:t>
    </w:r>
  </w:p>
  <w:p w14:paraId="7290D590" w14:textId="26145641" w:rsidR="0089324A" w:rsidRDefault="0089324A" w:rsidP="0089324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14CE0">
      <w:rPr>
        <w:noProof/>
      </w:rPr>
      <w:t>2</w:t>
    </w:r>
    <w:r>
      <w:fldChar w:fldCharType="end"/>
    </w:r>
  </w:p>
  <w:p w14:paraId="395DDBBD" w14:textId="77777777" w:rsidR="0089324A" w:rsidRDefault="0089324A" w:rsidP="0089324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20B5" w14:textId="2A94C017" w:rsidR="00974148" w:rsidRPr="006F37C3" w:rsidRDefault="00974148" w:rsidP="00477D6B">
    <w:pPr>
      <w:jc w:val="right"/>
    </w:pPr>
    <w:r w:rsidRPr="00E87DD7">
      <w:t>H/LD/WG/9/</w:t>
    </w:r>
    <w:r w:rsidR="006120D8" w:rsidRPr="00E87DD7">
      <w:t>INF/3 P</w:t>
    </w:r>
    <w:r w:rsidRPr="00E87DD7">
      <w:t>rov.</w:t>
    </w:r>
    <w:r w:rsidR="00956594">
      <w:t>2</w:t>
    </w:r>
  </w:p>
  <w:p w14:paraId="6858CB51" w14:textId="7A66132D" w:rsidR="00E9740E" w:rsidRDefault="00E9740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14CE0">
      <w:rPr>
        <w:noProof/>
      </w:rPr>
      <w:t>3</w:t>
    </w:r>
    <w:r>
      <w:fldChar w:fldCharType="end"/>
    </w:r>
  </w:p>
  <w:p w14:paraId="317CC4BC" w14:textId="77777777" w:rsidR="00E9740E" w:rsidRDefault="00E9740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76AC9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0407B9"/>
    <w:multiLevelType w:val="hybridMultilevel"/>
    <w:tmpl w:val="58EE10F0"/>
    <w:lvl w:ilvl="0" w:tplc="22C4284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BE72A38"/>
    <w:multiLevelType w:val="hybridMultilevel"/>
    <w:tmpl w:val="53E87EC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3"/>
    <w:rsid w:val="00000392"/>
    <w:rsid w:val="0000443F"/>
    <w:rsid w:val="00006D66"/>
    <w:rsid w:val="0000721D"/>
    <w:rsid w:val="000174C0"/>
    <w:rsid w:val="00020CF8"/>
    <w:rsid w:val="00023F59"/>
    <w:rsid w:val="000264C0"/>
    <w:rsid w:val="000408DC"/>
    <w:rsid w:val="00043C76"/>
    <w:rsid w:val="00043CAA"/>
    <w:rsid w:val="0004716E"/>
    <w:rsid w:val="000515BC"/>
    <w:rsid w:val="00061AC1"/>
    <w:rsid w:val="000658DE"/>
    <w:rsid w:val="00066540"/>
    <w:rsid w:val="0007288B"/>
    <w:rsid w:val="00075432"/>
    <w:rsid w:val="0008385B"/>
    <w:rsid w:val="00087D36"/>
    <w:rsid w:val="00092559"/>
    <w:rsid w:val="00093D6F"/>
    <w:rsid w:val="000968ED"/>
    <w:rsid w:val="000B0D29"/>
    <w:rsid w:val="000B68C6"/>
    <w:rsid w:val="000D6600"/>
    <w:rsid w:val="000D7BF0"/>
    <w:rsid w:val="000E7E8D"/>
    <w:rsid w:val="000F5DE4"/>
    <w:rsid w:val="000F5E56"/>
    <w:rsid w:val="000F6870"/>
    <w:rsid w:val="00113277"/>
    <w:rsid w:val="00114CE0"/>
    <w:rsid w:val="001172B2"/>
    <w:rsid w:val="00130606"/>
    <w:rsid w:val="001362EE"/>
    <w:rsid w:val="00150C42"/>
    <w:rsid w:val="00150F34"/>
    <w:rsid w:val="00152F20"/>
    <w:rsid w:val="0015313C"/>
    <w:rsid w:val="0017037D"/>
    <w:rsid w:val="0017354A"/>
    <w:rsid w:val="001832A6"/>
    <w:rsid w:val="001921A9"/>
    <w:rsid w:val="001969C1"/>
    <w:rsid w:val="001A3E20"/>
    <w:rsid w:val="001B42C5"/>
    <w:rsid w:val="001C272F"/>
    <w:rsid w:val="001D4248"/>
    <w:rsid w:val="001D4A65"/>
    <w:rsid w:val="001E1845"/>
    <w:rsid w:val="001E4010"/>
    <w:rsid w:val="001E527C"/>
    <w:rsid w:val="001E5DAB"/>
    <w:rsid w:val="001F7456"/>
    <w:rsid w:val="00200CA8"/>
    <w:rsid w:val="00206768"/>
    <w:rsid w:val="00223037"/>
    <w:rsid w:val="00227ED6"/>
    <w:rsid w:val="002634C4"/>
    <w:rsid w:val="00273D41"/>
    <w:rsid w:val="00283B4B"/>
    <w:rsid w:val="002928D3"/>
    <w:rsid w:val="00295912"/>
    <w:rsid w:val="002A5874"/>
    <w:rsid w:val="002A5B52"/>
    <w:rsid w:val="002B2FF2"/>
    <w:rsid w:val="002E4D6B"/>
    <w:rsid w:val="002F1FE6"/>
    <w:rsid w:val="002F268F"/>
    <w:rsid w:val="002F30CD"/>
    <w:rsid w:val="002F4E68"/>
    <w:rsid w:val="002F7F8D"/>
    <w:rsid w:val="00305674"/>
    <w:rsid w:val="0031259B"/>
    <w:rsid w:val="00312F7F"/>
    <w:rsid w:val="00314B69"/>
    <w:rsid w:val="00321A47"/>
    <w:rsid w:val="00331E36"/>
    <w:rsid w:val="003534C7"/>
    <w:rsid w:val="00354123"/>
    <w:rsid w:val="00355B35"/>
    <w:rsid w:val="003564BC"/>
    <w:rsid w:val="00361450"/>
    <w:rsid w:val="003673CF"/>
    <w:rsid w:val="00374A32"/>
    <w:rsid w:val="00376785"/>
    <w:rsid w:val="00377C4E"/>
    <w:rsid w:val="00381D17"/>
    <w:rsid w:val="003845C1"/>
    <w:rsid w:val="00394868"/>
    <w:rsid w:val="003953B6"/>
    <w:rsid w:val="003A6F89"/>
    <w:rsid w:val="003B097C"/>
    <w:rsid w:val="003B2BAF"/>
    <w:rsid w:val="003B38C1"/>
    <w:rsid w:val="003C5F05"/>
    <w:rsid w:val="003D0879"/>
    <w:rsid w:val="003D5C10"/>
    <w:rsid w:val="003E3B07"/>
    <w:rsid w:val="003F7F80"/>
    <w:rsid w:val="00404625"/>
    <w:rsid w:val="00406128"/>
    <w:rsid w:val="00413FC5"/>
    <w:rsid w:val="00420568"/>
    <w:rsid w:val="00423E3E"/>
    <w:rsid w:val="004274E1"/>
    <w:rsid w:val="00427AF4"/>
    <w:rsid w:val="004647DA"/>
    <w:rsid w:val="00474062"/>
    <w:rsid w:val="00476385"/>
    <w:rsid w:val="004763A5"/>
    <w:rsid w:val="00477007"/>
    <w:rsid w:val="00477552"/>
    <w:rsid w:val="00477D53"/>
    <w:rsid w:val="00477D6B"/>
    <w:rsid w:val="00477F6C"/>
    <w:rsid w:val="0048154F"/>
    <w:rsid w:val="00485372"/>
    <w:rsid w:val="00492BB0"/>
    <w:rsid w:val="004A5CCF"/>
    <w:rsid w:val="004B56D0"/>
    <w:rsid w:val="004D79FD"/>
    <w:rsid w:val="004F0647"/>
    <w:rsid w:val="005019FF"/>
    <w:rsid w:val="00502F24"/>
    <w:rsid w:val="00507F33"/>
    <w:rsid w:val="00512F0D"/>
    <w:rsid w:val="0053057A"/>
    <w:rsid w:val="005400D7"/>
    <w:rsid w:val="0055042D"/>
    <w:rsid w:val="00551E16"/>
    <w:rsid w:val="00560745"/>
    <w:rsid w:val="00560A29"/>
    <w:rsid w:val="00570ACD"/>
    <w:rsid w:val="00570F6B"/>
    <w:rsid w:val="00571F0B"/>
    <w:rsid w:val="00595EAB"/>
    <w:rsid w:val="005A1179"/>
    <w:rsid w:val="005A6E8F"/>
    <w:rsid w:val="005B511A"/>
    <w:rsid w:val="005C6649"/>
    <w:rsid w:val="005E0D79"/>
    <w:rsid w:val="005F30E7"/>
    <w:rsid w:val="005F64A8"/>
    <w:rsid w:val="00605827"/>
    <w:rsid w:val="006116BD"/>
    <w:rsid w:val="006120D8"/>
    <w:rsid w:val="00633567"/>
    <w:rsid w:val="00635118"/>
    <w:rsid w:val="0064477F"/>
    <w:rsid w:val="00646050"/>
    <w:rsid w:val="00647EC6"/>
    <w:rsid w:val="00650C63"/>
    <w:rsid w:val="00650CF1"/>
    <w:rsid w:val="00670B8E"/>
    <w:rsid w:val="006713CA"/>
    <w:rsid w:val="006748EE"/>
    <w:rsid w:val="00676C5C"/>
    <w:rsid w:val="00680576"/>
    <w:rsid w:val="00694910"/>
    <w:rsid w:val="006A3BFC"/>
    <w:rsid w:val="006B0D4D"/>
    <w:rsid w:val="006C5D18"/>
    <w:rsid w:val="006D2440"/>
    <w:rsid w:val="006D3F25"/>
    <w:rsid w:val="006E4C4E"/>
    <w:rsid w:val="006F37C3"/>
    <w:rsid w:val="0070182A"/>
    <w:rsid w:val="00714A63"/>
    <w:rsid w:val="00727949"/>
    <w:rsid w:val="00732B60"/>
    <w:rsid w:val="00734DCB"/>
    <w:rsid w:val="00746A9D"/>
    <w:rsid w:val="007514D1"/>
    <w:rsid w:val="00766713"/>
    <w:rsid w:val="00771A1A"/>
    <w:rsid w:val="00774073"/>
    <w:rsid w:val="00795D7C"/>
    <w:rsid w:val="007A0A6E"/>
    <w:rsid w:val="007A3116"/>
    <w:rsid w:val="007A4179"/>
    <w:rsid w:val="007B1319"/>
    <w:rsid w:val="007B7D49"/>
    <w:rsid w:val="007D1613"/>
    <w:rsid w:val="007D5BC1"/>
    <w:rsid w:val="007E50AD"/>
    <w:rsid w:val="0080192F"/>
    <w:rsid w:val="00801D27"/>
    <w:rsid w:val="00814A22"/>
    <w:rsid w:val="00821018"/>
    <w:rsid w:val="00846E32"/>
    <w:rsid w:val="00847E4A"/>
    <w:rsid w:val="00855DFE"/>
    <w:rsid w:val="008658A5"/>
    <w:rsid w:val="00872D04"/>
    <w:rsid w:val="00877106"/>
    <w:rsid w:val="0088343E"/>
    <w:rsid w:val="00886CED"/>
    <w:rsid w:val="0089182A"/>
    <w:rsid w:val="008920D4"/>
    <w:rsid w:val="0089324A"/>
    <w:rsid w:val="008932E9"/>
    <w:rsid w:val="00894F7E"/>
    <w:rsid w:val="008A13DB"/>
    <w:rsid w:val="008A3FCC"/>
    <w:rsid w:val="008A55EC"/>
    <w:rsid w:val="008A565A"/>
    <w:rsid w:val="008B2CC1"/>
    <w:rsid w:val="008B60B2"/>
    <w:rsid w:val="008C75C1"/>
    <w:rsid w:val="008E1104"/>
    <w:rsid w:val="00902682"/>
    <w:rsid w:val="0090731E"/>
    <w:rsid w:val="00907E10"/>
    <w:rsid w:val="00916EE2"/>
    <w:rsid w:val="009213CF"/>
    <w:rsid w:val="00922141"/>
    <w:rsid w:val="009439D1"/>
    <w:rsid w:val="00955A36"/>
    <w:rsid w:val="00956594"/>
    <w:rsid w:val="00966A22"/>
    <w:rsid w:val="0096722F"/>
    <w:rsid w:val="00974148"/>
    <w:rsid w:val="0097732D"/>
    <w:rsid w:val="00980843"/>
    <w:rsid w:val="009855D9"/>
    <w:rsid w:val="009A70CB"/>
    <w:rsid w:val="009C1D4D"/>
    <w:rsid w:val="009E1BEF"/>
    <w:rsid w:val="009E2791"/>
    <w:rsid w:val="009E3F6F"/>
    <w:rsid w:val="009E6AD6"/>
    <w:rsid w:val="009E7653"/>
    <w:rsid w:val="009F297E"/>
    <w:rsid w:val="009F40D5"/>
    <w:rsid w:val="009F499F"/>
    <w:rsid w:val="009F5980"/>
    <w:rsid w:val="00A03D1C"/>
    <w:rsid w:val="00A14A1E"/>
    <w:rsid w:val="00A14A84"/>
    <w:rsid w:val="00A25845"/>
    <w:rsid w:val="00A26C15"/>
    <w:rsid w:val="00A36D40"/>
    <w:rsid w:val="00A4178A"/>
    <w:rsid w:val="00A42DAF"/>
    <w:rsid w:val="00A45BD8"/>
    <w:rsid w:val="00A47E30"/>
    <w:rsid w:val="00A514F1"/>
    <w:rsid w:val="00A60DB8"/>
    <w:rsid w:val="00A62421"/>
    <w:rsid w:val="00A72A9F"/>
    <w:rsid w:val="00A833E2"/>
    <w:rsid w:val="00A8656B"/>
    <w:rsid w:val="00A869B7"/>
    <w:rsid w:val="00A87378"/>
    <w:rsid w:val="00A90488"/>
    <w:rsid w:val="00A95DF0"/>
    <w:rsid w:val="00AB1665"/>
    <w:rsid w:val="00AC205C"/>
    <w:rsid w:val="00AC71B1"/>
    <w:rsid w:val="00AE0A3C"/>
    <w:rsid w:val="00AE6078"/>
    <w:rsid w:val="00AE6334"/>
    <w:rsid w:val="00AF0A6B"/>
    <w:rsid w:val="00AF1BF5"/>
    <w:rsid w:val="00AF3F61"/>
    <w:rsid w:val="00AF40FD"/>
    <w:rsid w:val="00AF6A6B"/>
    <w:rsid w:val="00AF771A"/>
    <w:rsid w:val="00B001BF"/>
    <w:rsid w:val="00B05A69"/>
    <w:rsid w:val="00B11CC7"/>
    <w:rsid w:val="00B15706"/>
    <w:rsid w:val="00B22EB9"/>
    <w:rsid w:val="00B2546F"/>
    <w:rsid w:val="00B315EA"/>
    <w:rsid w:val="00B32F10"/>
    <w:rsid w:val="00B37EB5"/>
    <w:rsid w:val="00B466E4"/>
    <w:rsid w:val="00B75FC9"/>
    <w:rsid w:val="00B96C1F"/>
    <w:rsid w:val="00B9734B"/>
    <w:rsid w:val="00B9745B"/>
    <w:rsid w:val="00B978F3"/>
    <w:rsid w:val="00BA1261"/>
    <w:rsid w:val="00BA534B"/>
    <w:rsid w:val="00BB1DC2"/>
    <w:rsid w:val="00BB27AA"/>
    <w:rsid w:val="00BB7C77"/>
    <w:rsid w:val="00BC1A8A"/>
    <w:rsid w:val="00BE00BF"/>
    <w:rsid w:val="00BE6080"/>
    <w:rsid w:val="00BE7FA7"/>
    <w:rsid w:val="00C01E18"/>
    <w:rsid w:val="00C11BFE"/>
    <w:rsid w:val="00C15634"/>
    <w:rsid w:val="00C15A69"/>
    <w:rsid w:val="00C23725"/>
    <w:rsid w:val="00C35580"/>
    <w:rsid w:val="00C62B52"/>
    <w:rsid w:val="00C70607"/>
    <w:rsid w:val="00C7226C"/>
    <w:rsid w:val="00C75346"/>
    <w:rsid w:val="00C869EE"/>
    <w:rsid w:val="00CA1974"/>
    <w:rsid w:val="00CB17F1"/>
    <w:rsid w:val="00CC19E7"/>
    <w:rsid w:val="00CD1141"/>
    <w:rsid w:val="00CD3F8F"/>
    <w:rsid w:val="00CE3327"/>
    <w:rsid w:val="00CF1A33"/>
    <w:rsid w:val="00CF3A0D"/>
    <w:rsid w:val="00D14904"/>
    <w:rsid w:val="00D21439"/>
    <w:rsid w:val="00D379F5"/>
    <w:rsid w:val="00D45252"/>
    <w:rsid w:val="00D6572D"/>
    <w:rsid w:val="00D672B1"/>
    <w:rsid w:val="00D71B4D"/>
    <w:rsid w:val="00D91C06"/>
    <w:rsid w:val="00D92CFC"/>
    <w:rsid w:val="00D93D55"/>
    <w:rsid w:val="00D96F38"/>
    <w:rsid w:val="00DA791E"/>
    <w:rsid w:val="00DB469D"/>
    <w:rsid w:val="00DC3D7A"/>
    <w:rsid w:val="00DE7D97"/>
    <w:rsid w:val="00DF3015"/>
    <w:rsid w:val="00E05D0E"/>
    <w:rsid w:val="00E10FEF"/>
    <w:rsid w:val="00E248C7"/>
    <w:rsid w:val="00E335FE"/>
    <w:rsid w:val="00E359BF"/>
    <w:rsid w:val="00E44BC3"/>
    <w:rsid w:val="00E46A39"/>
    <w:rsid w:val="00E55256"/>
    <w:rsid w:val="00E56E25"/>
    <w:rsid w:val="00E57FC8"/>
    <w:rsid w:val="00E751E6"/>
    <w:rsid w:val="00E8753E"/>
    <w:rsid w:val="00E87DD7"/>
    <w:rsid w:val="00E95D3F"/>
    <w:rsid w:val="00E9740E"/>
    <w:rsid w:val="00EA42EF"/>
    <w:rsid w:val="00EB318B"/>
    <w:rsid w:val="00EB3D31"/>
    <w:rsid w:val="00EB5C45"/>
    <w:rsid w:val="00EB7873"/>
    <w:rsid w:val="00EC4E49"/>
    <w:rsid w:val="00ED53E6"/>
    <w:rsid w:val="00ED77FB"/>
    <w:rsid w:val="00EE0EE0"/>
    <w:rsid w:val="00EE15DF"/>
    <w:rsid w:val="00EE45FA"/>
    <w:rsid w:val="00EE585F"/>
    <w:rsid w:val="00EF1F42"/>
    <w:rsid w:val="00EF2B2E"/>
    <w:rsid w:val="00F07EE4"/>
    <w:rsid w:val="00F27179"/>
    <w:rsid w:val="00F307F6"/>
    <w:rsid w:val="00F43728"/>
    <w:rsid w:val="00F466B0"/>
    <w:rsid w:val="00F63733"/>
    <w:rsid w:val="00F65135"/>
    <w:rsid w:val="00F65D8B"/>
    <w:rsid w:val="00F66152"/>
    <w:rsid w:val="00F6714A"/>
    <w:rsid w:val="00F8744D"/>
    <w:rsid w:val="00F923AA"/>
    <w:rsid w:val="00FC25FE"/>
    <w:rsid w:val="00FC3843"/>
    <w:rsid w:val="00FD2573"/>
    <w:rsid w:val="00FF3F94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145B6BF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D379F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1A33"/>
    <w:pPr>
      <w:ind w:left="720"/>
    </w:pPr>
  </w:style>
  <w:style w:type="paragraph" w:styleId="Revision">
    <w:name w:val="Revision"/>
    <w:hidden/>
    <w:uiPriority w:val="99"/>
    <w:semiHidden/>
    <w:rsid w:val="00CD11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FA58-9FB4-4668-A76B-1499705A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780</Words>
  <Characters>4085</Characters>
  <Application>Microsoft Office Word</Application>
  <DocSecurity>0</DocSecurity>
  <Lines>93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H/LD/WG/. (E)</vt:lpstr>
    </vt:vector>
  </TitlesOfParts>
  <Company>WIPO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H/LD/WG/. (E)</dc:title>
  <dc:creator>MAILLARD Amber</dc:creator>
  <cp:keywords>FOR OFFICIAL USE ONLY</cp:keywords>
  <cp:lastModifiedBy>OKUTOMI Hiroshi</cp:lastModifiedBy>
  <cp:revision>5</cp:revision>
  <cp:lastPrinted>2020-12-11T09:35:00Z</cp:lastPrinted>
  <dcterms:created xsi:type="dcterms:W3CDTF">2020-12-11T11:15:00Z</dcterms:created>
  <dcterms:modified xsi:type="dcterms:W3CDTF">2020-12-11T11:45:00Z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97da34d1-f849-4e44-baa6-91dcfd0e88e9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