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0904" w:rsidRPr="00551FBE" w14:paraId="6B0CABD5" w14:textId="77777777" w:rsidTr="00DB5A5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E3B8239" w14:textId="77777777" w:rsidR="009E0904" w:rsidRPr="00CC671E" w:rsidRDefault="009E0904" w:rsidP="00813F49">
            <w:pPr>
              <w:rPr>
                <w:rFonts w:eastAsiaTheme="minorEastAsia"/>
                <w:lang w:val="es-ES_tradnl" w:eastAsia="ja-JP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BFF8D64" w14:textId="690D773C" w:rsidR="009E0904" w:rsidRPr="00551FBE" w:rsidRDefault="008D6629" w:rsidP="00813F49">
            <w:pPr>
              <w:rPr>
                <w:lang w:val="es-ES_tradnl"/>
              </w:rPr>
            </w:pPr>
            <w:r w:rsidRPr="00551FBE">
              <w:rPr>
                <w:noProof/>
                <w:lang w:eastAsia="en-US"/>
              </w:rPr>
              <w:drawing>
                <wp:inline distT="0" distB="0" distL="0" distR="0" wp14:anchorId="04D578DC" wp14:editId="75EFF591">
                  <wp:extent cx="1859280" cy="1322705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5DFF026" w14:textId="3A7055A3" w:rsidR="009E0904" w:rsidRPr="00551FBE" w:rsidRDefault="00DB5A58" w:rsidP="00813F49">
            <w:pPr>
              <w:jc w:val="right"/>
              <w:rPr>
                <w:lang w:val="es-ES_tradnl"/>
              </w:rPr>
            </w:pPr>
            <w:r w:rsidRPr="00551FBE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9E0904" w:rsidRPr="00551FBE" w14:paraId="1E6E6B92" w14:textId="77777777" w:rsidTr="006D0173">
        <w:trPr>
          <w:trHeight w:hRule="exact" w:val="369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028F5E6" w14:textId="3085887E" w:rsidR="009E0904" w:rsidRPr="00551FBE" w:rsidRDefault="00820D5E" w:rsidP="00AF12D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0" w:name="Code"/>
            <w:bookmarkEnd w:id="0"/>
            <w:r w:rsidRPr="00551FBE">
              <w:rPr>
                <w:rFonts w:ascii="Arial Black" w:hAnsi="Arial Black"/>
                <w:caps/>
                <w:sz w:val="15"/>
                <w:lang w:val="es-ES_tradnl"/>
              </w:rPr>
              <w:t>H</w:t>
            </w:r>
            <w:r w:rsidR="009E0904" w:rsidRPr="00551FBE">
              <w:rPr>
                <w:rFonts w:ascii="Arial Black" w:hAnsi="Arial Black"/>
                <w:caps/>
                <w:sz w:val="15"/>
                <w:lang w:val="es-ES_tradnl"/>
              </w:rPr>
              <w:t>/LD/WG/</w:t>
            </w:r>
            <w:r w:rsidR="00C70F7C" w:rsidRPr="00551FBE">
              <w:rPr>
                <w:rFonts w:ascii="Arial Black" w:hAnsi="Arial Black"/>
                <w:caps/>
                <w:sz w:val="15"/>
                <w:lang w:val="es-ES_tradnl"/>
              </w:rPr>
              <w:t>9</w:t>
            </w:r>
            <w:r w:rsidR="009E0904" w:rsidRPr="00551FBE">
              <w:rPr>
                <w:rFonts w:ascii="Arial Black" w:hAnsi="Arial Black"/>
                <w:caps/>
                <w:sz w:val="15"/>
                <w:lang w:val="es-ES_tradnl"/>
              </w:rPr>
              <w:t>/</w:t>
            </w:r>
            <w:r w:rsidR="00F33BB0" w:rsidRPr="00551FBE">
              <w:rPr>
                <w:rFonts w:ascii="Arial Black" w:hAnsi="Arial Black"/>
                <w:caps/>
                <w:sz w:val="15"/>
                <w:lang w:val="es-ES_tradnl"/>
              </w:rPr>
              <w:t>INF/</w:t>
            </w:r>
            <w:r w:rsidR="00AF12DD" w:rsidRPr="00551FBE">
              <w:rPr>
                <w:rFonts w:ascii="Arial Black" w:hAnsi="Arial Black"/>
                <w:caps/>
                <w:sz w:val="15"/>
                <w:lang w:val="es-ES_tradnl"/>
              </w:rPr>
              <w:t>1</w:t>
            </w:r>
            <w:r w:rsidR="003A4DF4" w:rsidRPr="00551FBE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</w:p>
        </w:tc>
      </w:tr>
      <w:tr w:rsidR="009E0904" w:rsidRPr="00551FBE" w14:paraId="5C0DCA70" w14:textId="77777777" w:rsidTr="00813F4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D2192EA" w14:textId="1B8233ED" w:rsidR="009E0904" w:rsidRPr="00551FBE" w:rsidRDefault="009E0904" w:rsidP="00DB5A58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551FBE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3A4DF4" w:rsidRPr="00551FBE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Original"/>
            <w:bookmarkEnd w:id="1"/>
            <w:r w:rsidR="00DB5A58" w:rsidRPr="00551FBE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9E0904" w:rsidRPr="00551FBE" w14:paraId="05C6E224" w14:textId="77777777" w:rsidTr="00813F4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81C03B4" w14:textId="5547DCFE" w:rsidR="009E0904" w:rsidRPr="00551FBE" w:rsidRDefault="00CE7097" w:rsidP="00CC671E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551FBE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036D8F" w:rsidRPr="00551FBE">
              <w:rPr>
                <w:rFonts w:ascii="Arial Black" w:hAnsi="Arial Black"/>
                <w:caps/>
                <w:sz w:val="15"/>
                <w:lang w:val="es-ES_tradnl"/>
              </w:rPr>
              <w:t xml:space="preserve">: </w:t>
            </w:r>
            <w:r w:rsidR="00551FBE" w:rsidRPr="00551FBE">
              <w:rPr>
                <w:rFonts w:ascii="Arial Black" w:hAnsi="Arial Black"/>
                <w:caps/>
                <w:sz w:val="15"/>
                <w:lang w:val="es-ES_tradnl"/>
              </w:rPr>
              <w:t xml:space="preserve"> 14</w:t>
            </w:r>
            <w:r w:rsidRPr="00551FBE">
              <w:rPr>
                <w:rFonts w:ascii="Arial Black" w:hAnsi="Arial Black"/>
                <w:caps/>
                <w:sz w:val="15"/>
                <w:lang w:val="es-ES_tradnl"/>
              </w:rPr>
              <w:t xml:space="preserve"> de octubre de</w:t>
            </w:r>
            <w:r w:rsidR="00C834A3" w:rsidRPr="00551FBE">
              <w:rPr>
                <w:rFonts w:ascii="Arial Black" w:hAnsi="Arial Black"/>
                <w:caps/>
                <w:sz w:val="15"/>
                <w:lang w:val="es-ES_tradnl"/>
              </w:rPr>
              <w:t xml:space="preserve"> 2020</w:t>
            </w:r>
            <w:r w:rsidR="003A4DF4" w:rsidRPr="00551FBE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</w:p>
        </w:tc>
      </w:tr>
    </w:tbl>
    <w:p w14:paraId="2275C754" w14:textId="37C897E1" w:rsidR="009E0904" w:rsidRPr="00551FBE" w:rsidRDefault="00DB5A58" w:rsidP="006D0173">
      <w:pPr>
        <w:spacing w:before="1200"/>
        <w:rPr>
          <w:b/>
          <w:sz w:val="28"/>
          <w:szCs w:val="28"/>
          <w:lang w:val="es-ES_tradnl"/>
        </w:rPr>
      </w:pPr>
      <w:r w:rsidRPr="00551FBE">
        <w:rPr>
          <w:b/>
          <w:sz w:val="28"/>
          <w:szCs w:val="28"/>
          <w:lang w:val="es-ES_tradnl"/>
        </w:rPr>
        <w:t>Grupo de Trabajo sobre el Desarrollo Jurídico del Sistema de La Haya para el Registro Internacional de Dibujos y Modelos Industriales</w:t>
      </w:r>
    </w:p>
    <w:p w14:paraId="1F029532" w14:textId="26F05885" w:rsidR="009E0904" w:rsidRPr="00551FBE" w:rsidRDefault="00DB5A58" w:rsidP="006D0173">
      <w:pPr>
        <w:spacing w:before="480"/>
        <w:rPr>
          <w:b/>
          <w:sz w:val="24"/>
          <w:szCs w:val="24"/>
          <w:lang w:val="es-ES_tradnl"/>
        </w:rPr>
      </w:pPr>
      <w:r w:rsidRPr="00551FBE">
        <w:rPr>
          <w:b/>
          <w:sz w:val="24"/>
          <w:szCs w:val="24"/>
          <w:lang w:val="es-ES_tradnl"/>
        </w:rPr>
        <w:t xml:space="preserve">Novena </w:t>
      </w:r>
      <w:r w:rsidR="007B7891" w:rsidRPr="00551FBE">
        <w:rPr>
          <w:b/>
          <w:sz w:val="24"/>
          <w:szCs w:val="24"/>
          <w:lang w:val="es-ES_tradnl"/>
        </w:rPr>
        <w:t>reunión</w:t>
      </w:r>
    </w:p>
    <w:p w14:paraId="412260CD" w14:textId="63453A73" w:rsidR="009E0904" w:rsidRPr="00551FBE" w:rsidRDefault="009E0904" w:rsidP="009E0904">
      <w:pPr>
        <w:rPr>
          <w:b/>
          <w:sz w:val="24"/>
          <w:szCs w:val="24"/>
          <w:lang w:val="es-ES_tradnl"/>
        </w:rPr>
      </w:pPr>
      <w:r w:rsidRPr="00551FBE">
        <w:rPr>
          <w:b/>
          <w:sz w:val="24"/>
          <w:szCs w:val="24"/>
          <w:lang w:val="es-ES_tradnl"/>
        </w:rPr>
        <w:t>G</w:t>
      </w:r>
      <w:r w:rsidR="00EE1084" w:rsidRPr="00551FBE">
        <w:rPr>
          <w:b/>
          <w:sz w:val="24"/>
          <w:szCs w:val="24"/>
          <w:lang w:val="es-ES_tradnl"/>
        </w:rPr>
        <w:t>inebr</w:t>
      </w:r>
      <w:r w:rsidRPr="00551FBE">
        <w:rPr>
          <w:b/>
          <w:sz w:val="24"/>
          <w:szCs w:val="24"/>
          <w:lang w:val="es-ES_tradnl"/>
        </w:rPr>
        <w:t xml:space="preserve">a, </w:t>
      </w:r>
      <w:r w:rsidR="00EE1084" w:rsidRPr="00551FBE">
        <w:rPr>
          <w:b/>
          <w:sz w:val="24"/>
          <w:szCs w:val="24"/>
          <w:lang w:val="es-ES_tradnl"/>
        </w:rPr>
        <w:t xml:space="preserve">14 a 16 de diciembre de </w:t>
      </w:r>
      <w:r w:rsidR="00DC046F" w:rsidRPr="00551FBE">
        <w:rPr>
          <w:b/>
          <w:sz w:val="24"/>
          <w:szCs w:val="24"/>
          <w:lang w:val="es-ES_tradnl"/>
        </w:rPr>
        <w:t>2020</w:t>
      </w:r>
    </w:p>
    <w:p w14:paraId="07D8C355" w14:textId="1AAA3CCE" w:rsidR="009E0904" w:rsidRPr="00551FBE" w:rsidRDefault="00EE1084" w:rsidP="006D0173">
      <w:pPr>
        <w:spacing w:before="720"/>
        <w:rPr>
          <w:caps/>
          <w:sz w:val="24"/>
          <w:lang w:val="es-ES_tradnl"/>
        </w:rPr>
      </w:pPr>
      <w:bookmarkStart w:id="2" w:name="TitleOfDoc"/>
      <w:bookmarkEnd w:id="2"/>
      <w:r w:rsidRPr="00551FBE">
        <w:rPr>
          <w:caps/>
          <w:sz w:val="24"/>
          <w:lang w:val="es-ES_tradnl"/>
        </w:rPr>
        <w:t xml:space="preserve">ESTUDIO DE LAS TASAS DE RENOVACIÓN Y </w:t>
      </w:r>
      <w:r w:rsidR="00E83480" w:rsidRPr="00551FBE">
        <w:rPr>
          <w:caps/>
          <w:sz w:val="24"/>
          <w:lang w:val="es-ES_tradnl"/>
        </w:rPr>
        <w:t>sus</w:t>
      </w:r>
      <w:r w:rsidRPr="00551FBE">
        <w:rPr>
          <w:caps/>
          <w:sz w:val="24"/>
          <w:lang w:val="es-ES_tradnl"/>
        </w:rPr>
        <w:t xml:space="preserve"> IMPORTES EN LOS SISTEMAS NACIONALES O REGIONALES</w:t>
      </w:r>
      <w:r w:rsidR="00F33BB0" w:rsidRPr="00551FBE">
        <w:rPr>
          <w:caps/>
          <w:sz w:val="24"/>
          <w:lang w:val="es-ES_tradnl"/>
        </w:rPr>
        <w:t xml:space="preserve"> </w:t>
      </w:r>
      <w:r w:rsidRPr="00551FBE">
        <w:rPr>
          <w:caps/>
          <w:sz w:val="24"/>
          <w:lang w:val="es-ES_tradnl"/>
        </w:rPr>
        <w:t>QUE ADMI</w:t>
      </w:r>
      <w:r w:rsidR="008D6629" w:rsidRPr="00551FBE">
        <w:rPr>
          <w:caps/>
          <w:sz w:val="24"/>
          <w:lang w:val="es-ES_tradnl"/>
        </w:rPr>
        <w:t>TEN MÚLTIPLES DIBUJOS O MODELOS</w:t>
      </w:r>
    </w:p>
    <w:p w14:paraId="635187FD" w14:textId="0E98A6FA" w:rsidR="00A53CA0" w:rsidRPr="00551FBE" w:rsidRDefault="00CF376D" w:rsidP="005D6720">
      <w:pPr>
        <w:spacing w:before="240" w:after="960"/>
        <w:rPr>
          <w:i/>
          <w:lang w:val="es-ES_tradnl"/>
        </w:rPr>
      </w:pPr>
      <w:bookmarkStart w:id="3" w:name="Prepared"/>
      <w:bookmarkEnd w:id="3"/>
      <w:r w:rsidRPr="00551FBE">
        <w:rPr>
          <w:i/>
          <w:lang w:val="es-ES_tradnl"/>
        </w:rPr>
        <w:t>p</w:t>
      </w:r>
      <w:r w:rsidR="00EE1084" w:rsidRPr="00551FBE">
        <w:rPr>
          <w:i/>
          <w:lang w:val="es-ES_tradnl"/>
        </w:rPr>
        <w:t>reparado por la Oficina Internacional</w:t>
      </w:r>
    </w:p>
    <w:p w14:paraId="5A711E54" w14:textId="33A4E872" w:rsidR="00306FC3" w:rsidRPr="00551FBE" w:rsidRDefault="00306FC3" w:rsidP="00D85552">
      <w:pPr>
        <w:pStyle w:val="Heading1"/>
        <w:spacing w:before="220" w:after="220"/>
        <w:rPr>
          <w:lang w:val="es-ES_tradnl"/>
        </w:rPr>
      </w:pPr>
      <w:r w:rsidRPr="00551FBE">
        <w:rPr>
          <w:lang w:val="es-ES_tradnl"/>
        </w:rPr>
        <w:t>I.</w:t>
      </w:r>
      <w:r w:rsidRPr="00551FBE">
        <w:rPr>
          <w:lang w:val="es-ES_tradnl"/>
        </w:rPr>
        <w:tab/>
        <w:t>introduc</w:t>
      </w:r>
      <w:r w:rsidR="00E83480" w:rsidRPr="00551FBE">
        <w:rPr>
          <w:lang w:val="es-ES_tradnl"/>
        </w:rPr>
        <w:t>ció</w:t>
      </w:r>
      <w:r w:rsidRPr="00551FBE">
        <w:rPr>
          <w:lang w:val="es-ES_tradnl"/>
        </w:rPr>
        <w:t>n</w:t>
      </w:r>
    </w:p>
    <w:p w14:paraId="252EB008" w14:textId="0E12F026" w:rsidR="000D57B7" w:rsidRPr="00551FBE" w:rsidRDefault="00BF151D" w:rsidP="00CC671E">
      <w:pPr>
        <w:pStyle w:val="ONUMFS"/>
        <w:rPr>
          <w:lang w:val="es-ES_tradnl" w:eastAsia="en-US"/>
        </w:rPr>
      </w:pPr>
      <w:r w:rsidRPr="00551FBE">
        <w:rPr>
          <w:lang w:val="es-ES_tradnl"/>
        </w:rPr>
        <w:t xml:space="preserve">En su octava </w:t>
      </w:r>
      <w:r w:rsidR="007B7891" w:rsidRPr="00551FBE">
        <w:rPr>
          <w:lang w:val="es-ES_tradnl"/>
        </w:rPr>
        <w:t>reunión</w:t>
      </w:r>
      <w:r w:rsidRPr="00551FBE">
        <w:rPr>
          <w:lang w:val="es-ES_tradnl"/>
        </w:rPr>
        <w:t xml:space="preserve">, celebrada del 30 de octubre al 1 de noviembre de 2019, el Grupo de Trabajo sobre el Desarrollo Jurídico del Sistema de La Haya para el Registro Internacional de Dibujos y Modelos Industriales (en adelante, el "Grupo de Trabajo" y el "Sistema de </w:t>
      </w:r>
      <w:r w:rsidR="00CF376D" w:rsidRPr="00551FBE">
        <w:rPr>
          <w:lang w:val="es-ES_tradnl"/>
        </w:rPr>
        <w:br/>
      </w:r>
      <w:r w:rsidRPr="00551FBE">
        <w:rPr>
          <w:lang w:val="es-ES_tradnl"/>
        </w:rPr>
        <w:t>La Haya") examinó el documento H/LD/WG/8/4, titulado "Sostenibi</w:t>
      </w:r>
      <w:r w:rsidR="00CF376D" w:rsidRPr="00551FBE">
        <w:rPr>
          <w:lang w:val="es-ES_tradnl"/>
        </w:rPr>
        <w:t>lidad F</w:t>
      </w:r>
      <w:r w:rsidR="00E468F9" w:rsidRPr="00551FBE">
        <w:rPr>
          <w:lang w:val="es-ES_tradnl"/>
        </w:rPr>
        <w:t>inanciera del Sistema de </w:t>
      </w:r>
      <w:r w:rsidR="00CF376D" w:rsidRPr="00551FBE">
        <w:rPr>
          <w:lang w:val="es-ES_tradnl"/>
        </w:rPr>
        <w:t>La Haya; Posible Revisión de la Tabla de T</w:t>
      </w:r>
      <w:r w:rsidRPr="00551FBE">
        <w:rPr>
          <w:lang w:val="es-ES_tradnl"/>
        </w:rPr>
        <w:t>asas."</w:t>
      </w:r>
    </w:p>
    <w:p w14:paraId="1BAE8E1D" w14:textId="516FE824" w:rsidR="00910B78" w:rsidRPr="00551FBE" w:rsidRDefault="00A72F03" w:rsidP="00CC671E">
      <w:pPr>
        <w:pStyle w:val="ONUMFS"/>
        <w:rPr>
          <w:lang w:val="es-ES_tradnl" w:eastAsia="en-US"/>
        </w:rPr>
      </w:pPr>
      <w:r w:rsidRPr="00551FBE">
        <w:rPr>
          <w:lang w:val="es-ES_tradnl"/>
        </w:rPr>
        <w:t xml:space="preserve">El Grupo de Trabajo se mostró a favor de </w:t>
      </w:r>
      <w:r w:rsidR="001F602E" w:rsidRPr="00551FBE">
        <w:rPr>
          <w:lang w:val="es-ES_tradnl"/>
        </w:rPr>
        <w:t>someter a consideración</w:t>
      </w:r>
      <w:r w:rsidRPr="00551FBE">
        <w:rPr>
          <w:lang w:val="es-ES_tradnl"/>
        </w:rPr>
        <w:t xml:space="preserve"> una propuesta de modificación del importe de la tasa de base por cada dibujo o modelo adicional </w:t>
      </w:r>
      <w:r w:rsidR="001F602E" w:rsidRPr="00551FBE">
        <w:rPr>
          <w:lang w:val="es-ES_tradnl"/>
        </w:rPr>
        <w:t>contenido</w:t>
      </w:r>
      <w:r w:rsidRPr="00551FBE">
        <w:rPr>
          <w:lang w:val="es-ES_tradnl"/>
        </w:rPr>
        <w:t xml:space="preserve"> en la misma solicitud internacional, tal como se recoge en el documento mencionado. </w:t>
      </w:r>
      <w:r w:rsidR="002156DE" w:rsidRPr="00551FBE">
        <w:rPr>
          <w:lang w:val="es-ES_tradnl"/>
        </w:rPr>
        <w:t>Por otro lado</w:t>
      </w:r>
      <w:r w:rsidRPr="00551FBE">
        <w:rPr>
          <w:lang w:val="es-ES_tradnl"/>
        </w:rPr>
        <w:t xml:space="preserve">, tras observar </w:t>
      </w:r>
      <w:r w:rsidR="001F602E" w:rsidRPr="00551FBE">
        <w:rPr>
          <w:lang w:val="es-ES_tradnl"/>
        </w:rPr>
        <w:t xml:space="preserve">que existe </w:t>
      </w:r>
      <w:r w:rsidRPr="00551FBE">
        <w:rPr>
          <w:lang w:val="es-ES_tradnl"/>
        </w:rPr>
        <w:t xml:space="preserve">una </w:t>
      </w:r>
      <w:r w:rsidR="001F602E" w:rsidRPr="00551FBE">
        <w:rPr>
          <w:lang w:val="es-ES_tradnl"/>
        </w:rPr>
        <w:t xml:space="preserve">importante </w:t>
      </w:r>
      <w:r w:rsidRPr="00551FBE">
        <w:rPr>
          <w:lang w:val="es-ES_tradnl"/>
        </w:rPr>
        <w:t xml:space="preserve">diferencia entre el importe de la tasa de renovación </w:t>
      </w:r>
      <w:r w:rsidR="001F602E" w:rsidRPr="00551FBE">
        <w:rPr>
          <w:lang w:val="es-ES_tradnl"/>
        </w:rPr>
        <w:t>correspondiente al</w:t>
      </w:r>
      <w:r w:rsidRPr="00551FBE">
        <w:rPr>
          <w:lang w:val="es-ES_tradnl"/>
        </w:rPr>
        <w:t xml:space="preserve"> primer dibujo o modelo y el de cada dibujo o modelo adicional, el Grupo de Trabajo pidió a la Oficina Internacional que prepare un estudio sobre el posible </w:t>
      </w:r>
      <w:r w:rsidR="001F602E" w:rsidRPr="00551FBE">
        <w:rPr>
          <w:lang w:val="es-ES_tradnl"/>
        </w:rPr>
        <w:t>aumento</w:t>
      </w:r>
      <w:r w:rsidRPr="00551FBE">
        <w:rPr>
          <w:lang w:val="es-ES_tradnl"/>
        </w:rPr>
        <w:t xml:space="preserve"> del importe de la </w:t>
      </w:r>
      <w:r w:rsidR="002156DE" w:rsidRPr="00551FBE">
        <w:rPr>
          <w:lang w:val="es-ES_tradnl"/>
        </w:rPr>
        <w:t>tasa de base de renovación</w:t>
      </w:r>
      <w:r w:rsidRPr="00551FBE">
        <w:rPr>
          <w:lang w:val="es-ES_tradnl"/>
        </w:rPr>
        <w:t xml:space="preserve"> por cada dibujo o modelo adicional, para </w:t>
      </w:r>
      <w:r w:rsidR="001F602E" w:rsidRPr="00551FBE">
        <w:rPr>
          <w:lang w:val="es-ES_tradnl"/>
        </w:rPr>
        <w:t>su examen</w:t>
      </w:r>
      <w:r w:rsidRPr="00551FBE">
        <w:rPr>
          <w:lang w:val="es-ES_tradnl"/>
        </w:rPr>
        <w:t xml:space="preserve"> en la siguiente </w:t>
      </w:r>
      <w:r w:rsidR="001F602E" w:rsidRPr="00551FBE">
        <w:rPr>
          <w:lang w:val="es-ES_tradnl"/>
        </w:rPr>
        <w:t>reunión.</w:t>
      </w:r>
      <w:r w:rsidR="0089020D" w:rsidRPr="00551FBE">
        <w:rPr>
          <w:rStyle w:val="FootnoteReference"/>
          <w:lang w:val="es-ES_tradnl" w:eastAsia="en-US"/>
        </w:rPr>
        <w:footnoteReference w:id="2"/>
      </w:r>
    </w:p>
    <w:p w14:paraId="7BC803BC" w14:textId="77777777" w:rsidR="00CC671E" w:rsidRPr="00551FBE" w:rsidRDefault="009F6C77" w:rsidP="00CC671E">
      <w:pPr>
        <w:pStyle w:val="ONUMFS"/>
        <w:rPr>
          <w:lang w:val="es-ES_tradnl" w:eastAsia="en-US"/>
        </w:rPr>
      </w:pPr>
      <w:r w:rsidRPr="00551FBE">
        <w:rPr>
          <w:lang w:val="es-ES_tradnl" w:eastAsia="en-US"/>
        </w:rPr>
        <w:t>En respuesta a la petición del Grupo de Trabajo, en el presente documento se ofrece un análisis comparativo de la estructura y los importes de las tasas de renovación en los sistemas nacionales o regionales que admiten múltiples diseños, como ocurre en el Sistema de La Haya.</w:t>
      </w:r>
      <w:r w:rsidR="003A4DF4" w:rsidRPr="00551FBE">
        <w:rPr>
          <w:lang w:val="es-ES_tradnl" w:eastAsia="en-US"/>
        </w:rPr>
        <w:t xml:space="preserve"> </w:t>
      </w:r>
      <w:r w:rsidR="002156DE" w:rsidRPr="00551FBE">
        <w:rPr>
          <w:lang w:val="es-ES_tradnl" w:eastAsia="en-US"/>
        </w:rPr>
        <w:t>En esta etapa, no obstante,</w:t>
      </w:r>
      <w:r w:rsidRPr="00551FBE">
        <w:rPr>
          <w:lang w:val="es-ES_tradnl" w:eastAsia="en-US"/>
        </w:rPr>
        <w:t xml:space="preserve"> el documento no plantea ninguna propuesta de modificación de la Tabla de tasas</w:t>
      </w:r>
      <w:r w:rsidR="00110E25" w:rsidRPr="00551FBE">
        <w:rPr>
          <w:lang w:val="es-ES_tradnl" w:eastAsia="en-US"/>
        </w:rPr>
        <w:t>.</w:t>
      </w:r>
    </w:p>
    <w:p w14:paraId="79867CA7" w14:textId="1BE9482C" w:rsidR="001A4488" w:rsidRPr="00551FBE" w:rsidRDefault="004A4F56" w:rsidP="00CC671E">
      <w:pPr>
        <w:pStyle w:val="Heading1"/>
        <w:spacing w:before="0" w:after="120"/>
        <w:rPr>
          <w:lang w:val="es-ES_tradnl"/>
        </w:rPr>
      </w:pPr>
      <w:r w:rsidRPr="00551FBE">
        <w:rPr>
          <w:lang w:val="es-ES_tradnl"/>
        </w:rPr>
        <w:lastRenderedPageBreak/>
        <w:t>I</w:t>
      </w:r>
      <w:r w:rsidR="00306FC3" w:rsidRPr="00551FBE">
        <w:rPr>
          <w:lang w:val="es-ES_tradnl"/>
        </w:rPr>
        <w:t>i</w:t>
      </w:r>
      <w:r w:rsidR="00637680" w:rsidRPr="00551FBE">
        <w:rPr>
          <w:lang w:val="es-ES_tradnl"/>
        </w:rPr>
        <w:t>.</w:t>
      </w:r>
      <w:r w:rsidR="00637680" w:rsidRPr="00551FBE">
        <w:rPr>
          <w:lang w:val="es-ES_tradnl"/>
        </w:rPr>
        <w:tab/>
      </w:r>
      <w:r w:rsidR="002954EB" w:rsidRPr="00551FBE">
        <w:rPr>
          <w:lang w:val="es-ES_tradnl"/>
        </w:rPr>
        <w:t>ESTRUCTURA DE TASAS VIGENTE Y PRINCIPALES FUENTES DE INGRESOS</w:t>
      </w:r>
    </w:p>
    <w:p w14:paraId="22F3B4F0" w14:textId="1ED01B32" w:rsidR="006827C2" w:rsidRPr="00551FBE" w:rsidRDefault="002954EB" w:rsidP="00CC671E">
      <w:pPr>
        <w:pStyle w:val="ONUMFS"/>
        <w:rPr>
          <w:szCs w:val="22"/>
          <w:lang w:val="es-ES_tradnl"/>
        </w:rPr>
      </w:pPr>
      <w:r w:rsidRPr="00551FBE">
        <w:rPr>
          <w:lang w:val="es-ES_tradnl"/>
        </w:rPr>
        <w:t>La Tabla de tasas comprende varios elementos, entre ellos las tasas pagaderas a la Oficina Internacional, que son las siguientes</w:t>
      </w:r>
      <w:r w:rsidR="006827C2" w:rsidRPr="00551FBE">
        <w:rPr>
          <w:lang w:val="es-ES_tradnl"/>
        </w:rPr>
        <w:t>:</w:t>
      </w:r>
    </w:p>
    <w:p w14:paraId="421F594D" w14:textId="77777777" w:rsidR="00CF376D" w:rsidRPr="00551FBE" w:rsidRDefault="00CF376D" w:rsidP="00CF376D">
      <w:pPr>
        <w:pStyle w:val="BodyText"/>
        <w:numPr>
          <w:ilvl w:val="0"/>
          <w:numId w:val="0"/>
        </w:numPr>
        <w:ind w:left="993" w:hanging="426"/>
        <w:rPr>
          <w:szCs w:val="22"/>
          <w:lang w:val="es-ES_tradnl"/>
        </w:rPr>
      </w:pPr>
      <w:r w:rsidRPr="00551FBE">
        <w:rPr>
          <w:lang w:val="es-ES_tradnl"/>
        </w:rPr>
        <w:t>―</w:t>
      </w:r>
      <w:r w:rsidRPr="00551FBE">
        <w:rPr>
          <w:lang w:val="es-ES_tradnl"/>
        </w:rPr>
        <w:tab/>
      </w:r>
      <w:r w:rsidR="003A4DF4" w:rsidRPr="00551FBE">
        <w:rPr>
          <w:lang w:val="es-ES_tradnl"/>
        </w:rPr>
        <w:t>T</w:t>
      </w:r>
      <w:r w:rsidR="002954EB" w:rsidRPr="00551FBE">
        <w:rPr>
          <w:lang w:val="es-ES_tradnl"/>
        </w:rPr>
        <w:t>asa de base por solicitud internacional</w:t>
      </w:r>
      <w:r w:rsidR="001A4488" w:rsidRPr="00551FBE">
        <w:rPr>
          <w:lang w:val="es-ES_tradnl"/>
        </w:rPr>
        <w:t xml:space="preserve"> (</w:t>
      </w:r>
      <w:proofErr w:type="gramStart"/>
      <w:r w:rsidR="003A4DF4" w:rsidRPr="00551FBE">
        <w:rPr>
          <w:lang w:val="es-ES_tradnl"/>
        </w:rPr>
        <w:t>puntos</w:t>
      </w:r>
      <w:r w:rsidR="003A4DF4" w:rsidRPr="00551FBE">
        <w:rPr>
          <w:szCs w:val="22"/>
          <w:lang w:val="es-ES_tradnl"/>
        </w:rPr>
        <w:t xml:space="preserve"> </w:t>
      </w:r>
      <w:r w:rsidR="001A4488" w:rsidRPr="00551FBE">
        <w:rPr>
          <w:szCs w:val="22"/>
          <w:lang w:val="es-ES_tradnl"/>
        </w:rPr>
        <w:t>I.</w:t>
      </w:r>
      <w:proofErr w:type="gramEnd"/>
      <w:r w:rsidR="001A4488" w:rsidRPr="00551FBE">
        <w:rPr>
          <w:szCs w:val="22"/>
          <w:lang w:val="es-ES_tradnl"/>
        </w:rPr>
        <w:t xml:space="preserve">1 </w:t>
      </w:r>
      <w:r w:rsidR="003A4DF4" w:rsidRPr="00551FBE">
        <w:rPr>
          <w:szCs w:val="22"/>
          <w:lang w:val="es-ES_tradnl"/>
        </w:rPr>
        <w:t>a</w:t>
      </w:r>
      <w:r w:rsidR="001A4488" w:rsidRPr="00551FBE">
        <w:rPr>
          <w:szCs w:val="22"/>
          <w:lang w:val="es-ES_tradnl"/>
        </w:rPr>
        <w:t xml:space="preserve"> I.3);</w:t>
      </w:r>
    </w:p>
    <w:p w14:paraId="458E86BE" w14:textId="6258DE8D" w:rsidR="001A4488" w:rsidRPr="00551FBE" w:rsidRDefault="00CF376D" w:rsidP="00CF376D">
      <w:pPr>
        <w:pStyle w:val="BodyText"/>
        <w:numPr>
          <w:ilvl w:val="0"/>
          <w:numId w:val="0"/>
        </w:numPr>
        <w:ind w:left="993" w:hanging="426"/>
        <w:rPr>
          <w:szCs w:val="22"/>
          <w:lang w:val="es-ES_tradnl"/>
        </w:rPr>
      </w:pPr>
      <w:r w:rsidRPr="00551FBE">
        <w:rPr>
          <w:lang w:val="es-ES_tradnl"/>
        </w:rPr>
        <w:t>―</w:t>
      </w:r>
      <w:r w:rsidRPr="00551FBE">
        <w:rPr>
          <w:lang w:val="es-ES_tradnl"/>
        </w:rPr>
        <w:tab/>
      </w:r>
      <w:r w:rsidR="003A4DF4" w:rsidRPr="00551FBE">
        <w:rPr>
          <w:bCs/>
          <w:szCs w:val="22"/>
          <w:lang w:val="es-ES_tradnl"/>
        </w:rPr>
        <w:t xml:space="preserve">Tasa </w:t>
      </w:r>
      <w:r w:rsidR="002156DE" w:rsidRPr="00551FBE">
        <w:rPr>
          <w:bCs/>
          <w:szCs w:val="22"/>
          <w:lang w:val="es-ES_tradnl"/>
        </w:rPr>
        <w:t>de base</w:t>
      </w:r>
      <w:r w:rsidR="003A4DF4" w:rsidRPr="00551FBE">
        <w:rPr>
          <w:bCs/>
          <w:szCs w:val="22"/>
          <w:lang w:val="es-ES_tradnl"/>
        </w:rPr>
        <w:t xml:space="preserve"> de renovación</w:t>
      </w:r>
      <w:r w:rsidR="001A4488" w:rsidRPr="00551FBE">
        <w:rPr>
          <w:bCs/>
          <w:szCs w:val="22"/>
          <w:lang w:val="es-ES_tradnl"/>
        </w:rPr>
        <w:t xml:space="preserve"> (</w:t>
      </w:r>
      <w:r w:rsidR="003A4DF4" w:rsidRPr="00551FBE">
        <w:rPr>
          <w:bCs/>
          <w:szCs w:val="22"/>
          <w:lang w:val="es-ES_tradnl"/>
        </w:rPr>
        <w:t xml:space="preserve">punto </w:t>
      </w:r>
      <w:r w:rsidR="001A4488" w:rsidRPr="00551FBE">
        <w:rPr>
          <w:bCs/>
          <w:szCs w:val="22"/>
          <w:lang w:val="es-ES_tradnl"/>
        </w:rPr>
        <w:t>III.7);</w:t>
      </w:r>
      <w:r w:rsidR="003A4DF4" w:rsidRPr="00551FBE">
        <w:rPr>
          <w:bCs/>
          <w:szCs w:val="22"/>
          <w:lang w:val="es-ES_tradnl"/>
        </w:rPr>
        <w:t xml:space="preserve"> y</w:t>
      </w:r>
    </w:p>
    <w:p w14:paraId="25666368" w14:textId="7CAD02EB" w:rsidR="001A4488" w:rsidRPr="00551FBE" w:rsidRDefault="00CF376D" w:rsidP="00CF376D">
      <w:pPr>
        <w:pStyle w:val="BodyText"/>
        <w:numPr>
          <w:ilvl w:val="0"/>
          <w:numId w:val="0"/>
        </w:numPr>
        <w:ind w:left="993" w:hanging="426"/>
        <w:rPr>
          <w:bCs/>
          <w:szCs w:val="22"/>
          <w:lang w:val="es-ES_tradnl"/>
        </w:rPr>
      </w:pPr>
      <w:r w:rsidRPr="00551FBE">
        <w:rPr>
          <w:lang w:val="es-ES_tradnl"/>
        </w:rPr>
        <w:t>―</w:t>
      </w:r>
      <w:r w:rsidRPr="00551FBE">
        <w:rPr>
          <w:lang w:val="es-ES_tradnl"/>
        </w:rPr>
        <w:tab/>
      </w:r>
      <w:r w:rsidR="001A4488" w:rsidRPr="00551FBE">
        <w:rPr>
          <w:szCs w:val="22"/>
          <w:lang w:val="es-ES_tradnl"/>
        </w:rPr>
        <w:t>O</w:t>
      </w:r>
      <w:r w:rsidR="001A4488" w:rsidRPr="00551FBE">
        <w:rPr>
          <w:bCs/>
          <w:szCs w:val="22"/>
          <w:lang w:val="es-ES_tradnl"/>
        </w:rPr>
        <w:t>t</w:t>
      </w:r>
      <w:r w:rsidR="003A4DF4" w:rsidRPr="00551FBE">
        <w:rPr>
          <w:bCs/>
          <w:szCs w:val="22"/>
          <w:lang w:val="es-ES_tradnl"/>
        </w:rPr>
        <w:t>ras tasas</w:t>
      </w:r>
      <w:r w:rsidR="001A4488" w:rsidRPr="00551FBE">
        <w:rPr>
          <w:bCs/>
          <w:szCs w:val="22"/>
          <w:lang w:val="es-ES_tradnl"/>
        </w:rPr>
        <w:t xml:space="preserve"> (</w:t>
      </w:r>
      <w:r w:rsidR="003A4DF4" w:rsidRPr="00551FBE">
        <w:rPr>
          <w:bCs/>
          <w:szCs w:val="22"/>
          <w:lang w:val="es-ES_tradnl"/>
        </w:rPr>
        <w:t>puntos</w:t>
      </w:r>
      <w:r w:rsidR="001A4488" w:rsidRPr="00551FBE">
        <w:rPr>
          <w:bCs/>
          <w:szCs w:val="22"/>
          <w:lang w:val="es-ES_tradnl"/>
        </w:rPr>
        <w:t xml:space="preserve"> V </w:t>
      </w:r>
      <w:r w:rsidR="003A4DF4" w:rsidRPr="00551FBE">
        <w:rPr>
          <w:bCs/>
          <w:szCs w:val="22"/>
          <w:lang w:val="es-ES_tradnl"/>
        </w:rPr>
        <w:t>y</w:t>
      </w:r>
      <w:r w:rsidR="001A4488" w:rsidRPr="00551FBE">
        <w:rPr>
          <w:bCs/>
          <w:szCs w:val="22"/>
          <w:lang w:val="es-ES_tradnl"/>
        </w:rPr>
        <w:t xml:space="preserve"> VI).</w:t>
      </w:r>
    </w:p>
    <w:p w14:paraId="3F32E1FA" w14:textId="02799615" w:rsidR="006827C2" w:rsidRPr="00551FBE" w:rsidRDefault="003A4DF4" w:rsidP="00CC671E">
      <w:pPr>
        <w:pStyle w:val="ONUMFS"/>
        <w:rPr>
          <w:lang w:val="es-ES_tradnl"/>
        </w:rPr>
      </w:pPr>
      <w:r w:rsidRPr="00551FBE">
        <w:rPr>
          <w:lang w:val="es-ES_tradnl"/>
        </w:rPr>
        <w:t xml:space="preserve">La </w:t>
      </w:r>
      <w:r w:rsidR="002156DE" w:rsidRPr="00551FBE">
        <w:rPr>
          <w:lang w:val="es-ES_tradnl"/>
        </w:rPr>
        <w:t>tasa de base de renovación es</w:t>
      </w:r>
      <w:r w:rsidRPr="00551FBE">
        <w:rPr>
          <w:lang w:val="es-ES_tradnl"/>
        </w:rPr>
        <w:t xml:space="preserve"> similar a la tasa de base por solicitud internacional</w:t>
      </w:r>
      <w:r w:rsidR="002156DE" w:rsidRPr="00551FBE">
        <w:rPr>
          <w:lang w:val="es-ES_tradnl"/>
        </w:rPr>
        <w:t xml:space="preserve"> y</w:t>
      </w:r>
      <w:r w:rsidRPr="00551FBE">
        <w:rPr>
          <w:lang w:val="es-ES_tradnl"/>
        </w:rPr>
        <w:t xml:space="preserve"> se cobra por dibujo o modelo, lo que </w:t>
      </w:r>
      <w:r w:rsidR="00D94EA3" w:rsidRPr="00551FBE">
        <w:rPr>
          <w:lang w:val="es-ES_tradnl"/>
        </w:rPr>
        <w:t xml:space="preserve">es </w:t>
      </w:r>
      <w:r w:rsidR="002156DE" w:rsidRPr="00551FBE">
        <w:rPr>
          <w:lang w:val="es-ES_tradnl"/>
        </w:rPr>
        <w:t>una práctica común también</w:t>
      </w:r>
      <w:r w:rsidRPr="00551FBE">
        <w:rPr>
          <w:lang w:val="es-ES_tradnl"/>
        </w:rPr>
        <w:t xml:space="preserve"> en los sistemas nacionales y regionales que </w:t>
      </w:r>
      <w:r w:rsidR="002156DE" w:rsidRPr="00551FBE">
        <w:rPr>
          <w:lang w:val="es-ES_tradnl"/>
        </w:rPr>
        <w:t>admiten</w:t>
      </w:r>
      <w:r w:rsidRPr="00551FBE">
        <w:rPr>
          <w:lang w:val="es-ES_tradnl"/>
        </w:rPr>
        <w:t xml:space="preserve"> múltiples di</w:t>
      </w:r>
      <w:r w:rsidR="002156DE" w:rsidRPr="00551FBE">
        <w:rPr>
          <w:lang w:val="es-ES_tradnl"/>
        </w:rPr>
        <w:t>bujos o modelos</w:t>
      </w:r>
      <w:r w:rsidR="006827C2" w:rsidRPr="00551FBE">
        <w:rPr>
          <w:lang w:val="es-ES_tradnl"/>
        </w:rPr>
        <w:t>.</w:t>
      </w:r>
      <w:r w:rsidRPr="00551FBE">
        <w:rPr>
          <w:lang w:val="es-ES_tradnl"/>
        </w:rPr>
        <w:t xml:space="preserve"> El importe </w:t>
      </w:r>
      <w:r w:rsidR="002156DE" w:rsidRPr="00551FBE">
        <w:rPr>
          <w:lang w:val="es-ES_tradnl"/>
        </w:rPr>
        <w:t>vigente</w:t>
      </w:r>
      <w:r w:rsidRPr="00551FBE">
        <w:rPr>
          <w:lang w:val="es-ES_tradnl"/>
        </w:rPr>
        <w:t xml:space="preserve"> de la tasa de base es de 200 francos suizos por dibujo o modelo y de 17 francos suizos por cada dibujo o modelo adicional</w:t>
      </w:r>
      <w:r w:rsidR="006827C2" w:rsidRPr="00551FBE">
        <w:rPr>
          <w:lang w:val="es-ES_tradnl"/>
        </w:rPr>
        <w:t>.</w:t>
      </w:r>
    </w:p>
    <w:p w14:paraId="0928D99B" w14:textId="497ABAA9" w:rsidR="006827C2" w:rsidRPr="00551FBE" w:rsidRDefault="009B7497" w:rsidP="00CC671E">
      <w:pPr>
        <w:pStyle w:val="ONUMFS"/>
        <w:spacing w:after="360"/>
        <w:rPr>
          <w:lang w:val="es-ES_tradnl"/>
        </w:rPr>
      </w:pPr>
      <w:r w:rsidRPr="00551FBE">
        <w:rPr>
          <w:lang w:val="es-ES_tradnl"/>
        </w:rPr>
        <w:t xml:space="preserve">Como se indica en el cuadro que figura a continuación, </w:t>
      </w:r>
      <w:r w:rsidR="00A902E8" w:rsidRPr="00551FBE">
        <w:rPr>
          <w:lang w:val="es-ES_tradnl"/>
        </w:rPr>
        <w:t>las cuantías recibidas</w:t>
      </w:r>
      <w:r w:rsidRPr="00551FBE">
        <w:rPr>
          <w:lang w:val="es-ES_tradnl"/>
        </w:rPr>
        <w:t xml:space="preserve"> </w:t>
      </w:r>
      <w:r w:rsidR="00037740" w:rsidRPr="00551FBE">
        <w:rPr>
          <w:lang w:val="es-ES_tradnl"/>
        </w:rPr>
        <w:t xml:space="preserve">en 2019 </w:t>
      </w:r>
      <w:r w:rsidRPr="00551FBE">
        <w:rPr>
          <w:lang w:val="es-ES_tradnl"/>
        </w:rPr>
        <w:t xml:space="preserve">en virtud de la </w:t>
      </w:r>
      <w:r w:rsidR="002156DE" w:rsidRPr="00551FBE">
        <w:rPr>
          <w:lang w:val="es-ES_tradnl"/>
        </w:rPr>
        <w:t>tasa de base de renovación</w:t>
      </w:r>
      <w:r w:rsidRPr="00551FBE">
        <w:rPr>
          <w:lang w:val="es-ES_tradnl"/>
        </w:rPr>
        <w:t xml:space="preserve"> ascendieron aproximadamente a 939.000 francos suizos, lo que </w:t>
      </w:r>
      <w:r w:rsidR="00A902E8" w:rsidRPr="00551FBE">
        <w:rPr>
          <w:lang w:val="es-ES_tradnl"/>
        </w:rPr>
        <w:t>supone</w:t>
      </w:r>
      <w:r w:rsidRPr="00551FBE">
        <w:rPr>
          <w:lang w:val="es-ES_tradnl"/>
        </w:rPr>
        <w:t xml:space="preserve"> el 18,2% de los ingresos totales del Sistema de La Haya. Después de</w:t>
      </w:r>
      <w:r w:rsidR="00A902E8" w:rsidRPr="00551FBE">
        <w:rPr>
          <w:lang w:val="es-ES_tradnl"/>
        </w:rPr>
        <w:t xml:space="preserve"> la tasa</w:t>
      </w:r>
      <w:r w:rsidRPr="00551FBE">
        <w:rPr>
          <w:lang w:val="es-ES_tradnl"/>
        </w:rPr>
        <w:t xml:space="preserve"> de base por solicitud internacional (que representa el 77,2% de los ingresos totales), la </w:t>
      </w:r>
      <w:r w:rsidR="002156DE" w:rsidRPr="00551FBE">
        <w:rPr>
          <w:lang w:val="es-ES_tradnl"/>
        </w:rPr>
        <w:t>tasa de base de renovación</w:t>
      </w:r>
      <w:r w:rsidRPr="00551FBE">
        <w:rPr>
          <w:lang w:val="es-ES_tradnl"/>
        </w:rPr>
        <w:t xml:space="preserve"> es la segunda fuente principal de ingresos</w:t>
      </w:r>
      <w:r w:rsidR="004F0E54" w:rsidRPr="00551FBE">
        <w:rPr>
          <w:lang w:val="es-ES_tradnl"/>
        </w:rPr>
        <w:t>.</w:t>
      </w:r>
    </w:p>
    <w:p w14:paraId="44C82306" w14:textId="49B3ED52" w:rsidR="006827C2" w:rsidRPr="00551FBE" w:rsidRDefault="00CF376D" w:rsidP="00D85552">
      <w:pPr>
        <w:pStyle w:val="ONUME"/>
        <w:numPr>
          <w:ilvl w:val="0"/>
          <w:numId w:val="0"/>
        </w:numPr>
        <w:spacing w:after="240"/>
        <w:jc w:val="center"/>
        <w:rPr>
          <w:lang w:val="es-ES_tradnl"/>
        </w:rPr>
      </w:pPr>
      <w:r w:rsidRPr="00551FBE">
        <w:rPr>
          <w:lang w:val="es-ES_tradnl"/>
        </w:rPr>
        <w:t xml:space="preserve">Sistema de La Haya: </w:t>
      </w:r>
      <w:r w:rsidR="00535B32" w:rsidRPr="00551FBE">
        <w:rPr>
          <w:lang w:val="es-ES_tradnl"/>
        </w:rPr>
        <w:t xml:space="preserve"> </w:t>
      </w:r>
      <w:r w:rsidRPr="00551FBE">
        <w:rPr>
          <w:lang w:val="es-ES_tradnl"/>
        </w:rPr>
        <w:t>Tasas e I</w:t>
      </w:r>
      <w:r w:rsidR="001B1278" w:rsidRPr="00551FBE">
        <w:rPr>
          <w:lang w:val="es-ES_tradnl"/>
        </w:rPr>
        <w:t xml:space="preserve">ngresos en </w:t>
      </w:r>
      <w:r w:rsidR="00CB600E" w:rsidRPr="00551FBE">
        <w:rPr>
          <w:lang w:val="es-ES_tradnl"/>
        </w:rPr>
        <w:t>2019</w:t>
      </w:r>
      <w:r w:rsidR="004F0E54" w:rsidRPr="00551FBE">
        <w:rPr>
          <w:vertAlign w:val="superscript"/>
          <w:lang w:val="es-ES_tradnl"/>
        </w:rPr>
        <w:footnoteReference w:id="3"/>
      </w:r>
    </w:p>
    <w:tbl>
      <w:tblPr>
        <w:tblStyle w:val="TableGrid"/>
        <w:tblW w:w="9176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541"/>
        <w:gridCol w:w="4099"/>
        <w:gridCol w:w="2020"/>
        <w:gridCol w:w="1170"/>
        <w:gridCol w:w="1346"/>
      </w:tblGrid>
      <w:tr w:rsidR="006827C2" w:rsidRPr="00551FBE" w14:paraId="5A33F72A" w14:textId="77777777" w:rsidTr="00C8323F">
        <w:tc>
          <w:tcPr>
            <w:tcW w:w="4640" w:type="dxa"/>
            <w:gridSpan w:val="2"/>
          </w:tcPr>
          <w:p w14:paraId="4CF4803C" w14:textId="4A94AFB6" w:rsidR="006827C2" w:rsidRPr="00551FBE" w:rsidRDefault="00A902E8" w:rsidP="00910B78">
            <w:pPr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Tasas pagaderas a la Oficina Internacional</w:t>
            </w:r>
          </w:p>
        </w:tc>
        <w:tc>
          <w:tcPr>
            <w:tcW w:w="2020" w:type="dxa"/>
          </w:tcPr>
          <w:p w14:paraId="5AE85C94" w14:textId="513F152B" w:rsidR="006827C2" w:rsidRPr="00551FBE" w:rsidRDefault="006827C2" w:rsidP="00A902E8">
            <w:pPr>
              <w:jc w:val="center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Cas</w:t>
            </w:r>
            <w:r w:rsidR="00A902E8" w:rsidRPr="00551FBE">
              <w:rPr>
                <w:sz w:val="18"/>
                <w:lang w:val="es-ES_tradnl"/>
              </w:rPr>
              <w:t>o</w:t>
            </w:r>
            <w:r w:rsidRPr="00551FBE">
              <w:rPr>
                <w:sz w:val="18"/>
                <w:lang w:val="es-ES_tradnl"/>
              </w:rPr>
              <w:t>s</w:t>
            </w:r>
            <w:r w:rsidRPr="00551FBE">
              <w:rPr>
                <w:rStyle w:val="FootnoteReference"/>
                <w:rFonts w:eastAsia="MS Mincho"/>
                <w:color w:val="000000"/>
                <w:lang w:val="es-ES_tradnl" w:eastAsia="en-US"/>
              </w:rPr>
              <w:footnoteReference w:id="4"/>
            </w:r>
          </w:p>
        </w:tc>
        <w:tc>
          <w:tcPr>
            <w:tcW w:w="1170" w:type="dxa"/>
          </w:tcPr>
          <w:p w14:paraId="1F34915A" w14:textId="19C1CF30" w:rsidR="006827C2" w:rsidRPr="00551FBE" w:rsidRDefault="00A902E8" w:rsidP="00910B78">
            <w:pPr>
              <w:jc w:val="center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Importe</w:t>
            </w:r>
            <w:r w:rsidR="006827C2" w:rsidRPr="00551FBE">
              <w:rPr>
                <w:rStyle w:val="FootnoteReference"/>
                <w:rFonts w:eastAsia="MS Mincho"/>
                <w:color w:val="000000"/>
                <w:lang w:val="es-ES_tradnl" w:eastAsia="en-US"/>
              </w:rPr>
              <w:footnoteReference w:id="5"/>
            </w:r>
          </w:p>
        </w:tc>
        <w:tc>
          <w:tcPr>
            <w:tcW w:w="1346" w:type="dxa"/>
          </w:tcPr>
          <w:p w14:paraId="3EB8FFA3" w14:textId="74598FF3" w:rsidR="006827C2" w:rsidRPr="00551FBE" w:rsidRDefault="00A902E8" w:rsidP="00910B78">
            <w:pPr>
              <w:jc w:val="center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Porcentaje</w:t>
            </w:r>
          </w:p>
        </w:tc>
      </w:tr>
      <w:tr w:rsidR="006827C2" w:rsidRPr="00551FBE" w14:paraId="20B9A8BF" w14:textId="77777777" w:rsidTr="00C8323F">
        <w:tc>
          <w:tcPr>
            <w:tcW w:w="4640" w:type="dxa"/>
            <w:gridSpan w:val="2"/>
            <w:tcBorders>
              <w:bottom w:val="nil"/>
            </w:tcBorders>
            <w:shd w:val="clear" w:color="auto" w:fill="C6D9F1" w:themeFill="text2" w:themeFillTint="33"/>
          </w:tcPr>
          <w:p w14:paraId="169DF621" w14:textId="3BE43BD9" w:rsidR="006827C2" w:rsidRPr="00551FBE" w:rsidRDefault="00A902E8" w:rsidP="00910B78">
            <w:pPr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Solicitudes internacionales (puntos I.1 a I.3)</w:t>
            </w:r>
          </w:p>
        </w:tc>
        <w:tc>
          <w:tcPr>
            <w:tcW w:w="2020" w:type="dxa"/>
            <w:shd w:val="clear" w:color="auto" w:fill="C6D9F1" w:themeFill="text2" w:themeFillTint="33"/>
          </w:tcPr>
          <w:p w14:paraId="44F80ABB" w14:textId="5A6CDA34" w:rsidR="006827C2" w:rsidRPr="00551FBE" w:rsidRDefault="00447F7B" w:rsidP="00910B78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5</w:t>
            </w:r>
            <w:r w:rsidR="00281EB4" w:rsidRPr="00551FBE">
              <w:rPr>
                <w:sz w:val="18"/>
                <w:lang w:val="es-ES_tradnl"/>
              </w:rPr>
              <w:t>.</w:t>
            </w:r>
            <w:r w:rsidRPr="00551FBE">
              <w:rPr>
                <w:sz w:val="18"/>
                <w:lang w:val="es-ES_tradnl"/>
              </w:rPr>
              <w:t>042</w:t>
            </w:r>
            <w:r w:rsidR="006827C2" w:rsidRPr="00551FBE">
              <w:rPr>
                <w:sz w:val="18"/>
                <w:lang w:val="es-ES_tradnl"/>
              </w:rPr>
              <w:t xml:space="preserve"> </w:t>
            </w:r>
            <w:r w:rsidR="00A902E8" w:rsidRPr="00551FBE">
              <w:rPr>
                <w:sz w:val="18"/>
                <w:lang w:val="es-ES_tradnl"/>
              </w:rPr>
              <w:t>solicitudes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7AC0915B" w14:textId="417BFB04" w:rsidR="006827C2" w:rsidRPr="00551FBE" w:rsidRDefault="00447F7B" w:rsidP="00910B78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3</w:t>
            </w:r>
            <w:r w:rsidR="00281EB4" w:rsidRPr="00551FBE">
              <w:rPr>
                <w:sz w:val="18"/>
                <w:lang w:val="es-ES_tradnl"/>
              </w:rPr>
              <w:t>.</w:t>
            </w:r>
            <w:r w:rsidRPr="00551FBE">
              <w:rPr>
                <w:sz w:val="18"/>
                <w:lang w:val="es-ES_tradnl"/>
              </w:rPr>
              <w:t>972</w:t>
            </w:r>
          </w:p>
        </w:tc>
        <w:tc>
          <w:tcPr>
            <w:tcW w:w="1346" w:type="dxa"/>
            <w:shd w:val="clear" w:color="auto" w:fill="C6D9F1" w:themeFill="text2" w:themeFillTint="33"/>
          </w:tcPr>
          <w:p w14:paraId="48953FB4" w14:textId="55687ECD" w:rsidR="006827C2" w:rsidRPr="00551FBE" w:rsidRDefault="00BF05B4" w:rsidP="00910B78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77</w:t>
            </w:r>
            <w:r w:rsidR="00281EB4" w:rsidRPr="00551FBE">
              <w:rPr>
                <w:sz w:val="18"/>
                <w:lang w:val="es-ES_tradnl"/>
              </w:rPr>
              <w:t>,</w:t>
            </w:r>
            <w:r w:rsidRPr="00551FBE">
              <w:rPr>
                <w:sz w:val="18"/>
                <w:lang w:val="es-ES_tradnl"/>
              </w:rPr>
              <w:t>2</w:t>
            </w:r>
            <w:r w:rsidR="006827C2" w:rsidRPr="00551FBE">
              <w:rPr>
                <w:sz w:val="18"/>
                <w:lang w:val="es-ES_tradnl"/>
              </w:rPr>
              <w:t>%</w:t>
            </w:r>
          </w:p>
        </w:tc>
      </w:tr>
      <w:tr w:rsidR="006827C2" w:rsidRPr="00551FBE" w14:paraId="6815A834" w14:textId="77777777" w:rsidTr="00C8323F">
        <w:tc>
          <w:tcPr>
            <w:tcW w:w="541" w:type="dxa"/>
            <w:vMerge w:val="restart"/>
            <w:tcBorders>
              <w:top w:val="nil"/>
            </w:tcBorders>
          </w:tcPr>
          <w:p w14:paraId="0D8B5E63" w14:textId="77777777" w:rsidR="006827C2" w:rsidRPr="00551FBE" w:rsidRDefault="006827C2" w:rsidP="00910B78">
            <w:pPr>
              <w:rPr>
                <w:sz w:val="18"/>
                <w:lang w:val="es-ES_tradnl"/>
              </w:rPr>
            </w:pPr>
          </w:p>
        </w:tc>
        <w:tc>
          <w:tcPr>
            <w:tcW w:w="4099" w:type="dxa"/>
          </w:tcPr>
          <w:p w14:paraId="36B0BBE1" w14:textId="25AC84D5" w:rsidR="006827C2" w:rsidRPr="00551FBE" w:rsidRDefault="00281EB4" w:rsidP="00910B78">
            <w:pPr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Tasa de base por el primer dibujo o modelo</w:t>
            </w:r>
          </w:p>
        </w:tc>
        <w:tc>
          <w:tcPr>
            <w:tcW w:w="2020" w:type="dxa"/>
          </w:tcPr>
          <w:p w14:paraId="35247E41" w14:textId="13188F2A" w:rsidR="006827C2" w:rsidRPr="00551FBE" w:rsidRDefault="00447F7B" w:rsidP="00910B78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5</w:t>
            </w:r>
            <w:r w:rsidR="00281EB4" w:rsidRPr="00551FBE">
              <w:rPr>
                <w:sz w:val="18"/>
                <w:lang w:val="es-ES_tradnl"/>
              </w:rPr>
              <w:t>.</w:t>
            </w:r>
            <w:r w:rsidRPr="00551FBE">
              <w:rPr>
                <w:sz w:val="18"/>
                <w:lang w:val="es-ES_tradnl"/>
              </w:rPr>
              <w:t>042</w:t>
            </w:r>
            <w:r w:rsidR="006827C2" w:rsidRPr="00551FBE">
              <w:rPr>
                <w:sz w:val="18"/>
                <w:lang w:val="es-ES_tradnl"/>
              </w:rPr>
              <w:t xml:space="preserve"> </w:t>
            </w:r>
            <w:r w:rsidR="00A902E8" w:rsidRPr="00551FBE">
              <w:rPr>
                <w:sz w:val="18"/>
                <w:lang w:val="es-ES_tradnl"/>
              </w:rPr>
              <w:t>dibujos o modelos</w:t>
            </w:r>
          </w:p>
        </w:tc>
        <w:tc>
          <w:tcPr>
            <w:tcW w:w="1170" w:type="dxa"/>
          </w:tcPr>
          <w:p w14:paraId="540C6372" w14:textId="14C429DB" w:rsidR="006827C2" w:rsidRPr="00551FBE" w:rsidRDefault="00447F7B" w:rsidP="00910B78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1</w:t>
            </w:r>
            <w:r w:rsidR="00281EB4" w:rsidRPr="00551FBE">
              <w:rPr>
                <w:sz w:val="18"/>
                <w:lang w:val="es-ES_tradnl"/>
              </w:rPr>
              <w:t>.</w:t>
            </w:r>
            <w:r w:rsidRPr="00551FBE">
              <w:rPr>
                <w:sz w:val="18"/>
                <w:lang w:val="es-ES_tradnl"/>
              </w:rPr>
              <w:t>998</w:t>
            </w:r>
          </w:p>
        </w:tc>
        <w:tc>
          <w:tcPr>
            <w:tcW w:w="1346" w:type="dxa"/>
          </w:tcPr>
          <w:p w14:paraId="7A4FF277" w14:textId="1C8926AC" w:rsidR="006827C2" w:rsidRPr="00551FBE" w:rsidRDefault="00D22D6F" w:rsidP="00910B78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38</w:t>
            </w:r>
            <w:r w:rsidR="00281EB4" w:rsidRPr="00551FBE">
              <w:rPr>
                <w:sz w:val="18"/>
                <w:lang w:val="es-ES_tradnl"/>
              </w:rPr>
              <w:t>,</w:t>
            </w:r>
            <w:r w:rsidR="006827C2" w:rsidRPr="00551FBE">
              <w:rPr>
                <w:sz w:val="18"/>
                <w:lang w:val="es-ES_tradnl"/>
              </w:rPr>
              <w:t>4%</w:t>
            </w:r>
          </w:p>
        </w:tc>
      </w:tr>
      <w:tr w:rsidR="006827C2" w:rsidRPr="00551FBE" w14:paraId="276D7D1D" w14:textId="77777777" w:rsidTr="00C8323F">
        <w:tc>
          <w:tcPr>
            <w:tcW w:w="541" w:type="dxa"/>
            <w:vMerge/>
          </w:tcPr>
          <w:p w14:paraId="21E2BF2A" w14:textId="77777777" w:rsidR="006827C2" w:rsidRPr="00551FBE" w:rsidRDefault="006827C2" w:rsidP="00910B78">
            <w:pPr>
              <w:rPr>
                <w:sz w:val="18"/>
                <w:lang w:val="es-ES_tradnl"/>
              </w:rPr>
            </w:pPr>
          </w:p>
        </w:tc>
        <w:tc>
          <w:tcPr>
            <w:tcW w:w="4099" w:type="dxa"/>
          </w:tcPr>
          <w:p w14:paraId="12CC73CB" w14:textId="45BD51F3" w:rsidR="006827C2" w:rsidRPr="00551FBE" w:rsidRDefault="00281EB4" w:rsidP="00910B78">
            <w:pPr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Tasa de base por dibujos o modelos adicionales</w:t>
            </w:r>
          </w:p>
        </w:tc>
        <w:tc>
          <w:tcPr>
            <w:tcW w:w="2020" w:type="dxa"/>
          </w:tcPr>
          <w:p w14:paraId="4882FBCD" w14:textId="35798563" w:rsidR="006827C2" w:rsidRPr="00551FBE" w:rsidRDefault="00447F7B" w:rsidP="00910B78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13</w:t>
            </w:r>
            <w:r w:rsidR="00281EB4" w:rsidRPr="00551FBE">
              <w:rPr>
                <w:sz w:val="18"/>
                <w:lang w:val="es-ES_tradnl"/>
              </w:rPr>
              <w:t>.</w:t>
            </w:r>
            <w:r w:rsidRPr="00551FBE">
              <w:rPr>
                <w:sz w:val="18"/>
                <w:lang w:val="es-ES_tradnl"/>
              </w:rPr>
              <w:t>493</w:t>
            </w:r>
            <w:r w:rsidR="006827C2" w:rsidRPr="00551FBE">
              <w:rPr>
                <w:sz w:val="18"/>
                <w:lang w:val="es-ES_tradnl"/>
              </w:rPr>
              <w:t xml:space="preserve"> </w:t>
            </w:r>
            <w:r w:rsidR="00A902E8" w:rsidRPr="00551FBE">
              <w:rPr>
                <w:sz w:val="18"/>
                <w:lang w:val="es-ES_tradnl"/>
              </w:rPr>
              <w:t>dibujos o modelos</w:t>
            </w:r>
          </w:p>
        </w:tc>
        <w:tc>
          <w:tcPr>
            <w:tcW w:w="1170" w:type="dxa"/>
          </w:tcPr>
          <w:p w14:paraId="6402C522" w14:textId="2D0072E3" w:rsidR="006827C2" w:rsidRPr="00551FBE" w:rsidRDefault="00447F7B" w:rsidP="00910B78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256</w:t>
            </w:r>
          </w:p>
        </w:tc>
        <w:tc>
          <w:tcPr>
            <w:tcW w:w="1346" w:type="dxa"/>
          </w:tcPr>
          <w:p w14:paraId="59518523" w14:textId="6A6E2FCF" w:rsidR="006827C2" w:rsidRPr="00551FBE" w:rsidRDefault="00D22D6F" w:rsidP="00910B78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5</w:t>
            </w:r>
            <w:r w:rsidR="00281EB4" w:rsidRPr="00551FBE">
              <w:rPr>
                <w:sz w:val="18"/>
                <w:lang w:val="es-ES_tradnl"/>
              </w:rPr>
              <w:t>,</w:t>
            </w:r>
            <w:r w:rsidRPr="00551FBE">
              <w:rPr>
                <w:sz w:val="18"/>
                <w:lang w:val="es-ES_tradnl"/>
              </w:rPr>
              <w:t>0</w:t>
            </w:r>
            <w:r w:rsidR="006827C2" w:rsidRPr="00551FBE">
              <w:rPr>
                <w:sz w:val="18"/>
                <w:lang w:val="es-ES_tradnl"/>
              </w:rPr>
              <w:t>%</w:t>
            </w:r>
          </w:p>
        </w:tc>
      </w:tr>
      <w:tr w:rsidR="006827C2" w:rsidRPr="00551FBE" w14:paraId="66339F6D" w14:textId="77777777" w:rsidTr="00C8323F">
        <w:tc>
          <w:tcPr>
            <w:tcW w:w="541" w:type="dxa"/>
            <w:vMerge/>
          </w:tcPr>
          <w:p w14:paraId="2E657C81" w14:textId="77777777" w:rsidR="006827C2" w:rsidRPr="00551FBE" w:rsidRDefault="006827C2" w:rsidP="00910B78">
            <w:pPr>
              <w:rPr>
                <w:sz w:val="18"/>
                <w:lang w:val="es-ES_tradnl"/>
              </w:rPr>
            </w:pPr>
          </w:p>
        </w:tc>
        <w:tc>
          <w:tcPr>
            <w:tcW w:w="4099" w:type="dxa"/>
          </w:tcPr>
          <w:p w14:paraId="066638D5" w14:textId="71D64695" w:rsidR="006827C2" w:rsidRPr="00551FBE" w:rsidRDefault="00281EB4" w:rsidP="00910B78">
            <w:pPr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Tasa de publicación por reproducción</w:t>
            </w:r>
          </w:p>
        </w:tc>
        <w:tc>
          <w:tcPr>
            <w:tcW w:w="2020" w:type="dxa"/>
          </w:tcPr>
          <w:p w14:paraId="1A9F004C" w14:textId="2B3102EF" w:rsidR="006827C2" w:rsidRPr="00551FBE" w:rsidRDefault="00447F7B" w:rsidP="00281EB4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94</w:t>
            </w:r>
            <w:r w:rsidR="00281EB4" w:rsidRPr="00551FBE">
              <w:rPr>
                <w:sz w:val="18"/>
                <w:lang w:val="es-ES_tradnl"/>
              </w:rPr>
              <w:t>.</w:t>
            </w:r>
            <w:r w:rsidRPr="00551FBE">
              <w:rPr>
                <w:sz w:val="18"/>
                <w:lang w:val="es-ES_tradnl"/>
              </w:rPr>
              <w:t>765</w:t>
            </w:r>
            <w:r w:rsidR="006827C2" w:rsidRPr="00551FBE">
              <w:rPr>
                <w:sz w:val="18"/>
                <w:lang w:val="es-ES_tradnl"/>
              </w:rPr>
              <w:t xml:space="preserve"> reproduc</w:t>
            </w:r>
            <w:r w:rsidR="00281EB4" w:rsidRPr="00551FBE">
              <w:rPr>
                <w:sz w:val="18"/>
                <w:lang w:val="es-ES_tradnl"/>
              </w:rPr>
              <w:t>cione</w:t>
            </w:r>
            <w:r w:rsidR="006827C2" w:rsidRPr="00551FBE">
              <w:rPr>
                <w:sz w:val="18"/>
                <w:lang w:val="es-ES_tradnl"/>
              </w:rPr>
              <w:t>s</w:t>
            </w:r>
          </w:p>
        </w:tc>
        <w:tc>
          <w:tcPr>
            <w:tcW w:w="1170" w:type="dxa"/>
          </w:tcPr>
          <w:p w14:paraId="60DB30EF" w14:textId="6B9104AF" w:rsidR="006827C2" w:rsidRPr="00551FBE" w:rsidRDefault="00447F7B" w:rsidP="00910B78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1</w:t>
            </w:r>
            <w:r w:rsidR="00281EB4" w:rsidRPr="00551FBE">
              <w:rPr>
                <w:sz w:val="18"/>
                <w:lang w:val="es-ES_tradnl"/>
              </w:rPr>
              <w:t>.</w:t>
            </w:r>
            <w:r w:rsidRPr="00551FBE">
              <w:rPr>
                <w:sz w:val="18"/>
                <w:lang w:val="es-ES_tradnl"/>
              </w:rPr>
              <w:t>611</w:t>
            </w:r>
          </w:p>
        </w:tc>
        <w:tc>
          <w:tcPr>
            <w:tcW w:w="1346" w:type="dxa"/>
          </w:tcPr>
          <w:p w14:paraId="53F12C0C" w14:textId="436B212E" w:rsidR="006827C2" w:rsidRPr="00551FBE" w:rsidRDefault="00D22D6F" w:rsidP="00910B78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31</w:t>
            </w:r>
            <w:r w:rsidR="00281EB4" w:rsidRPr="00551FBE">
              <w:rPr>
                <w:sz w:val="18"/>
                <w:lang w:val="es-ES_tradnl"/>
              </w:rPr>
              <w:t>,</w:t>
            </w:r>
            <w:r w:rsidRPr="00551FBE">
              <w:rPr>
                <w:sz w:val="18"/>
                <w:lang w:val="es-ES_tradnl"/>
              </w:rPr>
              <w:t>3</w:t>
            </w:r>
            <w:r w:rsidR="006827C2" w:rsidRPr="00551FBE">
              <w:rPr>
                <w:sz w:val="18"/>
                <w:lang w:val="es-ES_tradnl"/>
              </w:rPr>
              <w:t>%</w:t>
            </w:r>
          </w:p>
        </w:tc>
      </w:tr>
      <w:tr w:rsidR="006827C2" w:rsidRPr="00551FBE" w14:paraId="39268983" w14:textId="77777777" w:rsidTr="00C8323F">
        <w:trPr>
          <w:trHeight w:val="285"/>
        </w:trPr>
        <w:tc>
          <w:tcPr>
            <w:tcW w:w="541" w:type="dxa"/>
            <w:vMerge/>
          </w:tcPr>
          <w:p w14:paraId="6577F4FB" w14:textId="77777777" w:rsidR="006827C2" w:rsidRPr="00551FBE" w:rsidRDefault="006827C2" w:rsidP="00910B78">
            <w:pPr>
              <w:rPr>
                <w:sz w:val="18"/>
                <w:lang w:val="es-ES_tradnl"/>
              </w:rPr>
            </w:pPr>
          </w:p>
        </w:tc>
        <w:tc>
          <w:tcPr>
            <w:tcW w:w="4099" w:type="dxa"/>
          </w:tcPr>
          <w:p w14:paraId="45FE3FF6" w14:textId="3122AC06" w:rsidR="006827C2" w:rsidRPr="00551FBE" w:rsidRDefault="00281EB4" w:rsidP="00910B78">
            <w:pPr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Tasa de publicación por página (presentación en papel)</w:t>
            </w:r>
          </w:p>
        </w:tc>
        <w:tc>
          <w:tcPr>
            <w:tcW w:w="2020" w:type="dxa"/>
          </w:tcPr>
          <w:p w14:paraId="45E8A718" w14:textId="424A45E8" w:rsidR="006827C2" w:rsidRPr="00551FBE" w:rsidRDefault="00447F7B" w:rsidP="00910B78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233</w:t>
            </w:r>
            <w:r w:rsidR="006827C2" w:rsidRPr="00551FBE">
              <w:rPr>
                <w:sz w:val="18"/>
                <w:lang w:val="es-ES_tradnl"/>
              </w:rPr>
              <w:t xml:space="preserve"> </w:t>
            </w:r>
            <w:r w:rsidR="00A902E8" w:rsidRPr="00551FBE">
              <w:rPr>
                <w:sz w:val="18"/>
                <w:lang w:val="es-ES_tradnl"/>
              </w:rPr>
              <w:t>páginas</w:t>
            </w:r>
          </w:p>
        </w:tc>
        <w:tc>
          <w:tcPr>
            <w:tcW w:w="1170" w:type="dxa"/>
          </w:tcPr>
          <w:p w14:paraId="095F1EAF" w14:textId="734C09BF" w:rsidR="006827C2" w:rsidRPr="00551FBE" w:rsidRDefault="00447F7B" w:rsidP="00910B78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35</w:t>
            </w:r>
          </w:p>
        </w:tc>
        <w:tc>
          <w:tcPr>
            <w:tcW w:w="1346" w:type="dxa"/>
          </w:tcPr>
          <w:p w14:paraId="2128E6AF" w14:textId="37A0847E" w:rsidR="006827C2" w:rsidRPr="00551FBE" w:rsidRDefault="00D22D6F" w:rsidP="00910B78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0</w:t>
            </w:r>
            <w:r w:rsidR="00281EB4" w:rsidRPr="00551FBE">
              <w:rPr>
                <w:sz w:val="18"/>
                <w:lang w:val="es-ES_tradnl"/>
              </w:rPr>
              <w:t>,</w:t>
            </w:r>
            <w:r w:rsidRPr="00551FBE">
              <w:rPr>
                <w:sz w:val="18"/>
                <w:lang w:val="es-ES_tradnl"/>
              </w:rPr>
              <w:t>7</w:t>
            </w:r>
            <w:r w:rsidR="006827C2" w:rsidRPr="00551FBE">
              <w:rPr>
                <w:sz w:val="18"/>
                <w:lang w:val="es-ES_tradnl"/>
              </w:rPr>
              <w:t>%</w:t>
            </w:r>
          </w:p>
        </w:tc>
      </w:tr>
      <w:tr w:rsidR="006827C2" w:rsidRPr="00551FBE" w14:paraId="18F57A54" w14:textId="77777777" w:rsidTr="00C8323F">
        <w:trPr>
          <w:trHeight w:val="221"/>
        </w:trPr>
        <w:tc>
          <w:tcPr>
            <w:tcW w:w="541" w:type="dxa"/>
            <w:vMerge/>
          </w:tcPr>
          <w:p w14:paraId="16763A70" w14:textId="77777777" w:rsidR="006827C2" w:rsidRPr="00551FBE" w:rsidRDefault="006827C2" w:rsidP="00910B78">
            <w:pPr>
              <w:rPr>
                <w:sz w:val="18"/>
                <w:lang w:val="es-ES_tradnl"/>
              </w:rPr>
            </w:pPr>
          </w:p>
        </w:tc>
        <w:tc>
          <w:tcPr>
            <w:tcW w:w="4099" w:type="dxa"/>
          </w:tcPr>
          <w:p w14:paraId="50AC97FA" w14:textId="22B7149D" w:rsidR="006827C2" w:rsidRPr="00551FBE" w:rsidRDefault="00281EB4" w:rsidP="00910B78">
            <w:pPr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Tasa adicional por cada palabra de la descripción que exceda de las 100 palabras</w:t>
            </w:r>
          </w:p>
        </w:tc>
        <w:tc>
          <w:tcPr>
            <w:tcW w:w="2020" w:type="dxa"/>
          </w:tcPr>
          <w:p w14:paraId="084F41FE" w14:textId="304624A9" w:rsidR="006827C2" w:rsidRPr="00551FBE" w:rsidRDefault="00447F7B" w:rsidP="00281EB4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28</w:t>
            </w:r>
            <w:r w:rsidR="00281EB4" w:rsidRPr="00551FBE">
              <w:rPr>
                <w:sz w:val="18"/>
                <w:lang w:val="es-ES_tradnl"/>
              </w:rPr>
              <w:t>.</w:t>
            </w:r>
            <w:r w:rsidRPr="00551FBE">
              <w:rPr>
                <w:sz w:val="18"/>
                <w:lang w:val="es-ES_tradnl"/>
              </w:rPr>
              <w:t>500</w:t>
            </w:r>
            <w:r w:rsidR="006827C2" w:rsidRPr="00551FBE">
              <w:rPr>
                <w:sz w:val="18"/>
                <w:lang w:val="es-ES_tradnl"/>
              </w:rPr>
              <w:t xml:space="preserve"> </w:t>
            </w:r>
            <w:r w:rsidR="00281EB4" w:rsidRPr="00551FBE">
              <w:rPr>
                <w:sz w:val="18"/>
                <w:lang w:val="es-ES_tradnl"/>
              </w:rPr>
              <w:t>palabras</w:t>
            </w:r>
          </w:p>
        </w:tc>
        <w:tc>
          <w:tcPr>
            <w:tcW w:w="1170" w:type="dxa"/>
          </w:tcPr>
          <w:p w14:paraId="63A35D87" w14:textId="03DBA134" w:rsidR="006827C2" w:rsidRPr="00551FBE" w:rsidRDefault="00447F7B" w:rsidP="00910B78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57</w:t>
            </w:r>
          </w:p>
        </w:tc>
        <w:tc>
          <w:tcPr>
            <w:tcW w:w="1346" w:type="dxa"/>
          </w:tcPr>
          <w:p w14:paraId="0D47DCFC" w14:textId="61A1D659" w:rsidR="006827C2" w:rsidRPr="00551FBE" w:rsidRDefault="00D82E6E" w:rsidP="00910B78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1</w:t>
            </w:r>
            <w:r w:rsidR="00281EB4" w:rsidRPr="00551FBE">
              <w:rPr>
                <w:sz w:val="18"/>
                <w:lang w:val="es-ES_tradnl"/>
              </w:rPr>
              <w:t>,</w:t>
            </w:r>
            <w:r w:rsidRPr="00551FBE">
              <w:rPr>
                <w:sz w:val="18"/>
                <w:lang w:val="es-ES_tradnl"/>
              </w:rPr>
              <w:t>1</w:t>
            </w:r>
            <w:r w:rsidR="006827C2" w:rsidRPr="00551FBE">
              <w:rPr>
                <w:sz w:val="18"/>
                <w:lang w:val="es-ES_tradnl"/>
              </w:rPr>
              <w:t>%</w:t>
            </w:r>
          </w:p>
        </w:tc>
      </w:tr>
      <w:tr w:rsidR="006827C2" w:rsidRPr="00551FBE" w14:paraId="3C97C39C" w14:textId="77777777" w:rsidTr="00C8323F">
        <w:trPr>
          <w:trHeight w:val="208"/>
        </w:trPr>
        <w:tc>
          <w:tcPr>
            <w:tcW w:w="541" w:type="dxa"/>
            <w:vMerge/>
          </w:tcPr>
          <w:p w14:paraId="1C62A6A2" w14:textId="77777777" w:rsidR="006827C2" w:rsidRPr="00551FBE" w:rsidRDefault="006827C2" w:rsidP="00910B78">
            <w:pPr>
              <w:rPr>
                <w:sz w:val="18"/>
                <w:lang w:val="es-ES_tradnl"/>
              </w:rPr>
            </w:pPr>
          </w:p>
        </w:tc>
        <w:tc>
          <w:tcPr>
            <w:tcW w:w="4099" w:type="dxa"/>
          </w:tcPr>
          <w:p w14:paraId="0F9F5E96" w14:textId="3C41B8E0" w:rsidR="006827C2" w:rsidRPr="00551FBE" w:rsidRDefault="00281EB4" w:rsidP="00910B78">
            <w:pPr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Solicitudes abandonadas (Regla 14.3))</w:t>
            </w:r>
          </w:p>
        </w:tc>
        <w:tc>
          <w:tcPr>
            <w:tcW w:w="2020" w:type="dxa"/>
          </w:tcPr>
          <w:p w14:paraId="6FFC49C6" w14:textId="6ED12709" w:rsidR="006827C2" w:rsidRPr="00551FBE" w:rsidRDefault="00447F7B" w:rsidP="00910B78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70</w:t>
            </w:r>
            <w:r w:rsidR="006827C2" w:rsidRPr="00551FBE">
              <w:rPr>
                <w:sz w:val="18"/>
                <w:lang w:val="es-ES_tradnl"/>
              </w:rPr>
              <w:t xml:space="preserve"> </w:t>
            </w:r>
            <w:r w:rsidR="00A902E8" w:rsidRPr="00551FBE">
              <w:rPr>
                <w:sz w:val="18"/>
                <w:lang w:val="es-ES_tradnl"/>
              </w:rPr>
              <w:t>solicitudes</w:t>
            </w:r>
          </w:p>
        </w:tc>
        <w:tc>
          <w:tcPr>
            <w:tcW w:w="1170" w:type="dxa"/>
          </w:tcPr>
          <w:p w14:paraId="3CA7345B" w14:textId="23083C69" w:rsidR="006827C2" w:rsidRPr="00551FBE" w:rsidRDefault="00447F7B" w:rsidP="00910B78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15</w:t>
            </w:r>
          </w:p>
        </w:tc>
        <w:tc>
          <w:tcPr>
            <w:tcW w:w="1346" w:type="dxa"/>
          </w:tcPr>
          <w:p w14:paraId="7590519C" w14:textId="1A74AF5D" w:rsidR="006827C2" w:rsidRPr="00551FBE" w:rsidRDefault="00D82E6E" w:rsidP="00910B78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0</w:t>
            </w:r>
            <w:r w:rsidR="00281EB4" w:rsidRPr="00551FBE">
              <w:rPr>
                <w:sz w:val="18"/>
                <w:lang w:val="es-ES_tradnl"/>
              </w:rPr>
              <w:t>,</w:t>
            </w:r>
            <w:r w:rsidRPr="00551FBE">
              <w:rPr>
                <w:sz w:val="18"/>
                <w:lang w:val="es-ES_tradnl"/>
              </w:rPr>
              <w:t>3</w:t>
            </w:r>
            <w:r w:rsidR="006827C2" w:rsidRPr="00551FBE">
              <w:rPr>
                <w:sz w:val="18"/>
                <w:lang w:val="es-ES_tradnl"/>
              </w:rPr>
              <w:t>%</w:t>
            </w:r>
          </w:p>
        </w:tc>
      </w:tr>
      <w:tr w:rsidR="006827C2" w:rsidRPr="00551FBE" w14:paraId="0DE0CDCF" w14:textId="77777777" w:rsidTr="00C8323F">
        <w:tc>
          <w:tcPr>
            <w:tcW w:w="4640" w:type="dxa"/>
            <w:gridSpan w:val="2"/>
            <w:tcBorders>
              <w:bottom w:val="nil"/>
            </w:tcBorders>
            <w:shd w:val="clear" w:color="auto" w:fill="C6D9F1" w:themeFill="text2" w:themeFillTint="33"/>
          </w:tcPr>
          <w:p w14:paraId="25380DEB" w14:textId="327A45AA" w:rsidR="006827C2" w:rsidRPr="00551FBE" w:rsidRDefault="00281EB4" w:rsidP="00910B78">
            <w:pPr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Renovación (punto III.7)</w:t>
            </w:r>
          </w:p>
        </w:tc>
        <w:tc>
          <w:tcPr>
            <w:tcW w:w="2020" w:type="dxa"/>
            <w:shd w:val="clear" w:color="auto" w:fill="C6D9F1" w:themeFill="text2" w:themeFillTint="33"/>
          </w:tcPr>
          <w:p w14:paraId="727AA677" w14:textId="79F91416" w:rsidR="006827C2" w:rsidRPr="00551FBE" w:rsidRDefault="00447F7B" w:rsidP="00281EB4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3</w:t>
            </w:r>
            <w:r w:rsidR="00281EB4" w:rsidRPr="00551FBE">
              <w:rPr>
                <w:sz w:val="18"/>
                <w:lang w:val="es-ES_tradnl"/>
              </w:rPr>
              <w:t>.</w:t>
            </w:r>
            <w:r w:rsidRPr="00551FBE">
              <w:rPr>
                <w:sz w:val="18"/>
                <w:lang w:val="es-ES_tradnl"/>
              </w:rPr>
              <w:t>547</w:t>
            </w:r>
            <w:r w:rsidR="006827C2" w:rsidRPr="00551FBE">
              <w:rPr>
                <w:sz w:val="18"/>
                <w:lang w:val="es-ES_tradnl"/>
              </w:rPr>
              <w:t xml:space="preserve"> ren</w:t>
            </w:r>
            <w:r w:rsidR="00281EB4" w:rsidRPr="00551FBE">
              <w:rPr>
                <w:sz w:val="18"/>
                <w:lang w:val="es-ES_tradnl"/>
              </w:rPr>
              <w:t>ovacione</w:t>
            </w:r>
            <w:r w:rsidR="006827C2" w:rsidRPr="00551FBE">
              <w:rPr>
                <w:sz w:val="18"/>
                <w:lang w:val="es-ES_tradnl"/>
              </w:rPr>
              <w:t>s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665128FA" w14:textId="2DDEE72C" w:rsidR="006827C2" w:rsidRPr="00551FBE" w:rsidRDefault="00447F7B" w:rsidP="00910B78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939</w:t>
            </w:r>
          </w:p>
        </w:tc>
        <w:tc>
          <w:tcPr>
            <w:tcW w:w="1346" w:type="dxa"/>
            <w:shd w:val="clear" w:color="auto" w:fill="C6D9F1" w:themeFill="text2" w:themeFillTint="33"/>
          </w:tcPr>
          <w:p w14:paraId="529DE180" w14:textId="4115371C" w:rsidR="006827C2" w:rsidRPr="00551FBE" w:rsidRDefault="00D82E6E" w:rsidP="00910B78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18</w:t>
            </w:r>
            <w:r w:rsidR="00281EB4" w:rsidRPr="00551FBE">
              <w:rPr>
                <w:sz w:val="18"/>
                <w:lang w:val="es-ES_tradnl"/>
              </w:rPr>
              <w:t>,</w:t>
            </w:r>
            <w:r w:rsidRPr="00551FBE">
              <w:rPr>
                <w:sz w:val="18"/>
                <w:lang w:val="es-ES_tradnl"/>
              </w:rPr>
              <w:t>2</w:t>
            </w:r>
            <w:r w:rsidR="006827C2" w:rsidRPr="00551FBE">
              <w:rPr>
                <w:sz w:val="18"/>
                <w:lang w:val="es-ES_tradnl"/>
              </w:rPr>
              <w:t>%</w:t>
            </w:r>
          </w:p>
        </w:tc>
      </w:tr>
      <w:tr w:rsidR="006827C2" w:rsidRPr="00551FBE" w14:paraId="5578CF32" w14:textId="77777777" w:rsidTr="00C8323F">
        <w:tc>
          <w:tcPr>
            <w:tcW w:w="541" w:type="dxa"/>
            <w:vMerge w:val="restart"/>
            <w:tcBorders>
              <w:top w:val="nil"/>
            </w:tcBorders>
          </w:tcPr>
          <w:p w14:paraId="04443DAB" w14:textId="77777777" w:rsidR="006827C2" w:rsidRPr="00551FBE" w:rsidRDefault="006827C2" w:rsidP="00910B78">
            <w:pPr>
              <w:rPr>
                <w:sz w:val="18"/>
                <w:lang w:val="es-ES_tradnl"/>
              </w:rPr>
            </w:pPr>
          </w:p>
        </w:tc>
        <w:tc>
          <w:tcPr>
            <w:tcW w:w="4099" w:type="dxa"/>
          </w:tcPr>
          <w:p w14:paraId="48FE76D4" w14:textId="32A3AC52" w:rsidR="006827C2" w:rsidRPr="00551FBE" w:rsidRDefault="00281EB4" w:rsidP="00910B78">
            <w:pPr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Tasa de base por el primer dibujo o modelo</w:t>
            </w:r>
          </w:p>
        </w:tc>
        <w:tc>
          <w:tcPr>
            <w:tcW w:w="2020" w:type="dxa"/>
          </w:tcPr>
          <w:p w14:paraId="65217536" w14:textId="29289D58" w:rsidR="006827C2" w:rsidRPr="00551FBE" w:rsidRDefault="00447F7B" w:rsidP="00910B78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3</w:t>
            </w:r>
            <w:r w:rsidR="00281EB4" w:rsidRPr="00551FBE">
              <w:rPr>
                <w:sz w:val="18"/>
                <w:lang w:val="es-ES_tradnl"/>
              </w:rPr>
              <w:t>.</w:t>
            </w:r>
            <w:r w:rsidRPr="00551FBE">
              <w:rPr>
                <w:sz w:val="18"/>
                <w:lang w:val="es-ES_tradnl"/>
              </w:rPr>
              <w:t>547</w:t>
            </w:r>
            <w:r w:rsidR="006827C2" w:rsidRPr="00551FBE">
              <w:rPr>
                <w:sz w:val="18"/>
                <w:lang w:val="es-ES_tradnl"/>
              </w:rPr>
              <w:t xml:space="preserve"> </w:t>
            </w:r>
            <w:r w:rsidR="00A902E8" w:rsidRPr="00551FBE">
              <w:rPr>
                <w:sz w:val="18"/>
                <w:lang w:val="es-ES_tradnl"/>
              </w:rPr>
              <w:t>dibujos o modelos</w:t>
            </w:r>
          </w:p>
        </w:tc>
        <w:tc>
          <w:tcPr>
            <w:tcW w:w="1170" w:type="dxa"/>
          </w:tcPr>
          <w:p w14:paraId="4F9A7C6C" w14:textId="412ED396" w:rsidR="006827C2" w:rsidRPr="00551FBE" w:rsidRDefault="00447F7B" w:rsidP="0090509F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710</w:t>
            </w:r>
            <w:r w:rsidR="0090509F" w:rsidRPr="00551FBE">
              <w:rPr>
                <w:rStyle w:val="FootnoteReference"/>
                <w:sz w:val="18"/>
                <w:lang w:val="es-ES_tradnl"/>
              </w:rPr>
              <w:footnoteReference w:id="6"/>
            </w:r>
          </w:p>
        </w:tc>
        <w:tc>
          <w:tcPr>
            <w:tcW w:w="1346" w:type="dxa"/>
          </w:tcPr>
          <w:p w14:paraId="74A412F9" w14:textId="73B4DE96" w:rsidR="006827C2" w:rsidRPr="00551FBE" w:rsidRDefault="00D82E6E" w:rsidP="00910B78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13</w:t>
            </w:r>
            <w:r w:rsidR="00281EB4" w:rsidRPr="00551FBE">
              <w:rPr>
                <w:sz w:val="18"/>
                <w:lang w:val="es-ES_tradnl"/>
              </w:rPr>
              <w:t>,</w:t>
            </w:r>
            <w:r w:rsidRPr="00551FBE">
              <w:rPr>
                <w:sz w:val="18"/>
                <w:lang w:val="es-ES_tradnl"/>
              </w:rPr>
              <w:t>8</w:t>
            </w:r>
            <w:r w:rsidR="006827C2" w:rsidRPr="00551FBE">
              <w:rPr>
                <w:sz w:val="18"/>
                <w:lang w:val="es-ES_tradnl"/>
              </w:rPr>
              <w:t>%</w:t>
            </w:r>
          </w:p>
        </w:tc>
      </w:tr>
      <w:tr w:rsidR="006827C2" w:rsidRPr="00551FBE" w14:paraId="7D7C60ED" w14:textId="77777777" w:rsidTr="00C8323F">
        <w:trPr>
          <w:trHeight w:val="242"/>
        </w:trPr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16B18B02" w14:textId="77777777" w:rsidR="006827C2" w:rsidRPr="00551FBE" w:rsidRDefault="006827C2" w:rsidP="00910B78">
            <w:pPr>
              <w:rPr>
                <w:sz w:val="18"/>
                <w:lang w:val="es-ES_tradnl"/>
              </w:rPr>
            </w:pP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14:paraId="342E7709" w14:textId="7F163E74" w:rsidR="006827C2" w:rsidRPr="00551FBE" w:rsidRDefault="00281EB4" w:rsidP="00910B78">
            <w:pPr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Tasa de base por dibujos o modelos adicionales</w:t>
            </w:r>
          </w:p>
        </w:tc>
        <w:tc>
          <w:tcPr>
            <w:tcW w:w="2020" w:type="dxa"/>
          </w:tcPr>
          <w:p w14:paraId="75996DA8" w14:textId="4DEB12D6" w:rsidR="006827C2" w:rsidRPr="00551FBE" w:rsidRDefault="00447F7B" w:rsidP="00910B78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13</w:t>
            </w:r>
            <w:r w:rsidR="00281EB4" w:rsidRPr="00551FBE">
              <w:rPr>
                <w:sz w:val="18"/>
                <w:lang w:val="es-ES_tradnl"/>
              </w:rPr>
              <w:t>.</w:t>
            </w:r>
            <w:r w:rsidRPr="00551FBE">
              <w:rPr>
                <w:sz w:val="18"/>
                <w:lang w:val="es-ES_tradnl"/>
              </w:rPr>
              <w:t>703</w:t>
            </w:r>
            <w:r w:rsidR="006827C2" w:rsidRPr="00551FBE">
              <w:rPr>
                <w:sz w:val="18"/>
                <w:lang w:val="es-ES_tradnl"/>
              </w:rPr>
              <w:t xml:space="preserve"> </w:t>
            </w:r>
            <w:r w:rsidR="00A902E8" w:rsidRPr="00551FBE">
              <w:rPr>
                <w:sz w:val="18"/>
                <w:lang w:val="es-ES_tradnl"/>
              </w:rPr>
              <w:t>dibujos o modelos</w:t>
            </w:r>
          </w:p>
        </w:tc>
        <w:tc>
          <w:tcPr>
            <w:tcW w:w="1170" w:type="dxa"/>
          </w:tcPr>
          <w:p w14:paraId="1A10BA9F" w14:textId="08E7DBF5" w:rsidR="006827C2" w:rsidRPr="00551FBE" w:rsidRDefault="00447F7B" w:rsidP="00910B78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229</w:t>
            </w:r>
          </w:p>
        </w:tc>
        <w:tc>
          <w:tcPr>
            <w:tcW w:w="1346" w:type="dxa"/>
          </w:tcPr>
          <w:p w14:paraId="0ED43184" w14:textId="7B0EFC38" w:rsidR="006827C2" w:rsidRPr="00551FBE" w:rsidRDefault="00D82E6E" w:rsidP="00910B78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4</w:t>
            </w:r>
            <w:r w:rsidR="00281EB4" w:rsidRPr="00551FBE">
              <w:rPr>
                <w:sz w:val="18"/>
                <w:lang w:val="es-ES_tradnl"/>
              </w:rPr>
              <w:t>,</w:t>
            </w:r>
            <w:r w:rsidRPr="00551FBE">
              <w:rPr>
                <w:sz w:val="18"/>
                <w:lang w:val="es-ES_tradnl"/>
              </w:rPr>
              <w:t>4</w:t>
            </w:r>
            <w:r w:rsidR="006827C2" w:rsidRPr="00551FBE">
              <w:rPr>
                <w:sz w:val="18"/>
                <w:lang w:val="es-ES_tradnl"/>
              </w:rPr>
              <w:t>%</w:t>
            </w:r>
          </w:p>
        </w:tc>
      </w:tr>
      <w:tr w:rsidR="006827C2" w:rsidRPr="00551FBE" w14:paraId="754B9185" w14:textId="77777777" w:rsidTr="00C8323F"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6D9F1" w:themeFill="text2" w:themeFillTint="33"/>
          </w:tcPr>
          <w:p w14:paraId="279F6B58" w14:textId="76FC59E0" w:rsidR="006827C2" w:rsidRPr="00551FBE" w:rsidRDefault="00281EB4" w:rsidP="00320143">
            <w:pPr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Otras tasas (puntos V y VI)</w:t>
            </w:r>
          </w:p>
        </w:tc>
        <w:tc>
          <w:tcPr>
            <w:tcW w:w="2020" w:type="dxa"/>
            <w:tcBorders>
              <w:left w:val="nil"/>
            </w:tcBorders>
            <w:shd w:val="clear" w:color="auto" w:fill="C6D9F1" w:themeFill="text2" w:themeFillTint="33"/>
          </w:tcPr>
          <w:p w14:paraId="29E5E391" w14:textId="77777777" w:rsidR="006827C2" w:rsidRPr="00551FBE" w:rsidRDefault="006827C2" w:rsidP="00320143">
            <w:pPr>
              <w:jc w:val="right"/>
              <w:rPr>
                <w:sz w:val="18"/>
                <w:lang w:val="es-ES_tradnl"/>
              </w:rPr>
            </w:pPr>
          </w:p>
        </w:tc>
        <w:tc>
          <w:tcPr>
            <w:tcW w:w="1170" w:type="dxa"/>
            <w:shd w:val="clear" w:color="auto" w:fill="C6D9F1" w:themeFill="text2" w:themeFillTint="33"/>
          </w:tcPr>
          <w:p w14:paraId="7357E7EC" w14:textId="60C8C132" w:rsidR="006827C2" w:rsidRPr="00551FBE" w:rsidRDefault="00375320" w:rsidP="00320143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23</w:t>
            </w:r>
            <w:r w:rsidR="00375DFA" w:rsidRPr="00551FBE">
              <w:rPr>
                <w:sz w:val="18"/>
                <w:lang w:val="es-ES_tradnl"/>
              </w:rPr>
              <w:t>6</w:t>
            </w:r>
          </w:p>
        </w:tc>
        <w:tc>
          <w:tcPr>
            <w:tcW w:w="1346" w:type="dxa"/>
            <w:shd w:val="clear" w:color="auto" w:fill="C6D9F1" w:themeFill="text2" w:themeFillTint="33"/>
          </w:tcPr>
          <w:p w14:paraId="0E69360F" w14:textId="558BF711" w:rsidR="006827C2" w:rsidRPr="00551FBE" w:rsidRDefault="00D82E6E" w:rsidP="00320143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4</w:t>
            </w:r>
            <w:r w:rsidR="00281EB4" w:rsidRPr="00551FBE">
              <w:rPr>
                <w:sz w:val="18"/>
                <w:lang w:val="es-ES_tradnl"/>
              </w:rPr>
              <w:t>,</w:t>
            </w:r>
            <w:r w:rsidRPr="00551FBE">
              <w:rPr>
                <w:sz w:val="18"/>
                <w:lang w:val="es-ES_tradnl"/>
              </w:rPr>
              <w:t>6</w:t>
            </w:r>
            <w:r w:rsidR="006827C2" w:rsidRPr="00551FBE">
              <w:rPr>
                <w:sz w:val="18"/>
                <w:lang w:val="es-ES_tradnl"/>
              </w:rPr>
              <w:t>%</w:t>
            </w:r>
          </w:p>
        </w:tc>
      </w:tr>
      <w:tr w:rsidR="006827C2" w:rsidRPr="00551FBE" w14:paraId="04902976" w14:textId="77777777" w:rsidTr="00C8323F">
        <w:trPr>
          <w:trHeight w:val="242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AA4BB" w14:textId="77777777" w:rsidR="006827C2" w:rsidRPr="00551FBE" w:rsidRDefault="006827C2" w:rsidP="00320143">
            <w:pPr>
              <w:rPr>
                <w:sz w:val="18"/>
                <w:lang w:val="es-ES_tradnl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</w:tcPr>
          <w:p w14:paraId="6C2E9F3B" w14:textId="458CE99D" w:rsidR="006827C2" w:rsidRPr="00551FBE" w:rsidRDefault="00281EB4" w:rsidP="00320143">
            <w:pPr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Cambio en titularidad, nombre o dirección (puntos V.13 y V.14)</w:t>
            </w:r>
          </w:p>
        </w:tc>
        <w:tc>
          <w:tcPr>
            <w:tcW w:w="2020" w:type="dxa"/>
          </w:tcPr>
          <w:p w14:paraId="539F79AB" w14:textId="6E4DFFB8" w:rsidR="006827C2" w:rsidRPr="00551FBE" w:rsidRDefault="00447F7B" w:rsidP="00320143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169</w:t>
            </w:r>
            <w:r w:rsidR="006827C2" w:rsidRPr="00551FBE">
              <w:rPr>
                <w:sz w:val="18"/>
                <w:lang w:val="es-ES_tradnl"/>
              </w:rPr>
              <w:t xml:space="preserve"> </w:t>
            </w:r>
            <w:r w:rsidR="00281EB4" w:rsidRPr="00551FBE">
              <w:rPr>
                <w:sz w:val="18"/>
                <w:lang w:val="es-ES_tradnl"/>
              </w:rPr>
              <w:t>inscripciones</w:t>
            </w:r>
          </w:p>
        </w:tc>
        <w:tc>
          <w:tcPr>
            <w:tcW w:w="1170" w:type="dxa"/>
          </w:tcPr>
          <w:p w14:paraId="280B69DE" w14:textId="0EF9544E" w:rsidR="006827C2" w:rsidRPr="00551FBE" w:rsidRDefault="00447F7B" w:rsidP="00320143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20</w:t>
            </w:r>
          </w:p>
        </w:tc>
        <w:tc>
          <w:tcPr>
            <w:tcW w:w="1346" w:type="dxa"/>
          </w:tcPr>
          <w:p w14:paraId="58E92DD5" w14:textId="2FCBA44A" w:rsidR="006827C2" w:rsidRPr="00551FBE" w:rsidRDefault="00D82E6E" w:rsidP="00320143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0</w:t>
            </w:r>
            <w:r w:rsidR="00281EB4" w:rsidRPr="00551FBE">
              <w:rPr>
                <w:sz w:val="18"/>
                <w:lang w:val="es-ES_tradnl"/>
              </w:rPr>
              <w:t>,</w:t>
            </w:r>
            <w:r w:rsidRPr="00551FBE">
              <w:rPr>
                <w:sz w:val="18"/>
                <w:lang w:val="es-ES_tradnl"/>
              </w:rPr>
              <w:t>4</w:t>
            </w:r>
            <w:r w:rsidR="006827C2" w:rsidRPr="00551FBE">
              <w:rPr>
                <w:sz w:val="18"/>
                <w:lang w:val="es-ES_tradnl"/>
              </w:rPr>
              <w:t>%</w:t>
            </w:r>
          </w:p>
        </w:tc>
      </w:tr>
      <w:tr w:rsidR="006827C2" w:rsidRPr="00551FBE" w14:paraId="27B6F2C1" w14:textId="77777777" w:rsidTr="00C8323F">
        <w:trPr>
          <w:trHeight w:val="242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3489E" w14:textId="77777777" w:rsidR="006827C2" w:rsidRPr="00551FBE" w:rsidRDefault="006827C2" w:rsidP="00320143">
            <w:pPr>
              <w:rPr>
                <w:sz w:val="18"/>
                <w:lang w:val="es-ES_tradnl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</w:tcPr>
          <w:p w14:paraId="1255AA72" w14:textId="4D484FAA" w:rsidR="006827C2" w:rsidRPr="00551FBE" w:rsidRDefault="00281EB4" w:rsidP="00320143">
            <w:pPr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Renuncias y limitaciones (puntos V.15 y V.16)</w:t>
            </w:r>
          </w:p>
        </w:tc>
        <w:tc>
          <w:tcPr>
            <w:tcW w:w="2020" w:type="dxa"/>
          </w:tcPr>
          <w:p w14:paraId="7B78911B" w14:textId="512C050A" w:rsidR="006827C2" w:rsidRPr="00551FBE" w:rsidRDefault="00447F7B" w:rsidP="00320143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31</w:t>
            </w:r>
            <w:r w:rsidR="006827C2" w:rsidRPr="00551FBE">
              <w:rPr>
                <w:sz w:val="18"/>
                <w:lang w:val="es-ES_tradnl"/>
              </w:rPr>
              <w:t xml:space="preserve"> </w:t>
            </w:r>
            <w:r w:rsidR="00281EB4" w:rsidRPr="00551FBE">
              <w:rPr>
                <w:sz w:val="18"/>
                <w:lang w:val="es-ES_tradnl"/>
              </w:rPr>
              <w:t>inscripciones</w:t>
            </w:r>
          </w:p>
        </w:tc>
        <w:tc>
          <w:tcPr>
            <w:tcW w:w="1170" w:type="dxa"/>
          </w:tcPr>
          <w:p w14:paraId="5B63B3C4" w14:textId="664932ED" w:rsidR="006827C2" w:rsidRPr="00551FBE" w:rsidRDefault="00447F7B" w:rsidP="00320143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4</w:t>
            </w:r>
          </w:p>
        </w:tc>
        <w:tc>
          <w:tcPr>
            <w:tcW w:w="1346" w:type="dxa"/>
          </w:tcPr>
          <w:p w14:paraId="1AF442E4" w14:textId="72CD49AB" w:rsidR="006827C2" w:rsidRPr="00551FBE" w:rsidRDefault="006827C2" w:rsidP="00320143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0</w:t>
            </w:r>
            <w:r w:rsidR="00281EB4" w:rsidRPr="00551FBE">
              <w:rPr>
                <w:sz w:val="18"/>
                <w:lang w:val="es-ES_tradnl"/>
              </w:rPr>
              <w:t>,</w:t>
            </w:r>
            <w:r w:rsidRPr="00551FBE">
              <w:rPr>
                <w:sz w:val="18"/>
                <w:lang w:val="es-ES_tradnl"/>
              </w:rPr>
              <w:t>1%</w:t>
            </w:r>
          </w:p>
        </w:tc>
      </w:tr>
      <w:tr w:rsidR="006827C2" w:rsidRPr="00551FBE" w14:paraId="4AD9C826" w14:textId="77777777" w:rsidTr="00C8323F">
        <w:trPr>
          <w:trHeight w:val="242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BAC5B" w14:textId="77777777" w:rsidR="006827C2" w:rsidRPr="00551FBE" w:rsidRDefault="006827C2" w:rsidP="00320143">
            <w:pPr>
              <w:rPr>
                <w:sz w:val="18"/>
                <w:lang w:val="es-ES_tradnl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</w:tcPr>
          <w:p w14:paraId="795FFB84" w14:textId="4F8FE48C" w:rsidR="006827C2" w:rsidRPr="00551FBE" w:rsidRDefault="00281EB4" w:rsidP="00320143">
            <w:pPr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Copias certificadas, extractos y demás información (punto VI)</w:t>
            </w:r>
          </w:p>
        </w:tc>
        <w:tc>
          <w:tcPr>
            <w:tcW w:w="2020" w:type="dxa"/>
          </w:tcPr>
          <w:p w14:paraId="7240FCB3" w14:textId="0C9A9BE7" w:rsidR="006827C2" w:rsidRPr="00551FBE" w:rsidRDefault="00447F7B" w:rsidP="00320143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2</w:t>
            </w:r>
            <w:r w:rsidR="00281EB4" w:rsidRPr="00551FBE">
              <w:rPr>
                <w:sz w:val="18"/>
                <w:lang w:val="es-ES_tradnl"/>
              </w:rPr>
              <w:t>.</w:t>
            </w:r>
            <w:r w:rsidRPr="00551FBE">
              <w:rPr>
                <w:sz w:val="18"/>
                <w:lang w:val="es-ES_tradnl"/>
              </w:rPr>
              <w:t>284</w:t>
            </w:r>
            <w:r w:rsidR="006827C2" w:rsidRPr="00551FBE">
              <w:rPr>
                <w:sz w:val="18"/>
                <w:lang w:val="es-ES_tradnl"/>
              </w:rPr>
              <w:t xml:space="preserve"> </w:t>
            </w:r>
            <w:r w:rsidR="00A902E8" w:rsidRPr="00551FBE">
              <w:rPr>
                <w:sz w:val="18"/>
                <w:lang w:val="es-ES_tradnl"/>
              </w:rPr>
              <w:t>casos</w:t>
            </w:r>
          </w:p>
        </w:tc>
        <w:tc>
          <w:tcPr>
            <w:tcW w:w="1170" w:type="dxa"/>
          </w:tcPr>
          <w:p w14:paraId="422B41B5" w14:textId="46A52FA0" w:rsidR="006827C2" w:rsidRPr="00551FBE" w:rsidRDefault="00447F7B" w:rsidP="00320143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212</w:t>
            </w:r>
          </w:p>
        </w:tc>
        <w:tc>
          <w:tcPr>
            <w:tcW w:w="1346" w:type="dxa"/>
          </w:tcPr>
          <w:p w14:paraId="10849F23" w14:textId="2FB6AFFD" w:rsidR="006827C2" w:rsidRPr="00551FBE" w:rsidRDefault="00D82E6E" w:rsidP="00320143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4</w:t>
            </w:r>
            <w:r w:rsidR="00281EB4" w:rsidRPr="00551FBE">
              <w:rPr>
                <w:sz w:val="18"/>
                <w:lang w:val="es-ES_tradnl"/>
              </w:rPr>
              <w:t>,</w:t>
            </w:r>
            <w:r w:rsidRPr="00551FBE">
              <w:rPr>
                <w:sz w:val="18"/>
                <w:lang w:val="es-ES_tradnl"/>
              </w:rPr>
              <w:t>1</w:t>
            </w:r>
            <w:r w:rsidR="006827C2" w:rsidRPr="00551FBE">
              <w:rPr>
                <w:sz w:val="18"/>
                <w:lang w:val="es-ES_tradnl"/>
              </w:rPr>
              <w:t>%</w:t>
            </w:r>
          </w:p>
        </w:tc>
      </w:tr>
      <w:tr w:rsidR="006827C2" w:rsidRPr="00551FBE" w14:paraId="2F59AE92" w14:textId="77777777" w:rsidTr="00C8323F">
        <w:trPr>
          <w:trHeight w:val="85"/>
        </w:trPr>
        <w:tc>
          <w:tcPr>
            <w:tcW w:w="4640" w:type="dxa"/>
            <w:gridSpan w:val="2"/>
            <w:shd w:val="clear" w:color="auto" w:fill="C6D9F1" w:themeFill="text2" w:themeFillTint="33"/>
          </w:tcPr>
          <w:p w14:paraId="1FE029C1" w14:textId="36625862" w:rsidR="006827C2" w:rsidRPr="00551FBE" w:rsidRDefault="006827C2" w:rsidP="00320143">
            <w:pPr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Total</w:t>
            </w:r>
          </w:p>
        </w:tc>
        <w:tc>
          <w:tcPr>
            <w:tcW w:w="2020" w:type="dxa"/>
            <w:shd w:val="clear" w:color="auto" w:fill="C6D9F1" w:themeFill="text2" w:themeFillTint="33"/>
          </w:tcPr>
          <w:p w14:paraId="75AEA3AE" w14:textId="77777777" w:rsidR="006827C2" w:rsidRPr="00551FBE" w:rsidRDefault="006827C2" w:rsidP="00320143">
            <w:pPr>
              <w:jc w:val="right"/>
              <w:rPr>
                <w:sz w:val="18"/>
                <w:lang w:val="es-ES_tradnl"/>
              </w:rPr>
            </w:pPr>
          </w:p>
        </w:tc>
        <w:tc>
          <w:tcPr>
            <w:tcW w:w="1170" w:type="dxa"/>
            <w:shd w:val="clear" w:color="auto" w:fill="C6D9F1" w:themeFill="text2" w:themeFillTint="33"/>
          </w:tcPr>
          <w:p w14:paraId="47CA50DB" w14:textId="218CD867" w:rsidR="006827C2" w:rsidRPr="00551FBE" w:rsidRDefault="00444893" w:rsidP="00320143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5</w:t>
            </w:r>
            <w:r w:rsidR="00281EB4" w:rsidRPr="00551FBE">
              <w:rPr>
                <w:sz w:val="18"/>
                <w:lang w:val="es-ES_tradnl"/>
              </w:rPr>
              <w:t>.</w:t>
            </w:r>
            <w:r w:rsidRPr="00551FBE">
              <w:rPr>
                <w:sz w:val="18"/>
                <w:lang w:val="es-ES_tradnl"/>
              </w:rPr>
              <w:t>147</w:t>
            </w:r>
          </w:p>
        </w:tc>
        <w:tc>
          <w:tcPr>
            <w:tcW w:w="1346" w:type="dxa"/>
            <w:shd w:val="clear" w:color="auto" w:fill="C6D9F1" w:themeFill="text2" w:themeFillTint="33"/>
          </w:tcPr>
          <w:p w14:paraId="378CCB22" w14:textId="77777777" w:rsidR="006827C2" w:rsidRPr="00551FBE" w:rsidRDefault="006827C2" w:rsidP="00320143">
            <w:pPr>
              <w:jc w:val="right"/>
              <w:rPr>
                <w:sz w:val="18"/>
                <w:lang w:val="es-ES_tradnl"/>
              </w:rPr>
            </w:pPr>
            <w:r w:rsidRPr="00551FBE">
              <w:rPr>
                <w:sz w:val="18"/>
                <w:lang w:val="es-ES_tradnl"/>
              </w:rPr>
              <w:t>100%</w:t>
            </w:r>
          </w:p>
        </w:tc>
      </w:tr>
    </w:tbl>
    <w:p w14:paraId="5620F373" w14:textId="4D82A101" w:rsidR="00DC73BE" w:rsidRPr="00551FBE" w:rsidRDefault="00320143" w:rsidP="00A16EFA">
      <w:pPr>
        <w:pStyle w:val="ONUME"/>
        <w:numPr>
          <w:ilvl w:val="0"/>
          <w:numId w:val="0"/>
        </w:numPr>
        <w:spacing w:before="240" w:after="480"/>
        <w:jc w:val="center"/>
        <w:rPr>
          <w:sz w:val="16"/>
          <w:szCs w:val="16"/>
          <w:lang w:val="es-ES_tradnl"/>
        </w:rPr>
      </w:pPr>
      <w:r w:rsidRPr="00551FBE">
        <w:rPr>
          <w:noProof/>
          <w:lang w:eastAsia="en-US"/>
        </w:rPr>
        <w:lastRenderedPageBreak/>
        <w:drawing>
          <wp:inline distT="0" distB="0" distL="0" distR="0" wp14:anchorId="4EB36FEE" wp14:editId="6B26D879">
            <wp:extent cx="2216505" cy="18136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526" cy="182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CF8A8" w14:textId="341AE375" w:rsidR="00622CE7" w:rsidRPr="00551FBE" w:rsidRDefault="008A5FAF" w:rsidP="00CC671E">
      <w:pPr>
        <w:pStyle w:val="Heading1"/>
        <w:spacing w:before="100" w:beforeAutospacing="1" w:after="120"/>
        <w:rPr>
          <w:lang w:val="es-ES_tradnl"/>
        </w:rPr>
      </w:pPr>
      <w:r w:rsidRPr="00551FBE">
        <w:rPr>
          <w:lang w:val="es-ES_tradnl"/>
        </w:rPr>
        <w:t>III.</w:t>
      </w:r>
      <w:r w:rsidRPr="00551FBE">
        <w:rPr>
          <w:lang w:val="es-ES_tradnl"/>
        </w:rPr>
        <w:tab/>
      </w:r>
      <w:r w:rsidR="00573BCF" w:rsidRPr="00551FBE">
        <w:rPr>
          <w:lang w:val="es-ES_tradnl"/>
        </w:rPr>
        <w:t>ESTRUCTURA E IMPORTES DE LAS TASAS DE RENOVACIÓN EN LOS SISTEMAS NACIONALES O REGIONALES QUE ADMITEN MÚLTIPLES DIBUJOS O MODELOS</w:t>
      </w:r>
    </w:p>
    <w:p w14:paraId="14985016" w14:textId="3C05F757" w:rsidR="000F24F7" w:rsidRPr="00551FBE" w:rsidRDefault="00573BCF" w:rsidP="00CC671E">
      <w:pPr>
        <w:pStyle w:val="ONUMFS"/>
        <w:rPr>
          <w:lang w:val="es-ES_tradnl" w:eastAsia="en-US"/>
        </w:rPr>
      </w:pPr>
      <w:r w:rsidRPr="00551FBE">
        <w:rPr>
          <w:lang w:val="es-ES_tradnl" w:eastAsia="en-US"/>
        </w:rPr>
        <w:t>La estructura de las tasas de renovación aplicables a los dibujos o modelos industriales varía de una jurisdicción a otra. En algunas jurisdicciones, la cuantía de la tasa de re</w:t>
      </w:r>
      <w:r w:rsidR="005B7D42" w:rsidRPr="00551FBE">
        <w:rPr>
          <w:lang w:val="es-ES_tradnl" w:eastAsia="en-US"/>
        </w:rPr>
        <w:t xml:space="preserve">novación aumenta gradualmente </w:t>
      </w:r>
      <w:r w:rsidRPr="00551FBE">
        <w:rPr>
          <w:lang w:val="es-ES_tradnl" w:eastAsia="en-US"/>
        </w:rPr>
        <w:t>con cada renovación,</w:t>
      </w:r>
      <w:r w:rsidR="001B4DA4" w:rsidRPr="00551FBE">
        <w:rPr>
          <w:rStyle w:val="FootnoteReference"/>
          <w:lang w:val="es-ES_tradnl" w:eastAsia="en-US"/>
        </w:rPr>
        <w:footnoteReference w:id="7"/>
      </w:r>
      <w:r w:rsidR="00486CBB" w:rsidRPr="00551FBE">
        <w:rPr>
          <w:lang w:val="es-ES_tradnl" w:eastAsia="en-US"/>
        </w:rPr>
        <w:t xml:space="preserve"> </w:t>
      </w:r>
      <w:r w:rsidR="00E841DE" w:rsidRPr="00551FBE">
        <w:rPr>
          <w:lang w:val="es-ES_tradnl" w:eastAsia="en-US"/>
        </w:rPr>
        <w:t xml:space="preserve">mientras que en otras la cuantía es la misma en </w:t>
      </w:r>
      <w:r w:rsidR="005B7D42" w:rsidRPr="00551FBE">
        <w:rPr>
          <w:lang w:val="es-ES_tradnl" w:eastAsia="en-US"/>
        </w:rPr>
        <w:t>todas las renovaciones</w:t>
      </w:r>
      <w:r w:rsidR="00E841DE" w:rsidRPr="00551FBE">
        <w:rPr>
          <w:lang w:val="es-ES_tradnl" w:eastAsia="en-US"/>
        </w:rPr>
        <w:t>.</w:t>
      </w:r>
      <w:r w:rsidR="001B4DA4" w:rsidRPr="00551FBE">
        <w:rPr>
          <w:rStyle w:val="FootnoteReference"/>
          <w:lang w:val="es-ES_tradnl" w:eastAsia="en-US"/>
        </w:rPr>
        <w:footnoteReference w:id="8"/>
      </w:r>
      <w:r w:rsidR="003A4DF4" w:rsidRPr="00551FBE">
        <w:rPr>
          <w:lang w:val="es-ES_tradnl" w:eastAsia="en-US"/>
        </w:rPr>
        <w:t xml:space="preserve"> </w:t>
      </w:r>
      <w:r w:rsidR="00D24ABB" w:rsidRPr="00551FBE">
        <w:rPr>
          <w:lang w:val="es-ES_tradnl" w:eastAsia="en-US"/>
        </w:rPr>
        <w:t>Cuando la renovación comprende</w:t>
      </w:r>
      <w:r w:rsidR="00E841DE" w:rsidRPr="00551FBE">
        <w:rPr>
          <w:lang w:val="es-ES_tradnl" w:eastAsia="en-US"/>
        </w:rPr>
        <w:t xml:space="preserve"> </w:t>
      </w:r>
      <w:r w:rsidR="00D24ABB" w:rsidRPr="00551FBE">
        <w:rPr>
          <w:lang w:val="es-ES_tradnl" w:eastAsia="en-US"/>
        </w:rPr>
        <w:t>múltiples</w:t>
      </w:r>
      <w:r w:rsidR="00E841DE" w:rsidRPr="00551FBE">
        <w:rPr>
          <w:lang w:val="es-ES_tradnl" w:eastAsia="en-US"/>
        </w:rPr>
        <w:t xml:space="preserve"> </w:t>
      </w:r>
      <w:r w:rsidR="005B7D42" w:rsidRPr="00551FBE">
        <w:rPr>
          <w:lang w:val="es-ES_tradnl" w:eastAsia="en-US"/>
        </w:rPr>
        <w:t>dibujos o modelos</w:t>
      </w:r>
      <w:r w:rsidR="00E841DE" w:rsidRPr="00551FBE">
        <w:rPr>
          <w:lang w:val="es-ES_tradnl" w:eastAsia="en-US"/>
        </w:rPr>
        <w:t xml:space="preserve">, en algunas jurisdicciones se aplica una tasa fija </w:t>
      </w:r>
      <w:r w:rsidR="00D24ABB" w:rsidRPr="00551FBE">
        <w:rPr>
          <w:lang w:val="es-ES_tradnl" w:eastAsia="en-US"/>
        </w:rPr>
        <w:t>con independencia d</w:t>
      </w:r>
      <w:r w:rsidR="00E841DE" w:rsidRPr="00551FBE">
        <w:rPr>
          <w:lang w:val="es-ES_tradnl" w:eastAsia="en-US"/>
        </w:rPr>
        <w:t>el número de dibujos o modelos,</w:t>
      </w:r>
      <w:r w:rsidR="007D4002" w:rsidRPr="00551FBE">
        <w:rPr>
          <w:rStyle w:val="FootnoteReference"/>
          <w:lang w:val="es-ES_tradnl" w:eastAsia="en-US"/>
        </w:rPr>
        <w:footnoteReference w:id="9"/>
      </w:r>
      <w:r w:rsidR="007D4002" w:rsidRPr="00551FBE">
        <w:rPr>
          <w:lang w:val="es-ES_tradnl" w:eastAsia="en-US"/>
        </w:rPr>
        <w:t xml:space="preserve"> </w:t>
      </w:r>
      <w:r w:rsidR="005B7D42" w:rsidRPr="00551FBE">
        <w:rPr>
          <w:lang w:val="es-ES_tradnl" w:eastAsia="en-US"/>
        </w:rPr>
        <w:t xml:space="preserve">mientras que en otras </w:t>
      </w:r>
      <w:r w:rsidR="00E841DE" w:rsidRPr="00551FBE">
        <w:rPr>
          <w:lang w:val="es-ES_tradnl" w:eastAsia="en-US"/>
        </w:rPr>
        <w:t xml:space="preserve">se </w:t>
      </w:r>
      <w:r w:rsidR="00D24ABB" w:rsidRPr="00551FBE">
        <w:rPr>
          <w:lang w:val="es-ES_tradnl" w:eastAsia="en-US"/>
        </w:rPr>
        <w:t>aplica una tasa fija</w:t>
      </w:r>
      <w:r w:rsidR="00E841DE" w:rsidRPr="00551FBE">
        <w:rPr>
          <w:lang w:val="es-ES_tradnl" w:eastAsia="en-US"/>
        </w:rPr>
        <w:t xml:space="preserve"> hasta un determinado número de dibujos o modelos</w:t>
      </w:r>
      <w:r w:rsidR="005B7D42" w:rsidRPr="00551FBE">
        <w:rPr>
          <w:lang w:val="es-ES_tradnl" w:eastAsia="en-US"/>
        </w:rPr>
        <w:t>,</w:t>
      </w:r>
      <w:r w:rsidR="00E841DE" w:rsidRPr="00551FBE">
        <w:rPr>
          <w:lang w:val="es-ES_tradnl" w:eastAsia="en-US"/>
        </w:rPr>
        <w:t xml:space="preserve"> a partir del cual se aplica una tasa adicional (por ejemplo, una tasa fija hasta 10 dibujos o modelos, una tasa adicional hasta 20, y así sucesivamente).</w:t>
      </w:r>
      <w:r w:rsidR="00D15332" w:rsidRPr="00551FBE">
        <w:rPr>
          <w:rStyle w:val="FootnoteReference"/>
          <w:lang w:val="es-ES_tradnl" w:eastAsia="en-US"/>
        </w:rPr>
        <w:footnoteReference w:id="10"/>
      </w:r>
      <w:r w:rsidR="003A4DF4" w:rsidRPr="00551FBE">
        <w:rPr>
          <w:lang w:val="es-ES_tradnl" w:eastAsia="en-US"/>
        </w:rPr>
        <w:t xml:space="preserve"> </w:t>
      </w:r>
      <w:r w:rsidR="00E841DE" w:rsidRPr="00551FBE">
        <w:rPr>
          <w:lang w:val="es-ES_tradnl" w:eastAsia="en-US"/>
        </w:rPr>
        <w:t xml:space="preserve">Sin embargo, en muchas otras jurisdicciones en las que se admiten múltiples dibujos o modelos, la tasa de renovación se cobra por cada dibujo o modelo, como ocurre en </w:t>
      </w:r>
      <w:r w:rsidR="005B7D42" w:rsidRPr="00551FBE">
        <w:rPr>
          <w:lang w:val="es-ES_tradnl" w:eastAsia="en-US"/>
        </w:rPr>
        <w:t>el caso d</w:t>
      </w:r>
      <w:r w:rsidR="00E841DE" w:rsidRPr="00551FBE">
        <w:rPr>
          <w:lang w:val="es-ES_tradnl" w:eastAsia="en-US"/>
        </w:rPr>
        <w:t xml:space="preserve">el Sistema de </w:t>
      </w:r>
      <w:r w:rsidR="00CF376D" w:rsidRPr="00551FBE">
        <w:rPr>
          <w:lang w:val="es-ES_tradnl" w:eastAsia="en-US"/>
        </w:rPr>
        <w:br/>
      </w:r>
      <w:r w:rsidR="00E841DE" w:rsidRPr="00551FBE">
        <w:rPr>
          <w:lang w:val="es-ES_tradnl" w:eastAsia="en-US"/>
        </w:rPr>
        <w:t>La Haya</w:t>
      </w:r>
      <w:r w:rsidR="005E1499" w:rsidRPr="00551FBE">
        <w:rPr>
          <w:lang w:val="es-ES_tradnl" w:eastAsia="en-US"/>
        </w:rPr>
        <w:t>.</w:t>
      </w:r>
    </w:p>
    <w:p w14:paraId="3F259B39" w14:textId="0DA5BAFD" w:rsidR="0024453F" w:rsidRPr="00551FBE" w:rsidRDefault="00214E09" w:rsidP="00CC671E">
      <w:pPr>
        <w:pStyle w:val="ONUMFS"/>
        <w:rPr>
          <w:lang w:val="es-ES_tradnl"/>
        </w:rPr>
      </w:pPr>
      <w:r w:rsidRPr="00551FBE">
        <w:rPr>
          <w:lang w:val="es-ES_tradnl" w:eastAsia="en-US"/>
        </w:rPr>
        <w:t>Habida cuenta de lo anterior, la Secretaría ha llevado a cabo un análisis comparativo de la estructura de las tasas en 33 jurisdicciones. Esas jurisdicciones han sido seleccionadas con arreglo a los tres criterios objetivos siguientes (en lo que respecta al número de dibujos o modelos)</w:t>
      </w:r>
      <w:r w:rsidR="0024453F" w:rsidRPr="00551FBE">
        <w:rPr>
          <w:lang w:val="es-ES_tradnl"/>
        </w:rPr>
        <w:t>:</w:t>
      </w:r>
    </w:p>
    <w:p w14:paraId="47233353" w14:textId="28269A59" w:rsidR="00DC73BE" w:rsidRPr="00551FBE" w:rsidRDefault="00CF376D" w:rsidP="00535B32">
      <w:pPr>
        <w:pStyle w:val="BodyText"/>
        <w:numPr>
          <w:ilvl w:val="0"/>
          <w:numId w:val="0"/>
        </w:numPr>
        <w:ind w:left="1134" w:hanging="567"/>
        <w:rPr>
          <w:lang w:val="es-ES_tradnl"/>
        </w:rPr>
      </w:pPr>
      <w:r w:rsidRPr="00551FBE">
        <w:rPr>
          <w:lang w:val="es-ES_tradnl"/>
        </w:rPr>
        <w:t>―</w:t>
      </w:r>
      <w:r w:rsidRPr="00551FBE">
        <w:rPr>
          <w:lang w:val="es-ES_tradnl"/>
        </w:rPr>
        <w:tab/>
      </w:r>
      <w:r w:rsidR="00214E09" w:rsidRPr="00551FBE">
        <w:rPr>
          <w:lang w:val="es-ES_tradnl"/>
        </w:rPr>
        <w:t>Partes Contratantes designadas con frecuencia</w:t>
      </w:r>
      <w:r w:rsidR="0024453F" w:rsidRPr="00551FBE">
        <w:rPr>
          <w:lang w:val="es-ES_tradnl"/>
        </w:rPr>
        <w:t>:</w:t>
      </w:r>
      <w:r w:rsidR="003A4DF4" w:rsidRPr="00551FBE">
        <w:rPr>
          <w:lang w:val="es-ES_tradnl"/>
        </w:rPr>
        <w:t xml:space="preserve"> </w:t>
      </w:r>
      <w:r w:rsidR="00214E09" w:rsidRPr="00551FBE">
        <w:rPr>
          <w:lang w:val="es-ES_tradnl"/>
        </w:rPr>
        <w:t>las 20 Partes Contratantes más designadas en las solicitudes internacionales presentadas en</w:t>
      </w:r>
      <w:r w:rsidR="0024453F" w:rsidRPr="00551FBE">
        <w:rPr>
          <w:lang w:val="es-ES_tradnl"/>
        </w:rPr>
        <w:t xml:space="preserve"> 2019</w:t>
      </w:r>
      <w:r w:rsidR="005E453E" w:rsidRPr="00551FBE">
        <w:rPr>
          <w:lang w:val="es-ES_tradnl"/>
        </w:rPr>
        <w:t>;</w:t>
      </w:r>
    </w:p>
    <w:p w14:paraId="1AB5D89A" w14:textId="45AD01B1" w:rsidR="00DC73BE" w:rsidRPr="00551FBE" w:rsidRDefault="00CF376D" w:rsidP="00535B32">
      <w:pPr>
        <w:pStyle w:val="BodyText"/>
        <w:numPr>
          <w:ilvl w:val="0"/>
          <w:numId w:val="0"/>
        </w:numPr>
        <w:ind w:left="1134" w:hanging="567"/>
        <w:rPr>
          <w:lang w:val="es-ES_tradnl"/>
        </w:rPr>
      </w:pPr>
      <w:r w:rsidRPr="00551FBE">
        <w:rPr>
          <w:lang w:val="es-ES_tradnl"/>
        </w:rPr>
        <w:t>―</w:t>
      </w:r>
      <w:r w:rsidRPr="00551FBE">
        <w:rPr>
          <w:lang w:val="es-ES_tradnl"/>
        </w:rPr>
        <w:tab/>
      </w:r>
      <w:r w:rsidR="00214E09" w:rsidRPr="00551FBE">
        <w:rPr>
          <w:lang w:val="es-ES_tradnl"/>
        </w:rPr>
        <w:t>usuarios activos del Sistema de La Haya</w:t>
      </w:r>
      <w:r w:rsidR="0024453F" w:rsidRPr="00551FBE">
        <w:rPr>
          <w:lang w:val="es-ES_tradnl"/>
        </w:rPr>
        <w:t>:</w:t>
      </w:r>
      <w:r w:rsidR="003A4DF4" w:rsidRPr="00551FBE">
        <w:rPr>
          <w:lang w:val="es-ES_tradnl"/>
        </w:rPr>
        <w:t xml:space="preserve"> </w:t>
      </w:r>
      <w:r w:rsidR="00214E09" w:rsidRPr="00551FBE">
        <w:rPr>
          <w:lang w:val="es-ES_tradnl"/>
        </w:rPr>
        <w:t>las 20 jurisdicciones en las que se presentaron más solicitudes internacionales en</w:t>
      </w:r>
      <w:r w:rsidR="0024453F" w:rsidRPr="00551FBE">
        <w:rPr>
          <w:lang w:val="es-ES_tradnl"/>
        </w:rPr>
        <w:t xml:space="preserve"> 2019</w:t>
      </w:r>
      <w:r w:rsidR="00854813" w:rsidRPr="00551FBE">
        <w:rPr>
          <w:lang w:val="es-ES_tradnl"/>
        </w:rPr>
        <w:t>;</w:t>
      </w:r>
      <w:r w:rsidR="003A4DF4" w:rsidRPr="00551FBE">
        <w:rPr>
          <w:lang w:val="es-ES_tradnl"/>
        </w:rPr>
        <w:t xml:space="preserve"> </w:t>
      </w:r>
      <w:r w:rsidR="00214E09" w:rsidRPr="00551FBE">
        <w:rPr>
          <w:lang w:val="es-ES_tradnl"/>
        </w:rPr>
        <w:t>y</w:t>
      </w:r>
    </w:p>
    <w:p w14:paraId="46DC9151" w14:textId="58304E4D" w:rsidR="00D9170E" w:rsidRPr="00551FBE" w:rsidRDefault="00CF376D" w:rsidP="00535B32">
      <w:pPr>
        <w:pStyle w:val="BodyText"/>
        <w:numPr>
          <w:ilvl w:val="0"/>
          <w:numId w:val="0"/>
        </w:numPr>
        <w:ind w:left="1134" w:hanging="567"/>
        <w:rPr>
          <w:lang w:val="es-ES_tradnl"/>
        </w:rPr>
      </w:pPr>
      <w:r w:rsidRPr="00551FBE">
        <w:rPr>
          <w:lang w:val="es-ES_tradnl"/>
        </w:rPr>
        <w:t>―</w:t>
      </w:r>
      <w:r w:rsidRPr="00551FBE">
        <w:rPr>
          <w:lang w:val="es-ES_tradnl"/>
        </w:rPr>
        <w:tab/>
      </w:r>
      <w:r w:rsidR="00214E09" w:rsidRPr="00551FBE">
        <w:rPr>
          <w:lang w:val="es-ES_tradnl"/>
        </w:rPr>
        <w:t>jurisdicciones en que los sistemas de dibujos o modelos se utilizan de manera activa</w:t>
      </w:r>
      <w:r w:rsidR="0024453F" w:rsidRPr="00551FBE">
        <w:rPr>
          <w:lang w:val="es-ES_tradnl"/>
        </w:rPr>
        <w:t>:</w:t>
      </w:r>
      <w:r w:rsidR="003A4DF4" w:rsidRPr="00551FBE">
        <w:rPr>
          <w:lang w:val="es-ES_tradnl"/>
        </w:rPr>
        <w:t xml:space="preserve"> </w:t>
      </w:r>
      <w:r w:rsidR="002A27F8" w:rsidRPr="00551FBE">
        <w:rPr>
          <w:lang w:val="es-ES_tradnl"/>
        </w:rPr>
        <w:t>las 20 jurisdicciones que en 2018 recibieron más solicitudes de registro de dibujos o modelos</w:t>
      </w:r>
      <w:r w:rsidR="0024453F" w:rsidRPr="00551FBE">
        <w:rPr>
          <w:lang w:val="es-ES_tradnl"/>
        </w:rPr>
        <w:t>.</w:t>
      </w:r>
    </w:p>
    <w:p w14:paraId="0B278F7F" w14:textId="5A0B7067" w:rsidR="00D9170E" w:rsidRPr="00551FBE" w:rsidRDefault="00B714C1" w:rsidP="00CC671E">
      <w:pPr>
        <w:pStyle w:val="ONUMFS"/>
        <w:rPr>
          <w:lang w:val="es-ES_tradnl"/>
        </w:rPr>
      </w:pPr>
      <w:r w:rsidRPr="00551FBE">
        <w:rPr>
          <w:lang w:val="es-ES_tradnl" w:eastAsia="en-US"/>
        </w:rPr>
        <w:t>Se observa que en 18</w:t>
      </w:r>
      <w:r w:rsidRPr="00551FBE">
        <w:rPr>
          <w:rStyle w:val="FootnoteReference"/>
          <w:lang w:val="es-ES_tradnl"/>
        </w:rPr>
        <w:footnoteReference w:id="11"/>
      </w:r>
      <w:r w:rsidRPr="00551FBE">
        <w:rPr>
          <w:lang w:val="es-ES_tradnl" w:eastAsia="en-US"/>
        </w:rPr>
        <w:t xml:space="preserve"> de esas 33 jurisdicciones la estructura de tasas es similar a la del Sistema de La Haya, lo que significa que en el momento de la renovación se cobra una tasa por cada uno de los dibujos o modelos que se hayan presentado conjuntamente en el momento de realizar la solicitud.</w:t>
      </w:r>
      <w:r w:rsidR="00D9170E" w:rsidRPr="00551FBE">
        <w:rPr>
          <w:rStyle w:val="FootnoteReference"/>
          <w:lang w:val="es-ES_tradnl"/>
        </w:rPr>
        <w:footnoteReference w:id="12"/>
      </w:r>
      <w:r w:rsidR="003A4DF4" w:rsidRPr="00551FBE">
        <w:rPr>
          <w:lang w:val="es-ES_tradnl" w:eastAsia="en-US"/>
        </w:rPr>
        <w:t xml:space="preserve"> </w:t>
      </w:r>
      <w:r w:rsidRPr="00551FBE">
        <w:rPr>
          <w:lang w:val="es-ES_tradnl" w:eastAsia="en-US"/>
        </w:rPr>
        <w:t xml:space="preserve">En 11 de esas jurisdicciones se cobra la misma tasa por cada dibujo o modelo, mientras que en las otras siete </w:t>
      </w:r>
      <w:r w:rsidR="00D51AB1" w:rsidRPr="00551FBE">
        <w:rPr>
          <w:lang w:val="es-ES_tradnl" w:eastAsia="en-US"/>
        </w:rPr>
        <w:t xml:space="preserve">se cobra la misma tasa </w:t>
      </w:r>
      <w:r w:rsidRPr="00551FBE">
        <w:rPr>
          <w:lang w:val="es-ES_tradnl" w:eastAsia="en-US"/>
        </w:rPr>
        <w:t>p</w:t>
      </w:r>
      <w:r w:rsidR="00D51AB1" w:rsidRPr="00551FBE">
        <w:rPr>
          <w:lang w:val="es-ES_tradnl" w:eastAsia="en-US"/>
        </w:rPr>
        <w:t>or</w:t>
      </w:r>
      <w:r w:rsidRPr="00551FBE">
        <w:rPr>
          <w:lang w:val="es-ES_tradnl" w:eastAsia="en-US"/>
        </w:rPr>
        <w:t xml:space="preserve"> cada dibujo o modelo adicional, pero es </w:t>
      </w:r>
      <w:r w:rsidR="00D51AB1" w:rsidRPr="00551FBE">
        <w:rPr>
          <w:lang w:val="es-ES_tradnl" w:eastAsia="en-US"/>
        </w:rPr>
        <w:t>una tasa inferior a</w:t>
      </w:r>
      <w:r w:rsidRPr="00551FBE">
        <w:rPr>
          <w:lang w:val="es-ES_tradnl" w:eastAsia="en-US"/>
        </w:rPr>
        <w:t xml:space="preserve"> la que se cobra por el primer dibujo o modelo (exactamente igual que en el Sistema de La Haya). En el gráfico que figura a continuación se ilustran estas conclusiones</w:t>
      </w:r>
      <w:r w:rsidR="00D9170E" w:rsidRPr="00551FBE">
        <w:rPr>
          <w:lang w:val="es-ES_tradnl" w:eastAsia="en-US"/>
        </w:rPr>
        <w:t>:</w:t>
      </w:r>
    </w:p>
    <w:p w14:paraId="7790CDF5" w14:textId="522C5DB9" w:rsidR="00910B78" w:rsidRPr="00551FBE" w:rsidRDefault="00CC671E" w:rsidP="00854813">
      <w:pPr>
        <w:pStyle w:val="BodyText"/>
        <w:numPr>
          <w:ilvl w:val="0"/>
          <w:numId w:val="0"/>
        </w:numPr>
        <w:ind w:left="270"/>
        <w:jc w:val="center"/>
        <w:rPr>
          <w:lang w:val="es-ES_tradnl"/>
        </w:rPr>
      </w:pPr>
      <w:r w:rsidRPr="00551FBE">
        <w:rPr>
          <w:noProof/>
          <w:lang w:eastAsia="en-US"/>
        </w:rPr>
        <w:lastRenderedPageBreak/>
        <w:drawing>
          <wp:anchor distT="0" distB="0" distL="114300" distR="114300" simplePos="0" relativeHeight="251658240" behindDoc="0" locked="0" layoutInCell="1" allowOverlap="1" wp14:anchorId="398A004D" wp14:editId="12810BEE">
            <wp:simplePos x="0" y="0"/>
            <wp:positionH relativeFrom="margin">
              <wp:align>right</wp:align>
            </wp:positionH>
            <wp:positionV relativeFrom="paragraph">
              <wp:posOffset>496316</wp:posOffset>
            </wp:positionV>
            <wp:extent cx="5940425" cy="2620741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20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24A9" w:rsidRPr="00551FBE">
        <w:rPr>
          <w:lang w:val="es-ES_tradnl"/>
        </w:rPr>
        <w:t>Porcentaje</w:t>
      </w:r>
      <w:r w:rsidR="00B714C1" w:rsidRPr="00551FBE">
        <w:rPr>
          <w:lang w:val="es-ES_tradnl"/>
        </w:rPr>
        <w:t xml:space="preserve"> </w:t>
      </w:r>
      <w:r w:rsidR="00A35375" w:rsidRPr="00551FBE">
        <w:rPr>
          <w:lang w:val="es-ES_tradnl"/>
        </w:rPr>
        <w:t>A</w:t>
      </w:r>
      <w:r w:rsidR="00C87A72" w:rsidRPr="00551FBE">
        <w:rPr>
          <w:lang w:val="es-ES_tradnl"/>
        </w:rPr>
        <w:t>plicado a</w:t>
      </w:r>
      <w:r w:rsidR="00A35375" w:rsidRPr="00551FBE">
        <w:rPr>
          <w:lang w:val="es-ES_tradnl"/>
        </w:rPr>
        <w:t xml:space="preserve"> Cada Dibujo o Modelo A</w:t>
      </w:r>
      <w:r w:rsidR="00B714C1" w:rsidRPr="00551FBE">
        <w:rPr>
          <w:lang w:val="es-ES_tradnl"/>
        </w:rPr>
        <w:t xml:space="preserve">dicional </w:t>
      </w:r>
      <w:r w:rsidR="00A35375" w:rsidRPr="00551FBE">
        <w:rPr>
          <w:lang w:val="es-ES_tradnl"/>
        </w:rPr>
        <w:t>con R</w:t>
      </w:r>
      <w:r w:rsidR="008324A9" w:rsidRPr="00551FBE">
        <w:rPr>
          <w:lang w:val="es-ES_tradnl"/>
        </w:rPr>
        <w:t>especto al</w:t>
      </w:r>
      <w:r w:rsidR="00A35375" w:rsidRPr="00551FBE">
        <w:rPr>
          <w:lang w:val="es-ES_tradnl"/>
        </w:rPr>
        <w:t xml:space="preserve"> Primero en Concepto de Tasa de R</w:t>
      </w:r>
      <w:r w:rsidR="00C87A72" w:rsidRPr="00551FBE">
        <w:rPr>
          <w:lang w:val="es-ES_tradnl"/>
        </w:rPr>
        <w:t>enovación</w:t>
      </w:r>
    </w:p>
    <w:p w14:paraId="636E113A" w14:textId="21905D9D" w:rsidR="00320143" w:rsidRPr="00551FBE" w:rsidRDefault="00320143" w:rsidP="00CC671E">
      <w:pPr>
        <w:pStyle w:val="BodyText"/>
        <w:numPr>
          <w:ilvl w:val="0"/>
          <w:numId w:val="0"/>
        </w:numPr>
        <w:ind w:left="270"/>
        <w:jc w:val="center"/>
        <w:rPr>
          <w:lang w:val="es-ES_tradnl"/>
        </w:rPr>
      </w:pPr>
    </w:p>
    <w:p w14:paraId="14EF2C27" w14:textId="377665DE" w:rsidR="00D9170E" w:rsidRPr="00551FBE" w:rsidRDefault="008324A9" w:rsidP="00CC671E">
      <w:pPr>
        <w:pStyle w:val="ONUMFS"/>
        <w:rPr>
          <w:lang w:val="es-ES_tradnl" w:eastAsia="en-US"/>
        </w:rPr>
      </w:pPr>
      <w:r w:rsidRPr="00551FBE">
        <w:rPr>
          <w:lang w:val="es-ES_tradnl" w:eastAsia="en-US"/>
        </w:rPr>
        <w:t xml:space="preserve">En el Sistema de La Haya, el importe de la </w:t>
      </w:r>
      <w:r w:rsidR="002156DE" w:rsidRPr="00551FBE">
        <w:rPr>
          <w:lang w:val="es-ES_tradnl" w:eastAsia="en-US"/>
        </w:rPr>
        <w:t>tasa de base de renovación</w:t>
      </w:r>
      <w:r w:rsidRPr="00551FBE">
        <w:rPr>
          <w:lang w:val="es-ES_tradnl" w:eastAsia="en-US"/>
        </w:rPr>
        <w:t xml:space="preserve"> del primer dibujo o modelo es de 200 francos suizos</w:t>
      </w:r>
      <w:r w:rsidR="00D51AB1" w:rsidRPr="00551FBE">
        <w:rPr>
          <w:lang w:val="es-ES_tradnl" w:eastAsia="en-US"/>
        </w:rPr>
        <w:t>, mientras que</w:t>
      </w:r>
      <w:r w:rsidRPr="00551FBE">
        <w:rPr>
          <w:lang w:val="es-ES_tradnl" w:eastAsia="en-US"/>
        </w:rPr>
        <w:t xml:space="preserve"> por cada dibujo o modelo adicional que se incluya en el mismo registro internacional se pagan 17 francos suizos. Eso significa que el porcentaje </w:t>
      </w:r>
      <w:r w:rsidR="00D51AB1" w:rsidRPr="00551FBE">
        <w:rPr>
          <w:lang w:val="es-ES_tradnl" w:eastAsia="en-US"/>
        </w:rPr>
        <w:t>que se aplica</w:t>
      </w:r>
      <w:r w:rsidRPr="00551FBE">
        <w:rPr>
          <w:lang w:val="es-ES_tradnl" w:eastAsia="en-US"/>
        </w:rPr>
        <w:t xml:space="preserve"> a cada dibujo o modelo adicional respecto del primero </w:t>
      </w:r>
      <w:r w:rsidR="00C87A72" w:rsidRPr="00551FBE">
        <w:rPr>
          <w:lang w:val="es-ES_tradnl" w:eastAsia="en-US"/>
        </w:rPr>
        <w:t xml:space="preserve">en concepto de tasa de renovación </w:t>
      </w:r>
      <w:r w:rsidRPr="00551FBE">
        <w:rPr>
          <w:lang w:val="es-ES_tradnl" w:eastAsia="en-US"/>
        </w:rPr>
        <w:t>es del 8,5%</w:t>
      </w:r>
      <w:r w:rsidR="001A72E9" w:rsidRPr="00551FBE">
        <w:rPr>
          <w:lang w:val="es-ES_tradnl" w:eastAsia="en-US"/>
        </w:rPr>
        <w:t>.</w:t>
      </w:r>
    </w:p>
    <w:p w14:paraId="21B7D247" w14:textId="5F55D74E" w:rsidR="001C5339" w:rsidRPr="00551FBE" w:rsidRDefault="006E1DBD" w:rsidP="00CC671E">
      <w:pPr>
        <w:pStyle w:val="ONUMFS"/>
        <w:rPr>
          <w:lang w:val="es-ES_tradnl"/>
        </w:rPr>
      </w:pPr>
      <w:r w:rsidRPr="00551FBE">
        <w:rPr>
          <w:lang w:val="es-ES_tradnl" w:eastAsia="en-US"/>
        </w:rPr>
        <w:t>En consonancia con lo anterior</w:t>
      </w:r>
      <w:r w:rsidR="00C87A72" w:rsidRPr="00551FBE">
        <w:rPr>
          <w:lang w:val="es-ES_tradnl" w:eastAsia="en-US"/>
        </w:rPr>
        <w:t>, el análisis procede a comparar el porcentaje aplicable a cada dibujo o modelo adicional en las siete jurisdicciones que tienen una estructura de tasas similar a la del Sistema de La Haya, y el resultado es que el porcentaje medio es del 50,2%,</w:t>
      </w:r>
      <w:r w:rsidR="003D2EDA" w:rsidRPr="00551FBE">
        <w:rPr>
          <w:rStyle w:val="FootnoteReference"/>
          <w:lang w:val="es-ES_tradnl" w:eastAsia="en-US"/>
        </w:rPr>
        <w:footnoteReference w:id="13"/>
      </w:r>
      <w:r w:rsidR="00C87A72" w:rsidRPr="00551FBE">
        <w:rPr>
          <w:lang w:val="es-ES_tradnl" w:eastAsia="en-US"/>
        </w:rPr>
        <w:t xml:space="preserve"> como se muestra en el gráfico siguiente</w:t>
      </w:r>
      <w:r w:rsidR="00ED2235" w:rsidRPr="00551FBE">
        <w:rPr>
          <w:lang w:val="es-ES_tradnl" w:eastAsia="en-US"/>
        </w:rPr>
        <w:t>:</w:t>
      </w:r>
    </w:p>
    <w:p w14:paraId="546C07CF" w14:textId="2284DA8F" w:rsidR="001C5339" w:rsidRPr="00551FBE" w:rsidRDefault="00CF376D" w:rsidP="003A79BF">
      <w:pPr>
        <w:pStyle w:val="ONUME"/>
        <w:numPr>
          <w:ilvl w:val="0"/>
          <w:numId w:val="0"/>
        </w:numPr>
        <w:spacing w:after="60"/>
        <w:jc w:val="center"/>
        <w:rPr>
          <w:lang w:val="es-ES_tradnl"/>
        </w:rPr>
      </w:pPr>
      <w:r w:rsidRPr="00551FBE">
        <w:rPr>
          <w:lang w:val="es-ES_tradnl"/>
        </w:rPr>
        <w:t>Porcentaje Medio Aplicado a Cada Dibujo o M</w:t>
      </w:r>
      <w:r w:rsidR="008324A9" w:rsidRPr="00551FBE">
        <w:rPr>
          <w:lang w:val="es-ES_tradnl"/>
        </w:rPr>
        <w:t>odelo</w:t>
      </w:r>
      <w:r w:rsidRPr="00551FBE">
        <w:rPr>
          <w:lang w:val="es-ES_tradnl"/>
        </w:rPr>
        <w:t xml:space="preserve"> A</w:t>
      </w:r>
      <w:r w:rsidR="008324A9" w:rsidRPr="00551FBE">
        <w:rPr>
          <w:lang w:val="es-ES_tradnl"/>
        </w:rPr>
        <w:t>dicional</w:t>
      </w:r>
      <w:r w:rsidRPr="00551FBE">
        <w:rPr>
          <w:lang w:val="es-ES_tradnl"/>
        </w:rPr>
        <w:t xml:space="preserve"> en Concepto de Tasa de R</w:t>
      </w:r>
      <w:r w:rsidR="00C87A72" w:rsidRPr="00551FBE">
        <w:rPr>
          <w:lang w:val="es-ES_tradnl"/>
        </w:rPr>
        <w:t>enovación</w:t>
      </w:r>
    </w:p>
    <w:p w14:paraId="07C48DB2" w14:textId="5A7163F9" w:rsidR="001C5339" w:rsidRPr="00551FBE" w:rsidRDefault="00CC671E" w:rsidP="00CC671E">
      <w:pPr>
        <w:pStyle w:val="ONUME"/>
        <w:numPr>
          <w:ilvl w:val="0"/>
          <w:numId w:val="0"/>
        </w:numPr>
        <w:spacing w:after="60"/>
        <w:jc w:val="center"/>
        <w:rPr>
          <w:lang w:val="es-ES_tradnl"/>
        </w:rPr>
      </w:pPr>
      <w:r w:rsidRPr="00551FBE">
        <w:rPr>
          <w:noProof/>
          <w:lang w:eastAsia="en-US"/>
        </w:rPr>
        <w:drawing>
          <wp:inline distT="0" distB="0" distL="0" distR="0" wp14:anchorId="6D6B1D20" wp14:editId="59CF688E">
            <wp:extent cx="4549775" cy="27139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775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49CDB" w14:textId="47B73D07" w:rsidR="009555D3" w:rsidRPr="00551FBE" w:rsidRDefault="009555D3" w:rsidP="00CF376D">
      <w:pPr>
        <w:pStyle w:val="Heading1"/>
        <w:spacing w:before="480" w:after="240"/>
        <w:rPr>
          <w:lang w:val="es-ES_tradnl"/>
        </w:rPr>
      </w:pPr>
      <w:r w:rsidRPr="00551FBE">
        <w:rPr>
          <w:lang w:val="es-ES_tradnl"/>
        </w:rPr>
        <w:lastRenderedPageBreak/>
        <w:t>IV.</w:t>
      </w:r>
      <w:r w:rsidRPr="00551FBE">
        <w:rPr>
          <w:lang w:val="es-ES_tradnl"/>
        </w:rPr>
        <w:tab/>
        <w:t>conclusion</w:t>
      </w:r>
      <w:r w:rsidR="008324A9" w:rsidRPr="00551FBE">
        <w:rPr>
          <w:lang w:val="es-ES_tradnl"/>
        </w:rPr>
        <w:t>E</w:t>
      </w:r>
      <w:r w:rsidRPr="00551FBE">
        <w:rPr>
          <w:lang w:val="es-ES_tradnl"/>
        </w:rPr>
        <w:t>s</w:t>
      </w:r>
    </w:p>
    <w:p w14:paraId="5AF26A54" w14:textId="0EC95062" w:rsidR="0016754F" w:rsidRPr="00551FBE" w:rsidRDefault="00040A18" w:rsidP="00CF376D">
      <w:pPr>
        <w:pStyle w:val="ONUMFS"/>
        <w:spacing w:before="120"/>
        <w:rPr>
          <w:lang w:val="es-ES_tradnl"/>
        </w:rPr>
      </w:pPr>
      <w:r w:rsidRPr="00551FBE">
        <w:rPr>
          <w:lang w:val="es-ES_tradnl"/>
        </w:rPr>
        <w:t xml:space="preserve">Tal como señaló el Grupo de Trabajo en su octava reunión, </w:t>
      </w:r>
      <w:r w:rsidR="006E1DBD" w:rsidRPr="00551FBE">
        <w:rPr>
          <w:lang w:val="es-ES_tradnl"/>
        </w:rPr>
        <w:t>el</w:t>
      </w:r>
      <w:r w:rsidRPr="00551FBE">
        <w:rPr>
          <w:lang w:val="es-ES_tradnl"/>
        </w:rPr>
        <w:t xml:space="preserve"> porcentaje del 8,5% </w:t>
      </w:r>
      <w:r w:rsidR="006E1DBD" w:rsidRPr="00551FBE">
        <w:rPr>
          <w:lang w:val="es-ES_tradnl"/>
        </w:rPr>
        <w:t xml:space="preserve">aplicado </w:t>
      </w:r>
      <w:r w:rsidRPr="00551FBE">
        <w:rPr>
          <w:lang w:val="es-ES_tradnl"/>
        </w:rPr>
        <w:t xml:space="preserve">por cada dibujo o modelo adicional respecto de la </w:t>
      </w:r>
      <w:r w:rsidR="002156DE" w:rsidRPr="00551FBE">
        <w:rPr>
          <w:lang w:val="es-ES_tradnl"/>
        </w:rPr>
        <w:t>tasa de base de renovación</w:t>
      </w:r>
      <w:r w:rsidRPr="00551FBE">
        <w:rPr>
          <w:lang w:val="es-ES_tradnl"/>
        </w:rPr>
        <w:t xml:space="preserve"> del primero parece </w:t>
      </w:r>
      <w:r w:rsidR="006E1DBD" w:rsidRPr="00551FBE">
        <w:rPr>
          <w:lang w:val="es-ES_tradnl"/>
        </w:rPr>
        <w:t xml:space="preserve">ser </w:t>
      </w:r>
      <w:r w:rsidRPr="00551FBE">
        <w:rPr>
          <w:lang w:val="es-ES_tradnl"/>
        </w:rPr>
        <w:t>muy inferior a los porcentajes medios vigentes en otros sistemas que admiten múltiples dibujos o modelos y que tienen exactamente la misma estructura de tasas de renovación que el Sistema de La Haya</w:t>
      </w:r>
      <w:r w:rsidR="0016754F" w:rsidRPr="00551FBE">
        <w:rPr>
          <w:lang w:val="es-ES_tradnl" w:eastAsia="en-US"/>
        </w:rPr>
        <w:t>.</w:t>
      </w:r>
    </w:p>
    <w:p w14:paraId="575B5F19" w14:textId="28DAF80E" w:rsidR="00956F67" w:rsidRPr="00551FBE" w:rsidRDefault="009528DC" w:rsidP="00CC671E">
      <w:pPr>
        <w:pStyle w:val="ONUMFS"/>
        <w:spacing w:after="600"/>
        <w:rPr>
          <w:lang w:val="es-ES_tradnl"/>
        </w:rPr>
      </w:pPr>
      <w:r w:rsidRPr="00551FBE">
        <w:rPr>
          <w:lang w:val="es-ES_tradnl" w:eastAsia="en-US"/>
        </w:rPr>
        <w:t xml:space="preserve">Habida cuenta del mandato recibido del Grupo de Trabajo, la Oficina Internacional continuará este estudio con miras a proponer un posible aumento del importe de la </w:t>
      </w:r>
      <w:r w:rsidR="002156DE" w:rsidRPr="00551FBE">
        <w:rPr>
          <w:lang w:val="es-ES_tradnl" w:eastAsia="en-US"/>
        </w:rPr>
        <w:t>tasa de base de renovación</w:t>
      </w:r>
      <w:r w:rsidRPr="00551FBE">
        <w:rPr>
          <w:lang w:val="es-ES_tradnl" w:eastAsia="en-US"/>
        </w:rPr>
        <w:t xml:space="preserve"> por cada dibujo o modelo adicional, para </w:t>
      </w:r>
      <w:r w:rsidR="00CE7097" w:rsidRPr="00551FBE">
        <w:rPr>
          <w:lang w:val="es-ES_tradnl" w:eastAsia="en-US"/>
        </w:rPr>
        <w:t>su examen en una futura reunión</w:t>
      </w:r>
      <w:r w:rsidR="00AF12DD" w:rsidRPr="00551FBE">
        <w:rPr>
          <w:lang w:val="es-ES_tradnl" w:eastAsia="en-US"/>
        </w:rPr>
        <w:t>.</w:t>
      </w:r>
    </w:p>
    <w:p w14:paraId="460510ED" w14:textId="622B0760" w:rsidR="00DC73BE" w:rsidRPr="00CC671E" w:rsidRDefault="00DC73BE" w:rsidP="00CC671E">
      <w:pPr>
        <w:pStyle w:val="Endofdocument-Annex"/>
        <w:rPr>
          <w:lang w:val="es-ES_tradnl"/>
        </w:rPr>
      </w:pPr>
      <w:r w:rsidRPr="00551FBE">
        <w:rPr>
          <w:lang w:val="es-ES_tradnl"/>
        </w:rPr>
        <w:t>[</w:t>
      </w:r>
      <w:r w:rsidR="009528DC" w:rsidRPr="00551FBE">
        <w:rPr>
          <w:lang w:val="es-ES_tradnl"/>
        </w:rPr>
        <w:t>Fin del documento</w:t>
      </w:r>
      <w:r w:rsidRPr="00551FBE">
        <w:rPr>
          <w:lang w:val="es-ES_tradnl"/>
        </w:rPr>
        <w:t>]</w:t>
      </w:r>
      <w:bookmarkStart w:id="4" w:name="_GoBack"/>
      <w:bookmarkEnd w:id="4"/>
    </w:p>
    <w:sectPr w:rsidR="00DC73BE" w:rsidRPr="00CC671E" w:rsidSect="00157CB8">
      <w:headerReference w:type="default" r:id="rId12"/>
      <w:endnotePr>
        <w:numFmt w:val="decimal"/>
      </w:endnotePr>
      <w:pgSz w:w="11907" w:h="16840" w:code="9"/>
      <w:pgMar w:top="567" w:right="1134" w:bottom="56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93875" w14:textId="77777777" w:rsidR="00A03D42" w:rsidRDefault="00A03D42">
      <w:r>
        <w:separator/>
      </w:r>
    </w:p>
  </w:endnote>
  <w:endnote w:type="continuationSeparator" w:id="0">
    <w:p w14:paraId="135C3459" w14:textId="77777777" w:rsidR="00A03D42" w:rsidRDefault="00A03D42" w:rsidP="003B38C1">
      <w:r>
        <w:separator/>
      </w:r>
    </w:p>
    <w:p w14:paraId="5350ED82" w14:textId="77777777" w:rsidR="00A03D42" w:rsidRPr="003B38C1" w:rsidRDefault="00A03D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F486FD7" w14:textId="77777777" w:rsidR="00A03D42" w:rsidRPr="003B38C1" w:rsidRDefault="00A03D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64364" w14:textId="77777777" w:rsidR="00A03D42" w:rsidRDefault="00A03D42">
      <w:r>
        <w:separator/>
      </w:r>
    </w:p>
  </w:footnote>
  <w:footnote w:type="continuationSeparator" w:id="0">
    <w:p w14:paraId="1041E907" w14:textId="77777777" w:rsidR="00A03D42" w:rsidRDefault="00A03D42" w:rsidP="008B60B2">
      <w:r>
        <w:separator/>
      </w:r>
    </w:p>
    <w:p w14:paraId="4B956458" w14:textId="77777777" w:rsidR="00A03D42" w:rsidRPr="00ED77FB" w:rsidRDefault="00A03D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0F6D5C9" w14:textId="77777777" w:rsidR="00A03D42" w:rsidRPr="00ED77FB" w:rsidRDefault="00A03D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0F995700" w14:textId="6D6EA056" w:rsidR="00E853E5" w:rsidRPr="00CC671E" w:rsidRDefault="00E853E5">
      <w:pPr>
        <w:pStyle w:val="FootnoteText"/>
        <w:rPr>
          <w:lang w:val="es-ES_tradnl"/>
        </w:rPr>
      </w:pPr>
      <w:r w:rsidRPr="00CC671E">
        <w:rPr>
          <w:rStyle w:val="FootnoteReference"/>
          <w:lang w:val="es-ES_tradnl"/>
        </w:rPr>
        <w:footnoteRef/>
      </w:r>
      <w:r w:rsidRPr="00CC671E">
        <w:rPr>
          <w:lang w:val="es-ES_tradnl"/>
        </w:rPr>
        <w:t xml:space="preserve"> </w:t>
      </w:r>
      <w:r w:rsidRPr="00CC671E">
        <w:rPr>
          <w:lang w:val="es-ES_tradnl"/>
        </w:rPr>
        <w:tab/>
      </w:r>
      <w:r w:rsidR="001F602E" w:rsidRPr="00CC671E">
        <w:rPr>
          <w:lang w:val="es-ES_tradnl"/>
        </w:rPr>
        <w:t>Véase el documento</w:t>
      </w:r>
      <w:r w:rsidRPr="00CC671E">
        <w:rPr>
          <w:lang w:val="es-ES_tradnl"/>
        </w:rPr>
        <w:t xml:space="preserve"> H/LD/WG/8/8 “</w:t>
      </w:r>
      <w:r w:rsidR="001F602E" w:rsidRPr="00CC671E">
        <w:rPr>
          <w:lang w:val="es-ES_tradnl"/>
        </w:rPr>
        <w:t>Resumen de la Presidencia</w:t>
      </w:r>
      <w:r w:rsidRPr="00CC671E">
        <w:rPr>
          <w:lang w:val="es-ES_tradnl"/>
        </w:rPr>
        <w:t xml:space="preserve">”, </w:t>
      </w:r>
      <w:r w:rsidR="001F602E" w:rsidRPr="00CC671E">
        <w:rPr>
          <w:lang w:val="es-ES_tradnl"/>
        </w:rPr>
        <w:t>párrafo</w:t>
      </w:r>
      <w:r w:rsidRPr="00CC671E">
        <w:rPr>
          <w:lang w:val="es-ES_tradnl"/>
        </w:rPr>
        <w:t xml:space="preserve"> 27.</w:t>
      </w:r>
    </w:p>
  </w:footnote>
  <w:footnote w:id="3">
    <w:p w14:paraId="3D554074" w14:textId="08580421" w:rsidR="00E853E5" w:rsidRPr="00CC671E" w:rsidRDefault="00E853E5" w:rsidP="004F0E54">
      <w:pPr>
        <w:pStyle w:val="FootnoteText"/>
        <w:ind w:left="567" w:hanging="567"/>
        <w:rPr>
          <w:szCs w:val="18"/>
          <w:lang w:val="es-ES_tradnl"/>
        </w:rPr>
      </w:pPr>
      <w:r w:rsidRPr="00CC671E">
        <w:rPr>
          <w:rStyle w:val="FootnoteReference"/>
          <w:szCs w:val="18"/>
          <w:lang w:val="es-ES_tradnl"/>
        </w:rPr>
        <w:footnoteRef/>
      </w:r>
      <w:r w:rsidRPr="00CC671E">
        <w:rPr>
          <w:szCs w:val="18"/>
          <w:lang w:val="es-ES_tradnl"/>
        </w:rPr>
        <w:tab/>
      </w:r>
      <w:r w:rsidR="001B1278" w:rsidRPr="00CC671E">
        <w:rPr>
          <w:szCs w:val="18"/>
          <w:lang w:val="es-ES_tradnl"/>
        </w:rPr>
        <w:t>Con arreglo al informe mensual interno proporcionado por la Sección de Ingresos de la División de Finanzas</w:t>
      </w:r>
      <w:r w:rsidRPr="00CC671E">
        <w:rPr>
          <w:szCs w:val="18"/>
          <w:lang w:val="es-ES_tradnl"/>
        </w:rPr>
        <w:t>.</w:t>
      </w:r>
    </w:p>
  </w:footnote>
  <w:footnote w:id="4">
    <w:p w14:paraId="174A2165" w14:textId="2FD783F5" w:rsidR="00E853E5" w:rsidRPr="00CC671E" w:rsidRDefault="00E853E5" w:rsidP="006A555E">
      <w:pPr>
        <w:pStyle w:val="FootnoteText"/>
        <w:rPr>
          <w:szCs w:val="18"/>
          <w:lang w:val="es-ES_tradnl"/>
        </w:rPr>
      </w:pPr>
      <w:r w:rsidRPr="00CC671E">
        <w:rPr>
          <w:rStyle w:val="FootnoteReference"/>
          <w:szCs w:val="18"/>
          <w:lang w:val="es-ES_tradnl"/>
        </w:rPr>
        <w:footnoteRef/>
      </w:r>
      <w:r w:rsidRPr="00CC671E">
        <w:rPr>
          <w:szCs w:val="18"/>
          <w:lang w:val="es-ES_tradnl"/>
        </w:rPr>
        <w:tab/>
      </w:r>
      <w:r w:rsidR="006A555E" w:rsidRPr="00CC671E">
        <w:rPr>
          <w:szCs w:val="18"/>
          <w:lang w:val="es-ES_tradnl"/>
        </w:rPr>
        <w:t>Las cifras correspondientes a las solicitudes internacionales se basan en los registros internacionales con fecha de inscripción en 2019.</w:t>
      </w:r>
      <w:r w:rsidR="000435CB" w:rsidRPr="00CC671E">
        <w:rPr>
          <w:szCs w:val="18"/>
          <w:lang w:val="es-ES_tradnl"/>
        </w:rPr>
        <w:t xml:space="preserve"> </w:t>
      </w:r>
      <w:r w:rsidR="006A555E" w:rsidRPr="00CC671E">
        <w:rPr>
          <w:szCs w:val="18"/>
          <w:lang w:val="es-ES_tradnl"/>
        </w:rPr>
        <w:t xml:space="preserve">Análogamente, los casos de renovación y </w:t>
      </w:r>
      <w:r w:rsidR="00415A23">
        <w:rPr>
          <w:szCs w:val="18"/>
          <w:lang w:val="es-ES_tradnl"/>
        </w:rPr>
        <w:t xml:space="preserve">de </w:t>
      </w:r>
      <w:r w:rsidR="006A555E" w:rsidRPr="00CC671E">
        <w:rPr>
          <w:szCs w:val="18"/>
          <w:lang w:val="es-ES_tradnl"/>
        </w:rPr>
        <w:t>cambio se contabilizan sobre la base de los casos</w:t>
      </w:r>
      <w:r w:rsidR="00281EB4" w:rsidRPr="00CC671E">
        <w:rPr>
          <w:szCs w:val="18"/>
          <w:lang w:val="es-ES_tradnl"/>
        </w:rPr>
        <w:t xml:space="preserve"> registrados</w:t>
      </w:r>
      <w:r w:rsidRPr="00CC671E">
        <w:rPr>
          <w:szCs w:val="18"/>
          <w:lang w:val="es-ES_tradnl"/>
        </w:rPr>
        <w:t>.</w:t>
      </w:r>
    </w:p>
  </w:footnote>
  <w:footnote w:id="5">
    <w:p w14:paraId="11EFDCD6" w14:textId="4558CB04" w:rsidR="00E853E5" w:rsidRPr="00CC671E" w:rsidRDefault="00E853E5" w:rsidP="006827C2">
      <w:pPr>
        <w:pStyle w:val="FootnoteText"/>
        <w:ind w:left="567" w:hanging="567"/>
        <w:rPr>
          <w:szCs w:val="18"/>
          <w:lang w:val="es-ES_tradnl"/>
        </w:rPr>
      </w:pPr>
      <w:r w:rsidRPr="00CC671E">
        <w:rPr>
          <w:rStyle w:val="FootnoteReference"/>
          <w:szCs w:val="18"/>
          <w:lang w:val="es-ES_tradnl"/>
        </w:rPr>
        <w:footnoteRef/>
      </w:r>
      <w:r w:rsidRPr="00CC671E">
        <w:rPr>
          <w:szCs w:val="18"/>
          <w:lang w:val="es-ES_tradnl"/>
        </w:rPr>
        <w:tab/>
      </w:r>
      <w:r w:rsidR="00281EB4" w:rsidRPr="00CC671E">
        <w:rPr>
          <w:szCs w:val="18"/>
          <w:lang w:val="es-ES_tradnl"/>
        </w:rPr>
        <w:t>En miles de francos suizos</w:t>
      </w:r>
      <w:r w:rsidRPr="00CC671E">
        <w:rPr>
          <w:szCs w:val="18"/>
          <w:lang w:val="es-ES_tradnl"/>
        </w:rPr>
        <w:t>.</w:t>
      </w:r>
    </w:p>
  </w:footnote>
  <w:footnote w:id="6">
    <w:p w14:paraId="3C77EA9F" w14:textId="7A1B2D58" w:rsidR="00E853E5" w:rsidRPr="00E841DE" w:rsidRDefault="00E853E5">
      <w:pPr>
        <w:pStyle w:val="FootnoteText"/>
        <w:rPr>
          <w:lang w:val="es-ES"/>
        </w:rPr>
      </w:pPr>
      <w:r w:rsidRPr="00CC671E">
        <w:rPr>
          <w:rStyle w:val="FootnoteReference"/>
          <w:lang w:val="es-ES_tradnl"/>
        </w:rPr>
        <w:footnoteRef/>
      </w:r>
      <w:r w:rsidRPr="00CC671E">
        <w:rPr>
          <w:lang w:val="es-ES_tradnl"/>
        </w:rPr>
        <w:t xml:space="preserve"> </w:t>
      </w:r>
      <w:r w:rsidRPr="00CC671E">
        <w:rPr>
          <w:lang w:val="es-ES_tradnl"/>
        </w:rPr>
        <w:tab/>
      </w:r>
      <w:r w:rsidR="00281EB4" w:rsidRPr="00CC671E">
        <w:rPr>
          <w:szCs w:val="18"/>
          <w:lang w:val="es-ES_tradnl"/>
        </w:rPr>
        <w:t xml:space="preserve">Este importe comprende la sobretasa percibida de conformidad con la Regla </w:t>
      </w:r>
      <w:proofErr w:type="gramStart"/>
      <w:r w:rsidR="00281EB4" w:rsidRPr="00CC671E">
        <w:rPr>
          <w:szCs w:val="18"/>
          <w:lang w:val="es-ES_tradnl"/>
        </w:rPr>
        <w:t>24.1)c</w:t>
      </w:r>
      <w:proofErr w:type="gramEnd"/>
      <w:r w:rsidR="00281EB4" w:rsidRPr="00CC671E">
        <w:rPr>
          <w:szCs w:val="18"/>
          <w:lang w:val="es-ES_tradnl"/>
        </w:rPr>
        <w:t>) por una renovación tardía</w:t>
      </w:r>
      <w:r w:rsidRPr="00CC671E">
        <w:rPr>
          <w:szCs w:val="18"/>
          <w:lang w:val="es-ES_tradnl"/>
        </w:rPr>
        <w:t>.</w:t>
      </w:r>
    </w:p>
  </w:footnote>
  <w:footnote w:id="7">
    <w:p w14:paraId="52A9F27A" w14:textId="4D65CFF3" w:rsidR="00E853E5" w:rsidRPr="005B7D42" w:rsidRDefault="00E853E5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5B7D42">
        <w:rPr>
          <w:lang w:val="es-ES"/>
        </w:rPr>
        <w:t xml:space="preserve"> </w:t>
      </w:r>
      <w:r w:rsidRPr="005B7D42">
        <w:rPr>
          <w:lang w:val="es-ES"/>
        </w:rPr>
        <w:tab/>
      </w:r>
      <w:r w:rsidR="007F55C4">
        <w:rPr>
          <w:lang w:val="es-ES"/>
        </w:rPr>
        <w:t>P</w:t>
      </w:r>
      <w:r w:rsidR="005B7D42" w:rsidRPr="005B7D42">
        <w:rPr>
          <w:lang w:val="es-ES"/>
        </w:rPr>
        <w:t>or ejemplo, el Jap</w:t>
      </w:r>
      <w:r w:rsidR="005B7D42">
        <w:rPr>
          <w:lang w:val="es-ES"/>
        </w:rPr>
        <w:t>ón, Noruega, la República de Corea y</w:t>
      </w:r>
      <w:r w:rsidR="005B7D42" w:rsidRPr="005B7D42">
        <w:rPr>
          <w:lang w:val="es-ES"/>
        </w:rPr>
        <w:t xml:space="preserve"> la Unión Europea</w:t>
      </w:r>
      <w:r w:rsidRPr="005B7D42">
        <w:rPr>
          <w:lang w:val="es-ES"/>
        </w:rPr>
        <w:t>.</w:t>
      </w:r>
    </w:p>
  </w:footnote>
  <w:footnote w:id="8">
    <w:p w14:paraId="0A8D1498" w14:textId="1A0EF575" w:rsidR="00E853E5" w:rsidRPr="005B7D42" w:rsidRDefault="00E853E5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5B7D42">
        <w:rPr>
          <w:lang w:val="es-ES"/>
        </w:rPr>
        <w:t xml:space="preserve"> </w:t>
      </w:r>
      <w:r w:rsidRPr="005B7D42">
        <w:rPr>
          <w:lang w:val="es-ES"/>
        </w:rPr>
        <w:tab/>
      </w:r>
      <w:r w:rsidR="007F55C4">
        <w:rPr>
          <w:lang w:val="es-ES"/>
        </w:rPr>
        <w:t>P</w:t>
      </w:r>
      <w:r w:rsidR="005B7D42" w:rsidRPr="005B7D42">
        <w:rPr>
          <w:lang w:val="es-ES"/>
        </w:rPr>
        <w:t>or ejemplo</w:t>
      </w:r>
      <w:r w:rsidR="005B7D42">
        <w:rPr>
          <w:lang w:val="es-ES"/>
        </w:rPr>
        <w:t>,</w:t>
      </w:r>
      <w:r w:rsidR="005B7D42" w:rsidRPr="005B7D42">
        <w:rPr>
          <w:lang w:val="es-ES"/>
        </w:rPr>
        <w:t xml:space="preserve"> </w:t>
      </w:r>
      <w:r w:rsidRPr="005B7D42">
        <w:rPr>
          <w:lang w:val="es-ES"/>
        </w:rPr>
        <w:t>D</w:t>
      </w:r>
      <w:r w:rsidR="005B7D42" w:rsidRPr="005B7D42">
        <w:rPr>
          <w:lang w:val="es-ES"/>
        </w:rPr>
        <w:t>inamarca, Suecia, Suiza y Turqu</w:t>
      </w:r>
      <w:r w:rsidR="005B7D42">
        <w:rPr>
          <w:lang w:val="es-ES"/>
        </w:rPr>
        <w:t>ía</w:t>
      </w:r>
      <w:r w:rsidRPr="005B7D42">
        <w:rPr>
          <w:lang w:val="es-ES"/>
        </w:rPr>
        <w:t xml:space="preserve">. </w:t>
      </w:r>
    </w:p>
  </w:footnote>
  <w:footnote w:id="9">
    <w:p w14:paraId="29592ABD" w14:textId="56F89628" w:rsidR="00E853E5" w:rsidRPr="005B7D42" w:rsidRDefault="00E853E5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5B7D42">
        <w:rPr>
          <w:lang w:val="es-ES"/>
        </w:rPr>
        <w:t xml:space="preserve"> </w:t>
      </w:r>
      <w:r w:rsidRPr="005B7D42">
        <w:rPr>
          <w:lang w:val="es-ES"/>
        </w:rPr>
        <w:tab/>
      </w:r>
      <w:r w:rsidR="007F55C4">
        <w:rPr>
          <w:lang w:val="es-ES"/>
        </w:rPr>
        <w:t>P</w:t>
      </w:r>
      <w:r w:rsidR="005B7D42" w:rsidRPr="005B7D42">
        <w:rPr>
          <w:lang w:val="es-ES"/>
        </w:rPr>
        <w:t>or ejemplo, Francia</w:t>
      </w:r>
      <w:r w:rsidRPr="005B7D42">
        <w:rPr>
          <w:lang w:val="es-ES"/>
        </w:rPr>
        <w:t>.</w:t>
      </w:r>
    </w:p>
  </w:footnote>
  <w:footnote w:id="10">
    <w:p w14:paraId="0194022D" w14:textId="50DCD257" w:rsidR="00E853E5" w:rsidRPr="005B7D42" w:rsidRDefault="00E853E5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5B7D42">
        <w:rPr>
          <w:lang w:val="es-ES"/>
        </w:rPr>
        <w:t xml:space="preserve"> </w:t>
      </w:r>
      <w:r w:rsidRPr="005B7D42">
        <w:rPr>
          <w:lang w:val="es-ES"/>
        </w:rPr>
        <w:tab/>
      </w:r>
      <w:r w:rsidR="007F55C4">
        <w:rPr>
          <w:lang w:val="es-ES"/>
        </w:rPr>
        <w:t>P</w:t>
      </w:r>
      <w:r w:rsidR="005B7D42" w:rsidRPr="00214E09">
        <w:rPr>
          <w:lang w:val="es-ES"/>
        </w:rPr>
        <w:t>or ejemplo, España</w:t>
      </w:r>
      <w:r w:rsidR="007F55C4">
        <w:rPr>
          <w:lang w:val="es-ES"/>
        </w:rPr>
        <w:t xml:space="preserve"> y </w:t>
      </w:r>
      <w:r w:rsidR="007F55C4" w:rsidRPr="00214E09">
        <w:rPr>
          <w:lang w:val="es-ES"/>
        </w:rPr>
        <w:t>Marruecos</w:t>
      </w:r>
      <w:r w:rsidRPr="005B7D42">
        <w:rPr>
          <w:lang w:val="es-ES"/>
        </w:rPr>
        <w:t>.</w:t>
      </w:r>
    </w:p>
  </w:footnote>
  <w:footnote w:id="11">
    <w:p w14:paraId="316C2A4E" w14:textId="582E0138" w:rsidR="00B714C1" w:rsidRPr="00214E09" w:rsidRDefault="00B714C1" w:rsidP="00B714C1">
      <w:pPr>
        <w:pStyle w:val="FootnoteText"/>
        <w:rPr>
          <w:szCs w:val="18"/>
          <w:lang w:val="es-ES"/>
        </w:rPr>
      </w:pPr>
      <w:r w:rsidRPr="006B5E1F">
        <w:rPr>
          <w:rStyle w:val="FootnoteReference"/>
          <w:szCs w:val="18"/>
        </w:rPr>
        <w:footnoteRef/>
      </w:r>
      <w:r w:rsidRPr="00214E09">
        <w:rPr>
          <w:szCs w:val="18"/>
          <w:lang w:val="es-ES"/>
        </w:rPr>
        <w:tab/>
      </w:r>
      <w:r w:rsidRPr="00214E09">
        <w:rPr>
          <w:lang w:val="es-ES"/>
        </w:rPr>
        <w:t>Esas jurisdicciones son las siguientes</w:t>
      </w:r>
      <w:r w:rsidRPr="00214E09">
        <w:rPr>
          <w:szCs w:val="18"/>
          <w:lang w:val="es-ES"/>
        </w:rPr>
        <w:t xml:space="preserve">: </w:t>
      </w:r>
      <w:r>
        <w:rPr>
          <w:szCs w:val="18"/>
          <w:lang w:val="es-ES"/>
        </w:rPr>
        <w:t xml:space="preserve">Alemania, </w:t>
      </w:r>
      <w:r w:rsidRPr="00214E09">
        <w:rPr>
          <w:szCs w:val="18"/>
          <w:lang w:val="es-ES"/>
        </w:rPr>
        <w:t>Australia, Austria, Benelux, Chipre, D</w:t>
      </w:r>
      <w:r>
        <w:rPr>
          <w:szCs w:val="18"/>
          <w:lang w:val="es-ES"/>
        </w:rPr>
        <w:t>inamarca, España</w:t>
      </w:r>
      <w:r w:rsidRPr="00214E09">
        <w:rPr>
          <w:szCs w:val="18"/>
          <w:lang w:val="es-ES"/>
        </w:rPr>
        <w:t xml:space="preserve">, </w:t>
      </w:r>
      <w:r>
        <w:rPr>
          <w:szCs w:val="18"/>
          <w:lang w:val="es-ES"/>
        </w:rPr>
        <w:t xml:space="preserve">Italia, Mónaco, Noruega, </w:t>
      </w:r>
      <w:r w:rsidRPr="00214E09">
        <w:rPr>
          <w:szCs w:val="18"/>
          <w:lang w:val="es-ES"/>
        </w:rPr>
        <w:t xml:space="preserve">República Checa, </w:t>
      </w:r>
      <w:r>
        <w:rPr>
          <w:szCs w:val="18"/>
          <w:lang w:val="es-ES"/>
        </w:rPr>
        <w:t>República de Corea</w:t>
      </w:r>
      <w:r w:rsidRPr="00214E09">
        <w:rPr>
          <w:szCs w:val="18"/>
          <w:lang w:val="es-ES"/>
        </w:rPr>
        <w:t>, Serbia, Singap</w:t>
      </w:r>
      <w:r>
        <w:rPr>
          <w:szCs w:val="18"/>
          <w:lang w:val="es-ES"/>
        </w:rPr>
        <w:t>ur</w:t>
      </w:r>
      <w:r w:rsidRPr="00214E09">
        <w:rPr>
          <w:szCs w:val="18"/>
          <w:lang w:val="es-ES"/>
        </w:rPr>
        <w:t>, S</w:t>
      </w:r>
      <w:r>
        <w:rPr>
          <w:szCs w:val="18"/>
          <w:lang w:val="es-ES"/>
        </w:rPr>
        <w:t>uecia, Turquía, Reino Unido y</w:t>
      </w:r>
      <w:r w:rsidR="007F55C4">
        <w:rPr>
          <w:szCs w:val="18"/>
          <w:lang w:val="es-ES"/>
        </w:rPr>
        <w:t> </w:t>
      </w:r>
      <w:r>
        <w:rPr>
          <w:szCs w:val="18"/>
          <w:lang w:val="es-ES"/>
        </w:rPr>
        <w:t>Unión Europea.</w:t>
      </w:r>
    </w:p>
  </w:footnote>
  <w:footnote w:id="12">
    <w:p w14:paraId="51F8BB40" w14:textId="3ED32BA5" w:rsidR="00E853E5" w:rsidRPr="002A27F8" w:rsidRDefault="00E853E5" w:rsidP="00910B78">
      <w:pPr>
        <w:pStyle w:val="FootnoteText"/>
        <w:rPr>
          <w:szCs w:val="18"/>
          <w:lang w:val="es-ES"/>
        </w:rPr>
      </w:pPr>
      <w:r w:rsidRPr="006B5E1F">
        <w:rPr>
          <w:rStyle w:val="FootnoteReference"/>
          <w:szCs w:val="18"/>
        </w:rPr>
        <w:footnoteRef/>
      </w:r>
      <w:r w:rsidRPr="002A27F8">
        <w:rPr>
          <w:szCs w:val="18"/>
          <w:lang w:val="es-ES"/>
        </w:rPr>
        <w:tab/>
      </w:r>
      <w:r w:rsidR="002A27F8" w:rsidRPr="002A27F8">
        <w:rPr>
          <w:szCs w:val="18"/>
          <w:lang w:val="es-ES"/>
        </w:rPr>
        <w:t xml:space="preserve">Los datos se han obtenido en los sitios web de las Oficinas o en la página de WIPO </w:t>
      </w:r>
      <w:proofErr w:type="spellStart"/>
      <w:r w:rsidR="002A27F8" w:rsidRPr="002A27F8">
        <w:rPr>
          <w:szCs w:val="18"/>
          <w:lang w:val="es-ES"/>
        </w:rPr>
        <w:t>Lex</w:t>
      </w:r>
      <w:proofErr w:type="spellEnd"/>
      <w:r w:rsidR="002A27F8" w:rsidRPr="002A27F8">
        <w:rPr>
          <w:szCs w:val="18"/>
          <w:lang w:val="es-ES"/>
        </w:rPr>
        <w:t xml:space="preserve"> </w:t>
      </w:r>
      <w:r w:rsidRPr="002A27F8">
        <w:rPr>
          <w:szCs w:val="18"/>
          <w:lang w:val="es-ES"/>
        </w:rPr>
        <w:t>(</w:t>
      </w:r>
      <w:r w:rsidR="002A27F8">
        <w:rPr>
          <w:szCs w:val="18"/>
          <w:lang w:val="es-ES"/>
        </w:rPr>
        <w:t>septiembre de</w:t>
      </w:r>
      <w:r w:rsidRPr="002A27F8">
        <w:rPr>
          <w:szCs w:val="18"/>
          <w:lang w:val="es-ES"/>
        </w:rPr>
        <w:t> 2020).</w:t>
      </w:r>
      <w:r w:rsidR="003A4DF4" w:rsidRPr="002A27F8">
        <w:rPr>
          <w:szCs w:val="18"/>
          <w:lang w:val="es-ES"/>
        </w:rPr>
        <w:t xml:space="preserve"> </w:t>
      </w:r>
      <w:r w:rsidR="002A27F8" w:rsidRPr="002A27F8">
        <w:rPr>
          <w:szCs w:val="18"/>
          <w:lang w:val="es-ES"/>
        </w:rPr>
        <w:t xml:space="preserve">Salvo en el caso de la República de Corea, las inscripciones </w:t>
      </w:r>
      <w:r w:rsidR="00D51AB1" w:rsidRPr="002A27F8">
        <w:rPr>
          <w:szCs w:val="18"/>
          <w:lang w:val="es-ES"/>
        </w:rPr>
        <w:t>se</w:t>
      </w:r>
      <w:r w:rsidR="00D51AB1">
        <w:rPr>
          <w:szCs w:val="18"/>
          <w:lang w:val="es-ES"/>
        </w:rPr>
        <w:t xml:space="preserve"> </w:t>
      </w:r>
      <w:r w:rsidR="002A27F8" w:rsidRPr="002A27F8">
        <w:rPr>
          <w:szCs w:val="18"/>
          <w:lang w:val="es-ES"/>
        </w:rPr>
        <w:t>pueden renovar cada cinco años.</w:t>
      </w:r>
      <w:r w:rsidRPr="002A27F8">
        <w:rPr>
          <w:szCs w:val="18"/>
          <w:lang w:val="es-ES"/>
        </w:rPr>
        <w:t xml:space="preserve"> </w:t>
      </w:r>
    </w:p>
  </w:footnote>
  <w:footnote w:id="13">
    <w:p w14:paraId="03604B44" w14:textId="739A1A97" w:rsidR="003D2EDA" w:rsidRPr="003D2EDA" w:rsidRDefault="003D2EDA" w:rsidP="003D2EDA">
      <w:pPr>
        <w:pStyle w:val="FootnoteText"/>
        <w:rPr>
          <w:rFonts w:eastAsiaTheme="minorEastAsia"/>
          <w:lang w:val="es-ES" w:eastAsia="ja-JP"/>
        </w:rPr>
      </w:pPr>
      <w:r>
        <w:rPr>
          <w:rStyle w:val="FootnoteReference"/>
        </w:rPr>
        <w:footnoteRef/>
      </w:r>
      <w:r w:rsidRPr="003D2EDA">
        <w:rPr>
          <w:lang w:val="es-ES"/>
        </w:rPr>
        <w:t xml:space="preserve"> </w:t>
      </w:r>
      <w:r w:rsidRPr="003D2EDA">
        <w:rPr>
          <w:rFonts w:eastAsiaTheme="minorEastAsia"/>
          <w:lang w:val="es-ES" w:eastAsia="ja-JP"/>
        </w:rPr>
        <w:tab/>
        <w:t xml:space="preserve">En el caso de Noruega, el importe de la tasa de renovación aumenta de forma gradual </w:t>
      </w:r>
      <w:r>
        <w:rPr>
          <w:rFonts w:eastAsiaTheme="minorEastAsia"/>
          <w:lang w:val="es-ES" w:eastAsia="ja-JP"/>
        </w:rPr>
        <w:t xml:space="preserve">y </w:t>
      </w:r>
      <w:r w:rsidRPr="003D2EDA">
        <w:rPr>
          <w:rFonts w:eastAsiaTheme="minorEastAsia"/>
          <w:lang w:val="es-ES" w:eastAsia="ja-JP"/>
        </w:rPr>
        <w:t xml:space="preserve">con cada renovación únicamente con respecto al primer dibujo o modelo, y </w:t>
      </w:r>
      <w:r>
        <w:rPr>
          <w:rFonts w:eastAsiaTheme="minorEastAsia"/>
          <w:lang w:val="es-ES" w:eastAsia="ja-JP"/>
        </w:rPr>
        <w:t xml:space="preserve">el importe de la tasa aplicable </w:t>
      </w:r>
      <w:r w:rsidRPr="003D2EDA">
        <w:rPr>
          <w:rFonts w:eastAsiaTheme="minorEastAsia"/>
          <w:lang w:val="es-ES" w:eastAsia="ja-JP"/>
        </w:rPr>
        <w:t>a cada dibu</w:t>
      </w:r>
      <w:r>
        <w:rPr>
          <w:rFonts w:eastAsiaTheme="minorEastAsia"/>
          <w:lang w:val="es-ES" w:eastAsia="ja-JP"/>
        </w:rPr>
        <w:t>jo o modelo adicional no varía.</w:t>
      </w:r>
      <w:r w:rsidRPr="003D2EDA">
        <w:rPr>
          <w:rFonts w:eastAsiaTheme="minorEastAsia"/>
          <w:lang w:val="es-ES" w:eastAsia="ja-JP"/>
        </w:rPr>
        <w:t xml:space="preserve"> Por lo tanto, se utilizan los importes aplicables en la primera renovación (del 6.º al 10.º año) a efectos de comparación.</w:t>
      </w:r>
      <w:r w:rsidR="000435CB">
        <w:rPr>
          <w:rFonts w:eastAsiaTheme="minorEastAsia"/>
          <w:lang w:val="es-ES" w:eastAsia="ja-JP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55C42" w14:textId="77777777" w:rsidR="00CC671E" w:rsidRPr="008D6629" w:rsidRDefault="00CC671E" w:rsidP="00CC671E">
    <w:pPr>
      <w:pStyle w:val="Header"/>
      <w:jc w:val="right"/>
      <w:rPr>
        <w:lang w:val="pt-BR"/>
      </w:rPr>
    </w:pPr>
    <w:r w:rsidRPr="008D6629">
      <w:rPr>
        <w:lang w:val="pt-BR"/>
      </w:rPr>
      <w:t>H/LD/WG/9/INF/1</w:t>
    </w:r>
  </w:p>
  <w:p w14:paraId="2920DFCD" w14:textId="035700BD" w:rsidR="00CC671E" w:rsidRPr="008D6629" w:rsidRDefault="00CC671E">
    <w:pPr>
      <w:pStyle w:val="Header"/>
      <w:jc w:val="right"/>
      <w:rPr>
        <w:lang w:val="pt-BR"/>
      </w:rPr>
    </w:pPr>
    <w:r w:rsidRPr="008D6629">
      <w:rPr>
        <w:lang w:val="pt-BR"/>
      </w:rPr>
      <w:t xml:space="preserve">página </w:t>
    </w:r>
    <w:sdt>
      <w:sdtPr>
        <w:rPr>
          <w:lang w:val="es-ES_tradnl"/>
        </w:rPr>
        <w:id w:val="-7399375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C671E">
          <w:rPr>
            <w:lang w:val="es-ES_tradnl"/>
          </w:rPr>
          <w:fldChar w:fldCharType="begin"/>
        </w:r>
        <w:r w:rsidRPr="008D6629">
          <w:rPr>
            <w:lang w:val="pt-BR"/>
          </w:rPr>
          <w:instrText xml:space="preserve"> PAGE   \* MERGEFORMAT </w:instrText>
        </w:r>
        <w:r w:rsidRPr="00CC671E">
          <w:rPr>
            <w:lang w:val="es-ES_tradnl"/>
          </w:rPr>
          <w:fldChar w:fldCharType="separate"/>
        </w:r>
        <w:r w:rsidR="00BD614F">
          <w:rPr>
            <w:noProof/>
            <w:lang w:val="pt-BR"/>
          </w:rPr>
          <w:t>5</w:t>
        </w:r>
        <w:r w:rsidRPr="00CC671E">
          <w:rPr>
            <w:noProof/>
            <w:lang w:val="es-ES_tradnl"/>
          </w:rPr>
          <w:fldChar w:fldCharType="end"/>
        </w:r>
      </w:sdtContent>
    </w:sdt>
  </w:p>
  <w:p w14:paraId="2718CC18" w14:textId="77777777" w:rsidR="00CC671E" w:rsidRPr="008D6629" w:rsidRDefault="00CC671E" w:rsidP="00CC671E">
    <w:pPr>
      <w:pStyle w:val="Header"/>
      <w:jc w:val="right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54693D4"/>
    <w:lvl w:ilvl="0">
      <w:start w:val="1"/>
      <w:numFmt w:val="decimal"/>
      <w:lvlRestart w:val="0"/>
      <w:pStyle w:val="BodyText"/>
      <w:lvlText w:val="%1."/>
      <w:lvlJc w:val="left"/>
      <w:pPr>
        <w:tabs>
          <w:tab w:val="num" w:pos="851"/>
        </w:tabs>
        <w:ind w:left="284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-486"/>
        </w:tabs>
        <w:ind w:left="-1053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1"/>
        </w:tabs>
        <w:ind w:left="-486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648"/>
        </w:tabs>
        <w:ind w:left="8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215"/>
        </w:tabs>
        <w:ind w:left="64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82"/>
        </w:tabs>
        <w:ind w:left="121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2349"/>
        </w:tabs>
        <w:ind w:left="178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915"/>
        </w:tabs>
        <w:ind w:left="234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482"/>
        </w:tabs>
        <w:ind w:left="2915" w:firstLine="0"/>
      </w:pPr>
      <w:rPr>
        <w:rFonts w:hint="default"/>
      </w:rPr>
    </w:lvl>
  </w:abstractNum>
  <w:abstractNum w:abstractNumId="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2256743D"/>
    <w:multiLevelType w:val="hybridMultilevel"/>
    <w:tmpl w:val="633ED916"/>
    <w:lvl w:ilvl="0" w:tplc="29F64D7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95"/>
    <w:rsid w:val="00006003"/>
    <w:rsid w:val="00007F08"/>
    <w:rsid w:val="000103FF"/>
    <w:rsid w:val="00011C1F"/>
    <w:rsid w:val="000122EF"/>
    <w:rsid w:val="00014225"/>
    <w:rsid w:val="00014A54"/>
    <w:rsid w:val="00016F4F"/>
    <w:rsid w:val="00021DA8"/>
    <w:rsid w:val="00022393"/>
    <w:rsid w:val="00023367"/>
    <w:rsid w:val="000312DE"/>
    <w:rsid w:val="00031452"/>
    <w:rsid w:val="00036CDC"/>
    <w:rsid w:val="00036D8F"/>
    <w:rsid w:val="00037740"/>
    <w:rsid w:val="00040663"/>
    <w:rsid w:val="00040A18"/>
    <w:rsid w:val="000424A5"/>
    <w:rsid w:val="0004311D"/>
    <w:rsid w:val="000435CB"/>
    <w:rsid w:val="000437BC"/>
    <w:rsid w:val="00043CAA"/>
    <w:rsid w:val="00045915"/>
    <w:rsid w:val="00046985"/>
    <w:rsid w:val="00046F15"/>
    <w:rsid w:val="00047054"/>
    <w:rsid w:val="00053748"/>
    <w:rsid w:val="00055911"/>
    <w:rsid w:val="00055B88"/>
    <w:rsid w:val="000626A5"/>
    <w:rsid w:val="00065DBE"/>
    <w:rsid w:val="00067CA7"/>
    <w:rsid w:val="00070280"/>
    <w:rsid w:val="000752FD"/>
    <w:rsid w:val="00075432"/>
    <w:rsid w:val="00076388"/>
    <w:rsid w:val="00076C1B"/>
    <w:rsid w:val="000816AF"/>
    <w:rsid w:val="00084AC0"/>
    <w:rsid w:val="00086545"/>
    <w:rsid w:val="000870DF"/>
    <w:rsid w:val="00087B15"/>
    <w:rsid w:val="000910A0"/>
    <w:rsid w:val="0009156C"/>
    <w:rsid w:val="00092C37"/>
    <w:rsid w:val="00092C51"/>
    <w:rsid w:val="000939FE"/>
    <w:rsid w:val="000940EC"/>
    <w:rsid w:val="000968ED"/>
    <w:rsid w:val="000A4079"/>
    <w:rsid w:val="000A50DD"/>
    <w:rsid w:val="000A7146"/>
    <w:rsid w:val="000B1CDC"/>
    <w:rsid w:val="000B2477"/>
    <w:rsid w:val="000B2CBA"/>
    <w:rsid w:val="000B45E1"/>
    <w:rsid w:val="000B5F4E"/>
    <w:rsid w:val="000B7668"/>
    <w:rsid w:val="000C0491"/>
    <w:rsid w:val="000C3895"/>
    <w:rsid w:val="000C38FD"/>
    <w:rsid w:val="000C4635"/>
    <w:rsid w:val="000C4E77"/>
    <w:rsid w:val="000D57B7"/>
    <w:rsid w:val="000D5BAE"/>
    <w:rsid w:val="000E0207"/>
    <w:rsid w:val="000E2538"/>
    <w:rsid w:val="000E290E"/>
    <w:rsid w:val="000E32C1"/>
    <w:rsid w:val="000E675A"/>
    <w:rsid w:val="000F1EBB"/>
    <w:rsid w:val="000F24F7"/>
    <w:rsid w:val="000F4798"/>
    <w:rsid w:val="000F5E56"/>
    <w:rsid w:val="000F7ABE"/>
    <w:rsid w:val="00100674"/>
    <w:rsid w:val="00101002"/>
    <w:rsid w:val="00102933"/>
    <w:rsid w:val="001046D6"/>
    <w:rsid w:val="0010579E"/>
    <w:rsid w:val="00106BDA"/>
    <w:rsid w:val="00107391"/>
    <w:rsid w:val="001100F9"/>
    <w:rsid w:val="00110B00"/>
    <w:rsid w:val="00110E25"/>
    <w:rsid w:val="0011188B"/>
    <w:rsid w:val="00111FCF"/>
    <w:rsid w:val="00111FF9"/>
    <w:rsid w:val="00112C02"/>
    <w:rsid w:val="00117964"/>
    <w:rsid w:val="0012228D"/>
    <w:rsid w:val="00122484"/>
    <w:rsid w:val="001228E6"/>
    <w:rsid w:val="00122F68"/>
    <w:rsid w:val="00125399"/>
    <w:rsid w:val="00131C25"/>
    <w:rsid w:val="00135817"/>
    <w:rsid w:val="00136120"/>
    <w:rsid w:val="001362EE"/>
    <w:rsid w:val="00136B76"/>
    <w:rsid w:val="00136FD4"/>
    <w:rsid w:val="001405F6"/>
    <w:rsid w:val="00140FBB"/>
    <w:rsid w:val="00145C7B"/>
    <w:rsid w:val="00146127"/>
    <w:rsid w:val="0015155C"/>
    <w:rsid w:val="001523A9"/>
    <w:rsid w:val="0015296C"/>
    <w:rsid w:val="0015457F"/>
    <w:rsid w:val="00156127"/>
    <w:rsid w:val="00157CB8"/>
    <w:rsid w:val="00163020"/>
    <w:rsid w:val="001651F4"/>
    <w:rsid w:val="001659B9"/>
    <w:rsid w:val="0016754F"/>
    <w:rsid w:val="0017476B"/>
    <w:rsid w:val="0017714E"/>
    <w:rsid w:val="001772B6"/>
    <w:rsid w:val="00180B57"/>
    <w:rsid w:val="00180F56"/>
    <w:rsid w:val="0018147A"/>
    <w:rsid w:val="001832A6"/>
    <w:rsid w:val="001860DE"/>
    <w:rsid w:val="0019562D"/>
    <w:rsid w:val="001A24A6"/>
    <w:rsid w:val="001A4488"/>
    <w:rsid w:val="001A72E9"/>
    <w:rsid w:val="001A79F1"/>
    <w:rsid w:val="001B1278"/>
    <w:rsid w:val="001B14F7"/>
    <w:rsid w:val="001B176D"/>
    <w:rsid w:val="001B4DA4"/>
    <w:rsid w:val="001B5E58"/>
    <w:rsid w:val="001B6149"/>
    <w:rsid w:val="001B6993"/>
    <w:rsid w:val="001B73E7"/>
    <w:rsid w:val="001C1DA6"/>
    <w:rsid w:val="001C41EE"/>
    <w:rsid w:val="001C52A9"/>
    <w:rsid w:val="001C5339"/>
    <w:rsid w:val="001C69D8"/>
    <w:rsid w:val="001C7FBE"/>
    <w:rsid w:val="001D0A78"/>
    <w:rsid w:val="001D437F"/>
    <w:rsid w:val="001D5374"/>
    <w:rsid w:val="001E1BA6"/>
    <w:rsid w:val="001E2491"/>
    <w:rsid w:val="001E2633"/>
    <w:rsid w:val="001E2BBC"/>
    <w:rsid w:val="001F038F"/>
    <w:rsid w:val="001F12CE"/>
    <w:rsid w:val="001F236C"/>
    <w:rsid w:val="001F38A0"/>
    <w:rsid w:val="001F3B07"/>
    <w:rsid w:val="001F4551"/>
    <w:rsid w:val="001F4EF0"/>
    <w:rsid w:val="001F5685"/>
    <w:rsid w:val="001F602E"/>
    <w:rsid w:val="002031CD"/>
    <w:rsid w:val="002049F4"/>
    <w:rsid w:val="002064AC"/>
    <w:rsid w:val="00206BBD"/>
    <w:rsid w:val="00207850"/>
    <w:rsid w:val="00212F41"/>
    <w:rsid w:val="002133E8"/>
    <w:rsid w:val="00214E09"/>
    <w:rsid w:val="002156DE"/>
    <w:rsid w:val="00215BAC"/>
    <w:rsid w:val="00215DEE"/>
    <w:rsid w:val="00216087"/>
    <w:rsid w:val="00216AFB"/>
    <w:rsid w:val="0021717F"/>
    <w:rsid w:val="00221E91"/>
    <w:rsid w:val="00222297"/>
    <w:rsid w:val="00222D72"/>
    <w:rsid w:val="00231625"/>
    <w:rsid w:val="00232E14"/>
    <w:rsid w:val="002342D6"/>
    <w:rsid w:val="00234EB9"/>
    <w:rsid w:val="0023635E"/>
    <w:rsid w:val="00236D3B"/>
    <w:rsid w:val="00236DF8"/>
    <w:rsid w:val="002415F1"/>
    <w:rsid w:val="00243332"/>
    <w:rsid w:val="00243B94"/>
    <w:rsid w:val="002440CD"/>
    <w:rsid w:val="0024453F"/>
    <w:rsid w:val="0024626D"/>
    <w:rsid w:val="0025164C"/>
    <w:rsid w:val="00252C00"/>
    <w:rsid w:val="00254B96"/>
    <w:rsid w:val="00256AF3"/>
    <w:rsid w:val="002602E3"/>
    <w:rsid w:val="002634C4"/>
    <w:rsid w:val="00263694"/>
    <w:rsid w:val="00264445"/>
    <w:rsid w:val="00270791"/>
    <w:rsid w:val="00270AC3"/>
    <w:rsid w:val="00270C47"/>
    <w:rsid w:val="00271472"/>
    <w:rsid w:val="0027216D"/>
    <w:rsid w:val="0027218F"/>
    <w:rsid w:val="002737A1"/>
    <w:rsid w:val="0027597C"/>
    <w:rsid w:val="0027705A"/>
    <w:rsid w:val="0027745A"/>
    <w:rsid w:val="002774D7"/>
    <w:rsid w:val="0028057C"/>
    <w:rsid w:val="00280A4B"/>
    <w:rsid w:val="00281EB4"/>
    <w:rsid w:val="002830D0"/>
    <w:rsid w:val="0028372B"/>
    <w:rsid w:val="002846F0"/>
    <w:rsid w:val="0028575A"/>
    <w:rsid w:val="0028601A"/>
    <w:rsid w:val="002870EC"/>
    <w:rsid w:val="0028752D"/>
    <w:rsid w:val="002928D3"/>
    <w:rsid w:val="00292BEA"/>
    <w:rsid w:val="002945BA"/>
    <w:rsid w:val="002954EB"/>
    <w:rsid w:val="00295C98"/>
    <w:rsid w:val="00296D7E"/>
    <w:rsid w:val="002971C0"/>
    <w:rsid w:val="00297CFB"/>
    <w:rsid w:val="002A0C4C"/>
    <w:rsid w:val="002A27F8"/>
    <w:rsid w:val="002A5F21"/>
    <w:rsid w:val="002A68BA"/>
    <w:rsid w:val="002A7BC0"/>
    <w:rsid w:val="002B2198"/>
    <w:rsid w:val="002B2CA1"/>
    <w:rsid w:val="002B3EFB"/>
    <w:rsid w:val="002C4078"/>
    <w:rsid w:val="002C6634"/>
    <w:rsid w:val="002D1FD9"/>
    <w:rsid w:val="002E15DA"/>
    <w:rsid w:val="002E21CD"/>
    <w:rsid w:val="002E501A"/>
    <w:rsid w:val="002E6840"/>
    <w:rsid w:val="002F1A15"/>
    <w:rsid w:val="002F1FE6"/>
    <w:rsid w:val="002F2BA3"/>
    <w:rsid w:val="002F2CC5"/>
    <w:rsid w:val="002F39DF"/>
    <w:rsid w:val="002F4BC7"/>
    <w:rsid w:val="002F4E68"/>
    <w:rsid w:val="002F54D3"/>
    <w:rsid w:val="002F59B0"/>
    <w:rsid w:val="002F61DC"/>
    <w:rsid w:val="003001FB"/>
    <w:rsid w:val="00305494"/>
    <w:rsid w:val="00306FC3"/>
    <w:rsid w:val="00307190"/>
    <w:rsid w:val="003073B9"/>
    <w:rsid w:val="00307E01"/>
    <w:rsid w:val="00312F7F"/>
    <w:rsid w:val="00314439"/>
    <w:rsid w:val="00316067"/>
    <w:rsid w:val="00316E56"/>
    <w:rsid w:val="00317E65"/>
    <w:rsid w:val="00320143"/>
    <w:rsid w:val="00321B37"/>
    <w:rsid w:val="0032307E"/>
    <w:rsid w:val="00323AA8"/>
    <w:rsid w:val="00323DE0"/>
    <w:rsid w:val="00325429"/>
    <w:rsid w:val="00332BB2"/>
    <w:rsid w:val="00335EA3"/>
    <w:rsid w:val="003363CA"/>
    <w:rsid w:val="00343D7E"/>
    <w:rsid w:val="003442EC"/>
    <w:rsid w:val="003448DA"/>
    <w:rsid w:val="00347D21"/>
    <w:rsid w:val="00351CAC"/>
    <w:rsid w:val="00351D83"/>
    <w:rsid w:val="003547CD"/>
    <w:rsid w:val="00354E43"/>
    <w:rsid w:val="0035701F"/>
    <w:rsid w:val="0036114B"/>
    <w:rsid w:val="00361346"/>
    <w:rsid w:val="00361450"/>
    <w:rsid w:val="003653F6"/>
    <w:rsid w:val="00365C54"/>
    <w:rsid w:val="0036648E"/>
    <w:rsid w:val="00366649"/>
    <w:rsid w:val="003673CF"/>
    <w:rsid w:val="0036747C"/>
    <w:rsid w:val="003705FB"/>
    <w:rsid w:val="00371EF6"/>
    <w:rsid w:val="003736C0"/>
    <w:rsid w:val="00373E8B"/>
    <w:rsid w:val="003748A9"/>
    <w:rsid w:val="00374A94"/>
    <w:rsid w:val="00375320"/>
    <w:rsid w:val="00375DFA"/>
    <w:rsid w:val="00376DA2"/>
    <w:rsid w:val="00377D99"/>
    <w:rsid w:val="003815AD"/>
    <w:rsid w:val="0038255F"/>
    <w:rsid w:val="00383722"/>
    <w:rsid w:val="003845C1"/>
    <w:rsid w:val="0038577E"/>
    <w:rsid w:val="00386DEF"/>
    <w:rsid w:val="003874D9"/>
    <w:rsid w:val="00392A82"/>
    <w:rsid w:val="00393FE8"/>
    <w:rsid w:val="00395959"/>
    <w:rsid w:val="0039638F"/>
    <w:rsid w:val="003965CF"/>
    <w:rsid w:val="00396D7E"/>
    <w:rsid w:val="00397196"/>
    <w:rsid w:val="00397A87"/>
    <w:rsid w:val="00397C27"/>
    <w:rsid w:val="00397F0E"/>
    <w:rsid w:val="003A4DF4"/>
    <w:rsid w:val="003A6F89"/>
    <w:rsid w:val="003A79BF"/>
    <w:rsid w:val="003A7FE2"/>
    <w:rsid w:val="003B23AF"/>
    <w:rsid w:val="003B2D31"/>
    <w:rsid w:val="003B38C1"/>
    <w:rsid w:val="003B588B"/>
    <w:rsid w:val="003C12A2"/>
    <w:rsid w:val="003C1C31"/>
    <w:rsid w:val="003C28B8"/>
    <w:rsid w:val="003C5432"/>
    <w:rsid w:val="003D03BF"/>
    <w:rsid w:val="003D1198"/>
    <w:rsid w:val="003D299B"/>
    <w:rsid w:val="003D2C3F"/>
    <w:rsid w:val="003D2EDA"/>
    <w:rsid w:val="003D3B55"/>
    <w:rsid w:val="003D4510"/>
    <w:rsid w:val="003D4B95"/>
    <w:rsid w:val="003D554F"/>
    <w:rsid w:val="003D5B85"/>
    <w:rsid w:val="003D69A6"/>
    <w:rsid w:val="003E18C8"/>
    <w:rsid w:val="003E2CED"/>
    <w:rsid w:val="003E3F87"/>
    <w:rsid w:val="003E46B3"/>
    <w:rsid w:val="003E53E6"/>
    <w:rsid w:val="003F0931"/>
    <w:rsid w:val="003F20B7"/>
    <w:rsid w:val="003F2114"/>
    <w:rsid w:val="003F3CE2"/>
    <w:rsid w:val="003F3D85"/>
    <w:rsid w:val="003F4067"/>
    <w:rsid w:val="003F7702"/>
    <w:rsid w:val="00400C15"/>
    <w:rsid w:val="004026A7"/>
    <w:rsid w:val="00404318"/>
    <w:rsid w:val="00406AFC"/>
    <w:rsid w:val="00406D8C"/>
    <w:rsid w:val="0041021D"/>
    <w:rsid w:val="004114B5"/>
    <w:rsid w:val="00413A57"/>
    <w:rsid w:val="00414DE5"/>
    <w:rsid w:val="00415A23"/>
    <w:rsid w:val="0041692D"/>
    <w:rsid w:val="00422790"/>
    <w:rsid w:val="00423990"/>
    <w:rsid w:val="00423E3E"/>
    <w:rsid w:val="0042446F"/>
    <w:rsid w:val="00427AF4"/>
    <w:rsid w:val="0043062B"/>
    <w:rsid w:val="004330F9"/>
    <w:rsid w:val="00440B41"/>
    <w:rsid w:val="00440D4F"/>
    <w:rsid w:val="00440F7C"/>
    <w:rsid w:val="00441A99"/>
    <w:rsid w:val="00444893"/>
    <w:rsid w:val="004461BC"/>
    <w:rsid w:val="0044750D"/>
    <w:rsid w:val="00447F7B"/>
    <w:rsid w:val="004632FD"/>
    <w:rsid w:val="0046347A"/>
    <w:rsid w:val="00463FA2"/>
    <w:rsid w:val="00464402"/>
    <w:rsid w:val="004647DA"/>
    <w:rsid w:val="00464C2C"/>
    <w:rsid w:val="00467504"/>
    <w:rsid w:val="004705BE"/>
    <w:rsid w:val="00470B00"/>
    <w:rsid w:val="00470F65"/>
    <w:rsid w:val="00474062"/>
    <w:rsid w:val="00477D6B"/>
    <w:rsid w:val="00484BA9"/>
    <w:rsid w:val="00486CBB"/>
    <w:rsid w:val="00487844"/>
    <w:rsid w:val="00490300"/>
    <w:rsid w:val="004909BB"/>
    <w:rsid w:val="0049145A"/>
    <w:rsid w:val="00497DBE"/>
    <w:rsid w:val="004A1507"/>
    <w:rsid w:val="004A1EAC"/>
    <w:rsid w:val="004A30DC"/>
    <w:rsid w:val="004A4222"/>
    <w:rsid w:val="004A4F56"/>
    <w:rsid w:val="004A6B2E"/>
    <w:rsid w:val="004B0149"/>
    <w:rsid w:val="004B2B23"/>
    <w:rsid w:val="004B3A8C"/>
    <w:rsid w:val="004B60EB"/>
    <w:rsid w:val="004C0818"/>
    <w:rsid w:val="004C2797"/>
    <w:rsid w:val="004D0E6F"/>
    <w:rsid w:val="004D1BF3"/>
    <w:rsid w:val="004D2CCE"/>
    <w:rsid w:val="004D426B"/>
    <w:rsid w:val="004D42C2"/>
    <w:rsid w:val="004D4F4E"/>
    <w:rsid w:val="004D7439"/>
    <w:rsid w:val="004E2151"/>
    <w:rsid w:val="004E6B5D"/>
    <w:rsid w:val="004F0597"/>
    <w:rsid w:val="004F07A7"/>
    <w:rsid w:val="004F0E54"/>
    <w:rsid w:val="004F31BC"/>
    <w:rsid w:val="004F4153"/>
    <w:rsid w:val="004F7DA7"/>
    <w:rsid w:val="00500492"/>
    <w:rsid w:val="005019FF"/>
    <w:rsid w:val="00503DB7"/>
    <w:rsid w:val="00505BF6"/>
    <w:rsid w:val="00506579"/>
    <w:rsid w:val="005066BF"/>
    <w:rsid w:val="00507B01"/>
    <w:rsid w:val="00507B33"/>
    <w:rsid w:val="00511AEA"/>
    <w:rsid w:val="00512092"/>
    <w:rsid w:val="00515195"/>
    <w:rsid w:val="005156E7"/>
    <w:rsid w:val="00517230"/>
    <w:rsid w:val="00517620"/>
    <w:rsid w:val="0052329F"/>
    <w:rsid w:val="00526284"/>
    <w:rsid w:val="00526B3F"/>
    <w:rsid w:val="0053057A"/>
    <w:rsid w:val="00530D34"/>
    <w:rsid w:val="00530E2F"/>
    <w:rsid w:val="00532CD6"/>
    <w:rsid w:val="00533D0F"/>
    <w:rsid w:val="00535A7D"/>
    <w:rsid w:val="00535B32"/>
    <w:rsid w:val="00536008"/>
    <w:rsid w:val="00536882"/>
    <w:rsid w:val="00536A79"/>
    <w:rsid w:val="00536E94"/>
    <w:rsid w:val="00537ED8"/>
    <w:rsid w:val="0054150D"/>
    <w:rsid w:val="00545B9A"/>
    <w:rsid w:val="00547CB0"/>
    <w:rsid w:val="005514A8"/>
    <w:rsid w:val="00551FBE"/>
    <w:rsid w:val="005524F2"/>
    <w:rsid w:val="00552541"/>
    <w:rsid w:val="005533B5"/>
    <w:rsid w:val="00553A15"/>
    <w:rsid w:val="00555155"/>
    <w:rsid w:val="00560A29"/>
    <w:rsid w:val="005617F0"/>
    <w:rsid w:val="00565FD0"/>
    <w:rsid w:val="00566FB3"/>
    <w:rsid w:val="00572913"/>
    <w:rsid w:val="00572C28"/>
    <w:rsid w:val="00572FDD"/>
    <w:rsid w:val="00573BCF"/>
    <w:rsid w:val="00574923"/>
    <w:rsid w:val="00575771"/>
    <w:rsid w:val="00576511"/>
    <w:rsid w:val="005819D3"/>
    <w:rsid w:val="005832F9"/>
    <w:rsid w:val="005852EB"/>
    <w:rsid w:val="0058532B"/>
    <w:rsid w:val="00586377"/>
    <w:rsid w:val="00591D1C"/>
    <w:rsid w:val="00592A83"/>
    <w:rsid w:val="00594A30"/>
    <w:rsid w:val="00597066"/>
    <w:rsid w:val="005A142B"/>
    <w:rsid w:val="005A3B20"/>
    <w:rsid w:val="005A41C6"/>
    <w:rsid w:val="005A44C8"/>
    <w:rsid w:val="005A7A00"/>
    <w:rsid w:val="005B05D8"/>
    <w:rsid w:val="005B1E3E"/>
    <w:rsid w:val="005B1F6C"/>
    <w:rsid w:val="005B6896"/>
    <w:rsid w:val="005B6B85"/>
    <w:rsid w:val="005B7D42"/>
    <w:rsid w:val="005B7D8B"/>
    <w:rsid w:val="005C08F7"/>
    <w:rsid w:val="005C0F8F"/>
    <w:rsid w:val="005C2E38"/>
    <w:rsid w:val="005C306B"/>
    <w:rsid w:val="005C373E"/>
    <w:rsid w:val="005C479F"/>
    <w:rsid w:val="005C6649"/>
    <w:rsid w:val="005C6D0D"/>
    <w:rsid w:val="005D0947"/>
    <w:rsid w:val="005D09FB"/>
    <w:rsid w:val="005D1971"/>
    <w:rsid w:val="005D377A"/>
    <w:rsid w:val="005D511A"/>
    <w:rsid w:val="005D6720"/>
    <w:rsid w:val="005E1499"/>
    <w:rsid w:val="005E1738"/>
    <w:rsid w:val="005E1A90"/>
    <w:rsid w:val="005E1B0D"/>
    <w:rsid w:val="005E2B9B"/>
    <w:rsid w:val="005E453E"/>
    <w:rsid w:val="005E56B8"/>
    <w:rsid w:val="005E633F"/>
    <w:rsid w:val="005E6F02"/>
    <w:rsid w:val="005E7065"/>
    <w:rsid w:val="005E7E8A"/>
    <w:rsid w:val="005F1C7E"/>
    <w:rsid w:val="005F2005"/>
    <w:rsid w:val="005F49E1"/>
    <w:rsid w:val="005F6EA1"/>
    <w:rsid w:val="005F72BA"/>
    <w:rsid w:val="005F7350"/>
    <w:rsid w:val="006041E7"/>
    <w:rsid w:val="00605827"/>
    <w:rsid w:val="00606B26"/>
    <w:rsid w:val="0061119A"/>
    <w:rsid w:val="00617A2F"/>
    <w:rsid w:val="006206A7"/>
    <w:rsid w:val="00621C2F"/>
    <w:rsid w:val="00622CE7"/>
    <w:rsid w:val="00622E7E"/>
    <w:rsid w:val="00623EFA"/>
    <w:rsid w:val="00624AD3"/>
    <w:rsid w:val="006255BA"/>
    <w:rsid w:val="0063217F"/>
    <w:rsid w:val="00633E5B"/>
    <w:rsid w:val="00635380"/>
    <w:rsid w:val="00637680"/>
    <w:rsid w:val="006378C7"/>
    <w:rsid w:val="00640101"/>
    <w:rsid w:val="006428CF"/>
    <w:rsid w:val="00646050"/>
    <w:rsid w:val="00647763"/>
    <w:rsid w:val="006508ED"/>
    <w:rsid w:val="00653500"/>
    <w:rsid w:val="0066225C"/>
    <w:rsid w:val="006623AC"/>
    <w:rsid w:val="0066350E"/>
    <w:rsid w:val="00665557"/>
    <w:rsid w:val="006713CA"/>
    <w:rsid w:val="00672A44"/>
    <w:rsid w:val="00673CBF"/>
    <w:rsid w:val="00674BAB"/>
    <w:rsid w:val="00676810"/>
    <w:rsid w:val="00676C5C"/>
    <w:rsid w:val="006800C2"/>
    <w:rsid w:val="00681884"/>
    <w:rsid w:val="006827C2"/>
    <w:rsid w:val="00682871"/>
    <w:rsid w:val="00682F3C"/>
    <w:rsid w:val="00684CFB"/>
    <w:rsid w:val="0068514C"/>
    <w:rsid w:val="006852B8"/>
    <w:rsid w:val="00687026"/>
    <w:rsid w:val="006876DD"/>
    <w:rsid w:val="006949DA"/>
    <w:rsid w:val="00695E32"/>
    <w:rsid w:val="006A555E"/>
    <w:rsid w:val="006A6546"/>
    <w:rsid w:val="006A7903"/>
    <w:rsid w:val="006B3497"/>
    <w:rsid w:val="006B4104"/>
    <w:rsid w:val="006B458D"/>
    <w:rsid w:val="006B77A4"/>
    <w:rsid w:val="006C335F"/>
    <w:rsid w:val="006C38FF"/>
    <w:rsid w:val="006C428E"/>
    <w:rsid w:val="006D0173"/>
    <w:rsid w:val="006D04F6"/>
    <w:rsid w:val="006D1006"/>
    <w:rsid w:val="006D1A0B"/>
    <w:rsid w:val="006D678B"/>
    <w:rsid w:val="006E055D"/>
    <w:rsid w:val="006E0806"/>
    <w:rsid w:val="006E1DBD"/>
    <w:rsid w:val="006E20CA"/>
    <w:rsid w:val="006E3CD4"/>
    <w:rsid w:val="006E41F1"/>
    <w:rsid w:val="006E6FA7"/>
    <w:rsid w:val="006F06C5"/>
    <w:rsid w:val="006F1EBB"/>
    <w:rsid w:val="006F24D6"/>
    <w:rsid w:val="00701124"/>
    <w:rsid w:val="007071AA"/>
    <w:rsid w:val="007074F6"/>
    <w:rsid w:val="007113B0"/>
    <w:rsid w:val="0071234D"/>
    <w:rsid w:val="0071291E"/>
    <w:rsid w:val="00712D7C"/>
    <w:rsid w:val="0071343D"/>
    <w:rsid w:val="00714E8A"/>
    <w:rsid w:val="007174A0"/>
    <w:rsid w:val="007177CC"/>
    <w:rsid w:val="00723CF5"/>
    <w:rsid w:val="007252A1"/>
    <w:rsid w:val="0072564F"/>
    <w:rsid w:val="007266B2"/>
    <w:rsid w:val="00730AB3"/>
    <w:rsid w:val="007315D5"/>
    <w:rsid w:val="00735D59"/>
    <w:rsid w:val="00735D69"/>
    <w:rsid w:val="00740D1C"/>
    <w:rsid w:val="007431D6"/>
    <w:rsid w:val="00743D2F"/>
    <w:rsid w:val="00744423"/>
    <w:rsid w:val="00745ED3"/>
    <w:rsid w:val="007479D5"/>
    <w:rsid w:val="00750CA1"/>
    <w:rsid w:val="00754163"/>
    <w:rsid w:val="00756A22"/>
    <w:rsid w:val="0075715A"/>
    <w:rsid w:val="00762883"/>
    <w:rsid w:val="00766F2C"/>
    <w:rsid w:val="007709D7"/>
    <w:rsid w:val="00774786"/>
    <w:rsid w:val="00780A4E"/>
    <w:rsid w:val="007815F3"/>
    <w:rsid w:val="007918F0"/>
    <w:rsid w:val="00791B81"/>
    <w:rsid w:val="007952E0"/>
    <w:rsid w:val="007A0641"/>
    <w:rsid w:val="007A0AE4"/>
    <w:rsid w:val="007A103E"/>
    <w:rsid w:val="007A35EE"/>
    <w:rsid w:val="007A41D4"/>
    <w:rsid w:val="007A48FA"/>
    <w:rsid w:val="007A6B2A"/>
    <w:rsid w:val="007A7574"/>
    <w:rsid w:val="007B10B9"/>
    <w:rsid w:val="007B5D69"/>
    <w:rsid w:val="007B7891"/>
    <w:rsid w:val="007C05BA"/>
    <w:rsid w:val="007C0E00"/>
    <w:rsid w:val="007C235E"/>
    <w:rsid w:val="007C329B"/>
    <w:rsid w:val="007D1613"/>
    <w:rsid w:val="007D1DC7"/>
    <w:rsid w:val="007D22EC"/>
    <w:rsid w:val="007D2807"/>
    <w:rsid w:val="007D3895"/>
    <w:rsid w:val="007D3F08"/>
    <w:rsid w:val="007D4002"/>
    <w:rsid w:val="007D48AB"/>
    <w:rsid w:val="007D7142"/>
    <w:rsid w:val="007E0EA5"/>
    <w:rsid w:val="007E1EF8"/>
    <w:rsid w:val="007E40A2"/>
    <w:rsid w:val="007E7A54"/>
    <w:rsid w:val="007E7F07"/>
    <w:rsid w:val="007F03AC"/>
    <w:rsid w:val="007F20C4"/>
    <w:rsid w:val="007F3DC9"/>
    <w:rsid w:val="007F55C4"/>
    <w:rsid w:val="007F5A39"/>
    <w:rsid w:val="007F62A5"/>
    <w:rsid w:val="007F7070"/>
    <w:rsid w:val="00803987"/>
    <w:rsid w:val="008060A6"/>
    <w:rsid w:val="008101FF"/>
    <w:rsid w:val="00813F49"/>
    <w:rsid w:val="00816D05"/>
    <w:rsid w:val="00820D5E"/>
    <w:rsid w:val="008210B4"/>
    <w:rsid w:val="00822777"/>
    <w:rsid w:val="008246A8"/>
    <w:rsid w:val="008256E7"/>
    <w:rsid w:val="008258C2"/>
    <w:rsid w:val="008259A2"/>
    <w:rsid w:val="0082604D"/>
    <w:rsid w:val="00830EA1"/>
    <w:rsid w:val="008324A9"/>
    <w:rsid w:val="00834D1F"/>
    <w:rsid w:val="00840CDD"/>
    <w:rsid w:val="008410F9"/>
    <w:rsid w:val="00842850"/>
    <w:rsid w:val="008451D7"/>
    <w:rsid w:val="0084545D"/>
    <w:rsid w:val="0084597A"/>
    <w:rsid w:val="00852F30"/>
    <w:rsid w:val="00854081"/>
    <w:rsid w:val="00854813"/>
    <w:rsid w:val="00857468"/>
    <w:rsid w:val="00857ED1"/>
    <w:rsid w:val="00861FFF"/>
    <w:rsid w:val="0086299D"/>
    <w:rsid w:val="00864755"/>
    <w:rsid w:val="00866A5F"/>
    <w:rsid w:val="00871436"/>
    <w:rsid w:val="008732CD"/>
    <w:rsid w:val="00874097"/>
    <w:rsid w:val="00874942"/>
    <w:rsid w:val="008765B9"/>
    <w:rsid w:val="00877A59"/>
    <w:rsid w:val="008875C6"/>
    <w:rsid w:val="0089020D"/>
    <w:rsid w:val="00891D9E"/>
    <w:rsid w:val="00892ACC"/>
    <w:rsid w:val="00895E76"/>
    <w:rsid w:val="008A2629"/>
    <w:rsid w:val="008A3878"/>
    <w:rsid w:val="008A51E4"/>
    <w:rsid w:val="008A5FAF"/>
    <w:rsid w:val="008A6BF4"/>
    <w:rsid w:val="008B1E35"/>
    <w:rsid w:val="008B2CC1"/>
    <w:rsid w:val="008B4AEB"/>
    <w:rsid w:val="008B60B2"/>
    <w:rsid w:val="008B65B0"/>
    <w:rsid w:val="008B7D33"/>
    <w:rsid w:val="008C2880"/>
    <w:rsid w:val="008C40F6"/>
    <w:rsid w:val="008C7F05"/>
    <w:rsid w:val="008D1530"/>
    <w:rsid w:val="008D1AC1"/>
    <w:rsid w:val="008D2108"/>
    <w:rsid w:val="008D4899"/>
    <w:rsid w:val="008D64BE"/>
    <w:rsid w:val="008D6629"/>
    <w:rsid w:val="008D6E54"/>
    <w:rsid w:val="008E01B3"/>
    <w:rsid w:val="008E0B83"/>
    <w:rsid w:val="008F22AA"/>
    <w:rsid w:val="008F3415"/>
    <w:rsid w:val="00901312"/>
    <w:rsid w:val="00901772"/>
    <w:rsid w:val="009021A6"/>
    <w:rsid w:val="009037E5"/>
    <w:rsid w:val="009042A6"/>
    <w:rsid w:val="0090454A"/>
    <w:rsid w:val="0090509F"/>
    <w:rsid w:val="0090615A"/>
    <w:rsid w:val="0090731E"/>
    <w:rsid w:val="009077B6"/>
    <w:rsid w:val="00910B78"/>
    <w:rsid w:val="00916EE2"/>
    <w:rsid w:val="0092006F"/>
    <w:rsid w:val="0092046B"/>
    <w:rsid w:val="0092344D"/>
    <w:rsid w:val="00923A92"/>
    <w:rsid w:val="00923ED2"/>
    <w:rsid w:val="009248C8"/>
    <w:rsid w:val="00924FE4"/>
    <w:rsid w:val="009254C2"/>
    <w:rsid w:val="009301E6"/>
    <w:rsid w:val="00932825"/>
    <w:rsid w:val="00932C36"/>
    <w:rsid w:val="00933AB6"/>
    <w:rsid w:val="009366EB"/>
    <w:rsid w:val="00937991"/>
    <w:rsid w:val="00940A23"/>
    <w:rsid w:val="00940BEB"/>
    <w:rsid w:val="009411F8"/>
    <w:rsid w:val="00943EAC"/>
    <w:rsid w:val="009447A4"/>
    <w:rsid w:val="00946153"/>
    <w:rsid w:val="0094784D"/>
    <w:rsid w:val="009508B8"/>
    <w:rsid w:val="009528DC"/>
    <w:rsid w:val="009555D3"/>
    <w:rsid w:val="00955AF7"/>
    <w:rsid w:val="00956493"/>
    <w:rsid w:val="00956F67"/>
    <w:rsid w:val="00956F83"/>
    <w:rsid w:val="0096075D"/>
    <w:rsid w:val="0096165A"/>
    <w:rsid w:val="00962BA7"/>
    <w:rsid w:val="00963853"/>
    <w:rsid w:val="0096451E"/>
    <w:rsid w:val="00965303"/>
    <w:rsid w:val="00966A22"/>
    <w:rsid w:val="0096722F"/>
    <w:rsid w:val="009675B1"/>
    <w:rsid w:val="00970846"/>
    <w:rsid w:val="00975DB1"/>
    <w:rsid w:val="00977467"/>
    <w:rsid w:val="00980843"/>
    <w:rsid w:val="00982E1D"/>
    <w:rsid w:val="00985EBD"/>
    <w:rsid w:val="009874FE"/>
    <w:rsid w:val="00991C6E"/>
    <w:rsid w:val="00992712"/>
    <w:rsid w:val="009937A3"/>
    <w:rsid w:val="009945E6"/>
    <w:rsid w:val="0099509B"/>
    <w:rsid w:val="00996659"/>
    <w:rsid w:val="0099674C"/>
    <w:rsid w:val="00996F03"/>
    <w:rsid w:val="0099711F"/>
    <w:rsid w:val="009A002B"/>
    <w:rsid w:val="009A022B"/>
    <w:rsid w:val="009A258D"/>
    <w:rsid w:val="009A2683"/>
    <w:rsid w:val="009A2C64"/>
    <w:rsid w:val="009A3307"/>
    <w:rsid w:val="009A6E26"/>
    <w:rsid w:val="009B1E55"/>
    <w:rsid w:val="009B45E7"/>
    <w:rsid w:val="009B6AAB"/>
    <w:rsid w:val="009B6C63"/>
    <w:rsid w:val="009B7099"/>
    <w:rsid w:val="009B71ED"/>
    <w:rsid w:val="009B7497"/>
    <w:rsid w:val="009B7637"/>
    <w:rsid w:val="009C12FE"/>
    <w:rsid w:val="009C3A01"/>
    <w:rsid w:val="009D14A3"/>
    <w:rsid w:val="009D46A3"/>
    <w:rsid w:val="009D49A0"/>
    <w:rsid w:val="009D56DB"/>
    <w:rsid w:val="009E0904"/>
    <w:rsid w:val="009E19F9"/>
    <w:rsid w:val="009E2791"/>
    <w:rsid w:val="009E3F6F"/>
    <w:rsid w:val="009E4D91"/>
    <w:rsid w:val="009F00C8"/>
    <w:rsid w:val="009F064C"/>
    <w:rsid w:val="009F24C9"/>
    <w:rsid w:val="009F499F"/>
    <w:rsid w:val="009F6C77"/>
    <w:rsid w:val="00A00B70"/>
    <w:rsid w:val="00A018D6"/>
    <w:rsid w:val="00A02950"/>
    <w:rsid w:val="00A03D42"/>
    <w:rsid w:val="00A04566"/>
    <w:rsid w:val="00A0799C"/>
    <w:rsid w:val="00A07B77"/>
    <w:rsid w:val="00A103E2"/>
    <w:rsid w:val="00A10D89"/>
    <w:rsid w:val="00A116D2"/>
    <w:rsid w:val="00A119C0"/>
    <w:rsid w:val="00A14605"/>
    <w:rsid w:val="00A16EFA"/>
    <w:rsid w:val="00A2022A"/>
    <w:rsid w:val="00A2177F"/>
    <w:rsid w:val="00A22CF2"/>
    <w:rsid w:val="00A23340"/>
    <w:rsid w:val="00A235A1"/>
    <w:rsid w:val="00A23E6E"/>
    <w:rsid w:val="00A24EF0"/>
    <w:rsid w:val="00A255AF"/>
    <w:rsid w:val="00A25CE4"/>
    <w:rsid w:val="00A27475"/>
    <w:rsid w:val="00A32C19"/>
    <w:rsid w:val="00A32C2A"/>
    <w:rsid w:val="00A35375"/>
    <w:rsid w:val="00A37C1F"/>
    <w:rsid w:val="00A4002C"/>
    <w:rsid w:val="00A42144"/>
    <w:rsid w:val="00A422FE"/>
    <w:rsid w:val="00A42DAF"/>
    <w:rsid w:val="00A43D38"/>
    <w:rsid w:val="00A44CF1"/>
    <w:rsid w:val="00A45BD8"/>
    <w:rsid w:val="00A52B0A"/>
    <w:rsid w:val="00A53CA0"/>
    <w:rsid w:val="00A57BEB"/>
    <w:rsid w:val="00A60D24"/>
    <w:rsid w:val="00A6142B"/>
    <w:rsid w:val="00A63015"/>
    <w:rsid w:val="00A631A3"/>
    <w:rsid w:val="00A64766"/>
    <w:rsid w:val="00A6558D"/>
    <w:rsid w:val="00A6673C"/>
    <w:rsid w:val="00A70CFD"/>
    <w:rsid w:val="00A70D39"/>
    <w:rsid w:val="00A72F03"/>
    <w:rsid w:val="00A758EA"/>
    <w:rsid w:val="00A75969"/>
    <w:rsid w:val="00A815D6"/>
    <w:rsid w:val="00A82093"/>
    <w:rsid w:val="00A84712"/>
    <w:rsid w:val="00A869B7"/>
    <w:rsid w:val="00A902E8"/>
    <w:rsid w:val="00A90F8D"/>
    <w:rsid w:val="00A9139E"/>
    <w:rsid w:val="00A93C91"/>
    <w:rsid w:val="00A95450"/>
    <w:rsid w:val="00AA274F"/>
    <w:rsid w:val="00AA50A6"/>
    <w:rsid w:val="00AA5B24"/>
    <w:rsid w:val="00AA7B8C"/>
    <w:rsid w:val="00AB08B4"/>
    <w:rsid w:val="00AB290D"/>
    <w:rsid w:val="00AB2EE7"/>
    <w:rsid w:val="00AB4772"/>
    <w:rsid w:val="00AB4B2D"/>
    <w:rsid w:val="00AC205C"/>
    <w:rsid w:val="00AC278C"/>
    <w:rsid w:val="00AC4EC0"/>
    <w:rsid w:val="00AC53CA"/>
    <w:rsid w:val="00AC54CE"/>
    <w:rsid w:val="00AD079A"/>
    <w:rsid w:val="00AD3A5A"/>
    <w:rsid w:val="00AD46E1"/>
    <w:rsid w:val="00AD573A"/>
    <w:rsid w:val="00AD5F99"/>
    <w:rsid w:val="00AD6BA7"/>
    <w:rsid w:val="00AD6CBF"/>
    <w:rsid w:val="00AE2EEB"/>
    <w:rsid w:val="00AE55D6"/>
    <w:rsid w:val="00AF0A6B"/>
    <w:rsid w:val="00AF12DD"/>
    <w:rsid w:val="00AF1712"/>
    <w:rsid w:val="00AF3802"/>
    <w:rsid w:val="00AF394F"/>
    <w:rsid w:val="00B004E1"/>
    <w:rsid w:val="00B01124"/>
    <w:rsid w:val="00B026B6"/>
    <w:rsid w:val="00B027A7"/>
    <w:rsid w:val="00B03788"/>
    <w:rsid w:val="00B03DE0"/>
    <w:rsid w:val="00B05A69"/>
    <w:rsid w:val="00B079F8"/>
    <w:rsid w:val="00B1082F"/>
    <w:rsid w:val="00B11028"/>
    <w:rsid w:val="00B118DC"/>
    <w:rsid w:val="00B126E2"/>
    <w:rsid w:val="00B12733"/>
    <w:rsid w:val="00B1387F"/>
    <w:rsid w:val="00B1555F"/>
    <w:rsid w:val="00B2033B"/>
    <w:rsid w:val="00B22637"/>
    <w:rsid w:val="00B24B3C"/>
    <w:rsid w:val="00B26D21"/>
    <w:rsid w:val="00B3295C"/>
    <w:rsid w:val="00B35748"/>
    <w:rsid w:val="00B40D1F"/>
    <w:rsid w:val="00B40F62"/>
    <w:rsid w:val="00B42CEE"/>
    <w:rsid w:val="00B4706C"/>
    <w:rsid w:val="00B50CF7"/>
    <w:rsid w:val="00B50EAB"/>
    <w:rsid w:val="00B52AF3"/>
    <w:rsid w:val="00B52DCA"/>
    <w:rsid w:val="00B52DD0"/>
    <w:rsid w:val="00B536EF"/>
    <w:rsid w:val="00B572C3"/>
    <w:rsid w:val="00B632EB"/>
    <w:rsid w:val="00B63934"/>
    <w:rsid w:val="00B66694"/>
    <w:rsid w:val="00B70B9F"/>
    <w:rsid w:val="00B7115A"/>
    <w:rsid w:val="00B714C1"/>
    <w:rsid w:val="00B71C4B"/>
    <w:rsid w:val="00B75F93"/>
    <w:rsid w:val="00B80128"/>
    <w:rsid w:val="00B813FE"/>
    <w:rsid w:val="00B81B0D"/>
    <w:rsid w:val="00B82420"/>
    <w:rsid w:val="00B828B8"/>
    <w:rsid w:val="00B8384B"/>
    <w:rsid w:val="00B84F3B"/>
    <w:rsid w:val="00B86D41"/>
    <w:rsid w:val="00B91667"/>
    <w:rsid w:val="00B91794"/>
    <w:rsid w:val="00B969EA"/>
    <w:rsid w:val="00B9734B"/>
    <w:rsid w:val="00BA2854"/>
    <w:rsid w:val="00BA53AA"/>
    <w:rsid w:val="00BA555E"/>
    <w:rsid w:val="00BA6237"/>
    <w:rsid w:val="00BA6255"/>
    <w:rsid w:val="00BB5A7E"/>
    <w:rsid w:val="00BB5E8D"/>
    <w:rsid w:val="00BB7026"/>
    <w:rsid w:val="00BB7B6C"/>
    <w:rsid w:val="00BC2C22"/>
    <w:rsid w:val="00BC4326"/>
    <w:rsid w:val="00BC47CF"/>
    <w:rsid w:val="00BC48B7"/>
    <w:rsid w:val="00BC57E9"/>
    <w:rsid w:val="00BD00DC"/>
    <w:rsid w:val="00BD11A4"/>
    <w:rsid w:val="00BD3EEA"/>
    <w:rsid w:val="00BD503A"/>
    <w:rsid w:val="00BD614F"/>
    <w:rsid w:val="00BE16C7"/>
    <w:rsid w:val="00BE2E49"/>
    <w:rsid w:val="00BE58A4"/>
    <w:rsid w:val="00BE5FFF"/>
    <w:rsid w:val="00BE6DDD"/>
    <w:rsid w:val="00BF0506"/>
    <w:rsid w:val="00BF05B4"/>
    <w:rsid w:val="00BF14B7"/>
    <w:rsid w:val="00BF151D"/>
    <w:rsid w:val="00BF1675"/>
    <w:rsid w:val="00BF392A"/>
    <w:rsid w:val="00BF3939"/>
    <w:rsid w:val="00BF4E6B"/>
    <w:rsid w:val="00BF6E54"/>
    <w:rsid w:val="00C00338"/>
    <w:rsid w:val="00C03030"/>
    <w:rsid w:val="00C03372"/>
    <w:rsid w:val="00C050FC"/>
    <w:rsid w:val="00C05BFA"/>
    <w:rsid w:val="00C11BFE"/>
    <w:rsid w:val="00C12061"/>
    <w:rsid w:val="00C12D82"/>
    <w:rsid w:val="00C13DF7"/>
    <w:rsid w:val="00C14039"/>
    <w:rsid w:val="00C14075"/>
    <w:rsid w:val="00C14582"/>
    <w:rsid w:val="00C14D41"/>
    <w:rsid w:val="00C14EF1"/>
    <w:rsid w:val="00C200B5"/>
    <w:rsid w:val="00C21500"/>
    <w:rsid w:val="00C224C3"/>
    <w:rsid w:val="00C25398"/>
    <w:rsid w:val="00C2714B"/>
    <w:rsid w:val="00C31CE5"/>
    <w:rsid w:val="00C31E4C"/>
    <w:rsid w:val="00C3538C"/>
    <w:rsid w:val="00C35CB2"/>
    <w:rsid w:val="00C365F9"/>
    <w:rsid w:val="00C44E43"/>
    <w:rsid w:val="00C4502B"/>
    <w:rsid w:val="00C505DA"/>
    <w:rsid w:val="00C51317"/>
    <w:rsid w:val="00C51883"/>
    <w:rsid w:val="00C5320A"/>
    <w:rsid w:val="00C55161"/>
    <w:rsid w:val="00C554D5"/>
    <w:rsid w:val="00C57022"/>
    <w:rsid w:val="00C6022B"/>
    <w:rsid w:val="00C67219"/>
    <w:rsid w:val="00C70A99"/>
    <w:rsid w:val="00C70F7C"/>
    <w:rsid w:val="00C717D0"/>
    <w:rsid w:val="00C71F6A"/>
    <w:rsid w:val="00C72D8D"/>
    <w:rsid w:val="00C72F70"/>
    <w:rsid w:val="00C7480E"/>
    <w:rsid w:val="00C7678E"/>
    <w:rsid w:val="00C76897"/>
    <w:rsid w:val="00C76B2D"/>
    <w:rsid w:val="00C779B4"/>
    <w:rsid w:val="00C811EA"/>
    <w:rsid w:val="00C8197E"/>
    <w:rsid w:val="00C8323F"/>
    <w:rsid w:val="00C834A3"/>
    <w:rsid w:val="00C83EAE"/>
    <w:rsid w:val="00C8500C"/>
    <w:rsid w:val="00C855A6"/>
    <w:rsid w:val="00C860F9"/>
    <w:rsid w:val="00C86702"/>
    <w:rsid w:val="00C87A72"/>
    <w:rsid w:val="00C9065B"/>
    <w:rsid w:val="00C90A9B"/>
    <w:rsid w:val="00C93001"/>
    <w:rsid w:val="00C94210"/>
    <w:rsid w:val="00C96F77"/>
    <w:rsid w:val="00CA02C1"/>
    <w:rsid w:val="00CA1941"/>
    <w:rsid w:val="00CA278B"/>
    <w:rsid w:val="00CA7085"/>
    <w:rsid w:val="00CB22D3"/>
    <w:rsid w:val="00CB2C3E"/>
    <w:rsid w:val="00CB600E"/>
    <w:rsid w:val="00CB7A59"/>
    <w:rsid w:val="00CC0472"/>
    <w:rsid w:val="00CC09CD"/>
    <w:rsid w:val="00CC0D2A"/>
    <w:rsid w:val="00CC15CA"/>
    <w:rsid w:val="00CC406D"/>
    <w:rsid w:val="00CC671E"/>
    <w:rsid w:val="00CC7BA6"/>
    <w:rsid w:val="00CC7BEF"/>
    <w:rsid w:val="00CD0487"/>
    <w:rsid w:val="00CD1095"/>
    <w:rsid w:val="00CD29D0"/>
    <w:rsid w:val="00CD4EF4"/>
    <w:rsid w:val="00CE0374"/>
    <w:rsid w:val="00CE24AE"/>
    <w:rsid w:val="00CE2680"/>
    <w:rsid w:val="00CE4D7B"/>
    <w:rsid w:val="00CE7097"/>
    <w:rsid w:val="00CF0D3B"/>
    <w:rsid w:val="00CF29F8"/>
    <w:rsid w:val="00CF376D"/>
    <w:rsid w:val="00CF7724"/>
    <w:rsid w:val="00D0081B"/>
    <w:rsid w:val="00D03DD8"/>
    <w:rsid w:val="00D048FD"/>
    <w:rsid w:val="00D1145F"/>
    <w:rsid w:val="00D1411E"/>
    <w:rsid w:val="00D1471C"/>
    <w:rsid w:val="00D15332"/>
    <w:rsid w:val="00D15AD6"/>
    <w:rsid w:val="00D177A6"/>
    <w:rsid w:val="00D178DC"/>
    <w:rsid w:val="00D1792B"/>
    <w:rsid w:val="00D17AF8"/>
    <w:rsid w:val="00D22BA4"/>
    <w:rsid w:val="00D22D6F"/>
    <w:rsid w:val="00D23C8A"/>
    <w:rsid w:val="00D24ABB"/>
    <w:rsid w:val="00D25439"/>
    <w:rsid w:val="00D31F26"/>
    <w:rsid w:val="00D33634"/>
    <w:rsid w:val="00D350AB"/>
    <w:rsid w:val="00D42864"/>
    <w:rsid w:val="00D4430B"/>
    <w:rsid w:val="00D45252"/>
    <w:rsid w:val="00D46415"/>
    <w:rsid w:val="00D50FC9"/>
    <w:rsid w:val="00D51AB1"/>
    <w:rsid w:val="00D544D2"/>
    <w:rsid w:val="00D54F03"/>
    <w:rsid w:val="00D56797"/>
    <w:rsid w:val="00D57DD5"/>
    <w:rsid w:val="00D61B80"/>
    <w:rsid w:val="00D62433"/>
    <w:rsid w:val="00D6282E"/>
    <w:rsid w:val="00D62CF6"/>
    <w:rsid w:val="00D64DC8"/>
    <w:rsid w:val="00D67276"/>
    <w:rsid w:val="00D67E2C"/>
    <w:rsid w:val="00D714EA"/>
    <w:rsid w:val="00D71B4D"/>
    <w:rsid w:val="00D7241C"/>
    <w:rsid w:val="00D77260"/>
    <w:rsid w:val="00D816AC"/>
    <w:rsid w:val="00D81873"/>
    <w:rsid w:val="00D82E6E"/>
    <w:rsid w:val="00D85552"/>
    <w:rsid w:val="00D857B0"/>
    <w:rsid w:val="00D85DB6"/>
    <w:rsid w:val="00D87E4C"/>
    <w:rsid w:val="00D87F4E"/>
    <w:rsid w:val="00D87FCE"/>
    <w:rsid w:val="00D916BA"/>
    <w:rsid w:val="00D9170E"/>
    <w:rsid w:val="00D93D55"/>
    <w:rsid w:val="00D93DD3"/>
    <w:rsid w:val="00D9413E"/>
    <w:rsid w:val="00D94EA3"/>
    <w:rsid w:val="00D9548C"/>
    <w:rsid w:val="00DA1685"/>
    <w:rsid w:val="00DA3B7A"/>
    <w:rsid w:val="00DA595C"/>
    <w:rsid w:val="00DB002A"/>
    <w:rsid w:val="00DB4AB2"/>
    <w:rsid w:val="00DB58C9"/>
    <w:rsid w:val="00DB5A58"/>
    <w:rsid w:val="00DC0174"/>
    <w:rsid w:val="00DC046F"/>
    <w:rsid w:val="00DC1782"/>
    <w:rsid w:val="00DC2080"/>
    <w:rsid w:val="00DC344E"/>
    <w:rsid w:val="00DC3E08"/>
    <w:rsid w:val="00DC4268"/>
    <w:rsid w:val="00DC73BE"/>
    <w:rsid w:val="00DD001C"/>
    <w:rsid w:val="00DD0047"/>
    <w:rsid w:val="00DD26A9"/>
    <w:rsid w:val="00DD3426"/>
    <w:rsid w:val="00DD4A84"/>
    <w:rsid w:val="00DE21FD"/>
    <w:rsid w:val="00DE28EA"/>
    <w:rsid w:val="00DE6034"/>
    <w:rsid w:val="00DE6DCD"/>
    <w:rsid w:val="00DE7493"/>
    <w:rsid w:val="00DF23E2"/>
    <w:rsid w:val="00DF4696"/>
    <w:rsid w:val="00DF70C2"/>
    <w:rsid w:val="00E00D88"/>
    <w:rsid w:val="00E01767"/>
    <w:rsid w:val="00E02DED"/>
    <w:rsid w:val="00E04350"/>
    <w:rsid w:val="00E066E9"/>
    <w:rsid w:val="00E10EA5"/>
    <w:rsid w:val="00E13391"/>
    <w:rsid w:val="00E15CC4"/>
    <w:rsid w:val="00E215EC"/>
    <w:rsid w:val="00E2310C"/>
    <w:rsid w:val="00E245CF"/>
    <w:rsid w:val="00E322F5"/>
    <w:rsid w:val="00E335FE"/>
    <w:rsid w:val="00E33F9C"/>
    <w:rsid w:val="00E35DC8"/>
    <w:rsid w:val="00E41985"/>
    <w:rsid w:val="00E45BAE"/>
    <w:rsid w:val="00E465AD"/>
    <w:rsid w:val="00E468F9"/>
    <w:rsid w:val="00E5238C"/>
    <w:rsid w:val="00E54F05"/>
    <w:rsid w:val="00E556FE"/>
    <w:rsid w:val="00E57B2A"/>
    <w:rsid w:val="00E605D7"/>
    <w:rsid w:val="00E62FDE"/>
    <w:rsid w:val="00E63361"/>
    <w:rsid w:val="00E63D98"/>
    <w:rsid w:val="00E63E3C"/>
    <w:rsid w:val="00E6540F"/>
    <w:rsid w:val="00E67909"/>
    <w:rsid w:val="00E72E5D"/>
    <w:rsid w:val="00E73D71"/>
    <w:rsid w:val="00E76523"/>
    <w:rsid w:val="00E80B06"/>
    <w:rsid w:val="00E81702"/>
    <w:rsid w:val="00E827B2"/>
    <w:rsid w:val="00E83108"/>
    <w:rsid w:val="00E83480"/>
    <w:rsid w:val="00E841DE"/>
    <w:rsid w:val="00E84E33"/>
    <w:rsid w:val="00E8536E"/>
    <w:rsid w:val="00E853E5"/>
    <w:rsid w:val="00E856D7"/>
    <w:rsid w:val="00E86FA5"/>
    <w:rsid w:val="00E8783B"/>
    <w:rsid w:val="00E93195"/>
    <w:rsid w:val="00E937BA"/>
    <w:rsid w:val="00E94CB2"/>
    <w:rsid w:val="00E955F5"/>
    <w:rsid w:val="00EA03F0"/>
    <w:rsid w:val="00EA0472"/>
    <w:rsid w:val="00EA4385"/>
    <w:rsid w:val="00EB002B"/>
    <w:rsid w:val="00EB117B"/>
    <w:rsid w:val="00EB296D"/>
    <w:rsid w:val="00EB2D9E"/>
    <w:rsid w:val="00EB3214"/>
    <w:rsid w:val="00EB5381"/>
    <w:rsid w:val="00EB71F3"/>
    <w:rsid w:val="00EB7CA4"/>
    <w:rsid w:val="00EC4E49"/>
    <w:rsid w:val="00EC7250"/>
    <w:rsid w:val="00EC79CC"/>
    <w:rsid w:val="00ED12BE"/>
    <w:rsid w:val="00ED2235"/>
    <w:rsid w:val="00ED49D1"/>
    <w:rsid w:val="00ED6723"/>
    <w:rsid w:val="00ED6B8E"/>
    <w:rsid w:val="00ED77FB"/>
    <w:rsid w:val="00ED7ED8"/>
    <w:rsid w:val="00EE0FF3"/>
    <w:rsid w:val="00EE1084"/>
    <w:rsid w:val="00EE1CE7"/>
    <w:rsid w:val="00EE45FA"/>
    <w:rsid w:val="00EE4DEA"/>
    <w:rsid w:val="00EE7CCC"/>
    <w:rsid w:val="00EF00C4"/>
    <w:rsid w:val="00EF0732"/>
    <w:rsid w:val="00EF1C36"/>
    <w:rsid w:val="00EF7E92"/>
    <w:rsid w:val="00F0093A"/>
    <w:rsid w:val="00F00BAF"/>
    <w:rsid w:val="00F010B0"/>
    <w:rsid w:val="00F10190"/>
    <w:rsid w:val="00F10B41"/>
    <w:rsid w:val="00F11050"/>
    <w:rsid w:val="00F159D0"/>
    <w:rsid w:val="00F15D76"/>
    <w:rsid w:val="00F17989"/>
    <w:rsid w:val="00F219A1"/>
    <w:rsid w:val="00F236B1"/>
    <w:rsid w:val="00F23F46"/>
    <w:rsid w:val="00F25236"/>
    <w:rsid w:val="00F25FAD"/>
    <w:rsid w:val="00F26531"/>
    <w:rsid w:val="00F26947"/>
    <w:rsid w:val="00F31D68"/>
    <w:rsid w:val="00F32973"/>
    <w:rsid w:val="00F33BB0"/>
    <w:rsid w:val="00F4229D"/>
    <w:rsid w:val="00F453D3"/>
    <w:rsid w:val="00F52477"/>
    <w:rsid w:val="00F55F9B"/>
    <w:rsid w:val="00F62683"/>
    <w:rsid w:val="00F626B3"/>
    <w:rsid w:val="00F64C1B"/>
    <w:rsid w:val="00F64F97"/>
    <w:rsid w:val="00F657CF"/>
    <w:rsid w:val="00F66152"/>
    <w:rsid w:val="00F678C3"/>
    <w:rsid w:val="00F716B1"/>
    <w:rsid w:val="00F7372C"/>
    <w:rsid w:val="00F73FBC"/>
    <w:rsid w:val="00F74A90"/>
    <w:rsid w:val="00F804F0"/>
    <w:rsid w:val="00F81130"/>
    <w:rsid w:val="00F848C8"/>
    <w:rsid w:val="00F853D8"/>
    <w:rsid w:val="00F8591D"/>
    <w:rsid w:val="00F87183"/>
    <w:rsid w:val="00F9124E"/>
    <w:rsid w:val="00F91DAF"/>
    <w:rsid w:val="00F934DD"/>
    <w:rsid w:val="00F937E8"/>
    <w:rsid w:val="00F93C53"/>
    <w:rsid w:val="00FA1E9B"/>
    <w:rsid w:val="00FA66AF"/>
    <w:rsid w:val="00FA7E5C"/>
    <w:rsid w:val="00FB2F95"/>
    <w:rsid w:val="00FB3155"/>
    <w:rsid w:val="00FB565C"/>
    <w:rsid w:val="00FB74C4"/>
    <w:rsid w:val="00FC08B0"/>
    <w:rsid w:val="00FC1378"/>
    <w:rsid w:val="00FC23B3"/>
    <w:rsid w:val="00FC7684"/>
    <w:rsid w:val="00FC7B9C"/>
    <w:rsid w:val="00FD4990"/>
    <w:rsid w:val="00FD5D50"/>
    <w:rsid w:val="00FD702B"/>
    <w:rsid w:val="00FE31FD"/>
    <w:rsid w:val="00FE3D45"/>
    <w:rsid w:val="00FE65C7"/>
    <w:rsid w:val="00FE7238"/>
    <w:rsid w:val="00FF040C"/>
    <w:rsid w:val="00FF1730"/>
    <w:rsid w:val="00F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6C149C7"/>
  <w15:docId w15:val="{A1C587E0-9F1D-4BD5-A821-1DBDA90A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D0173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9E0904"/>
    <w:pPr>
      <w:outlineLvl w:val="4"/>
    </w:pPr>
    <w:rPr>
      <w:rFonts w:eastAsia="Times New Roman" w:cs="Times New Roman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E0904"/>
    <w:pPr>
      <w:outlineLvl w:val="5"/>
    </w:pPr>
    <w:rPr>
      <w:rFonts w:eastAsia="Times New Roman" w:cs="Times New Roman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E0904"/>
    <w:pPr>
      <w:keepNext/>
      <w:keepLines/>
      <w:spacing w:before="80" w:after="60"/>
      <w:outlineLvl w:val="6"/>
    </w:pPr>
    <w:rPr>
      <w:rFonts w:eastAsia="Times New Roman" w:cs="Times New Roman"/>
      <w:b/>
      <w:kern w:val="28"/>
      <w:sz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E0904"/>
    <w:pPr>
      <w:keepNext/>
      <w:keepLines/>
      <w:spacing w:before="80" w:after="60"/>
      <w:outlineLvl w:val="7"/>
    </w:pPr>
    <w:rPr>
      <w:rFonts w:eastAsia="Times New Roman" w:cs="Times New Roman"/>
      <w:i/>
      <w:kern w:val="28"/>
      <w:sz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E0904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D0173"/>
    <w:pPr>
      <w:numPr>
        <w:numId w:val="2"/>
      </w:num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5Char">
    <w:name w:val="Heading 5 Char"/>
    <w:basedOn w:val="DefaultParagraphFont"/>
    <w:link w:val="Heading5"/>
    <w:rsid w:val="009E0904"/>
    <w:rPr>
      <w:rFonts w:ascii="Arial" w:hAnsi="Arial"/>
      <w:sz w:val="22"/>
    </w:rPr>
  </w:style>
  <w:style w:type="character" w:customStyle="1" w:styleId="Heading6Char">
    <w:name w:val="Heading 6 Char"/>
    <w:basedOn w:val="DefaultParagraphFont"/>
    <w:link w:val="Heading6"/>
    <w:rsid w:val="009E0904"/>
    <w:rPr>
      <w:rFonts w:ascii="Arial" w:hAnsi="Arial"/>
      <w:sz w:val="22"/>
    </w:rPr>
  </w:style>
  <w:style w:type="character" w:customStyle="1" w:styleId="Heading7Char">
    <w:name w:val="Heading 7 Char"/>
    <w:basedOn w:val="DefaultParagraphFont"/>
    <w:link w:val="Heading7"/>
    <w:rsid w:val="009E0904"/>
    <w:rPr>
      <w:rFonts w:ascii="Arial" w:hAnsi="Arial"/>
      <w:b/>
      <w:kern w:val="28"/>
    </w:rPr>
  </w:style>
  <w:style w:type="character" w:customStyle="1" w:styleId="Heading8Char">
    <w:name w:val="Heading 8 Char"/>
    <w:basedOn w:val="DefaultParagraphFont"/>
    <w:link w:val="Heading8"/>
    <w:rsid w:val="009E0904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E0904"/>
    <w:rPr>
      <w:rFonts w:ascii="Arial" w:hAnsi="Arial"/>
      <w:i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0904"/>
    <w:rPr>
      <w:rFonts w:ascii="Arial" w:eastAsia="SimSun" w:hAnsi="Arial" w:cs="Arial"/>
      <w:sz w:val="18"/>
      <w:lang w:eastAsia="zh-CN"/>
    </w:rPr>
  </w:style>
  <w:style w:type="paragraph" w:customStyle="1" w:styleId="Default">
    <w:name w:val="Default"/>
    <w:rsid w:val="009E090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semiHidden/>
    <w:rsid w:val="009E0904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aliases w:val="First level list"/>
    <w:basedOn w:val="Normal"/>
    <w:link w:val="ListParagraphChar"/>
    <w:uiPriority w:val="34"/>
    <w:qFormat/>
    <w:rsid w:val="009E0904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9E0904"/>
    <w:rPr>
      <w:color w:val="0000FF" w:themeColor="hyperlink"/>
      <w:u w:val="single"/>
    </w:rPr>
  </w:style>
  <w:style w:type="table" w:styleId="TableGrid">
    <w:name w:val="Table Grid"/>
    <w:basedOn w:val="TableNormal"/>
    <w:rsid w:val="009E0904"/>
    <w:rPr>
      <w:rFonts w:ascii="Arial" w:eastAsiaTheme="minorHAnsi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basedOn w:val="DefaultParagraphFont"/>
    <w:link w:val="BodyTextIndent"/>
    <w:semiHidden/>
    <w:rsid w:val="009E0904"/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semiHidden/>
    <w:rsid w:val="009E0904"/>
    <w:pPr>
      <w:tabs>
        <w:tab w:val="left" w:pos="567"/>
        <w:tab w:val="left" w:pos="1134"/>
        <w:tab w:val="left" w:pos="1701"/>
        <w:tab w:val="left" w:pos="5670"/>
      </w:tabs>
      <w:ind w:left="567"/>
    </w:pPr>
    <w:rPr>
      <w:rFonts w:eastAsia="Times New Roman" w:cs="Times New Roman"/>
      <w:lang w:eastAsia="en-US"/>
    </w:rPr>
  </w:style>
  <w:style w:type="character" w:customStyle="1" w:styleId="BodyTextIndentChar1">
    <w:name w:val="Body Text Indent Char1"/>
    <w:basedOn w:val="DefaultParagraphFont"/>
    <w:semiHidden/>
    <w:rsid w:val="009E0904"/>
    <w:rPr>
      <w:rFonts w:ascii="Arial" w:eastAsia="SimSun" w:hAnsi="Arial" w:cs="Arial"/>
      <w:sz w:val="22"/>
      <w:lang w:eastAsia="zh-CN"/>
    </w:rPr>
  </w:style>
  <w:style w:type="character" w:customStyle="1" w:styleId="ClosingChar">
    <w:name w:val="Closing Char"/>
    <w:basedOn w:val="DefaultParagraphFont"/>
    <w:link w:val="Closing"/>
    <w:semiHidden/>
    <w:rsid w:val="009E0904"/>
    <w:rPr>
      <w:rFonts w:ascii="Arial" w:hAnsi="Arial"/>
      <w:sz w:val="22"/>
    </w:rPr>
  </w:style>
  <w:style w:type="paragraph" w:styleId="Closing">
    <w:name w:val="Closing"/>
    <w:basedOn w:val="Normal"/>
    <w:link w:val="ClosingChar"/>
    <w:semiHidden/>
    <w:rsid w:val="009E0904"/>
    <w:pPr>
      <w:ind w:left="4253"/>
      <w:jc w:val="center"/>
    </w:pPr>
    <w:rPr>
      <w:rFonts w:eastAsia="Times New Roman" w:cs="Times New Roman"/>
      <w:lang w:eastAsia="en-US"/>
    </w:rPr>
  </w:style>
  <w:style w:type="character" w:customStyle="1" w:styleId="ClosingChar1">
    <w:name w:val="Closing Char1"/>
    <w:basedOn w:val="DefaultParagraphFont"/>
    <w:semiHidden/>
    <w:rsid w:val="009E0904"/>
    <w:rPr>
      <w:rFonts w:ascii="Arial" w:eastAsia="SimSun" w:hAnsi="Arial" w:cs="Arial"/>
      <w:sz w:val="22"/>
      <w:lang w:eastAsia="zh-CN"/>
    </w:rPr>
  </w:style>
  <w:style w:type="character" w:customStyle="1" w:styleId="MacroTextChar">
    <w:name w:val="Macro Text Char"/>
    <w:basedOn w:val="DefaultParagraphFont"/>
    <w:link w:val="MacroText"/>
    <w:semiHidden/>
    <w:rsid w:val="009E0904"/>
    <w:rPr>
      <w:rFonts w:ascii="Courier New" w:hAnsi="Courier New"/>
      <w:sz w:val="16"/>
    </w:rPr>
  </w:style>
  <w:style w:type="paragraph" w:styleId="MacroText">
    <w:name w:val="macro"/>
    <w:link w:val="MacroTextChar"/>
    <w:semiHidden/>
    <w:rsid w:val="009E0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1">
    <w:name w:val="Macro Text Char1"/>
    <w:basedOn w:val="DefaultParagraphFont"/>
    <w:semiHidden/>
    <w:rsid w:val="009E0904"/>
    <w:rPr>
      <w:rFonts w:ascii="Consolas" w:eastAsia="SimSun" w:hAnsi="Consolas" w:cs="Arial"/>
      <w:lang w:eastAsia="zh-CN"/>
    </w:rPr>
  </w:style>
  <w:style w:type="paragraph" w:styleId="TOC9">
    <w:name w:val="toc 9"/>
    <w:basedOn w:val="Normal"/>
    <w:next w:val="Normal"/>
    <w:semiHidden/>
    <w:rsid w:val="009E0904"/>
    <w:pPr>
      <w:tabs>
        <w:tab w:val="right" w:leader="dot" w:pos="8504"/>
      </w:tabs>
      <w:ind w:left="2080"/>
    </w:pPr>
    <w:rPr>
      <w:rFonts w:eastAsia="Times New Roman" w:cs="Times New Roman"/>
      <w:lang w:eastAsia="en-US"/>
    </w:rPr>
  </w:style>
  <w:style w:type="character" w:styleId="PageNumber">
    <w:name w:val="page number"/>
    <w:basedOn w:val="DefaultParagraphFont"/>
    <w:semiHidden/>
    <w:rsid w:val="009E0904"/>
  </w:style>
  <w:style w:type="paragraph" w:customStyle="1" w:styleId="DateSignatureAligned">
    <w:name w:val="Date / Signature Aligned"/>
    <w:basedOn w:val="Normal"/>
    <w:rsid w:val="009E0904"/>
    <w:pPr>
      <w:ind w:left="5250"/>
    </w:pPr>
  </w:style>
  <w:style w:type="character" w:styleId="Emphasis">
    <w:name w:val="Emphasis"/>
    <w:basedOn w:val="DefaultParagraphFont"/>
    <w:uiPriority w:val="20"/>
    <w:qFormat/>
    <w:rsid w:val="009E0904"/>
    <w:rPr>
      <w:i/>
      <w:iCs/>
    </w:rPr>
  </w:style>
  <w:style w:type="character" w:customStyle="1" w:styleId="CommentSubjectChar">
    <w:name w:val="Comment Subject Char"/>
    <w:basedOn w:val="CommentTextChar"/>
    <w:link w:val="CommentSubject"/>
    <w:semiHidden/>
    <w:rsid w:val="009E0904"/>
    <w:rPr>
      <w:rFonts w:ascii="Arial" w:eastAsia="SimSun" w:hAnsi="Arial" w:cs="Arial"/>
      <w:b/>
      <w:bCs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0904"/>
    <w:rPr>
      <w:b/>
      <w:bCs/>
    </w:rPr>
  </w:style>
  <w:style w:type="character" w:customStyle="1" w:styleId="CommentTextChar1">
    <w:name w:val="Comment Text Char1"/>
    <w:basedOn w:val="DefaultParagraphFont"/>
    <w:link w:val="CommentText"/>
    <w:semiHidden/>
    <w:rsid w:val="009E0904"/>
    <w:rPr>
      <w:rFonts w:ascii="Arial" w:eastAsia="SimSun" w:hAnsi="Arial" w:cs="Arial"/>
      <w:sz w:val="18"/>
      <w:lang w:eastAsia="zh-CN"/>
    </w:rPr>
  </w:style>
  <w:style w:type="character" w:customStyle="1" w:styleId="CommentSubjectChar1">
    <w:name w:val="Comment Subject Char1"/>
    <w:basedOn w:val="CommentTextChar1"/>
    <w:semiHidden/>
    <w:rsid w:val="009E0904"/>
    <w:rPr>
      <w:rFonts w:ascii="Arial" w:eastAsia="SimSun" w:hAnsi="Arial" w:cs="Arial"/>
      <w:b/>
      <w:bCs/>
      <w:sz w:val="18"/>
      <w:lang w:eastAsia="zh-CN"/>
    </w:rPr>
  </w:style>
  <w:style w:type="character" w:styleId="CommentReference">
    <w:name w:val="annotation reference"/>
    <w:basedOn w:val="DefaultParagraphFont"/>
    <w:unhideWhenUsed/>
    <w:rsid w:val="009E0904"/>
    <w:rPr>
      <w:sz w:val="16"/>
      <w:szCs w:val="16"/>
    </w:rPr>
  </w:style>
  <w:style w:type="paragraph" w:styleId="Revision">
    <w:name w:val="Revision"/>
    <w:hidden/>
    <w:uiPriority w:val="99"/>
    <w:semiHidden/>
    <w:rsid w:val="009E0904"/>
    <w:rPr>
      <w:rFonts w:ascii="Arial" w:eastAsia="SimSun" w:hAnsi="Arial" w:cs="Arial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rsid w:val="000B45E1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ListParagraphChar">
    <w:name w:val="List Paragraph Char"/>
    <w:aliases w:val="First level list Char"/>
    <w:basedOn w:val="DefaultParagraphFont"/>
    <w:link w:val="ListParagraph"/>
    <w:uiPriority w:val="34"/>
    <w:rsid w:val="00373E8B"/>
    <w:rPr>
      <w:rFonts w:ascii="Arial" w:hAnsi="Arial" w:cs="Arial"/>
      <w:sz w:val="22"/>
    </w:rPr>
  </w:style>
  <w:style w:type="paragraph" w:styleId="BodyText3">
    <w:name w:val="Body Text 3"/>
    <w:basedOn w:val="Normal"/>
    <w:link w:val="BodyText3Char"/>
    <w:semiHidden/>
    <w:unhideWhenUsed/>
    <w:rsid w:val="007315D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315D5"/>
    <w:rPr>
      <w:rFonts w:ascii="Arial" w:eastAsia="SimSun" w:hAnsi="Arial" w:cs="Arial"/>
      <w:sz w:val="16"/>
      <w:szCs w:val="16"/>
      <w:lang w:eastAsia="zh-CN"/>
    </w:rPr>
  </w:style>
  <w:style w:type="paragraph" w:styleId="BodyText2">
    <w:name w:val="Body Text 2"/>
    <w:basedOn w:val="Normal"/>
    <w:link w:val="BodyText2Char"/>
    <w:semiHidden/>
    <w:unhideWhenUsed/>
    <w:rsid w:val="007315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315D5"/>
    <w:rPr>
      <w:rFonts w:ascii="Arial" w:eastAsia="SimSun" w:hAnsi="Arial" w:cs="Arial"/>
      <w:sz w:val="22"/>
      <w:lang w:eastAsia="zh-CN"/>
    </w:rPr>
  </w:style>
  <w:style w:type="paragraph" w:customStyle="1" w:styleId="indent1">
    <w:name w:val="indent_1"/>
    <w:basedOn w:val="Normal"/>
    <w:rsid w:val="007315D5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7315D5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7315D5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7315D5"/>
    <w:rPr>
      <w:b/>
      <w:sz w:val="40"/>
      <w:szCs w:val="40"/>
      <w:lang w:val="en-GB" w:eastAsia="ja-JP"/>
    </w:rPr>
  </w:style>
  <w:style w:type="character" w:customStyle="1" w:styleId="Heading1Char">
    <w:name w:val="Heading 1 Char"/>
    <w:link w:val="Heading1"/>
    <w:locked/>
    <w:rsid w:val="007315D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F2B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892ACC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35D59"/>
    <w:rPr>
      <w:rFonts w:ascii="Arial" w:eastAsia="SimSun" w:hAnsi="Arial" w:cs="Arial"/>
      <w:sz w:val="22"/>
      <w:lang w:eastAsia="zh-CN"/>
    </w:rPr>
  </w:style>
  <w:style w:type="character" w:styleId="EndnoteReference">
    <w:name w:val="endnote reference"/>
    <w:basedOn w:val="DefaultParagraphFont"/>
    <w:semiHidden/>
    <w:unhideWhenUsed/>
    <w:rsid w:val="00735D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7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592EC-76ED-4DDE-AB14-15ACFDC3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1408</Words>
  <Characters>6930</Characters>
  <Application>Microsoft Office Word</Application>
  <DocSecurity>0</DocSecurity>
  <Lines>191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DiazN</dc:creator>
  <cp:keywords>FOR OFFICIAL USE ONLY</cp:keywords>
  <dc:description/>
  <cp:lastModifiedBy>ST LEGER Nathalie</cp:lastModifiedBy>
  <cp:revision>6</cp:revision>
  <cp:lastPrinted>2020-10-13T16:12:00Z</cp:lastPrinted>
  <dcterms:created xsi:type="dcterms:W3CDTF">2020-10-12T17:21:00Z</dcterms:created>
  <dcterms:modified xsi:type="dcterms:W3CDTF">2020-10-13T16:12:00Z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e7fc8c85-bef8-4c7c-8f13-0bb10dfdc278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