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13"/>
        <w:gridCol w:w="4337"/>
        <w:gridCol w:w="506"/>
      </w:tblGrid>
      <w:tr w:rsidR="00782D8D" w:rsidRPr="001C27FE" w:rsidTr="00361450">
        <w:tc>
          <w:tcPr>
            <w:tcW w:w="4513" w:type="dxa"/>
            <w:tcBorders>
              <w:bottom w:val="single" w:sz="4" w:space="0" w:color="auto"/>
            </w:tcBorders>
            <w:tcMar>
              <w:bottom w:w="170" w:type="dxa"/>
            </w:tcMar>
          </w:tcPr>
          <w:p w:rsidR="00782D8D" w:rsidRPr="001C27FE" w:rsidRDefault="00782D8D" w:rsidP="00916EE2"/>
        </w:tc>
        <w:tc>
          <w:tcPr>
            <w:tcW w:w="4337" w:type="dxa"/>
            <w:tcBorders>
              <w:bottom w:val="single" w:sz="4" w:space="0" w:color="auto"/>
            </w:tcBorders>
            <w:tcMar>
              <w:left w:w="0" w:type="dxa"/>
              <w:bottom w:w="170" w:type="dxa"/>
              <w:right w:w="0" w:type="dxa"/>
            </w:tcMar>
          </w:tcPr>
          <w:p w:rsidR="00782D8D" w:rsidRPr="001C27FE" w:rsidRDefault="00C0671E" w:rsidP="00916EE2">
            <w:r w:rsidRPr="001C27FE">
              <w:rPr>
                <w:noProof/>
                <w:lang w:val="en-US" w:eastAsia="en-US"/>
              </w:rPr>
              <w:drawing>
                <wp:inline distT="0" distB="0" distL="0" distR="0" wp14:anchorId="4186BDCA" wp14:editId="692BCFDD">
                  <wp:extent cx="1835150" cy="1320165"/>
                  <wp:effectExtent l="0" t="0" r="0" b="0"/>
                  <wp:docPr id="1" name="Picture 2" descr="WIP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WIPO-S"/>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35150" cy="1320165"/>
                          </a:xfrm>
                          <a:prstGeom prst="rect">
                            <a:avLst/>
                          </a:prstGeom>
                          <a:noFill/>
                          <a:ln>
                            <a:noFill/>
                          </a:ln>
                        </pic:spPr>
                      </pic:pic>
                    </a:graphicData>
                  </a:graphic>
                </wp:inline>
              </w:drawing>
            </w:r>
          </w:p>
        </w:tc>
        <w:tc>
          <w:tcPr>
            <w:tcW w:w="425" w:type="dxa"/>
            <w:tcBorders>
              <w:bottom w:val="single" w:sz="4" w:space="0" w:color="auto"/>
            </w:tcBorders>
            <w:tcMar>
              <w:bottom w:w="170" w:type="dxa"/>
            </w:tcMar>
          </w:tcPr>
          <w:p w:rsidR="00782D8D" w:rsidRPr="001C27FE" w:rsidRDefault="00782D8D" w:rsidP="00906578">
            <w:pPr>
              <w:jc w:val="right"/>
            </w:pPr>
            <w:r w:rsidRPr="001C27FE">
              <w:rPr>
                <w:b/>
                <w:sz w:val="40"/>
                <w:szCs w:val="40"/>
              </w:rPr>
              <w:t>S</w:t>
            </w:r>
          </w:p>
        </w:tc>
      </w:tr>
      <w:tr w:rsidR="00782D8D" w:rsidRPr="001C27FE" w:rsidTr="00916EE2">
        <w:trPr>
          <w:trHeight w:hRule="exact" w:val="340"/>
        </w:trPr>
        <w:tc>
          <w:tcPr>
            <w:tcW w:w="9356" w:type="dxa"/>
            <w:gridSpan w:val="3"/>
            <w:tcBorders>
              <w:top w:val="single" w:sz="4" w:space="0" w:color="auto"/>
            </w:tcBorders>
            <w:tcMar>
              <w:top w:w="170" w:type="dxa"/>
              <w:left w:w="0" w:type="dxa"/>
              <w:right w:w="0" w:type="dxa"/>
            </w:tcMar>
            <w:vAlign w:val="bottom"/>
          </w:tcPr>
          <w:p w:rsidR="00782D8D" w:rsidRPr="001C27FE" w:rsidRDefault="00787B98" w:rsidP="00E05132">
            <w:pPr>
              <w:jc w:val="right"/>
              <w:rPr>
                <w:rFonts w:ascii="Arial Black" w:hAnsi="Arial Black"/>
                <w:caps/>
                <w:sz w:val="15"/>
              </w:rPr>
            </w:pPr>
            <w:r w:rsidRPr="001C27FE">
              <w:rPr>
                <w:rFonts w:ascii="Arial Black" w:hAnsi="Arial Black"/>
                <w:caps/>
                <w:sz w:val="15"/>
              </w:rPr>
              <w:t>h/ld/wg/</w:t>
            </w:r>
            <w:r w:rsidR="00A73595" w:rsidRPr="001C27FE">
              <w:rPr>
                <w:rFonts w:ascii="Arial Black" w:hAnsi="Arial Black"/>
                <w:caps/>
                <w:sz w:val="15"/>
              </w:rPr>
              <w:t>7</w:t>
            </w:r>
            <w:r w:rsidR="00782D8D" w:rsidRPr="001C27FE">
              <w:rPr>
                <w:rFonts w:ascii="Arial Black" w:hAnsi="Arial Black"/>
                <w:caps/>
                <w:sz w:val="15"/>
              </w:rPr>
              <w:t>/</w:t>
            </w:r>
            <w:bookmarkStart w:id="0" w:name="Code"/>
            <w:bookmarkEnd w:id="0"/>
            <w:r w:rsidR="00E05132" w:rsidRPr="001C27FE">
              <w:rPr>
                <w:rFonts w:ascii="Arial Black" w:hAnsi="Arial Black"/>
                <w:caps/>
                <w:sz w:val="15"/>
              </w:rPr>
              <w:t>8</w:t>
            </w:r>
          </w:p>
        </w:tc>
      </w:tr>
      <w:tr w:rsidR="00782D8D" w:rsidRPr="001C27FE" w:rsidTr="00916EE2">
        <w:trPr>
          <w:trHeight w:hRule="exact" w:val="170"/>
        </w:trPr>
        <w:tc>
          <w:tcPr>
            <w:tcW w:w="9356" w:type="dxa"/>
            <w:gridSpan w:val="3"/>
            <w:noWrap/>
            <w:tcMar>
              <w:left w:w="0" w:type="dxa"/>
              <w:right w:w="0" w:type="dxa"/>
            </w:tcMar>
            <w:vAlign w:val="bottom"/>
          </w:tcPr>
          <w:p w:rsidR="00782D8D" w:rsidRPr="001C27FE" w:rsidRDefault="00782D8D" w:rsidP="00906578">
            <w:pPr>
              <w:jc w:val="right"/>
              <w:rPr>
                <w:rFonts w:ascii="Arial Black" w:hAnsi="Arial Black"/>
                <w:caps/>
                <w:sz w:val="15"/>
              </w:rPr>
            </w:pPr>
            <w:r w:rsidRPr="001C27FE">
              <w:rPr>
                <w:rFonts w:ascii="Arial Black" w:hAnsi="Arial Black"/>
                <w:caps/>
                <w:sz w:val="15"/>
              </w:rPr>
              <w:t>ORIGINAL:</w:t>
            </w:r>
            <w:bookmarkStart w:id="1" w:name="Original"/>
            <w:bookmarkEnd w:id="1"/>
            <w:r w:rsidR="00A817EE" w:rsidRPr="001C27FE">
              <w:rPr>
                <w:rFonts w:ascii="Arial Black" w:hAnsi="Arial Black"/>
                <w:caps/>
                <w:sz w:val="15"/>
              </w:rPr>
              <w:t xml:space="preserve">  </w:t>
            </w:r>
            <w:r w:rsidRPr="001C27FE">
              <w:rPr>
                <w:rFonts w:ascii="Arial Black" w:hAnsi="Arial Black"/>
                <w:caps/>
                <w:sz w:val="15"/>
              </w:rPr>
              <w:t>Inglés</w:t>
            </w:r>
          </w:p>
        </w:tc>
      </w:tr>
      <w:tr w:rsidR="00782D8D" w:rsidRPr="001C27FE" w:rsidTr="00916EE2">
        <w:trPr>
          <w:trHeight w:hRule="exact" w:val="198"/>
        </w:trPr>
        <w:tc>
          <w:tcPr>
            <w:tcW w:w="9356" w:type="dxa"/>
            <w:gridSpan w:val="3"/>
            <w:tcMar>
              <w:left w:w="0" w:type="dxa"/>
              <w:right w:w="0" w:type="dxa"/>
            </w:tcMar>
            <w:vAlign w:val="bottom"/>
          </w:tcPr>
          <w:p w:rsidR="00782D8D" w:rsidRPr="001C27FE" w:rsidRDefault="00782D8D" w:rsidP="00016A28">
            <w:pPr>
              <w:jc w:val="right"/>
              <w:rPr>
                <w:rFonts w:ascii="Arial Black" w:hAnsi="Arial Black"/>
                <w:caps/>
                <w:sz w:val="15"/>
              </w:rPr>
            </w:pPr>
            <w:r w:rsidRPr="001C27FE">
              <w:rPr>
                <w:rFonts w:ascii="Arial Black" w:hAnsi="Arial Black"/>
                <w:caps/>
                <w:sz w:val="15"/>
              </w:rPr>
              <w:t>Fecha:</w:t>
            </w:r>
            <w:bookmarkStart w:id="2" w:name="Date"/>
            <w:bookmarkEnd w:id="2"/>
            <w:r w:rsidR="00A817EE" w:rsidRPr="001C27FE">
              <w:rPr>
                <w:rFonts w:ascii="Arial Black" w:hAnsi="Arial Black"/>
                <w:caps/>
                <w:sz w:val="15"/>
              </w:rPr>
              <w:t xml:space="preserve">  </w:t>
            </w:r>
            <w:r w:rsidR="00016A28">
              <w:rPr>
                <w:rFonts w:ascii="Arial Black" w:hAnsi="Arial Black"/>
                <w:caps/>
                <w:sz w:val="15"/>
              </w:rPr>
              <w:t>8</w:t>
            </w:r>
            <w:r w:rsidRPr="001C27FE">
              <w:rPr>
                <w:rFonts w:ascii="Arial Black" w:hAnsi="Arial Black"/>
                <w:caps/>
                <w:sz w:val="15"/>
              </w:rPr>
              <w:t xml:space="preserve"> de </w:t>
            </w:r>
            <w:r w:rsidR="00BC4D2B" w:rsidRPr="001C27FE">
              <w:rPr>
                <w:rFonts w:ascii="Arial Black" w:hAnsi="Arial Black"/>
                <w:caps/>
                <w:sz w:val="15"/>
              </w:rPr>
              <w:t>MAYO</w:t>
            </w:r>
            <w:r w:rsidRPr="001C27FE">
              <w:rPr>
                <w:rFonts w:ascii="Arial Black" w:hAnsi="Arial Black"/>
                <w:caps/>
                <w:sz w:val="15"/>
              </w:rPr>
              <w:t xml:space="preserve"> de 201</w:t>
            </w:r>
            <w:r w:rsidR="00A73595" w:rsidRPr="001C27FE">
              <w:rPr>
                <w:rFonts w:ascii="Arial Black" w:hAnsi="Arial Black"/>
                <w:caps/>
                <w:sz w:val="15"/>
              </w:rPr>
              <w:t>8</w:t>
            </w:r>
          </w:p>
        </w:tc>
      </w:tr>
    </w:tbl>
    <w:p w:rsidR="00F4799B" w:rsidRPr="001C27FE" w:rsidRDefault="00782D8D" w:rsidP="00BC4D2B">
      <w:pPr>
        <w:spacing w:before="1200"/>
        <w:rPr>
          <w:b/>
          <w:sz w:val="28"/>
          <w:szCs w:val="28"/>
        </w:rPr>
      </w:pPr>
      <w:r w:rsidRPr="001C27FE">
        <w:rPr>
          <w:b/>
          <w:sz w:val="28"/>
          <w:szCs w:val="28"/>
        </w:rPr>
        <w:t>Grupo de Trabajo sobre el Desarrollo Jurídico del Sistema de La Haya para el Registro Internacional de Dibujos y Modelos Industriales</w:t>
      </w:r>
    </w:p>
    <w:p w:rsidR="00F4799B" w:rsidRPr="001C27FE" w:rsidRDefault="00A73595" w:rsidP="005544F3">
      <w:pPr>
        <w:spacing w:before="480"/>
        <w:rPr>
          <w:b/>
          <w:sz w:val="24"/>
          <w:szCs w:val="24"/>
        </w:rPr>
      </w:pPr>
      <w:r w:rsidRPr="001C27FE">
        <w:rPr>
          <w:b/>
          <w:sz w:val="24"/>
          <w:szCs w:val="24"/>
        </w:rPr>
        <w:t>Séptim</w:t>
      </w:r>
      <w:r w:rsidR="00787B98" w:rsidRPr="001C27FE">
        <w:rPr>
          <w:b/>
          <w:sz w:val="24"/>
          <w:szCs w:val="24"/>
        </w:rPr>
        <w:t>a</w:t>
      </w:r>
      <w:r w:rsidR="00782D8D" w:rsidRPr="001C27FE">
        <w:rPr>
          <w:b/>
          <w:sz w:val="24"/>
          <w:szCs w:val="24"/>
        </w:rPr>
        <w:t xml:space="preserve"> reunión</w:t>
      </w:r>
    </w:p>
    <w:p w:rsidR="00437433" w:rsidRPr="001C27FE" w:rsidRDefault="00782D8D" w:rsidP="00016A28">
      <w:pPr>
        <w:rPr>
          <w:b/>
          <w:sz w:val="24"/>
          <w:szCs w:val="24"/>
        </w:rPr>
      </w:pPr>
      <w:r w:rsidRPr="001C27FE">
        <w:rPr>
          <w:b/>
          <w:sz w:val="24"/>
          <w:szCs w:val="24"/>
        </w:rPr>
        <w:t>Ginebra, 1</w:t>
      </w:r>
      <w:r w:rsidR="00A73595" w:rsidRPr="001C27FE">
        <w:rPr>
          <w:b/>
          <w:sz w:val="24"/>
          <w:szCs w:val="24"/>
        </w:rPr>
        <w:t>6</w:t>
      </w:r>
      <w:r w:rsidRPr="001C27FE">
        <w:rPr>
          <w:b/>
          <w:sz w:val="24"/>
          <w:szCs w:val="24"/>
        </w:rPr>
        <w:t xml:space="preserve"> a 1</w:t>
      </w:r>
      <w:r w:rsidR="00A73595" w:rsidRPr="001C27FE">
        <w:rPr>
          <w:b/>
          <w:sz w:val="24"/>
          <w:szCs w:val="24"/>
        </w:rPr>
        <w:t>8</w:t>
      </w:r>
      <w:r w:rsidRPr="001C27FE">
        <w:rPr>
          <w:b/>
          <w:sz w:val="24"/>
          <w:szCs w:val="24"/>
        </w:rPr>
        <w:t xml:space="preserve"> de </w:t>
      </w:r>
      <w:r w:rsidR="00A73595" w:rsidRPr="001C27FE">
        <w:rPr>
          <w:b/>
          <w:sz w:val="24"/>
          <w:szCs w:val="24"/>
        </w:rPr>
        <w:t>julio</w:t>
      </w:r>
      <w:r w:rsidR="00787B98" w:rsidRPr="001C27FE">
        <w:rPr>
          <w:b/>
          <w:sz w:val="24"/>
          <w:szCs w:val="24"/>
        </w:rPr>
        <w:t xml:space="preserve"> </w:t>
      </w:r>
      <w:r w:rsidRPr="001C27FE">
        <w:rPr>
          <w:b/>
          <w:sz w:val="24"/>
          <w:szCs w:val="24"/>
        </w:rPr>
        <w:t>de 201</w:t>
      </w:r>
      <w:r w:rsidR="00A73595" w:rsidRPr="001C27FE">
        <w:rPr>
          <w:b/>
          <w:sz w:val="24"/>
          <w:szCs w:val="24"/>
        </w:rPr>
        <w:t>8</w:t>
      </w:r>
    </w:p>
    <w:p w:rsidR="00E05132" w:rsidRPr="001C27FE" w:rsidRDefault="00241B30" w:rsidP="00E05132">
      <w:pPr>
        <w:spacing w:before="720"/>
        <w:rPr>
          <w:sz w:val="24"/>
          <w:szCs w:val="24"/>
        </w:rPr>
      </w:pPr>
      <w:r w:rsidRPr="001C27FE">
        <w:rPr>
          <w:caps/>
          <w:sz w:val="24"/>
          <w:szCs w:val="24"/>
        </w:rPr>
        <w:t xml:space="preserve">INFORME SOBRE LOS AVANCES </w:t>
      </w:r>
      <w:r w:rsidRPr="003268A0">
        <w:rPr>
          <w:caps/>
          <w:sz w:val="24"/>
          <w:szCs w:val="24"/>
        </w:rPr>
        <w:t xml:space="preserve">LOGRADOS en </w:t>
      </w:r>
      <w:r w:rsidR="00FF614C">
        <w:rPr>
          <w:caps/>
          <w:sz w:val="24"/>
          <w:szCs w:val="24"/>
        </w:rPr>
        <w:t xml:space="preserve">RELACIÓN CON </w:t>
      </w:r>
      <w:r w:rsidRPr="003268A0">
        <w:rPr>
          <w:caps/>
          <w:sz w:val="24"/>
          <w:szCs w:val="24"/>
        </w:rPr>
        <w:t>el aumento</w:t>
      </w:r>
      <w:r w:rsidR="00437433" w:rsidRPr="003268A0">
        <w:rPr>
          <w:caps/>
          <w:sz w:val="24"/>
          <w:szCs w:val="24"/>
        </w:rPr>
        <w:t xml:space="preserve"> DEL NIVEL DE DETALLE DE LOS DATOS CONTENIDOS EN EL</w:t>
      </w:r>
      <w:r w:rsidR="00437433" w:rsidRPr="001C27FE">
        <w:rPr>
          <w:caps/>
          <w:sz w:val="24"/>
          <w:szCs w:val="24"/>
        </w:rPr>
        <w:t xml:space="preserve"> REGISTRO INTERNACIONAL</w:t>
      </w:r>
    </w:p>
    <w:p w:rsidR="00E05132" w:rsidRPr="001C27FE" w:rsidRDefault="00E05132" w:rsidP="00E05132">
      <w:pPr>
        <w:spacing w:before="240" w:after="960"/>
        <w:rPr>
          <w:i/>
        </w:rPr>
      </w:pPr>
      <w:bookmarkStart w:id="3" w:name="Prepared"/>
      <w:bookmarkEnd w:id="3"/>
      <w:r w:rsidRPr="001C27FE">
        <w:rPr>
          <w:i/>
        </w:rPr>
        <w:t>Document</w:t>
      </w:r>
      <w:r w:rsidR="00437433" w:rsidRPr="001C27FE">
        <w:rPr>
          <w:i/>
        </w:rPr>
        <w:t>o preparado por la Oficina Internacional</w:t>
      </w:r>
    </w:p>
    <w:p w:rsidR="00E05132" w:rsidRPr="001C27FE" w:rsidRDefault="00E05132" w:rsidP="00016A28">
      <w:pPr>
        <w:pStyle w:val="Heading1"/>
        <w:spacing w:after="240"/>
      </w:pPr>
      <w:r w:rsidRPr="001C27FE">
        <w:t>I.</w:t>
      </w:r>
      <w:r w:rsidRPr="001C27FE">
        <w:tab/>
      </w:r>
      <w:r w:rsidR="00437433" w:rsidRPr="001C27FE">
        <w:t>antecedentes</w:t>
      </w:r>
    </w:p>
    <w:p w:rsidR="00E05132" w:rsidRPr="001C27FE" w:rsidRDefault="00437433" w:rsidP="004B1FAC">
      <w:pPr>
        <w:pStyle w:val="ONUMFS"/>
      </w:pPr>
      <w:r w:rsidRPr="001C27FE">
        <w:t>En su sexta reunión, celebrada en junio de 2016, el Grupo de Trabajo sobre el Desarrollo Jurídico del Sistema de La Haya para el Registro Internacional de Dibujos y Modelos Industriales (en lo sucesivo, el “Grupo de Trabajo”), examinó la posi</w:t>
      </w:r>
      <w:r w:rsidR="004B1FAC" w:rsidRPr="001C27FE">
        <w:t>bilidad de establecer una nueva</w:t>
      </w:r>
      <w:r w:rsidRPr="001C27FE">
        <w:t xml:space="preserve"> estructura de información </w:t>
      </w:r>
      <w:r w:rsidR="00FF614C">
        <w:t xml:space="preserve">para </w:t>
      </w:r>
      <w:r w:rsidR="004B1FAC" w:rsidRPr="001C27FE">
        <w:t xml:space="preserve">el Registro Internacional a fin de mejorar la estructura </w:t>
      </w:r>
      <w:r w:rsidR="00D332CD" w:rsidRPr="001C27FE">
        <w:t>vigente</w:t>
      </w:r>
      <w:r w:rsidR="00E05132" w:rsidRPr="001C27FE">
        <w:rPr>
          <w:rStyle w:val="FootnoteReference"/>
        </w:rPr>
        <w:footnoteReference w:id="2"/>
      </w:r>
      <w:r w:rsidR="00016A28">
        <w:t>.</w:t>
      </w:r>
    </w:p>
    <w:p w:rsidR="00E05132" w:rsidRPr="001C27FE" w:rsidRDefault="004B1FAC" w:rsidP="00622113">
      <w:pPr>
        <w:pStyle w:val="ONUMFS"/>
      </w:pPr>
      <w:r w:rsidRPr="001C27FE">
        <w:t xml:space="preserve">El Grupo de Trabajo </w:t>
      </w:r>
      <w:r w:rsidR="00D332CD" w:rsidRPr="001C27FE">
        <w:t>examinó</w:t>
      </w:r>
      <w:r w:rsidRPr="001C27FE">
        <w:t xml:space="preserve"> diversas limitaciones técnicas detectadas en la estructura de información </w:t>
      </w:r>
      <w:r w:rsidR="00D332CD" w:rsidRPr="001C27FE">
        <w:t>vigente</w:t>
      </w:r>
      <w:r w:rsidRPr="001C27FE">
        <w:t xml:space="preserve">.  Las limitaciones comunicadas por las Oficinas de determinadas Partes Contratantes </w:t>
      </w:r>
      <w:r w:rsidR="00622113" w:rsidRPr="001C27FE">
        <w:t xml:space="preserve">se refieren principalmente a la subclase de la Clasificación de </w:t>
      </w:r>
      <w:proofErr w:type="spellStart"/>
      <w:r w:rsidR="00622113" w:rsidRPr="001C27FE">
        <w:t>Locarno</w:t>
      </w:r>
      <w:proofErr w:type="spellEnd"/>
      <w:r w:rsidR="00622113" w:rsidRPr="001C27FE">
        <w:t>, la indicación del producto</w:t>
      </w:r>
      <w:r w:rsidR="00CE1865" w:rsidRPr="001C27FE">
        <w:t>,</w:t>
      </w:r>
      <w:r w:rsidR="00622113" w:rsidRPr="001C27FE">
        <w:t xml:space="preserve"> y el nombre y la dirección del creador, </w:t>
      </w:r>
      <w:r w:rsidR="00EF7859" w:rsidRPr="001C27FE">
        <w:t>en particular, cuando las Oficinas tienen que importar</w:t>
      </w:r>
      <w:r w:rsidR="00622113" w:rsidRPr="001C27FE">
        <w:t xml:space="preserve"> la información a sus sistemas </w:t>
      </w:r>
      <w:r w:rsidR="00FF614C">
        <w:t>locales</w:t>
      </w:r>
      <w:r w:rsidR="00E05132" w:rsidRPr="001C27FE">
        <w:t>.</w:t>
      </w:r>
    </w:p>
    <w:p w:rsidR="00E05132" w:rsidRPr="001C27FE" w:rsidRDefault="001C207E" w:rsidP="00E05132">
      <w:pPr>
        <w:pStyle w:val="ONUMFS"/>
      </w:pPr>
      <w:r>
        <w:t xml:space="preserve">Con el </w:t>
      </w:r>
      <w:r w:rsidRPr="003268A0">
        <w:t>objeto de</w:t>
      </w:r>
      <w:r w:rsidR="00622113" w:rsidRPr="003268A0">
        <w:t xml:space="preserve"> </w:t>
      </w:r>
      <w:r w:rsidR="00241B30" w:rsidRPr="003268A0">
        <w:t>aumentar</w:t>
      </w:r>
      <w:r w:rsidR="00EF7859" w:rsidRPr="003268A0">
        <w:t xml:space="preserve"> </w:t>
      </w:r>
      <w:r w:rsidR="003268A0" w:rsidRPr="003268A0">
        <w:t>el nivel de detalle</w:t>
      </w:r>
      <w:r w:rsidR="00622113" w:rsidRPr="003268A0">
        <w:t xml:space="preserve">, </w:t>
      </w:r>
      <w:r w:rsidRPr="003268A0">
        <w:t xml:space="preserve">y </w:t>
      </w:r>
      <w:r>
        <w:t>facilitar así</w:t>
      </w:r>
      <w:r w:rsidR="00EF7859" w:rsidRPr="001C27FE">
        <w:t xml:space="preserve"> la</w:t>
      </w:r>
      <w:r w:rsidR="00622113" w:rsidRPr="001C27FE">
        <w:t xml:space="preserve"> importación de información y </w:t>
      </w:r>
      <w:r>
        <w:t>contribuir</w:t>
      </w:r>
      <w:r w:rsidR="003454F3">
        <w:t xml:space="preserve"> al</w:t>
      </w:r>
      <w:r w:rsidR="00622113" w:rsidRPr="001C27FE">
        <w:t xml:space="preserve"> desarrollo </w:t>
      </w:r>
      <w:r w:rsidR="003454F3">
        <w:t>de</w:t>
      </w:r>
      <w:r w:rsidR="00643A9F">
        <w:t xml:space="preserve"> nuevas oportunidades en cuanto a</w:t>
      </w:r>
      <w:r w:rsidR="003454F3">
        <w:t xml:space="preserve"> los aspectos jurídicos</w:t>
      </w:r>
      <w:r w:rsidR="00622113" w:rsidRPr="001C27FE">
        <w:t xml:space="preserve"> del Sistema de La Haya, el Grupo de Trabajo se manifestó a favor de la nueva estructura de información </w:t>
      </w:r>
      <w:r w:rsidR="00865031" w:rsidRPr="001C27FE">
        <w:t>propuesta para facilitar</w:t>
      </w:r>
      <w:r w:rsidR="00622113" w:rsidRPr="001C27FE">
        <w:t xml:space="preserve"> el almacenamiento de </w:t>
      </w:r>
      <w:r w:rsidR="00CB6605">
        <w:t xml:space="preserve">la </w:t>
      </w:r>
      <w:r w:rsidR="00622113" w:rsidRPr="001C27FE">
        <w:t xml:space="preserve">información </w:t>
      </w:r>
      <w:r w:rsidR="003454F3">
        <w:t>de cada dibujo o modelo</w:t>
      </w:r>
      <w:r w:rsidR="00622113" w:rsidRPr="001C27FE">
        <w:t xml:space="preserve"> en el Registro Internacional.  En consecuencia, el Grupo de Trabajo invitó a la Oficina Internacional a que present</w:t>
      </w:r>
      <w:r w:rsidR="00EF7859" w:rsidRPr="001C27FE">
        <w:t>ara</w:t>
      </w:r>
      <w:r w:rsidR="00622113" w:rsidRPr="001C27FE">
        <w:t xml:space="preserve"> un análisis </w:t>
      </w:r>
      <w:r>
        <w:t>de</w:t>
      </w:r>
      <w:r w:rsidR="00622113" w:rsidRPr="001C27FE">
        <w:t xml:space="preserve"> las consecuencias prácticas, técnicas y jurídicas </w:t>
      </w:r>
      <w:r w:rsidR="00622113" w:rsidRPr="001C27FE">
        <w:lastRenderedPageBreak/>
        <w:t xml:space="preserve">de la estructura de información propuesta.  </w:t>
      </w:r>
      <w:r w:rsidR="00CB6605">
        <w:t>S</w:t>
      </w:r>
      <w:r w:rsidR="00182D53" w:rsidRPr="001C27FE">
        <w:t xml:space="preserve">e expone </w:t>
      </w:r>
      <w:r w:rsidR="00CB6605">
        <w:t xml:space="preserve">más abajo </w:t>
      </w:r>
      <w:r w:rsidR="00CE1865" w:rsidRPr="001C27FE">
        <w:t xml:space="preserve">la información </w:t>
      </w:r>
      <w:r w:rsidR="00CB6605">
        <w:t>correspondiente</w:t>
      </w:r>
      <w:r w:rsidR="00182D53" w:rsidRPr="001C27FE">
        <w:t>.</w:t>
      </w:r>
    </w:p>
    <w:p w:rsidR="00E05132" w:rsidRPr="001C27FE" w:rsidRDefault="00497C46" w:rsidP="007B3B47">
      <w:pPr>
        <w:pStyle w:val="ONUMFS"/>
      </w:pPr>
      <w:r w:rsidRPr="001C27FE">
        <w:t xml:space="preserve">Por otra parte, en la </w:t>
      </w:r>
      <w:r w:rsidR="00B910E6" w:rsidRPr="001C27FE">
        <w:t>solicitud</w:t>
      </w:r>
      <w:r w:rsidRPr="001C27FE">
        <w:t xml:space="preserve"> cursada el 19 de abril de 2017</w:t>
      </w:r>
      <w:r w:rsidR="00865031" w:rsidRPr="001C27FE">
        <w:t>,</w:t>
      </w:r>
      <w:r w:rsidRPr="001C27FE">
        <w:t xml:space="preserve"> en la que se pedía que se formularan comentarios sobre el proyecto de informe de la sexta reunión del Grupo de Trabajo</w:t>
      </w:r>
      <w:r w:rsidRPr="001C27FE">
        <w:rPr>
          <w:rStyle w:val="FootnoteReference"/>
        </w:rPr>
        <w:footnoteReference w:id="3"/>
      </w:r>
      <w:r w:rsidR="00016A28">
        <w:t>,</w:t>
      </w:r>
      <w:r w:rsidRPr="001C27FE">
        <w:t xml:space="preserve"> la Secretaría informó a los miembros del Grupo de Trabajo</w:t>
      </w:r>
      <w:r w:rsidR="00865031" w:rsidRPr="001C27FE">
        <w:t xml:space="preserve"> de </w:t>
      </w:r>
      <w:r w:rsidRPr="001C27FE">
        <w:t xml:space="preserve">que </w:t>
      </w:r>
      <w:r w:rsidR="005D36E4">
        <w:t xml:space="preserve">en el marco de la labor del </w:t>
      </w:r>
      <w:r w:rsidR="005544F3">
        <w:t>e</w:t>
      </w:r>
      <w:r w:rsidR="005544F3" w:rsidRPr="001C27FE">
        <w:t xml:space="preserve">quipo </w:t>
      </w:r>
      <w:r w:rsidR="005544F3">
        <w:t>t</w:t>
      </w:r>
      <w:r w:rsidR="005544F3" w:rsidRPr="001C27FE">
        <w:t xml:space="preserve">écnico </w:t>
      </w:r>
      <w:r w:rsidR="005D36E4" w:rsidRPr="001C27FE">
        <w:t>XML4IP del Comité de Normas Técnicas (CWS)</w:t>
      </w:r>
      <w:r w:rsidR="005D36E4">
        <w:t xml:space="preserve"> se están produciendo importantes</w:t>
      </w:r>
      <w:r w:rsidRPr="001C27FE">
        <w:t xml:space="preserve"> avances técnicos con respecto a la estructura de información del Registro Internacional</w:t>
      </w:r>
      <w:r w:rsidR="007B3B47" w:rsidRPr="001C27FE">
        <w:t>.  Dicho Equipo Técnico está encargado de la revisión de la Norma ST.96 de la OMPI, “Recomendación sobre el tratamiento en XML</w:t>
      </w:r>
      <w:r w:rsidR="00B910E6" w:rsidRPr="001C27FE">
        <w:t xml:space="preserve"> (lenguaje extensible de marcado</w:t>
      </w:r>
      <w:r w:rsidR="007B3B47" w:rsidRPr="001C27FE">
        <w:t>) de la información relativa a la propiedad industrial” (en lo sucesivo, “Norma ST.96”)</w:t>
      </w:r>
      <w:r w:rsidR="00E05132" w:rsidRPr="001C27FE">
        <w:t>.</w:t>
      </w:r>
    </w:p>
    <w:p w:rsidR="00E05132" w:rsidRPr="001C27FE" w:rsidRDefault="00622113" w:rsidP="00E05132">
      <w:pPr>
        <w:pStyle w:val="ONUMFS"/>
      </w:pPr>
      <w:r w:rsidRPr="001C27FE">
        <w:t>E</w:t>
      </w:r>
      <w:r w:rsidR="004E2345" w:rsidRPr="001C27FE">
        <w:t>n e</w:t>
      </w:r>
      <w:r w:rsidRPr="001C27FE">
        <w:t xml:space="preserve">l presente documento </w:t>
      </w:r>
      <w:r w:rsidR="004E2345" w:rsidRPr="001C27FE">
        <w:t>se informa de los avances en el</w:t>
      </w:r>
      <w:r w:rsidRPr="001C27FE">
        <w:t xml:space="preserve"> proyecto mencionado</w:t>
      </w:r>
      <w:r w:rsidR="00E05132" w:rsidRPr="001C27FE">
        <w:t>.</w:t>
      </w:r>
    </w:p>
    <w:p w:rsidR="00E05132" w:rsidRPr="001C27FE" w:rsidRDefault="00E05132" w:rsidP="00016A28">
      <w:pPr>
        <w:pStyle w:val="Heading1"/>
        <w:spacing w:before="480" w:after="240"/>
      </w:pPr>
      <w:r w:rsidRPr="001C27FE">
        <w:t>II.</w:t>
      </w:r>
      <w:r w:rsidRPr="001C27FE">
        <w:tab/>
      </w:r>
      <w:r w:rsidR="00016A28">
        <w:t>AVANCES LOGRADOS</w:t>
      </w:r>
    </w:p>
    <w:p w:rsidR="00E05132" w:rsidRPr="001C27FE" w:rsidRDefault="00F22718" w:rsidP="00AA06A4">
      <w:pPr>
        <w:pStyle w:val="ONUMFS"/>
      </w:pPr>
      <w:r w:rsidRPr="001C27FE">
        <w:t xml:space="preserve">La Oficina Internacional trabaja en un nuevo sistema de TI </w:t>
      </w:r>
      <w:r w:rsidR="00AA06A4" w:rsidRPr="001C27FE">
        <w:t>que dé soporte a</w:t>
      </w:r>
      <w:r w:rsidRPr="001C27FE">
        <w:t xml:space="preserve"> sus funciones principales, en particular, la administraci</w:t>
      </w:r>
      <w:r w:rsidR="005D36E4">
        <w:t>ón del Registro Internacional y</w:t>
      </w:r>
      <w:r w:rsidR="008A7CFF" w:rsidRPr="001C27FE">
        <w:t xml:space="preserve"> </w:t>
      </w:r>
      <w:r w:rsidRPr="001C27FE">
        <w:t>l</w:t>
      </w:r>
      <w:r w:rsidR="005D36E4">
        <w:t>a labor de examen</w:t>
      </w:r>
      <w:r w:rsidRPr="001C27FE">
        <w:t xml:space="preserve">.  </w:t>
      </w:r>
      <w:r w:rsidR="00AA06A4" w:rsidRPr="001C27FE">
        <w:t>En la etapa de desarrollo</w:t>
      </w:r>
      <w:r w:rsidRPr="001C27FE">
        <w:t xml:space="preserve">, se reconfiguró la base de datos del nuevo sistema para dotarla </w:t>
      </w:r>
      <w:r w:rsidR="00005A50" w:rsidRPr="001C27FE">
        <w:t xml:space="preserve">de flexibilidad en el almacenamiento y la recuperación de datos en función del nivel de </w:t>
      </w:r>
      <w:r w:rsidR="00607053">
        <w:t>detalle</w:t>
      </w:r>
      <w:r w:rsidR="00005A50" w:rsidRPr="001C27FE">
        <w:t xml:space="preserve"> propuesto.  El nuevo sistema se implementará </w:t>
      </w:r>
      <w:r w:rsidR="00AA06A4" w:rsidRPr="001C27FE">
        <w:t xml:space="preserve">en 2018 y sus ventajas </w:t>
      </w:r>
      <w:r w:rsidR="00F80B37">
        <w:t>deberían empezar</w:t>
      </w:r>
      <w:r w:rsidR="00AA06A4" w:rsidRPr="001C27FE">
        <w:t xml:space="preserve"> a </w:t>
      </w:r>
      <w:r w:rsidR="002C5ED8">
        <w:t>manifestarse</w:t>
      </w:r>
      <w:r w:rsidR="00AA06A4" w:rsidRPr="001C27FE">
        <w:t xml:space="preserve"> a principios de 2019.  La mayoría de los cambios que se </w:t>
      </w:r>
      <w:r w:rsidR="00241B30" w:rsidRPr="001C27FE">
        <w:t>señalan</w:t>
      </w:r>
      <w:r w:rsidR="00AA06A4" w:rsidRPr="001C27FE">
        <w:t xml:space="preserve"> a continuación no se apreciarán hasta que el nuevo sistema se haya puesto en marcha</w:t>
      </w:r>
      <w:r w:rsidR="00E05132" w:rsidRPr="001C27FE">
        <w:t>.</w:t>
      </w:r>
    </w:p>
    <w:p w:rsidR="00712148" w:rsidRPr="001C27FE" w:rsidRDefault="00AA06A4" w:rsidP="00E05132">
      <w:pPr>
        <w:pStyle w:val="ONUMFS"/>
      </w:pPr>
      <w:r w:rsidRPr="001C27FE">
        <w:t>En lo que respecta al intercambio electrónico de datos con las diversas Oficinas, la estructura de los datos fue definida por el Equipo Técnico XML4IP.  En consecuencia, los componentes XML relativos al Sistema de La Haya</w:t>
      </w:r>
      <w:r w:rsidR="00712148" w:rsidRPr="001C27FE">
        <w:t xml:space="preserve"> fueron incorporados en la versión 3.0 de la Norma Técnica ST.96;  más de 10 Oficinas contribuyeron activamente en</w:t>
      </w:r>
      <w:r w:rsidR="008A7CFF" w:rsidRPr="001C27FE">
        <w:t xml:space="preserve"> la elaboración de</w:t>
      </w:r>
      <w:r w:rsidR="00712148" w:rsidRPr="001C27FE">
        <w:t xml:space="preserve"> esa versión.  En lo que respecta a la transición </w:t>
      </w:r>
      <w:r w:rsidR="008A7CFF" w:rsidRPr="001C27FE">
        <w:t xml:space="preserve">de </w:t>
      </w:r>
      <w:r w:rsidR="003F3CED">
        <w:t>la versión vigente</w:t>
      </w:r>
      <w:r w:rsidR="00712148" w:rsidRPr="001C27FE">
        <w:t xml:space="preserve"> a la</w:t>
      </w:r>
      <w:r w:rsidR="008A7CFF" w:rsidRPr="001C27FE">
        <w:t xml:space="preserve"> nueva</w:t>
      </w:r>
      <w:r w:rsidR="00712148" w:rsidRPr="001C27FE">
        <w:t xml:space="preserve"> Norma ST.96, se presentó </w:t>
      </w:r>
      <w:r w:rsidR="008A7CFF" w:rsidRPr="001C27FE">
        <w:t xml:space="preserve">al CWS </w:t>
      </w:r>
      <w:r w:rsidR="00712148" w:rsidRPr="001C27FE">
        <w:t xml:space="preserve">una hoja de ruta, de la que </w:t>
      </w:r>
      <w:r w:rsidR="008A7CFF" w:rsidRPr="001C27FE">
        <w:t>se expone</w:t>
      </w:r>
      <w:r w:rsidR="00712148" w:rsidRPr="001C27FE">
        <w:t xml:space="preserve"> una versión actualizada en el Anexo del presente documento.</w:t>
      </w:r>
    </w:p>
    <w:p w:rsidR="00E05132" w:rsidRPr="001C27FE" w:rsidRDefault="00E05132" w:rsidP="00016A28">
      <w:pPr>
        <w:pStyle w:val="Heading1"/>
        <w:spacing w:before="480" w:after="240"/>
      </w:pPr>
      <w:r w:rsidRPr="001C27FE">
        <w:t>III.</w:t>
      </w:r>
      <w:r w:rsidRPr="001C27FE">
        <w:tab/>
      </w:r>
      <w:r w:rsidR="00AA06A4" w:rsidRPr="001C27FE">
        <w:t>análisis</w:t>
      </w:r>
    </w:p>
    <w:p w:rsidR="00E05132" w:rsidRPr="001C27FE" w:rsidRDefault="004E2345" w:rsidP="00016A28">
      <w:pPr>
        <w:pStyle w:val="Heading2"/>
        <w:spacing w:after="240"/>
      </w:pPr>
      <w:r w:rsidRPr="001C27FE">
        <w:t>CONSECUENCIAS</w:t>
      </w:r>
      <w:r w:rsidR="004A6ACE" w:rsidRPr="001C27FE">
        <w:t xml:space="preserve"> TÉCNICAS</w:t>
      </w:r>
    </w:p>
    <w:p w:rsidR="00E05132" w:rsidRPr="001C27FE" w:rsidRDefault="00D945A0" w:rsidP="00E05132">
      <w:pPr>
        <w:pStyle w:val="ONUMFS"/>
      </w:pPr>
      <w:r w:rsidRPr="001C27FE">
        <w:t xml:space="preserve">El modelado de datos para el intercambio </w:t>
      </w:r>
      <w:r w:rsidR="00AE5A47" w:rsidRPr="001C27FE">
        <w:t xml:space="preserve">electrónico de datos </w:t>
      </w:r>
      <w:r w:rsidR="007B7385">
        <w:t>con</w:t>
      </w:r>
      <w:r w:rsidR="00AE5A47" w:rsidRPr="001C27FE">
        <w:t xml:space="preserve"> las Oficinas se logró mediante </w:t>
      </w:r>
      <w:r w:rsidR="004E2345" w:rsidRPr="001C27FE">
        <w:t>el desarrollo</w:t>
      </w:r>
      <w:r w:rsidR="00AE5A47" w:rsidRPr="001C27FE">
        <w:t xml:space="preserve"> de la Norma ST.96, que dio lugar a la incorporación de los componentes XML relativos al Sistema de La Haya en la versión publicada de la norma</w:t>
      </w:r>
      <w:r w:rsidR="004E2345" w:rsidRPr="001C27FE">
        <w:t xml:space="preserve"> (versión 3.0)</w:t>
      </w:r>
      <w:r w:rsidR="00AE5A47" w:rsidRPr="001C27FE">
        <w:t xml:space="preserve"> presentada en febrero de 2018</w:t>
      </w:r>
      <w:r w:rsidR="00AE5A47" w:rsidRPr="001C27FE">
        <w:rPr>
          <w:rStyle w:val="FootnoteReference"/>
        </w:rPr>
        <w:footnoteReference w:id="4"/>
      </w:r>
      <w:r w:rsidR="00016A28">
        <w:t>.</w:t>
      </w:r>
      <w:r w:rsidR="00AE5A47" w:rsidRPr="001C27FE">
        <w:t xml:space="preserve">  </w:t>
      </w:r>
      <w:r w:rsidR="006E08A7">
        <w:t>T</w:t>
      </w:r>
      <w:r w:rsidR="00A971C0" w:rsidRPr="001C27FE">
        <w:t xml:space="preserve">al y como solicitó la </w:t>
      </w:r>
      <w:r w:rsidR="00016A28">
        <w:t>d</w:t>
      </w:r>
      <w:r w:rsidR="00A971C0" w:rsidRPr="001C27FE">
        <w:t>elegación del Japón durante la última reunión del Grupo de Trabajo</w:t>
      </w:r>
      <w:r w:rsidR="00A971C0" w:rsidRPr="001C27FE">
        <w:rPr>
          <w:rStyle w:val="FootnoteReference"/>
        </w:rPr>
        <w:footnoteReference w:id="5"/>
      </w:r>
      <w:r w:rsidR="00016A28">
        <w:t>,</w:t>
      </w:r>
      <w:r w:rsidR="00A971C0" w:rsidRPr="001C27FE">
        <w:t xml:space="preserve"> se ha documentado detalladamente l</w:t>
      </w:r>
      <w:r w:rsidR="007B7385">
        <w:t xml:space="preserve">a definición </w:t>
      </w:r>
      <w:r w:rsidR="005544F3">
        <w:t xml:space="preserve">resultante </w:t>
      </w:r>
      <w:r w:rsidR="007B7385">
        <w:t>de esquema </w:t>
      </w:r>
      <w:r w:rsidR="00AE5A47" w:rsidRPr="001C27FE">
        <w:t>XML (XSD)</w:t>
      </w:r>
      <w:r w:rsidR="00A971C0" w:rsidRPr="001C27FE">
        <w:t>.</w:t>
      </w:r>
    </w:p>
    <w:p w:rsidR="00E05132" w:rsidRPr="001C27FE" w:rsidRDefault="00C75D07" w:rsidP="00E05132">
      <w:pPr>
        <w:pStyle w:val="ONUMFS"/>
      </w:pPr>
      <w:r w:rsidRPr="001C27FE">
        <w:t xml:space="preserve">El modelado de datos del Registro Internacional para el nuevo sistema central </w:t>
      </w:r>
      <w:r w:rsidR="00B212BE" w:rsidRPr="001C27FE">
        <w:t xml:space="preserve">de TI </w:t>
      </w:r>
      <w:r w:rsidRPr="001C27FE">
        <w:t xml:space="preserve">de la Oficina Internacional se </w:t>
      </w:r>
      <w:r w:rsidR="007E1144" w:rsidRPr="001C27FE">
        <w:t>finalizó</w:t>
      </w:r>
      <w:r w:rsidR="00B212BE" w:rsidRPr="001C27FE">
        <w:t xml:space="preserve"> en</w:t>
      </w:r>
      <w:r w:rsidRPr="001C27FE">
        <w:t xml:space="preserve"> </w:t>
      </w:r>
      <w:r w:rsidR="00E05132" w:rsidRPr="001C27FE">
        <w:t>2017.</w:t>
      </w:r>
    </w:p>
    <w:p w:rsidR="00E05132" w:rsidRPr="001C27FE" w:rsidRDefault="00C75D07" w:rsidP="00016A28">
      <w:pPr>
        <w:pStyle w:val="Heading2"/>
        <w:spacing w:before="480" w:after="240"/>
      </w:pPr>
      <w:r w:rsidRPr="001C27FE">
        <w:lastRenderedPageBreak/>
        <w:t>CONSECUENCIAS PRÁCTICAS</w:t>
      </w:r>
    </w:p>
    <w:p w:rsidR="00E05132" w:rsidRPr="001C27FE" w:rsidRDefault="009E6A22" w:rsidP="00E05132">
      <w:pPr>
        <w:pStyle w:val="ONUMFS"/>
      </w:pPr>
      <w:r>
        <w:rPr>
          <w:bCs/>
          <w:u w:val="single"/>
        </w:rPr>
        <w:t>D</w:t>
      </w:r>
      <w:r w:rsidR="007C2762" w:rsidRPr="001C27FE">
        <w:rPr>
          <w:bCs/>
          <w:u w:val="single"/>
        </w:rPr>
        <w:t xml:space="preserve">escripción </w:t>
      </w:r>
      <w:r>
        <w:rPr>
          <w:bCs/>
          <w:u w:val="single"/>
        </w:rPr>
        <w:t xml:space="preserve">por </w:t>
      </w:r>
      <w:r w:rsidR="007C2762" w:rsidRPr="001C27FE">
        <w:rPr>
          <w:bCs/>
          <w:u w:val="single"/>
        </w:rPr>
        <w:t>dibujo o modelo</w:t>
      </w:r>
      <w:proofErr w:type="gramStart"/>
      <w:r w:rsidR="007B7385">
        <w:rPr>
          <w:bCs/>
        </w:rPr>
        <w:t xml:space="preserve">: </w:t>
      </w:r>
      <w:r w:rsidR="00E05132" w:rsidRPr="001C27FE">
        <w:t xml:space="preserve"> </w:t>
      </w:r>
      <w:r w:rsidR="00BD0F6C" w:rsidRPr="001C27FE">
        <w:t>En</w:t>
      </w:r>
      <w:proofErr w:type="gramEnd"/>
      <w:r w:rsidR="00BD0F6C" w:rsidRPr="001C27FE">
        <w:t xml:space="preserve"> el modelo de datos revisado del Registro Internacional, </w:t>
      </w:r>
      <w:r w:rsidR="0082308E" w:rsidRPr="001C27FE">
        <w:t xml:space="preserve">la base de datos </w:t>
      </w:r>
      <w:r w:rsidR="002072EA">
        <w:t>subyacente</w:t>
      </w:r>
      <w:r w:rsidR="0082308E" w:rsidRPr="001C27FE">
        <w:t xml:space="preserve"> </w:t>
      </w:r>
      <w:r>
        <w:t>aprovecha</w:t>
      </w:r>
      <w:r w:rsidR="00241B30" w:rsidRPr="001C27FE">
        <w:t xml:space="preserve"> la capacidad de establecer</w:t>
      </w:r>
      <w:r w:rsidR="0082308E" w:rsidRPr="001C27FE">
        <w:t xml:space="preserve"> </w:t>
      </w:r>
      <w:r>
        <w:t>varios tipos de relaci</w:t>
      </w:r>
      <w:r w:rsidR="00C03B81">
        <w:t>on</w:t>
      </w:r>
      <w:r w:rsidR="002072EA">
        <w:t>es</w:t>
      </w:r>
      <w:r w:rsidR="0082308E" w:rsidRPr="001C27FE">
        <w:t xml:space="preserve">.  Así, una descripción puede </w:t>
      </w:r>
      <w:r w:rsidR="00D06D6D" w:rsidRPr="001C27FE">
        <w:rPr>
          <w:i/>
        </w:rPr>
        <w:t>asociarse</w:t>
      </w:r>
      <w:r w:rsidR="0082308E" w:rsidRPr="001C27FE">
        <w:t xml:space="preserve"> </w:t>
      </w:r>
      <w:r w:rsidR="00D06D6D" w:rsidRPr="001C27FE">
        <w:t>a</w:t>
      </w:r>
      <w:r>
        <w:t xml:space="preserve"> uno o varios dibujos o</w:t>
      </w:r>
      <w:r w:rsidR="0082308E" w:rsidRPr="001C27FE">
        <w:t xml:space="preserve"> modelos sin </w:t>
      </w:r>
      <w:r>
        <w:t>necesidad de repetirse</w:t>
      </w:r>
      <w:r w:rsidR="0082308E" w:rsidRPr="001C27FE">
        <w:t xml:space="preserve">, lo cual </w:t>
      </w:r>
      <w:r>
        <w:t>ahorra</w:t>
      </w:r>
      <w:r w:rsidR="00013421">
        <w:t>ría</w:t>
      </w:r>
      <w:r w:rsidR="0082308E" w:rsidRPr="001C27FE">
        <w:t xml:space="preserve"> a los usuarios la tarea de tener que copiar y pegar las descripciones</w:t>
      </w:r>
      <w:r w:rsidR="00E05132" w:rsidRPr="001C27FE">
        <w:rPr>
          <w:rStyle w:val="FootnoteAnchor"/>
        </w:rPr>
        <w:footnoteReference w:id="6"/>
      </w:r>
      <w:r w:rsidR="00016A28">
        <w:t>.</w:t>
      </w:r>
      <w:r w:rsidR="00E05132" w:rsidRPr="001C27FE">
        <w:t xml:space="preserve">  </w:t>
      </w:r>
      <w:r w:rsidR="00D91D0C" w:rsidRPr="001C27FE">
        <w:t>Además</w:t>
      </w:r>
      <w:r w:rsidR="0082308E" w:rsidRPr="001C27FE">
        <w:t>,</w:t>
      </w:r>
      <w:r w:rsidR="007C2762" w:rsidRPr="001C27FE">
        <w:t xml:space="preserve"> el “mismo texto” </w:t>
      </w:r>
      <w:r w:rsidR="00D06D6D" w:rsidRPr="001C27FE">
        <w:t>asociado a</w:t>
      </w:r>
      <w:r w:rsidR="007C2762" w:rsidRPr="001C27FE">
        <w:t xml:space="preserve"> más de un dibujo o modelo no se contará varias veces en el </w:t>
      </w:r>
      <w:r w:rsidR="009D1754" w:rsidRPr="001C27FE">
        <w:t>recuento</w:t>
      </w:r>
      <w:r w:rsidR="007C2762" w:rsidRPr="001C27FE">
        <w:t xml:space="preserve"> de palabras para calcular las tasas </w:t>
      </w:r>
      <w:r w:rsidR="00BA67AE">
        <w:t>adicionales</w:t>
      </w:r>
      <w:r w:rsidR="00E05132" w:rsidRPr="001C27FE">
        <w:rPr>
          <w:rStyle w:val="FootnoteAnchor"/>
        </w:rPr>
        <w:footnoteReference w:id="7"/>
      </w:r>
      <w:r w:rsidR="00016A28">
        <w:t>.</w:t>
      </w:r>
    </w:p>
    <w:p w:rsidR="00E05132" w:rsidRPr="001C27FE" w:rsidRDefault="009E6A22" w:rsidP="009D1754">
      <w:pPr>
        <w:pStyle w:val="ONUMFS"/>
      </w:pPr>
      <w:r>
        <w:rPr>
          <w:bCs/>
          <w:u w:val="single"/>
        </w:rPr>
        <w:t>D</w:t>
      </w:r>
      <w:r w:rsidR="000B56D4" w:rsidRPr="001C27FE">
        <w:rPr>
          <w:bCs/>
          <w:u w:val="single"/>
        </w:rPr>
        <w:t xml:space="preserve">esignación </w:t>
      </w:r>
      <w:r>
        <w:rPr>
          <w:bCs/>
          <w:u w:val="single"/>
        </w:rPr>
        <w:t>correspondiente a</w:t>
      </w:r>
      <w:r w:rsidR="000B56D4" w:rsidRPr="001C27FE">
        <w:rPr>
          <w:bCs/>
          <w:u w:val="single"/>
        </w:rPr>
        <w:t xml:space="preserve"> </w:t>
      </w:r>
      <w:r>
        <w:rPr>
          <w:bCs/>
          <w:u w:val="single"/>
        </w:rPr>
        <w:t>los</w:t>
      </w:r>
      <w:r w:rsidR="000B56D4" w:rsidRPr="001C27FE">
        <w:rPr>
          <w:bCs/>
          <w:u w:val="single"/>
        </w:rPr>
        <w:t xml:space="preserve"> dibujo</w:t>
      </w:r>
      <w:r>
        <w:rPr>
          <w:bCs/>
          <w:u w:val="single"/>
        </w:rPr>
        <w:t>s</w:t>
      </w:r>
      <w:r w:rsidR="000B56D4" w:rsidRPr="001C27FE">
        <w:rPr>
          <w:bCs/>
          <w:u w:val="single"/>
        </w:rPr>
        <w:t xml:space="preserve"> o modelo</w:t>
      </w:r>
      <w:r>
        <w:rPr>
          <w:bCs/>
          <w:u w:val="single"/>
        </w:rPr>
        <w:t>s</w:t>
      </w:r>
      <w:proofErr w:type="gramStart"/>
      <w:r w:rsidR="009D1754" w:rsidRPr="00016A28">
        <w:rPr>
          <w:bCs/>
        </w:rPr>
        <w:t>:</w:t>
      </w:r>
      <w:r w:rsidR="00E05132" w:rsidRPr="001C27FE">
        <w:rPr>
          <w:bCs/>
        </w:rPr>
        <w:t xml:space="preserve"> </w:t>
      </w:r>
      <w:r w:rsidR="00E05132" w:rsidRPr="001C27FE">
        <w:t xml:space="preserve"> </w:t>
      </w:r>
      <w:r w:rsidR="009D1754" w:rsidRPr="001C27FE">
        <w:t>Mediante</w:t>
      </w:r>
      <w:proofErr w:type="gramEnd"/>
      <w:r w:rsidR="009D1754" w:rsidRPr="001C27FE">
        <w:t xml:space="preserve"> el nuevo sistema </w:t>
      </w:r>
      <w:r w:rsidR="00D06D6D" w:rsidRPr="001C27FE">
        <w:t>central de TI</w:t>
      </w:r>
      <w:r w:rsidR="009D1754" w:rsidRPr="001C27FE">
        <w:t xml:space="preserve">, la Oficina Internacional almacenará información en una matriz en la que cada dibujo o modelo se </w:t>
      </w:r>
      <w:r w:rsidR="00D06D6D" w:rsidRPr="001C27FE">
        <w:t>asociará a</w:t>
      </w:r>
      <w:r w:rsidR="009D1754" w:rsidRPr="001C27FE">
        <w:t xml:space="preserve"> la designación de una Parte Contratante.  </w:t>
      </w:r>
      <w:r w:rsidR="00D91D0C" w:rsidRPr="001C27FE">
        <w:t>Si, por una parte, este</w:t>
      </w:r>
      <w:r w:rsidR="009D1754" w:rsidRPr="001C27FE">
        <w:t xml:space="preserve"> mecanismo flexible </w:t>
      </w:r>
      <w:r w:rsidR="00D91D0C" w:rsidRPr="001C27FE">
        <w:t>agiliza</w:t>
      </w:r>
      <w:r w:rsidR="00927248" w:rsidRPr="001C27FE">
        <w:t>rá</w:t>
      </w:r>
      <w:r w:rsidR="009D1754" w:rsidRPr="001C27FE">
        <w:t xml:space="preserve"> </w:t>
      </w:r>
      <w:r w:rsidR="00D06D6D" w:rsidRPr="001C27FE">
        <w:t>los avances en materia jurídica</w:t>
      </w:r>
      <w:r w:rsidR="00D91D0C" w:rsidRPr="001C27FE">
        <w:t xml:space="preserve">, también </w:t>
      </w:r>
      <w:r w:rsidR="00927248" w:rsidRPr="001C27FE">
        <w:t>ahorra</w:t>
      </w:r>
      <w:r w:rsidR="009D1754" w:rsidRPr="001C27FE">
        <w:t xml:space="preserve"> la necesidad de enviar la lista de designaciones </w:t>
      </w:r>
      <w:r w:rsidR="006E08A7">
        <w:t>por</w:t>
      </w:r>
      <w:r w:rsidR="00D06D6D" w:rsidRPr="001C27FE">
        <w:t xml:space="preserve"> </w:t>
      </w:r>
      <w:r w:rsidR="009D1754" w:rsidRPr="001C27FE">
        <w:t xml:space="preserve">cada dibujo o modelo a las Oficinas de las Partes Contratantes designadas, </w:t>
      </w:r>
      <w:r w:rsidR="00927248" w:rsidRPr="001C27FE">
        <w:t>pues ello complicaría</w:t>
      </w:r>
      <w:r w:rsidR="009D1754" w:rsidRPr="001C27FE">
        <w:t xml:space="preserve"> </w:t>
      </w:r>
      <w:r w:rsidR="00D06D6D" w:rsidRPr="001C27FE">
        <w:t>la utilización y</w:t>
      </w:r>
      <w:r w:rsidR="009D1754" w:rsidRPr="001C27FE">
        <w:t xml:space="preserve"> </w:t>
      </w:r>
      <w:r w:rsidR="00927248" w:rsidRPr="001C27FE">
        <w:t xml:space="preserve">la </w:t>
      </w:r>
      <w:r w:rsidR="009D1754" w:rsidRPr="001C27FE">
        <w:t xml:space="preserve">gestión de datos del Sistema de La Haya por las Oficinas </w:t>
      </w:r>
      <w:r w:rsidR="00D91D0C" w:rsidRPr="001C27FE">
        <w:t>sin que resultara</w:t>
      </w:r>
      <w:r w:rsidR="009D1754" w:rsidRPr="001C27FE">
        <w:t xml:space="preserve"> ventajoso</w:t>
      </w:r>
      <w:r w:rsidR="00E05132" w:rsidRPr="001C27FE">
        <w:t>.</w:t>
      </w:r>
    </w:p>
    <w:p w:rsidR="00E05132" w:rsidRPr="001C27FE" w:rsidRDefault="00A072A6" w:rsidP="00E05132">
      <w:pPr>
        <w:pStyle w:val="ONUMFS"/>
      </w:pPr>
      <w:r w:rsidRPr="001C27FE">
        <w:rPr>
          <w:bCs/>
          <w:u w:val="single"/>
        </w:rPr>
        <w:t>Datos existentes</w:t>
      </w:r>
      <w:proofErr w:type="gramStart"/>
      <w:r w:rsidRPr="00016A28">
        <w:rPr>
          <w:bCs/>
        </w:rPr>
        <w:t>:</w:t>
      </w:r>
      <w:r w:rsidR="00E05132" w:rsidRPr="001C27FE">
        <w:t xml:space="preserve"> </w:t>
      </w:r>
      <w:r w:rsidRPr="001C27FE">
        <w:t xml:space="preserve"> Los</w:t>
      </w:r>
      <w:proofErr w:type="gramEnd"/>
      <w:r w:rsidRPr="001C27FE">
        <w:t xml:space="preserve"> registros inscritos antes de la implantación del nuevo sistema</w:t>
      </w:r>
      <w:r w:rsidR="008C2798" w:rsidRPr="001C27FE">
        <w:t xml:space="preserve"> central</w:t>
      </w:r>
      <w:r w:rsidRPr="001C27FE">
        <w:t xml:space="preserve"> no se </w:t>
      </w:r>
      <w:r w:rsidR="008C2798" w:rsidRPr="001C27FE">
        <w:t>modificarán</w:t>
      </w:r>
      <w:r w:rsidR="00E05132" w:rsidRPr="001C27FE">
        <w:rPr>
          <w:rStyle w:val="FootnoteAnchor"/>
        </w:rPr>
        <w:footnoteReference w:id="8"/>
      </w:r>
      <w:r w:rsidR="00016A28">
        <w:t>.</w:t>
      </w:r>
      <w:r w:rsidR="00E05132" w:rsidRPr="001C27FE">
        <w:t xml:space="preserve">  </w:t>
      </w:r>
      <w:r w:rsidR="00E84968" w:rsidRPr="001C27FE">
        <w:t xml:space="preserve">Sin embargo, podría ser necesario </w:t>
      </w:r>
      <w:r w:rsidR="00241B30" w:rsidRPr="001C27FE">
        <w:t>añadir información en</w:t>
      </w:r>
      <w:r w:rsidR="00E84968" w:rsidRPr="001C27FE">
        <w:t xml:space="preserve"> determinados registros con respecto a los cuales se haya solicitado la introducción de un cambio parcial en la titularidad.  En tales casos, y únicamente cuando sea necesario, la Oficina Internacional podría </w:t>
      </w:r>
      <w:r w:rsidR="00241B30" w:rsidRPr="001C27FE">
        <w:t>añadir información</w:t>
      </w:r>
      <w:r w:rsidR="00E84968" w:rsidRPr="001C27FE">
        <w:t xml:space="preserve"> </w:t>
      </w:r>
      <w:r w:rsidR="00241B30" w:rsidRPr="001C27FE">
        <w:t>en el</w:t>
      </w:r>
      <w:r w:rsidR="00E84968" w:rsidRPr="001C27FE">
        <w:t xml:space="preserve"> Registro antes de inscribir la transacción parcial.  Tales cambios se documentarán de forma que pueda seguir consultándose el registro en su forma </w:t>
      </w:r>
      <w:r w:rsidR="00927248" w:rsidRPr="001C27FE">
        <w:t>inicial</w:t>
      </w:r>
      <w:r w:rsidR="00E05132" w:rsidRPr="001C27FE">
        <w:t>.</w:t>
      </w:r>
    </w:p>
    <w:p w:rsidR="00E05132" w:rsidRPr="001C27FE" w:rsidRDefault="00C75D07" w:rsidP="00016A28">
      <w:pPr>
        <w:pStyle w:val="Heading2"/>
        <w:spacing w:after="240"/>
      </w:pPr>
      <w:r w:rsidRPr="001C27FE">
        <w:t>CONSECUENCIAS JURÍDICAS</w:t>
      </w:r>
    </w:p>
    <w:p w:rsidR="00E05132" w:rsidRPr="001C27FE" w:rsidRDefault="00241B30" w:rsidP="00E05132">
      <w:pPr>
        <w:pStyle w:val="ONUMFS"/>
      </w:pPr>
      <w:r w:rsidRPr="00607053">
        <w:t xml:space="preserve">El aumento </w:t>
      </w:r>
      <w:r w:rsidR="00607053" w:rsidRPr="00607053">
        <w:t>del</w:t>
      </w:r>
      <w:r w:rsidR="00607053">
        <w:t xml:space="preserve"> nivel de detalle</w:t>
      </w:r>
      <w:r w:rsidR="002A17D7" w:rsidRPr="001C27FE">
        <w:t xml:space="preserve"> de los datos contenidos en el Registro Internacional potencia las posibilidades de seguir mejorando el funcionamiento del Sistema de La Haya, por ejemplo, la posibilidad teórica de </w:t>
      </w:r>
      <w:r w:rsidR="007E17C6">
        <w:t>publicar determinados</w:t>
      </w:r>
      <w:r w:rsidR="002A17D7" w:rsidRPr="001C27FE">
        <w:t xml:space="preserve"> dibuj</w:t>
      </w:r>
      <w:r w:rsidR="007E17C6">
        <w:t xml:space="preserve">os </w:t>
      </w:r>
      <w:r w:rsidR="00013421">
        <w:t>o</w:t>
      </w:r>
      <w:r w:rsidR="002A17D7" w:rsidRPr="001C27FE">
        <w:t xml:space="preserve"> modelo</w:t>
      </w:r>
      <w:r w:rsidR="007E17C6">
        <w:t>s</w:t>
      </w:r>
      <w:r w:rsidR="00E05132" w:rsidRPr="001C27FE">
        <w:t>.</w:t>
      </w:r>
    </w:p>
    <w:p w:rsidR="00E05132" w:rsidRPr="001C27FE" w:rsidRDefault="002A17D7" w:rsidP="00C63588">
      <w:pPr>
        <w:pStyle w:val="ONUMFS"/>
      </w:pPr>
      <w:r w:rsidRPr="001C27FE">
        <w:t>En ese contexto, y durante la sexta reunión, la Delegación de los Estados Unidos de América preguntó por las posibles consecuencias jurídicas que acarrearía la introducci</w:t>
      </w:r>
      <w:r w:rsidR="00CA2C82" w:rsidRPr="001C27FE">
        <w:t xml:space="preserve">ón del concepto </w:t>
      </w:r>
      <w:r w:rsidR="00925AF7" w:rsidRPr="001C27FE">
        <w:t xml:space="preserve">de </w:t>
      </w:r>
      <w:r w:rsidR="00C63588" w:rsidRPr="001C27FE">
        <w:t xml:space="preserve">publicación </w:t>
      </w:r>
      <w:r w:rsidR="007E17C6">
        <w:t>de determinados dibujos y modelos</w:t>
      </w:r>
      <w:r w:rsidR="00E05132" w:rsidRPr="001C27FE">
        <w:rPr>
          <w:rStyle w:val="FootnoteAnchor"/>
        </w:rPr>
        <w:footnoteReference w:id="9"/>
      </w:r>
      <w:r w:rsidR="00016A28">
        <w:t>.</w:t>
      </w:r>
    </w:p>
    <w:p w:rsidR="00E05132" w:rsidRPr="001C27FE" w:rsidRDefault="00125FE7" w:rsidP="00E05132">
      <w:pPr>
        <w:pStyle w:val="ONUMFS"/>
      </w:pPr>
      <w:r w:rsidRPr="001C27FE">
        <w:t>Conforme a las Reglas</w:t>
      </w:r>
      <w:r w:rsidR="00E05132" w:rsidRPr="001C27FE">
        <w:t> 18</w:t>
      </w:r>
      <w:r w:rsidRPr="001C27FE">
        <w:t>.</w:t>
      </w:r>
      <w:r w:rsidR="00E05132" w:rsidRPr="001C27FE">
        <w:t xml:space="preserve">1)a) </w:t>
      </w:r>
      <w:r w:rsidRPr="001C27FE">
        <w:t>y</w:t>
      </w:r>
      <w:r w:rsidR="00E05132" w:rsidRPr="001C27FE">
        <w:t> 26</w:t>
      </w:r>
      <w:r w:rsidRPr="001C27FE">
        <w:t>.</w:t>
      </w:r>
      <w:r w:rsidR="00E05132" w:rsidRPr="001C27FE">
        <w:t xml:space="preserve">3) </w:t>
      </w:r>
      <w:r w:rsidRPr="001C27FE">
        <w:t xml:space="preserve">del Reglamento Común del Acta de </w:t>
      </w:r>
      <w:r w:rsidR="00E05132" w:rsidRPr="001C27FE">
        <w:t xml:space="preserve">1999 </w:t>
      </w:r>
      <w:r w:rsidRPr="001C27FE">
        <w:t xml:space="preserve">y del Acta de </w:t>
      </w:r>
      <w:r w:rsidR="00E05132" w:rsidRPr="001C27FE">
        <w:t>1960 </w:t>
      </w:r>
      <w:r w:rsidRPr="001C27FE">
        <w:t>del Arreglo de La Haya</w:t>
      </w:r>
      <w:r w:rsidR="00E05132" w:rsidRPr="001C27FE">
        <w:t xml:space="preserve">, </w:t>
      </w:r>
      <w:r w:rsidRPr="001C27FE">
        <w:t>el plazo prescrito para la notificación de denegaciones empieza a contar</w:t>
      </w:r>
      <w:r w:rsidR="00AD6B4A">
        <w:t>se</w:t>
      </w:r>
      <w:r w:rsidRPr="001C27FE">
        <w:t xml:space="preserve"> desde </w:t>
      </w:r>
      <w:r w:rsidR="00AD6B4A">
        <w:t>fecha de</w:t>
      </w:r>
      <w:r w:rsidRPr="001C27FE">
        <w:t xml:space="preserve"> publicación del registro internacional</w:t>
      </w:r>
      <w:r w:rsidR="00E05132" w:rsidRPr="001C27FE">
        <w:t>.</w:t>
      </w:r>
    </w:p>
    <w:p w:rsidR="00E05132" w:rsidRPr="001C27FE" w:rsidRDefault="00B61B82" w:rsidP="00E05132">
      <w:pPr>
        <w:pStyle w:val="ONUMFS"/>
      </w:pPr>
      <w:r w:rsidRPr="001C27FE">
        <w:t>La existencia de varias fechas de publicación para el mismo registro internacional da</w:t>
      </w:r>
      <w:r w:rsidR="00865150">
        <w:t>ría</w:t>
      </w:r>
      <w:r w:rsidRPr="001C27FE">
        <w:t xml:space="preserve"> lugar a diferentes plazos de denegación, y </w:t>
      </w:r>
      <w:r w:rsidR="00865150">
        <w:t>requeriría</w:t>
      </w:r>
      <w:r w:rsidRPr="001C27FE">
        <w:t xml:space="preserve"> el establecimiento y la supervisión de varios plazos con respecto al mismo registro internacional.  En función de cómo se </w:t>
      </w:r>
      <w:r w:rsidR="007E17C6">
        <w:t>establezca la</w:t>
      </w:r>
      <w:r w:rsidR="00CA2C82" w:rsidRPr="001C27FE">
        <w:t xml:space="preserve"> </w:t>
      </w:r>
      <w:r w:rsidRPr="001C27FE">
        <w:t>publicaci</w:t>
      </w:r>
      <w:r w:rsidR="00CA2C82" w:rsidRPr="001C27FE">
        <w:t xml:space="preserve">ón </w:t>
      </w:r>
      <w:r w:rsidR="007E17C6">
        <w:t xml:space="preserve">de determinados dibujos </w:t>
      </w:r>
      <w:r w:rsidR="00AD6B4A">
        <w:t>o</w:t>
      </w:r>
      <w:r w:rsidR="007E17C6">
        <w:t xml:space="preserve"> modelos</w:t>
      </w:r>
      <w:r w:rsidR="00CA2C82" w:rsidRPr="001C27FE">
        <w:t>, el proceso resultará más o menos complejo y podrá aumentar o no la carga de trabajo de las Oficinas de las Partes Contratantes designadas</w:t>
      </w:r>
      <w:r w:rsidR="00E05132" w:rsidRPr="001C27FE">
        <w:t>.</w:t>
      </w:r>
    </w:p>
    <w:p w:rsidR="00E05132" w:rsidRPr="001C27FE" w:rsidRDefault="008E7D82" w:rsidP="00E05132">
      <w:pPr>
        <w:pStyle w:val="ONUMFS"/>
      </w:pPr>
      <w:r w:rsidRPr="001C27FE">
        <w:t xml:space="preserve">Además, cuando la Parte Contratante </w:t>
      </w:r>
      <w:r w:rsidR="00B121AD" w:rsidRPr="001C27FE">
        <w:t>haya hecho</w:t>
      </w:r>
      <w:r w:rsidRPr="001C27FE">
        <w:t xml:space="preserve"> </w:t>
      </w:r>
      <w:r w:rsidR="00B121AD" w:rsidRPr="001C27FE">
        <w:t>una</w:t>
      </w:r>
      <w:r w:rsidRPr="001C27FE">
        <w:t xml:space="preserve"> declaración </w:t>
      </w:r>
      <w:r w:rsidR="00B121AD" w:rsidRPr="001C27FE">
        <w:t>conforme a la prevista en</w:t>
      </w:r>
      <w:r w:rsidRPr="001C27FE">
        <w:t xml:space="preserve"> el Artículo 13.1) del Acta de 1999, se plantea la cuestión de si los requisitos notificados mediante la declaración deberían aplicarse a cada parte del registro internacional </w:t>
      </w:r>
      <w:r w:rsidR="00102808" w:rsidRPr="001C27FE">
        <w:t>tal y como se haya</w:t>
      </w:r>
      <w:bookmarkStart w:id="4" w:name="_GoBack"/>
      <w:bookmarkEnd w:id="4"/>
      <w:r w:rsidR="00102808" w:rsidRPr="001C27FE">
        <w:t xml:space="preserve"> publicado</w:t>
      </w:r>
      <w:r w:rsidRPr="001C27FE">
        <w:t xml:space="preserve"> o </w:t>
      </w:r>
      <w:r w:rsidR="00B121AD" w:rsidRPr="001C27FE">
        <w:t>al</w:t>
      </w:r>
      <w:r w:rsidRPr="001C27FE">
        <w:t xml:space="preserve"> registro internacional</w:t>
      </w:r>
      <w:r w:rsidR="00B121AD" w:rsidRPr="001C27FE">
        <w:t xml:space="preserve"> en su totalidad</w:t>
      </w:r>
      <w:r w:rsidR="00E05132" w:rsidRPr="001C27FE">
        <w:t>.</w:t>
      </w:r>
    </w:p>
    <w:p w:rsidR="00E05132" w:rsidRPr="001C27FE" w:rsidRDefault="008E7D82" w:rsidP="00023B80">
      <w:pPr>
        <w:pStyle w:val="ONUMFS"/>
      </w:pPr>
      <w:r w:rsidRPr="001C27FE">
        <w:lastRenderedPageBreak/>
        <w:t xml:space="preserve">Dicha cuestión requeriría un análisis en profundidad.  Por ello, </w:t>
      </w:r>
      <w:r w:rsidR="00023B80" w:rsidRPr="001C27FE">
        <w:t xml:space="preserve">la presente iniciativa no debería comprender la introducción del concepto de publicación </w:t>
      </w:r>
      <w:r w:rsidR="007E17C6">
        <w:t>de determinados dibujos y modelos</w:t>
      </w:r>
      <w:r w:rsidR="00023B80" w:rsidRPr="001C27FE">
        <w:t xml:space="preserve">, </w:t>
      </w:r>
      <w:r w:rsidR="00847C27" w:rsidRPr="001C27FE">
        <w:t>sino que</w:t>
      </w:r>
      <w:r w:rsidR="00023B80" w:rsidRPr="001C27FE">
        <w:t xml:space="preserve"> debería centrarse en los avances técnicos relativos a la estructura de información, hasta que pueda demostrarse que el resultado positivo de esa medida </w:t>
      </w:r>
      <w:r w:rsidR="00847C27" w:rsidRPr="001C27FE">
        <w:t xml:space="preserve">compensa </w:t>
      </w:r>
      <w:r w:rsidR="00023B80" w:rsidRPr="001C27FE">
        <w:t>cualquier incidencia negativa</w:t>
      </w:r>
      <w:r w:rsidR="00E05132" w:rsidRPr="001C27FE">
        <w:t>.</w:t>
      </w:r>
    </w:p>
    <w:p w:rsidR="00E05132" w:rsidRPr="001C27FE" w:rsidRDefault="00E05132" w:rsidP="00016A28">
      <w:pPr>
        <w:pStyle w:val="Heading1"/>
        <w:spacing w:before="480" w:after="240"/>
      </w:pPr>
      <w:r w:rsidRPr="001C27FE">
        <w:t>IV.</w:t>
      </w:r>
      <w:r w:rsidRPr="001C27FE">
        <w:tab/>
      </w:r>
      <w:r w:rsidR="00C75D07" w:rsidRPr="001C27FE">
        <w:t xml:space="preserve">CONCLUSIÓN Y </w:t>
      </w:r>
      <w:r w:rsidR="00105443" w:rsidRPr="001C27FE">
        <w:t>ETAPAS</w:t>
      </w:r>
      <w:r w:rsidR="00C75D07" w:rsidRPr="001C27FE">
        <w:t xml:space="preserve"> SIGUIENTES</w:t>
      </w:r>
    </w:p>
    <w:p w:rsidR="00E05132" w:rsidRPr="001C27FE" w:rsidRDefault="00105443" w:rsidP="00105443">
      <w:pPr>
        <w:pStyle w:val="ONUMFS"/>
      </w:pPr>
      <w:r w:rsidRPr="001C27FE">
        <w:t xml:space="preserve">Esta iniciativa constituye un importante paso en la preparación del sistema para </w:t>
      </w:r>
      <w:r w:rsidR="00AD6B4A">
        <w:t>la evolución futura</w:t>
      </w:r>
      <w:r w:rsidR="009F1FE0" w:rsidRPr="001C27FE">
        <w:t xml:space="preserve"> </w:t>
      </w:r>
      <w:r w:rsidRPr="001C27FE">
        <w:t>del marco jurídico, iniciativa que debería además brindar a las Oficinas de las Partes Contratantes acceso a información más útil y provechosa en sus comunicaciones electrónicas con la Oficina Internacional</w:t>
      </w:r>
      <w:r w:rsidR="00E05132" w:rsidRPr="001C27FE">
        <w:t>.</w:t>
      </w:r>
    </w:p>
    <w:p w:rsidR="00E05132" w:rsidRPr="001C27FE" w:rsidRDefault="00105443" w:rsidP="00D970F5">
      <w:pPr>
        <w:pStyle w:val="ONUMFS"/>
      </w:pPr>
      <w:r w:rsidRPr="001C27FE">
        <w:t xml:space="preserve">En lo que respecta a las </w:t>
      </w:r>
      <w:r w:rsidR="00D970F5" w:rsidRPr="001C27FE">
        <w:t xml:space="preserve">etapas siguientes, la Oficina Internacional seguirá trabajando en la implantación satisfactoria </w:t>
      </w:r>
      <w:r w:rsidR="00847C27" w:rsidRPr="001C27FE">
        <w:t>del</w:t>
      </w:r>
      <w:r w:rsidR="00D970F5" w:rsidRPr="001C27FE">
        <w:t xml:space="preserve"> nuevo sistema central</w:t>
      </w:r>
      <w:r w:rsidR="00847C27" w:rsidRPr="001C27FE">
        <w:t xml:space="preserve"> de TI</w:t>
      </w:r>
      <w:r w:rsidR="00D970F5" w:rsidRPr="001C27FE">
        <w:t xml:space="preserve"> al tiempo que actualiza el formulario de solicitud para asegurar que los usuarios puedan servirse de la nueva estructura de información.  Asimismo, mantendrá su </w:t>
      </w:r>
      <w:r w:rsidR="007529E7">
        <w:t>eficaz</w:t>
      </w:r>
      <w:r w:rsidR="00D970F5" w:rsidRPr="001C27FE">
        <w:t xml:space="preserve"> colaboración con las Oficinas para impulsar la adopción generalizada de la nueva versión de la Norma</w:t>
      </w:r>
      <w:r w:rsidR="00E05132" w:rsidRPr="001C27FE">
        <w:t xml:space="preserve"> ST.96.</w:t>
      </w:r>
    </w:p>
    <w:p w:rsidR="00E05132" w:rsidRPr="001C27FE" w:rsidRDefault="00D970F5" w:rsidP="00D970F5">
      <w:pPr>
        <w:pStyle w:val="ONUMFS"/>
      </w:pPr>
      <w:r w:rsidRPr="001C27FE">
        <w:t xml:space="preserve">Por otra parte, </w:t>
      </w:r>
      <w:r w:rsidR="009F1FE0" w:rsidRPr="001C27FE">
        <w:t xml:space="preserve">convendría que </w:t>
      </w:r>
      <w:r w:rsidRPr="001C27FE">
        <w:t xml:space="preserve">el Grupo de Trabajo </w:t>
      </w:r>
      <w:r w:rsidR="009F1FE0" w:rsidRPr="001C27FE">
        <w:t>indique si estima</w:t>
      </w:r>
      <w:r w:rsidRPr="001C27FE">
        <w:t xml:space="preserve"> que la Oficina </w:t>
      </w:r>
      <w:r w:rsidRPr="007E17C6">
        <w:t xml:space="preserve">Internacional debería preparar un análisis de las consecuencias prácticas y jurídicas que </w:t>
      </w:r>
      <w:r w:rsidR="00DA68CE">
        <w:t>resultaría</w:t>
      </w:r>
      <w:r w:rsidR="004F230F">
        <w:t>n de</w:t>
      </w:r>
      <w:r w:rsidR="00DA68CE">
        <w:t xml:space="preserve"> </w:t>
      </w:r>
      <w:r w:rsidRPr="007E17C6">
        <w:t>la</w:t>
      </w:r>
      <w:r w:rsidR="004F230F">
        <w:t xml:space="preserve"> </w:t>
      </w:r>
      <w:r w:rsidR="005544F3">
        <w:t>posible</w:t>
      </w:r>
      <w:r w:rsidRPr="007E17C6">
        <w:t xml:space="preserve"> introducción del concepto de publicación </w:t>
      </w:r>
      <w:r w:rsidR="007E17C6">
        <w:t>de determinados dibujos y modelos</w:t>
      </w:r>
      <w:r w:rsidR="009F1FE0" w:rsidRPr="007E17C6">
        <w:t>,</w:t>
      </w:r>
      <w:r w:rsidR="00847C27" w:rsidRPr="007E17C6">
        <w:t xml:space="preserve"> referido</w:t>
      </w:r>
      <w:r w:rsidRPr="007E17C6">
        <w:t xml:space="preserve"> en el párrafo 1</w:t>
      </w:r>
      <w:r w:rsidR="00466BE1">
        <w:t>8</w:t>
      </w:r>
      <w:r w:rsidR="009F1FE0" w:rsidRPr="007E17C6">
        <w:t>,</w:t>
      </w:r>
      <w:r w:rsidR="00847C27" w:rsidRPr="001C27FE">
        <w:t xml:space="preserve"> a fin de presentar dicho análisis</w:t>
      </w:r>
      <w:r w:rsidRPr="001C27FE">
        <w:t xml:space="preserve"> en una próxima reunión del Grupo de Trabajo</w:t>
      </w:r>
      <w:r w:rsidR="00E05132" w:rsidRPr="001C27FE">
        <w:t>.</w:t>
      </w:r>
    </w:p>
    <w:p w:rsidR="00E05132" w:rsidRPr="001C27FE" w:rsidRDefault="00125FE7" w:rsidP="00E05132">
      <w:pPr>
        <w:pStyle w:val="ONUMFS"/>
        <w:tabs>
          <w:tab w:val="clear" w:pos="567"/>
        </w:tabs>
        <w:ind w:left="5529"/>
        <w:rPr>
          <w:i/>
        </w:rPr>
      </w:pPr>
      <w:r w:rsidRPr="001C27FE">
        <w:rPr>
          <w:i/>
        </w:rPr>
        <w:t>Se invita al Grupo de Trabajo a</w:t>
      </w:r>
      <w:r w:rsidR="00E05132" w:rsidRPr="001C27FE">
        <w:rPr>
          <w:i/>
        </w:rPr>
        <w:t>:</w:t>
      </w:r>
    </w:p>
    <w:p w:rsidR="00E05132" w:rsidRPr="001C27FE" w:rsidRDefault="00E05132" w:rsidP="00E05132">
      <w:pPr>
        <w:pStyle w:val="indenti"/>
        <w:ind w:left="6237" w:firstLine="0"/>
        <w:rPr>
          <w:i/>
          <w:lang w:val="es-ES"/>
        </w:rPr>
      </w:pPr>
      <w:r w:rsidRPr="001C27FE">
        <w:rPr>
          <w:i/>
          <w:lang w:val="es-ES"/>
        </w:rPr>
        <w:t>i)</w:t>
      </w:r>
      <w:r w:rsidRPr="001C27FE">
        <w:rPr>
          <w:i/>
          <w:lang w:val="es-ES"/>
        </w:rPr>
        <w:tab/>
      </w:r>
      <w:r w:rsidR="00125FE7" w:rsidRPr="001C27FE">
        <w:rPr>
          <w:i/>
          <w:lang w:val="es-ES"/>
        </w:rPr>
        <w:t>tomar nota del contenido del presente documento</w:t>
      </w:r>
      <w:r w:rsidRPr="001C27FE">
        <w:rPr>
          <w:i/>
          <w:lang w:val="es-ES"/>
        </w:rPr>
        <w:t>;</w:t>
      </w:r>
    </w:p>
    <w:p w:rsidR="00E05132" w:rsidRPr="001C27FE" w:rsidRDefault="00E05132" w:rsidP="00E05132">
      <w:pPr>
        <w:pStyle w:val="indenti"/>
        <w:ind w:left="6237" w:firstLine="0"/>
        <w:rPr>
          <w:i/>
          <w:lang w:val="es-ES"/>
        </w:rPr>
      </w:pPr>
    </w:p>
    <w:p w:rsidR="00E05132" w:rsidRPr="001C27FE" w:rsidRDefault="00E05132" w:rsidP="00E05132">
      <w:pPr>
        <w:pStyle w:val="indenti"/>
        <w:spacing w:after="720"/>
        <w:ind w:left="6237" w:firstLine="0"/>
        <w:rPr>
          <w:i/>
          <w:lang w:val="es-ES"/>
        </w:rPr>
      </w:pPr>
      <w:r w:rsidRPr="001C27FE">
        <w:rPr>
          <w:i/>
          <w:lang w:val="es-ES"/>
        </w:rPr>
        <w:t>ii)</w:t>
      </w:r>
      <w:r w:rsidRPr="001C27FE">
        <w:rPr>
          <w:i/>
          <w:lang w:val="es-ES"/>
        </w:rPr>
        <w:tab/>
      </w:r>
      <w:r w:rsidR="00023B80" w:rsidRPr="001C27FE">
        <w:rPr>
          <w:i/>
          <w:lang w:val="es-ES"/>
        </w:rPr>
        <w:t>formular observaciones acerca de las siguientes etapas que se proponen en los párrafos</w:t>
      </w:r>
      <w:r w:rsidRPr="001C27FE">
        <w:rPr>
          <w:i/>
          <w:lang w:val="es-ES"/>
        </w:rPr>
        <w:t xml:space="preserve"> 20 </w:t>
      </w:r>
      <w:r w:rsidR="00023B80" w:rsidRPr="001C27FE">
        <w:rPr>
          <w:i/>
          <w:lang w:val="es-ES"/>
        </w:rPr>
        <w:t>y</w:t>
      </w:r>
      <w:r w:rsidRPr="001C27FE">
        <w:rPr>
          <w:i/>
          <w:lang w:val="es-ES"/>
        </w:rPr>
        <w:t> 21</w:t>
      </w:r>
      <w:r w:rsidR="00F15757">
        <w:rPr>
          <w:i/>
          <w:lang w:val="es-ES"/>
        </w:rPr>
        <w:t>, anteriores</w:t>
      </w:r>
      <w:r w:rsidRPr="001C27FE">
        <w:rPr>
          <w:i/>
          <w:lang w:val="es-ES"/>
        </w:rPr>
        <w:t>.</w:t>
      </w:r>
    </w:p>
    <w:p w:rsidR="00E05132" w:rsidRPr="001C27FE" w:rsidRDefault="00E05132" w:rsidP="00E05132">
      <w:pPr>
        <w:pStyle w:val="Endofdocument-Annex"/>
        <w:rPr>
          <w:lang w:eastAsia="en-US"/>
        </w:rPr>
      </w:pPr>
      <w:r w:rsidRPr="001C27FE">
        <w:rPr>
          <w:lang w:eastAsia="en-US"/>
        </w:rPr>
        <w:t>[</w:t>
      </w:r>
      <w:r w:rsidR="00437433" w:rsidRPr="001C27FE">
        <w:rPr>
          <w:lang w:eastAsia="en-US"/>
        </w:rPr>
        <w:t>Sigue el Anexo</w:t>
      </w:r>
      <w:r w:rsidRPr="001C27FE">
        <w:rPr>
          <w:lang w:eastAsia="en-US"/>
        </w:rPr>
        <w:t>]</w:t>
      </w:r>
    </w:p>
    <w:p w:rsidR="00E05132" w:rsidRPr="001C27FE" w:rsidRDefault="00E05132" w:rsidP="00E05132">
      <w:pPr>
        <w:pStyle w:val="Endofdocument-Annex"/>
        <w:rPr>
          <w:lang w:eastAsia="en-US"/>
        </w:rPr>
        <w:sectPr w:rsidR="00E05132" w:rsidRPr="001C27FE" w:rsidSect="00E05132">
          <w:headerReference w:type="default" r:id="rId10"/>
          <w:endnotePr>
            <w:numFmt w:val="decimal"/>
          </w:endnotePr>
          <w:pgSz w:w="11907" w:h="16840" w:code="9"/>
          <w:pgMar w:top="567" w:right="1134" w:bottom="1418" w:left="1418" w:header="510" w:footer="1021" w:gutter="0"/>
          <w:cols w:space="720"/>
          <w:titlePg/>
          <w:docGrid w:linePitch="299"/>
        </w:sectPr>
      </w:pPr>
    </w:p>
    <w:p w:rsidR="00E05132" w:rsidRDefault="00F641C2" w:rsidP="00E05132">
      <w:pPr>
        <w:pStyle w:val="Endofdocument-Annex"/>
        <w:ind w:left="0"/>
        <w:rPr>
          <w:lang w:eastAsia="en-US"/>
        </w:rPr>
      </w:pPr>
      <w:r w:rsidRPr="00F641C2">
        <w:rPr>
          <w:noProof/>
          <w:lang w:val="en-US" w:eastAsia="en-US"/>
        </w:rPr>
        <w:lastRenderedPageBreak/>
        <w:drawing>
          <wp:inline distT="0" distB="0" distL="0" distR="0" wp14:anchorId="581F92C8" wp14:editId="4E4ED6BA">
            <wp:extent cx="9432925" cy="4960719"/>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432925" cy="4960719"/>
                    </a:xfrm>
                    <a:prstGeom prst="rect">
                      <a:avLst/>
                    </a:prstGeom>
                    <a:noFill/>
                    <a:ln>
                      <a:noFill/>
                    </a:ln>
                  </pic:spPr>
                </pic:pic>
              </a:graphicData>
            </a:graphic>
          </wp:inline>
        </w:drawing>
      </w:r>
    </w:p>
    <w:p w:rsidR="00AB3786" w:rsidRPr="00AB3786" w:rsidRDefault="00AB3786" w:rsidP="00AB3786">
      <w:pPr>
        <w:pStyle w:val="Endofdocument-Annex"/>
        <w:spacing w:before="720"/>
        <w:ind w:left="9639"/>
        <w:rPr>
          <w:color w:val="00000A"/>
        </w:rPr>
      </w:pPr>
      <w:r w:rsidRPr="00AB3786">
        <w:rPr>
          <w:color w:val="00000A"/>
        </w:rPr>
        <w:t>[Fin del Anexo y del documento]</w:t>
      </w:r>
    </w:p>
    <w:sectPr w:rsidR="00AB3786" w:rsidRPr="00AB3786" w:rsidSect="00E05132">
      <w:headerReference w:type="first" r:id="rId12"/>
      <w:endnotePr>
        <w:numFmt w:val="decimal"/>
      </w:endnotePr>
      <w:pgSz w:w="16840" w:h="11907" w:orient="landscape" w:code="9"/>
      <w:pgMar w:top="1418" w:right="567" w:bottom="1134" w:left="1418" w:header="510" w:footer="1021"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D7457" w:rsidRDefault="00FD7457">
      <w:r>
        <w:separator/>
      </w:r>
    </w:p>
  </w:endnote>
  <w:endnote w:type="continuationSeparator" w:id="0">
    <w:p w:rsidR="00FD7457" w:rsidRDefault="00FD7457" w:rsidP="003B38C1">
      <w:r>
        <w:separator/>
      </w:r>
    </w:p>
    <w:p w:rsidR="00FD7457" w:rsidRPr="004573C7" w:rsidRDefault="00FD7457" w:rsidP="003B38C1">
      <w:pPr>
        <w:spacing w:after="60"/>
        <w:rPr>
          <w:sz w:val="17"/>
          <w:lang w:val="en-US"/>
        </w:rPr>
      </w:pPr>
      <w:r w:rsidRPr="004573C7">
        <w:rPr>
          <w:sz w:val="17"/>
          <w:lang w:val="en-US"/>
        </w:rPr>
        <w:t>[Endnote continued from previous page]</w:t>
      </w:r>
    </w:p>
  </w:endnote>
  <w:endnote w:type="continuationNotice" w:id="1">
    <w:p w:rsidR="00FD7457" w:rsidRPr="004573C7" w:rsidRDefault="00FD7457" w:rsidP="003B38C1">
      <w:pPr>
        <w:spacing w:before="60"/>
        <w:jc w:val="right"/>
        <w:rPr>
          <w:sz w:val="17"/>
          <w:szCs w:val="17"/>
          <w:lang w:val="en-US"/>
        </w:rPr>
      </w:pPr>
      <w:r w:rsidRPr="004573C7">
        <w:rPr>
          <w:sz w:val="17"/>
          <w:szCs w:val="17"/>
          <w:lang w:val="en-US"/>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DokChampa">
    <w:panose1 w:val="020B0604020202020204"/>
    <w:charset w:val="00"/>
    <w:family w:val="swiss"/>
    <w:pitch w:val="variable"/>
    <w:sig w:usb0="03000003" w:usb1="00000000" w:usb2="00000000" w:usb3="00000000" w:csb0="00010001"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D7457" w:rsidRDefault="00FD7457">
      <w:r>
        <w:separator/>
      </w:r>
    </w:p>
  </w:footnote>
  <w:footnote w:type="continuationSeparator" w:id="0">
    <w:p w:rsidR="00FD7457" w:rsidRDefault="00FD7457" w:rsidP="008B60B2">
      <w:r>
        <w:separator/>
      </w:r>
    </w:p>
    <w:p w:rsidR="00FD7457" w:rsidRPr="004573C7" w:rsidRDefault="00FD7457" w:rsidP="008B60B2">
      <w:pPr>
        <w:spacing w:after="60"/>
        <w:rPr>
          <w:sz w:val="17"/>
          <w:szCs w:val="17"/>
          <w:lang w:val="en-US"/>
        </w:rPr>
      </w:pPr>
      <w:r w:rsidRPr="004573C7">
        <w:rPr>
          <w:sz w:val="17"/>
          <w:szCs w:val="17"/>
          <w:lang w:val="en-US"/>
        </w:rPr>
        <w:t>[Footnote continued from previous page]</w:t>
      </w:r>
    </w:p>
  </w:footnote>
  <w:footnote w:type="continuationNotice" w:id="1">
    <w:p w:rsidR="00FD7457" w:rsidRPr="004573C7" w:rsidRDefault="00FD7457" w:rsidP="008B60B2">
      <w:pPr>
        <w:spacing w:before="60"/>
        <w:jc w:val="right"/>
        <w:rPr>
          <w:sz w:val="17"/>
          <w:szCs w:val="17"/>
          <w:lang w:val="en-US"/>
        </w:rPr>
      </w:pPr>
      <w:r w:rsidRPr="004573C7">
        <w:rPr>
          <w:sz w:val="17"/>
          <w:szCs w:val="17"/>
          <w:lang w:val="en-US"/>
        </w:rPr>
        <w:t>[Footnote continued on next page]</w:t>
      </w:r>
    </w:p>
  </w:footnote>
  <w:footnote w:id="2">
    <w:p w:rsidR="00E05132" w:rsidRPr="00AB3786" w:rsidRDefault="00E05132" w:rsidP="00E05132">
      <w:pPr>
        <w:pStyle w:val="FootnoteText"/>
        <w:ind w:left="567" w:hanging="567"/>
        <w:rPr>
          <w:szCs w:val="18"/>
        </w:rPr>
      </w:pPr>
      <w:r w:rsidRPr="00E05132">
        <w:rPr>
          <w:rStyle w:val="FootnoteReference"/>
          <w:szCs w:val="18"/>
        </w:rPr>
        <w:footnoteRef/>
      </w:r>
      <w:r w:rsidRPr="00AB3786">
        <w:rPr>
          <w:szCs w:val="18"/>
        </w:rPr>
        <w:tab/>
      </w:r>
      <w:r w:rsidR="00016A28">
        <w:rPr>
          <w:szCs w:val="18"/>
        </w:rPr>
        <w:t>Remítase al</w:t>
      </w:r>
      <w:r w:rsidR="00437433" w:rsidRPr="00AB3786">
        <w:rPr>
          <w:szCs w:val="18"/>
        </w:rPr>
        <w:t xml:space="preserve"> documento</w:t>
      </w:r>
      <w:r w:rsidRPr="00AB3786">
        <w:rPr>
          <w:szCs w:val="18"/>
        </w:rPr>
        <w:t xml:space="preserve"> H/LD/WG/6/4.</w:t>
      </w:r>
    </w:p>
  </w:footnote>
  <w:footnote w:id="3">
    <w:p w:rsidR="00497C46" w:rsidRPr="00AB3786" w:rsidRDefault="00497C46" w:rsidP="00497C46">
      <w:pPr>
        <w:pStyle w:val="FootnoteText"/>
        <w:ind w:left="567" w:hanging="567"/>
        <w:rPr>
          <w:szCs w:val="18"/>
        </w:rPr>
      </w:pPr>
      <w:r w:rsidRPr="00E05132">
        <w:rPr>
          <w:rStyle w:val="FootnoteReference"/>
          <w:szCs w:val="18"/>
        </w:rPr>
        <w:footnoteRef/>
      </w:r>
      <w:r w:rsidRPr="00AB3786">
        <w:rPr>
          <w:szCs w:val="18"/>
        </w:rPr>
        <w:tab/>
      </w:r>
      <w:r w:rsidR="00016A28">
        <w:rPr>
          <w:szCs w:val="18"/>
        </w:rPr>
        <w:t>Remítase al</w:t>
      </w:r>
      <w:r w:rsidRPr="00AB3786">
        <w:rPr>
          <w:szCs w:val="18"/>
        </w:rPr>
        <w:t xml:space="preserve"> documento H/LD/WG/6/7 Prov.</w:t>
      </w:r>
    </w:p>
  </w:footnote>
  <w:footnote w:id="4">
    <w:p w:rsidR="00AE5A47" w:rsidRPr="00AB3786" w:rsidRDefault="00AE5A47" w:rsidP="00AE5A47">
      <w:pPr>
        <w:pStyle w:val="FootnoteText"/>
        <w:ind w:left="567" w:hanging="567"/>
        <w:rPr>
          <w:szCs w:val="18"/>
        </w:rPr>
      </w:pPr>
      <w:r w:rsidRPr="00E05132">
        <w:rPr>
          <w:rStyle w:val="FootnoteReference"/>
          <w:szCs w:val="18"/>
        </w:rPr>
        <w:footnoteRef/>
      </w:r>
      <w:r w:rsidRPr="00AB3786">
        <w:rPr>
          <w:szCs w:val="18"/>
        </w:rPr>
        <w:tab/>
        <w:t>Disponible en</w:t>
      </w:r>
      <w:proofErr w:type="gramStart"/>
      <w:r w:rsidRPr="00AB3786">
        <w:rPr>
          <w:szCs w:val="18"/>
        </w:rPr>
        <w:t>:  http</w:t>
      </w:r>
      <w:proofErr w:type="gramEnd"/>
      <w:r w:rsidRPr="00AB3786">
        <w:rPr>
          <w:szCs w:val="18"/>
        </w:rPr>
        <w:t>://www.wipo.int/standards/en/part_03_standards.html.</w:t>
      </w:r>
    </w:p>
  </w:footnote>
  <w:footnote w:id="5">
    <w:p w:rsidR="00A971C0" w:rsidRPr="00437433" w:rsidRDefault="00A971C0" w:rsidP="00A971C0">
      <w:pPr>
        <w:pStyle w:val="FootnoteText"/>
        <w:ind w:left="567" w:hanging="567"/>
        <w:rPr>
          <w:szCs w:val="18"/>
          <w:lang w:val="pt-PT"/>
        </w:rPr>
      </w:pPr>
      <w:r w:rsidRPr="00E05132">
        <w:rPr>
          <w:rStyle w:val="FootnoteReference"/>
          <w:szCs w:val="18"/>
        </w:rPr>
        <w:footnoteRef/>
      </w:r>
      <w:r w:rsidRPr="00437433">
        <w:rPr>
          <w:szCs w:val="18"/>
          <w:lang w:val="pt-PT"/>
        </w:rPr>
        <w:tab/>
      </w:r>
      <w:r w:rsidR="00016A28">
        <w:rPr>
          <w:szCs w:val="18"/>
          <w:lang w:val="pt-PT"/>
        </w:rPr>
        <w:t>Remítase al</w:t>
      </w:r>
      <w:r w:rsidRPr="00437433">
        <w:rPr>
          <w:szCs w:val="18"/>
          <w:lang w:val="pt-PT"/>
        </w:rPr>
        <w:t xml:space="preserve"> document</w:t>
      </w:r>
      <w:r>
        <w:rPr>
          <w:szCs w:val="18"/>
          <w:lang w:val="pt-PT"/>
        </w:rPr>
        <w:t>o</w:t>
      </w:r>
      <w:r w:rsidRPr="00437433">
        <w:rPr>
          <w:szCs w:val="18"/>
          <w:lang w:val="pt-PT"/>
        </w:rPr>
        <w:t xml:space="preserve"> H/LD/WG/6/7 Prov., </w:t>
      </w:r>
      <w:r>
        <w:rPr>
          <w:szCs w:val="18"/>
          <w:lang w:val="pt-PT"/>
        </w:rPr>
        <w:t>párrafo</w:t>
      </w:r>
      <w:r w:rsidRPr="00437433">
        <w:rPr>
          <w:szCs w:val="18"/>
          <w:lang w:val="pt-PT"/>
        </w:rPr>
        <w:t xml:space="preserve"> 94.</w:t>
      </w:r>
    </w:p>
  </w:footnote>
  <w:footnote w:id="6">
    <w:p w:rsidR="00E05132" w:rsidRPr="00437433" w:rsidRDefault="00E05132" w:rsidP="00BD0F6C">
      <w:pPr>
        <w:pStyle w:val="FootnoteText"/>
        <w:tabs>
          <w:tab w:val="left" w:pos="3544"/>
        </w:tabs>
        <w:ind w:left="567" w:hanging="567"/>
        <w:rPr>
          <w:szCs w:val="18"/>
          <w:lang w:val="pt-PT"/>
        </w:rPr>
      </w:pPr>
      <w:r w:rsidRPr="00E05132">
        <w:rPr>
          <w:szCs w:val="18"/>
          <w:vertAlign w:val="superscript"/>
        </w:rPr>
        <w:footnoteRef/>
      </w:r>
      <w:r w:rsidRPr="00437433">
        <w:rPr>
          <w:szCs w:val="18"/>
          <w:lang w:val="pt-PT"/>
        </w:rPr>
        <w:tab/>
      </w:r>
      <w:r w:rsidR="00016A28">
        <w:rPr>
          <w:szCs w:val="18"/>
          <w:lang w:val="pt-PT"/>
        </w:rPr>
        <w:t>Remítase al</w:t>
      </w:r>
      <w:r w:rsidRPr="00437433">
        <w:rPr>
          <w:szCs w:val="18"/>
          <w:lang w:val="pt-PT"/>
        </w:rPr>
        <w:t xml:space="preserve"> document</w:t>
      </w:r>
      <w:r w:rsidR="00437433">
        <w:rPr>
          <w:szCs w:val="18"/>
          <w:lang w:val="pt-PT"/>
        </w:rPr>
        <w:t>o</w:t>
      </w:r>
      <w:r w:rsidRPr="00437433">
        <w:rPr>
          <w:szCs w:val="18"/>
          <w:lang w:val="pt-PT"/>
        </w:rPr>
        <w:t xml:space="preserve"> H/LD/WG/6/7 Prov., </w:t>
      </w:r>
      <w:r w:rsidR="00437433">
        <w:rPr>
          <w:szCs w:val="18"/>
          <w:lang w:val="pt-PT"/>
        </w:rPr>
        <w:t>párrafo</w:t>
      </w:r>
      <w:r w:rsidR="00437433" w:rsidRPr="00437433">
        <w:rPr>
          <w:szCs w:val="18"/>
          <w:lang w:val="pt-PT"/>
        </w:rPr>
        <w:t xml:space="preserve"> </w:t>
      </w:r>
      <w:r w:rsidRPr="00437433">
        <w:rPr>
          <w:szCs w:val="18"/>
          <w:lang w:val="pt-PT"/>
        </w:rPr>
        <w:t>90.</w:t>
      </w:r>
    </w:p>
  </w:footnote>
  <w:footnote w:id="7">
    <w:p w:rsidR="00E05132" w:rsidRPr="00437433" w:rsidRDefault="00E05132" w:rsidP="00E05132">
      <w:pPr>
        <w:pStyle w:val="FootnoteText"/>
        <w:ind w:left="567" w:hanging="567"/>
        <w:rPr>
          <w:szCs w:val="18"/>
          <w:lang w:val="pt-PT"/>
        </w:rPr>
      </w:pPr>
      <w:r w:rsidRPr="00E05132">
        <w:rPr>
          <w:szCs w:val="18"/>
          <w:vertAlign w:val="superscript"/>
        </w:rPr>
        <w:footnoteRef/>
      </w:r>
      <w:r w:rsidRPr="00437433">
        <w:rPr>
          <w:szCs w:val="18"/>
          <w:lang w:val="pt-PT"/>
        </w:rPr>
        <w:tab/>
      </w:r>
      <w:r w:rsidR="00016A28">
        <w:rPr>
          <w:szCs w:val="18"/>
          <w:lang w:val="pt-PT"/>
        </w:rPr>
        <w:t>Remítase al</w:t>
      </w:r>
      <w:r w:rsidR="00016A28" w:rsidRPr="00437433">
        <w:rPr>
          <w:szCs w:val="18"/>
          <w:lang w:val="pt-PT"/>
        </w:rPr>
        <w:t xml:space="preserve"> </w:t>
      </w:r>
      <w:r w:rsidRPr="00437433">
        <w:rPr>
          <w:szCs w:val="18"/>
          <w:lang w:val="pt-PT"/>
        </w:rPr>
        <w:t xml:space="preserve">H/LD/WG/6/7 Prov., </w:t>
      </w:r>
      <w:r w:rsidR="00437433">
        <w:rPr>
          <w:szCs w:val="18"/>
          <w:lang w:val="pt-PT"/>
        </w:rPr>
        <w:t>párrafo</w:t>
      </w:r>
      <w:r w:rsidR="00437433" w:rsidRPr="00437433">
        <w:rPr>
          <w:szCs w:val="18"/>
          <w:lang w:val="pt-PT"/>
        </w:rPr>
        <w:t xml:space="preserve"> </w:t>
      </w:r>
      <w:r w:rsidRPr="00437433">
        <w:rPr>
          <w:szCs w:val="18"/>
          <w:lang w:val="pt-PT"/>
        </w:rPr>
        <w:t xml:space="preserve">88, 91 </w:t>
      </w:r>
      <w:r w:rsidR="00437433">
        <w:rPr>
          <w:szCs w:val="18"/>
          <w:lang w:val="pt-PT"/>
        </w:rPr>
        <w:t>y</w:t>
      </w:r>
      <w:r w:rsidRPr="00437433">
        <w:rPr>
          <w:szCs w:val="18"/>
          <w:lang w:val="pt-PT"/>
        </w:rPr>
        <w:t xml:space="preserve"> 93.</w:t>
      </w:r>
    </w:p>
  </w:footnote>
  <w:footnote w:id="8">
    <w:p w:rsidR="00E05132" w:rsidRPr="00437433" w:rsidRDefault="00E05132" w:rsidP="00E05132">
      <w:pPr>
        <w:pStyle w:val="FootnoteText"/>
        <w:ind w:left="567" w:hanging="567"/>
        <w:rPr>
          <w:szCs w:val="18"/>
          <w:lang w:val="pt-PT"/>
        </w:rPr>
      </w:pPr>
      <w:r w:rsidRPr="00E05132">
        <w:rPr>
          <w:szCs w:val="18"/>
          <w:vertAlign w:val="superscript"/>
        </w:rPr>
        <w:footnoteRef/>
      </w:r>
      <w:r w:rsidRPr="00437433">
        <w:rPr>
          <w:szCs w:val="18"/>
          <w:lang w:val="pt-PT"/>
        </w:rPr>
        <w:tab/>
      </w:r>
      <w:r w:rsidR="00016A28">
        <w:rPr>
          <w:szCs w:val="18"/>
          <w:lang w:val="pt-PT"/>
        </w:rPr>
        <w:t>Remítase al</w:t>
      </w:r>
      <w:r w:rsidR="00016A28" w:rsidRPr="00437433">
        <w:rPr>
          <w:szCs w:val="18"/>
          <w:lang w:val="pt-PT"/>
        </w:rPr>
        <w:t xml:space="preserve"> </w:t>
      </w:r>
      <w:r w:rsidRPr="00437433">
        <w:rPr>
          <w:szCs w:val="18"/>
          <w:lang w:val="pt-PT"/>
        </w:rPr>
        <w:t xml:space="preserve">H/LD/WG/6/7 Prov., </w:t>
      </w:r>
      <w:r w:rsidR="00437433">
        <w:rPr>
          <w:szCs w:val="18"/>
          <w:lang w:val="pt-PT"/>
        </w:rPr>
        <w:t>párrafo</w:t>
      </w:r>
      <w:r w:rsidRPr="00437433">
        <w:rPr>
          <w:szCs w:val="18"/>
          <w:lang w:val="pt-PT"/>
        </w:rPr>
        <w:t xml:space="preserve"> 87.</w:t>
      </w:r>
    </w:p>
  </w:footnote>
  <w:footnote w:id="9">
    <w:p w:rsidR="00E05132" w:rsidRPr="00437433" w:rsidRDefault="00E05132" w:rsidP="00E05132">
      <w:pPr>
        <w:pStyle w:val="FootnoteText"/>
        <w:ind w:left="567" w:hanging="567"/>
        <w:rPr>
          <w:szCs w:val="18"/>
          <w:lang w:val="pt-PT"/>
        </w:rPr>
      </w:pPr>
      <w:r w:rsidRPr="00E05132">
        <w:rPr>
          <w:szCs w:val="18"/>
          <w:vertAlign w:val="superscript"/>
        </w:rPr>
        <w:footnoteRef/>
      </w:r>
      <w:r w:rsidRPr="00437433">
        <w:rPr>
          <w:szCs w:val="18"/>
          <w:lang w:val="pt-PT"/>
        </w:rPr>
        <w:tab/>
      </w:r>
      <w:r w:rsidR="00016A28">
        <w:rPr>
          <w:szCs w:val="18"/>
          <w:lang w:val="pt-PT"/>
        </w:rPr>
        <w:t>Remítase al</w:t>
      </w:r>
      <w:r w:rsidR="00016A28" w:rsidRPr="00437433">
        <w:rPr>
          <w:szCs w:val="18"/>
          <w:lang w:val="pt-PT"/>
        </w:rPr>
        <w:t xml:space="preserve"> </w:t>
      </w:r>
      <w:r w:rsidRPr="00437433">
        <w:rPr>
          <w:szCs w:val="18"/>
          <w:lang w:val="pt-PT"/>
        </w:rPr>
        <w:t>H/LD/WG/6/7 Prov., p</w:t>
      </w:r>
      <w:r w:rsidR="00437433">
        <w:rPr>
          <w:szCs w:val="18"/>
          <w:lang w:val="pt-PT"/>
        </w:rPr>
        <w:t>árrafo</w:t>
      </w:r>
      <w:r w:rsidRPr="00437433">
        <w:rPr>
          <w:szCs w:val="18"/>
          <w:lang w:val="pt-PT"/>
        </w:rPr>
        <w:t xml:space="preserve"> 90.</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05132" w:rsidRDefault="00542361" w:rsidP="00E05132">
    <w:pPr>
      <w:jc w:val="right"/>
    </w:pPr>
    <w:r w:rsidRPr="00E05132">
      <w:t>H/LD/WG/7/</w:t>
    </w:r>
    <w:r w:rsidR="00E05132" w:rsidRPr="00E05132">
      <w:t>8</w:t>
    </w:r>
  </w:p>
  <w:p w:rsidR="00542361" w:rsidRPr="00E05132" w:rsidRDefault="00542361" w:rsidP="00E05132">
    <w:pPr>
      <w:jc w:val="right"/>
    </w:pPr>
    <w:proofErr w:type="gramStart"/>
    <w:r w:rsidRPr="00E05132">
      <w:t>página</w:t>
    </w:r>
    <w:proofErr w:type="gramEnd"/>
    <w:r w:rsidRPr="00E05132">
      <w:t xml:space="preserve"> </w:t>
    </w:r>
    <w:r w:rsidRPr="00E05132">
      <w:fldChar w:fldCharType="begin"/>
    </w:r>
    <w:r w:rsidRPr="00E05132">
      <w:instrText xml:space="preserve"> PAGE   \* MERGEFORMAT </w:instrText>
    </w:r>
    <w:r w:rsidRPr="00E05132">
      <w:fldChar w:fldCharType="separate"/>
    </w:r>
    <w:r w:rsidR="00C959BF">
      <w:rPr>
        <w:noProof/>
      </w:rPr>
      <w:t>4</w:t>
    </w:r>
    <w:r w:rsidRPr="00E05132">
      <w:rPr>
        <w:noProof/>
      </w:rPr>
      <w:fldChar w:fldCharType="end"/>
    </w:r>
  </w:p>
  <w:p w:rsidR="00542361" w:rsidRPr="00E05132" w:rsidRDefault="00542361" w:rsidP="00AF5609">
    <w:pPr>
      <w:pStyle w:val="Header"/>
      <w:tabs>
        <w:tab w:val="clear" w:pos="4536"/>
        <w:tab w:val="clear" w:pos="9072"/>
        <w:tab w:val="left" w:pos="5424"/>
      </w:tabs>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05132" w:rsidRPr="00E05132" w:rsidRDefault="00E05132" w:rsidP="00E05132">
    <w:pPr>
      <w:jc w:val="right"/>
    </w:pPr>
    <w:r w:rsidRPr="00E05132">
      <w:t>H/LD/WG/7/8</w:t>
    </w:r>
  </w:p>
  <w:p w:rsidR="00E05132" w:rsidRPr="00E05132" w:rsidRDefault="00E05132" w:rsidP="00E05132">
    <w:pPr>
      <w:pStyle w:val="Header"/>
      <w:jc w:val="right"/>
    </w:pPr>
    <w:r w:rsidRPr="00E05132">
      <w:t>ANEXO</w:t>
    </w:r>
  </w:p>
  <w:p w:rsidR="00E05132" w:rsidRPr="00E05132" w:rsidRDefault="00E05132" w:rsidP="00E05132">
    <w:pPr>
      <w:pStyle w:val="Heade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2164524A"/>
    <w:lvl w:ilvl="0">
      <w:start w:val="1"/>
      <w:numFmt w:val="decimal"/>
      <w:lvlText w:val="%1."/>
      <w:lvlJc w:val="left"/>
      <w:pPr>
        <w:tabs>
          <w:tab w:val="num" w:pos="360"/>
        </w:tabs>
        <w:ind w:left="360" w:hanging="360"/>
      </w:pPr>
      <w:rPr>
        <w:rFonts w:cs="Times New Roman"/>
      </w:rPr>
    </w:lvl>
  </w:abstractNum>
  <w:abstractNum w:abstractNumId="1">
    <w:nsid w:val="06CD29E3"/>
    <w:multiLevelType w:val="multilevel"/>
    <w:tmpl w:val="8B022C90"/>
    <w:lvl w:ilvl="0">
      <w:start w:val="1"/>
      <w:numFmt w:val="decimal"/>
      <w:lvlRestart w:val="0"/>
      <w:pStyle w:val="ONUME"/>
      <w:lvlText w:val="%1."/>
      <w:lvlJc w:val="left"/>
      <w:pPr>
        <w:tabs>
          <w:tab w:val="num" w:pos="567"/>
        </w:tabs>
      </w:pPr>
      <w:rPr>
        <w:rFonts w:cs="Times New Roman" w:hint="default"/>
        <w:b w:val="0"/>
      </w:rPr>
    </w:lvl>
    <w:lvl w:ilvl="1">
      <w:start w:val="1"/>
      <w:numFmt w:val="lowerLetter"/>
      <w:lvlText w:val="(%2)"/>
      <w:lvlJc w:val="left"/>
      <w:pPr>
        <w:tabs>
          <w:tab w:val="num" w:pos="1134"/>
        </w:tabs>
        <w:ind w:left="567"/>
      </w:pPr>
      <w:rPr>
        <w:rFonts w:cs="Times New Roman" w:hint="default"/>
      </w:rPr>
    </w:lvl>
    <w:lvl w:ilvl="2">
      <w:start w:val="1"/>
      <w:numFmt w:val="lowerRoman"/>
      <w:lvlText w:val="(%3)"/>
      <w:lvlJc w:val="left"/>
      <w:pPr>
        <w:tabs>
          <w:tab w:val="num" w:pos="1701"/>
        </w:tabs>
        <w:ind w:left="1134"/>
      </w:pPr>
      <w:rPr>
        <w:rFonts w:cs="Times New Roman" w:hint="default"/>
      </w:rPr>
    </w:lvl>
    <w:lvl w:ilvl="3">
      <w:start w:val="1"/>
      <w:numFmt w:val="bullet"/>
      <w:lvlText w:val=""/>
      <w:lvlJc w:val="left"/>
      <w:pPr>
        <w:tabs>
          <w:tab w:val="num" w:pos="2268"/>
        </w:tabs>
        <w:ind w:left="1701"/>
      </w:pPr>
      <w:rPr>
        <w:rFonts w:hint="default"/>
      </w:rPr>
    </w:lvl>
    <w:lvl w:ilvl="4">
      <w:start w:val="1"/>
      <w:numFmt w:val="bullet"/>
      <w:lvlText w:val=""/>
      <w:lvlJc w:val="left"/>
      <w:pPr>
        <w:tabs>
          <w:tab w:val="num" w:pos="2835"/>
        </w:tabs>
        <w:ind w:left="2268"/>
      </w:pPr>
      <w:rPr>
        <w:rFonts w:hint="default"/>
      </w:rPr>
    </w:lvl>
    <w:lvl w:ilvl="5">
      <w:start w:val="1"/>
      <w:numFmt w:val="bullet"/>
      <w:lvlText w:val=""/>
      <w:lvlJc w:val="left"/>
      <w:pPr>
        <w:tabs>
          <w:tab w:val="num" w:pos="3402"/>
        </w:tabs>
        <w:ind w:left="2835"/>
      </w:pPr>
      <w:rPr>
        <w:rFonts w:hint="default"/>
      </w:rPr>
    </w:lvl>
    <w:lvl w:ilvl="6">
      <w:start w:val="1"/>
      <w:numFmt w:val="bullet"/>
      <w:lvlText w:val=""/>
      <w:lvlJc w:val="left"/>
      <w:pPr>
        <w:tabs>
          <w:tab w:val="num" w:pos="3969"/>
        </w:tabs>
        <w:ind w:left="3402"/>
      </w:pPr>
      <w:rPr>
        <w:rFonts w:hint="default"/>
      </w:rPr>
    </w:lvl>
    <w:lvl w:ilvl="7">
      <w:start w:val="1"/>
      <w:numFmt w:val="bullet"/>
      <w:lvlText w:val=""/>
      <w:lvlJc w:val="left"/>
      <w:pPr>
        <w:tabs>
          <w:tab w:val="num" w:pos="4535"/>
        </w:tabs>
        <w:ind w:left="3969"/>
      </w:pPr>
      <w:rPr>
        <w:rFonts w:hint="default"/>
      </w:rPr>
    </w:lvl>
    <w:lvl w:ilvl="8">
      <w:start w:val="1"/>
      <w:numFmt w:val="bullet"/>
      <w:lvlText w:val=""/>
      <w:lvlJc w:val="left"/>
      <w:pPr>
        <w:tabs>
          <w:tab w:val="num" w:pos="5102"/>
        </w:tabs>
        <w:ind w:left="4535"/>
      </w:pPr>
      <w:rPr>
        <w:rFonts w:hint="default"/>
      </w:rPr>
    </w:lvl>
  </w:abstractNum>
  <w:abstractNum w:abstractNumId="2">
    <w:nsid w:val="177D5000"/>
    <w:multiLevelType w:val="singleLevel"/>
    <w:tmpl w:val="0409000F"/>
    <w:lvl w:ilvl="0">
      <w:start w:val="1"/>
      <w:numFmt w:val="decimal"/>
      <w:lvlText w:val="%1."/>
      <w:lvlJc w:val="left"/>
      <w:pPr>
        <w:tabs>
          <w:tab w:val="num" w:pos="360"/>
        </w:tabs>
        <w:ind w:left="360" w:hanging="360"/>
      </w:pPr>
      <w:rPr>
        <w:rFonts w:cs="Times New Roman"/>
      </w:rPr>
    </w:lvl>
  </w:abstractNum>
  <w:abstractNum w:abstractNumId="3">
    <w:nsid w:val="1FFB19A2"/>
    <w:multiLevelType w:val="multilevel"/>
    <w:tmpl w:val="495EEFEE"/>
    <w:lvl w:ilvl="0">
      <w:start w:val="1"/>
      <w:numFmt w:val="decimal"/>
      <w:lvlRestart w:val="0"/>
      <w:pStyle w:val="ONUMFS"/>
      <w:lvlText w:val="%1."/>
      <w:lvlJc w:val="left"/>
      <w:pPr>
        <w:tabs>
          <w:tab w:val="num" w:pos="567"/>
        </w:tabs>
      </w:pPr>
      <w:rPr>
        <w:rFonts w:cs="Times New Roman" w:hint="default"/>
      </w:rPr>
    </w:lvl>
    <w:lvl w:ilvl="1">
      <w:start w:val="1"/>
      <w:numFmt w:val="lowerLetter"/>
      <w:lvlText w:val="%2)"/>
      <w:lvlJc w:val="left"/>
      <w:pPr>
        <w:tabs>
          <w:tab w:val="num" w:pos="1134"/>
        </w:tabs>
        <w:ind w:left="567"/>
      </w:pPr>
      <w:rPr>
        <w:rFonts w:cs="Times New Roman" w:hint="default"/>
      </w:rPr>
    </w:lvl>
    <w:lvl w:ilvl="2">
      <w:start w:val="1"/>
      <w:numFmt w:val="lowerRoman"/>
      <w:lvlText w:val="%3)"/>
      <w:lvlJc w:val="left"/>
      <w:pPr>
        <w:tabs>
          <w:tab w:val="num" w:pos="1701"/>
        </w:tabs>
        <w:ind w:left="1134"/>
      </w:pPr>
      <w:rPr>
        <w:rFonts w:cs="Times New Roman" w:hint="default"/>
      </w:rPr>
    </w:lvl>
    <w:lvl w:ilvl="3">
      <w:start w:val="1"/>
      <w:numFmt w:val="bullet"/>
      <w:lvlText w:val=""/>
      <w:lvlJc w:val="left"/>
      <w:pPr>
        <w:tabs>
          <w:tab w:val="num" w:pos="2268"/>
        </w:tabs>
        <w:ind w:left="1701"/>
      </w:pPr>
      <w:rPr>
        <w:rFonts w:hint="default"/>
      </w:rPr>
    </w:lvl>
    <w:lvl w:ilvl="4">
      <w:start w:val="1"/>
      <w:numFmt w:val="bullet"/>
      <w:lvlText w:val=""/>
      <w:lvlJc w:val="left"/>
      <w:pPr>
        <w:tabs>
          <w:tab w:val="num" w:pos="2835"/>
        </w:tabs>
        <w:ind w:left="2268"/>
      </w:pPr>
      <w:rPr>
        <w:rFonts w:hint="default"/>
      </w:rPr>
    </w:lvl>
    <w:lvl w:ilvl="5">
      <w:start w:val="1"/>
      <w:numFmt w:val="bullet"/>
      <w:lvlText w:val=""/>
      <w:lvlJc w:val="left"/>
      <w:pPr>
        <w:tabs>
          <w:tab w:val="num" w:pos="3402"/>
        </w:tabs>
        <w:ind w:left="2835"/>
      </w:pPr>
      <w:rPr>
        <w:rFonts w:hint="default"/>
      </w:rPr>
    </w:lvl>
    <w:lvl w:ilvl="6">
      <w:start w:val="1"/>
      <w:numFmt w:val="bullet"/>
      <w:lvlText w:val=""/>
      <w:lvlJc w:val="left"/>
      <w:pPr>
        <w:tabs>
          <w:tab w:val="num" w:pos="3969"/>
        </w:tabs>
        <w:ind w:left="3402"/>
      </w:pPr>
      <w:rPr>
        <w:rFonts w:hint="default"/>
      </w:rPr>
    </w:lvl>
    <w:lvl w:ilvl="7">
      <w:start w:val="1"/>
      <w:numFmt w:val="bullet"/>
      <w:lvlText w:val=""/>
      <w:lvlJc w:val="left"/>
      <w:pPr>
        <w:tabs>
          <w:tab w:val="num" w:pos="4535"/>
        </w:tabs>
        <w:ind w:left="3969"/>
      </w:pPr>
      <w:rPr>
        <w:rFonts w:hint="default"/>
      </w:rPr>
    </w:lvl>
    <w:lvl w:ilvl="8">
      <w:start w:val="1"/>
      <w:numFmt w:val="bullet"/>
      <w:lvlText w:val=""/>
      <w:lvlJc w:val="left"/>
      <w:pPr>
        <w:tabs>
          <w:tab w:val="num" w:pos="5102"/>
        </w:tabs>
        <w:ind w:left="4535"/>
      </w:pPr>
      <w:rPr>
        <w:rFonts w:hint="default"/>
      </w:rPr>
    </w:lvl>
  </w:abstractNum>
  <w:abstractNum w:abstractNumId="4">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nsid w:val="4C8B3C46"/>
    <w:multiLevelType w:val="hybridMultilevel"/>
    <w:tmpl w:val="799E19C6"/>
    <w:lvl w:ilvl="0" w:tplc="AEB04A72">
      <w:start w:val="1"/>
      <w:numFmt w:val="decimal"/>
      <w:lvlRestart w:val="0"/>
      <w:pStyle w:val="ListNumber"/>
      <w:lvlText w:val="03.%1."/>
      <w:lvlJc w:val="left"/>
      <w:pPr>
        <w:tabs>
          <w:tab w:val="num" w:pos="567"/>
        </w:tabs>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6">
    <w:nsid w:val="6FE87713"/>
    <w:multiLevelType w:val="hybridMultilevel"/>
    <w:tmpl w:val="1E46CBEE"/>
    <w:lvl w:ilvl="0" w:tplc="89F29998">
      <w:start w:val="1"/>
      <w:numFmt w:val="decimal"/>
      <w:lvlText w:val="%1."/>
      <w:lvlJc w:val="left"/>
      <w:pPr>
        <w:ind w:left="720" w:hanging="360"/>
      </w:pPr>
    </w:lvl>
    <w:lvl w:ilvl="1" w:tplc="04090019">
      <w:start w:val="1"/>
      <w:numFmt w:val="lowerLetter"/>
      <w:lvlText w:val="%2."/>
      <w:lvlJc w:val="left"/>
      <w:pPr>
        <w:ind w:left="1440" w:hanging="360"/>
      </w:pPr>
    </w:lvl>
    <w:lvl w:ilvl="2" w:tplc="537E75FC">
      <w:start w:val="1"/>
      <w:numFmt w:val="lowerRoman"/>
      <w:lvlText w:val="(%3)"/>
      <w:lvlJc w:val="left"/>
      <w:pPr>
        <w:ind w:left="2160" w:hanging="18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7B373ACC"/>
    <w:multiLevelType w:val="hybridMultilevel"/>
    <w:tmpl w:val="A788A190"/>
    <w:lvl w:ilvl="0" w:tplc="9E523084">
      <w:start w:val="1"/>
      <w:numFmt w:val="bullet"/>
      <w:pStyle w:val="ListParagraph"/>
      <w:lvlText w:val="-"/>
      <w:lvlJc w:val="left"/>
      <w:pPr>
        <w:ind w:left="1287" w:hanging="360"/>
      </w:pPr>
      <w:rPr>
        <w:rFonts w:ascii="Courier New" w:hAnsi="Courier New"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num w:numId="1">
    <w:abstractNumId w:val="0"/>
  </w:num>
  <w:num w:numId="2">
    <w:abstractNumId w:val="2"/>
  </w:num>
  <w:num w:numId="3">
    <w:abstractNumId w:val="4"/>
  </w:num>
  <w:num w:numId="4">
    <w:abstractNumId w:val="0"/>
  </w:num>
  <w:num w:numId="5">
    <w:abstractNumId w:val="5"/>
  </w:num>
  <w:num w:numId="6">
    <w:abstractNumId w:val="1"/>
  </w:num>
  <w:num w:numId="7">
    <w:abstractNumId w:val="3"/>
  </w:num>
  <w:num w:numId="8">
    <w:abstractNumId w:val="1"/>
  </w:num>
  <w:num w:numId="9">
    <w:abstractNumId w:val="1"/>
  </w:num>
  <w:num w:numId="10">
    <w:abstractNumId w:val="7"/>
  </w:num>
  <w:num w:numId="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6145"/>
  </w:hdrShapeDefaults>
  <w:footnotePr>
    <w:footnote w:id="-1"/>
    <w:footnote w:id="0"/>
    <w:footnote w:id="1"/>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SourceLng" w:val="eng"/>
    <w:docVar w:name="TargetLng" w:val="spa"/>
    <w:docVar w:name="TermBases" w:val="WIPOLDTERM"/>
    <w:docVar w:name="TermBaseURL" w:val="empty"/>
    <w:docVar w:name="TextBases" w:val="TextBase TMs\WorkspaceSTS\Brands, Designs &amp; DN\Hague|TextBase TMs\WorkspaceSTS\Brands, Designs &amp; DN\H Instruments|TextBase TMs\WorkspaceSTS\Brands, Designs &amp; DN\Trademarks|TextBase TMs\WorkspaceSTS\Brands, Designs &amp; DN\T Instruments|TextBase TMs\WorkspaceSTS\Brands, Designs &amp; DN\Arb_Med_Center|TextBase TMs\WorkspaceSTS\Brands, Designs &amp; DN\L Instruments|TextBase TMs\WorkspaceSTS\Brands, Designs &amp; DN\Lisbon|TextBase TMs\WorkspaceSTS\Patents &amp; Innovation\P Instruments|TextBase TMs\WorkspaceSTS\Patents &amp; Innovation\Patents Main|TextBase TMs\WorkspaceSTS\Copyright\C Instruments|TextBase TMs\WorkspaceSTS\Copyright\Copyright|TextBase TMs\WorkspaceSTS\GRTKF\G Instruments|TextBase TMs\WorkspaceSTS\Outreach\POW Main|TextBase TMs\WorkspaceSTS\Treaties &amp; Laws\WIPO Lex|TextBase TMs\WorkspaceSTS\GRTKF\GRTKF|TextBase TMs\WorkspaceSTS\Outreach\Economist|TextBase TMs\WorkspaceSTS\Outreach\IP Advantage|TextBase TMs\WorkspaceSTS\Administration &amp; Finance\Current Budget|TextBase TMs\WorkspaceSTS\Administration &amp; Finance\FAB Instruments|TextBase TMs\WorkspaceSTS\Administration &amp; Finance\FAB Main|TextBase TMs\WorkspaceSTS\Administration &amp; Finance\FStatements|TextBase TMs\WorkspaceSTS\Administration &amp; Finance\UN Staff Rules|TextBase TMs\WorkspaceSTS\Administration &amp; Finance\WIPO Staff Rules|TextBase TMs\WorkspaceSTS\Development\Dev_Agenda|TextBase TMs\WorkspaceSTS\UPOV\TGPs|TextBase TMs\WorkspaceSTS\UPOV\TGs|TextBase TMs\WorkspaceSTS\UPOV\TGs Template|TextBase TMs\WorkspaceSTS\UPOV\U Instruments|TextBase TMs\WorkspaceSTS\UPOV\UPOV Main"/>
    <w:docVar w:name="TextBaseURL" w:val="empty"/>
    <w:docVar w:name="UILng" w:val="en"/>
  </w:docVars>
  <w:rsids>
    <w:rsidRoot w:val="00477D53"/>
    <w:rsid w:val="00000531"/>
    <w:rsid w:val="00005A50"/>
    <w:rsid w:val="00013421"/>
    <w:rsid w:val="00016A28"/>
    <w:rsid w:val="00023B80"/>
    <w:rsid w:val="00043CAA"/>
    <w:rsid w:val="00062525"/>
    <w:rsid w:val="00075432"/>
    <w:rsid w:val="000815AD"/>
    <w:rsid w:val="0009215F"/>
    <w:rsid w:val="000968ED"/>
    <w:rsid w:val="000A7278"/>
    <w:rsid w:val="000B56D4"/>
    <w:rsid w:val="000C6E31"/>
    <w:rsid w:val="000D6076"/>
    <w:rsid w:val="000F5E56"/>
    <w:rsid w:val="00102808"/>
    <w:rsid w:val="00105443"/>
    <w:rsid w:val="00111125"/>
    <w:rsid w:val="00114B66"/>
    <w:rsid w:val="001200AB"/>
    <w:rsid w:val="00125FE7"/>
    <w:rsid w:val="0012705B"/>
    <w:rsid w:val="001362EE"/>
    <w:rsid w:val="00146AE3"/>
    <w:rsid w:val="00167041"/>
    <w:rsid w:val="00182D53"/>
    <w:rsid w:val="001832A6"/>
    <w:rsid w:val="001B3E41"/>
    <w:rsid w:val="001B7765"/>
    <w:rsid w:val="001C207E"/>
    <w:rsid w:val="001C27FE"/>
    <w:rsid w:val="001E6CAF"/>
    <w:rsid w:val="001E77A7"/>
    <w:rsid w:val="00206768"/>
    <w:rsid w:val="002072EA"/>
    <w:rsid w:val="00211102"/>
    <w:rsid w:val="00214CD4"/>
    <w:rsid w:val="00241B30"/>
    <w:rsid w:val="00251518"/>
    <w:rsid w:val="00256DE9"/>
    <w:rsid w:val="002572A5"/>
    <w:rsid w:val="002634C4"/>
    <w:rsid w:val="0028507B"/>
    <w:rsid w:val="002928D3"/>
    <w:rsid w:val="002A01C9"/>
    <w:rsid w:val="002A17D7"/>
    <w:rsid w:val="002C5ED8"/>
    <w:rsid w:val="002D53F4"/>
    <w:rsid w:val="002E1CDF"/>
    <w:rsid w:val="002E2300"/>
    <w:rsid w:val="002F03CC"/>
    <w:rsid w:val="002F1FE6"/>
    <w:rsid w:val="002F4E68"/>
    <w:rsid w:val="00300620"/>
    <w:rsid w:val="003009C2"/>
    <w:rsid w:val="00312F7F"/>
    <w:rsid w:val="00320BDE"/>
    <w:rsid w:val="003255DD"/>
    <w:rsid w:val="003268A0"/>
    <w:rsid w:val="00335831"/>
    <w:rsid w:val="003360EA"/>
    <w:rsid w:val="00336FDD"/>
    <w:rsid w:val="00340D0D"/>
    <w:rsid w:val="003454F3"/>
    <w:rsid w:val="00361450"/>
    <w:rsid w:val="003673CF"/>
    <w:rsid w:val="00381D17"/>
    <w:rsid w:val="003845C1"/>
    <w:rsid w:val="003A2301"/>
    <w:rsid w:val="003A6F89"/>
    <w:rsid w:val="003B38C1"/>
    <w:rsid w:val="003C4548"/>
    <w:rsid w:val="003E5C12"/>
    <w:rsid w:val="003F2159"/>
    <w:rsid w:val="003F3CED"/>
    <w:rsid w:val="0041400D"/>
    <w:rsid w:val="00422BBC"/>
    <w:rsid w:val="00423E3E"/>
    <w:rsid w:val="00427AF4"/>
    <w:rsid w:val="004303FF"/>
    <w:rsid w:val="00431597"/>
    <w:rsid w:val="00437433"/>
    <w:rsid w:val="00441757"/>
    <w:rsid w:val="00454FF4"/>
    <w:rsid w:val="004573BA"/>
    <w:rsid w:val="004573C7"/>
    <w:rsid w:val="004647DA"/>
    <w:rsid w:val="00466BE1"/>
    <w:rsid w:val="00470CF8"/>
    <w:rsid w:val="00474062"/>
    <w:rsid w:val="00475701"/>
    <w:rsid w:val="00476385"/>
    <w:rsid w:val="00477D53"/>
    <w:rsid w:val="00477D6B"/>
    <w:rsid w:val="004914F9"/>
    <w:rsid w:val="00497C46"/>
    <w:rsid w:val="004A6ACE"/>
    <w:rsid w:val="004A6DD5"/>
    <w:rsid w:val="004B1FAC"/>
    <w:rsid w:val="004C22CD"/>
    <w:rsid w:val="004C5DE2"/>
    <w:rsid w:val="004C6E20"/>
    <w:rsid w:val="004E2345"/>
    <w:rsid w:val="004F230F"/>
    <w:rsid w:val="004F5319"/>
    <w:rsid w:val="005019FF"/>
    <w:rsid w:val="00524A0E"/>
    <w:rsid w:val="0053057A"/>
    <w:rsid w:val="00542361"/>
    <w:rsid w:val="005544F3"/>
    <w:rsid w:val="00554878"/>
    <w:rsid w:val="00556C00"/>
    <w:rsid w:val="00560A29"/>
    <w:rsid w:val="00562648"/>
    <w:rsid w:val="005721B2"/>
    <w:rsid w:val="00575970"/>
    <w:rsid w:val="005A17E0"/>
    <w:rsid w:val="005C6649"/>
    <w:rsid w:val="005D36E4"/>
    <w:rsid w:val="005D74D3"/>
    <w:rsid w:val="005F68C0"/>
    <w:rsid w:val="00605827"/>
    <w:rsid w:val="00607053"/>
    <w:rsid w:val="0061304E"/>
    <w:rsid w:val="00622113"/>
    <w:rsid w:val="00634C0A"/>
    <w:rsid w:val="00640313"/>
    <w:rsid w:val="00643A9F"/>
    <w:rsid w:val="00646050"/>
    <w:rsid w:val="00655F60"/>
    <w:rsid w:val="00660FD8"/>
    <w:rsid w:val="006633EF"/>
    <w:rsid w:val="006656D7"/>
    <w:rsid w:val="006713CA"/>
    <w:rsid w:val="00676C5C"/>
    <w:rsid w:val="00677A41"/>
    <w:rsid w:val="006874F9"/>
    <w:rsid w:val="006A1AB9"/>
    <w:rsid w:val="006B5AFE"/>
    <w:rsid w:val="006E08A7"/>
    <w:rsid w:val="006E5373"/>
    <w:rsid w:val="006F1327"/>
    <w:rsid w:val="007109CD"/>
    <w:rsid w:val="0071152B"/>
    <w:rsid w:val="00712148"/>
    <w:rsid w:val="00714BBE"/>
    <w:rsid w:val="00732B60"/>
    <w:rsid w:val="007529E7"/>
    <w:rsid w:val="007743F3"/>
    <w:rsid w:val="0077480E"/>
    <w:rsid w:val="00782D8D"/>
    <w:rsid w:val="00787B98"/>
    <w:rsid w:val="007A5987"/>
    <w:rsid w:val="007B1A3C"/>
    <w:rsid w:val="007B3B47"/>
    <w:rsid w:val="007B7385"/>
    <w:rsid w:val="007C1604"/>
    <w:rsid w:val="007C2762"/>
    <w:rsid w:val="007C6556"/>
    <w:rsid w:val="007D0F6E"/>
    <w:rsid w:val="007D1613"/>
    <w:rsid w:val="007E1144"/>
    <w:rsid w:val="007E17C6"/>
    <w:rsid w:val="00811578"/>
    <w:rsid w:val="0082308E"/>
    <w:rsid w:val="00847C27"/>
    <w:rsid w:val="00865031"/>
    <w:rsid w:val="00865150"/>
    <w:rsid w:val="00865F3F"/>
    <w:rsid w:val="0089123D"/>
    <w:rsid w:val="008927FF"/>
    <w:rsid w:val="008932E9"/>
    <w:rsid w:val="008A7CFF"/>
    <w:rsid w:val="008B2CC1"/>
    <w:rsid w:val="008B4DB5"/>
    <w:rsid w:val="008B60B2"/>
    <w:rsid w:val="008C2798"/>
    <w:rsid w:val="008D716F"/>
    <w:rsid w:val="008E673B"/>
    <w:rsid w:val="008E7D82"/>
    <w:rsid w:val="008F00F0"/>
    <w:rsid w:val="008F5AD0"/>
    <w:rsid w:val="00905ADA"/>
    <w:rsid w:val="00906578"/>
    <w:rsid w:val="0090731E"/>
    <w:rsid w:val="00916EE2"/>
    <w:rsid w:val="00925AF7"/>
    <w:rsid w:val="0092629E"/>
    <w:rsid w:val="00927248"/>
    <w:rsid w:val="00935D1F"/>
    <w:rsid w:val="00947082"/>
    <w:rsid w:val="0096184A"/>
    <w:rsid w:val="00966A22"/>
    <w:rsid w:val="0096722F"/>
    <w:rsid w:val="009705EC"/>
    <w:rsid w:val="00980843"/>
    <w:rsid w:val="00984AE8"/>
    <w:rsid w:val="009A565A"/>
    <w:rsid w:val="009C49F8"/>
    <w:rsid w:val="009D1754"/>
    <w:rsid w:val="009D189F"/>
    <w:rsid w:val="009E2791"/>
    <w:rsid w:val="009E3F6F"/>
    <w:rsid w:val="009E6A22"/>
    <w:rsid w:val="009F1FE0"/>
    <w:rsid w:val="009F297E"/>
    <w:rsid w:val="009F474D"/>
    <w:rsid w:val="009F499F"/>
    <w:rsid w:val="00A072A6"/>
    <w:rsid w:val="00A25321"/>
    <w:rsid w:val="00A3077A"/>
    <w:rsid w:val="00A33B7C"/>
    <w:rsid w:val="00A4287A"/>
    <w:rsid w:val="00A42DAF"/>
    <w:rsid w:val="00A45BD8"/>
    <w:rsid w:val="00A526BE"/>
    <w:rsid w:val="00A73595"/>
    <w:rsid w:val="00A817EE"/>
    <w:rsid w:val="00A835AA"/>
    <w:rsid w:val="00A869B7"/>
    <w:rsid w:val="00A87F5B"/>
    <w:rsid w:val="00A971C0"/>
    <w:rsid w:val="00AA06A4"/>
    <w:rsid w:val="00AB10BE"/>
    <w:rsid w:val="00AB114D"/>
    <w:rsid w:val="00AB3786"/>
    <w:rsid w:val="00AC205C"/>
    <w:rsid w:val="00AD1859"/>
    <w:rsid w:val="00AD6B4A"/>
    <w:rsid w:val="00AE5A47"/>
    <w:rsid w:val="00AF0A6B"/>
    <w:rsid w:val="00AF482D"/>
    <w:rsid w:val="00AF5609"/>
    <w:rsid w:val="00B04901"/>
    <w:rsid w:val="00B05A69"/>
    <w:rsid w:val="00B121AD"/>
    <w:rsid w:val="00B15A95"/>
    <w:rsid w:val="00B212BE"/>
    <w:rsid w:val="00B21657"/>
    <w:rsid w:val="00B21863"/>
    <w:rsid w:val="00B24C05"/>
    <w:rsid w:val="00B372FC"/>
    <w:rsid w:val="00B61B82"/>
    <w:rsid w:val="00B910E6"/>
    <w:rsid w:val="00B9734B"/>
    <w:rsid w:val="00BA67AE"/>
    <w:rsid w:val="00BB3944"/>
    <w:rsid w:val="00BC2180"/>
    <w:rsid w:val="00BC4D2B"/>
    <w:rsid w:val="00BD0F6C"/>
    <w:rsid w:val="00BF2842"/>
    <w:rsid w:val="00BF5534"/>
    <w:rsid w:val="00C03B81"/>
    <w:rsid w:val="00C0671E"/>
    <w:rsid w:val="00C06B4A"/>
    <w:rsid w:val="00C10649"/>
    <w:rsid w:val="00C11BFE"/>
    <w:rsid w:val="00C14427"/>
    <w:rsid w:val="00C24B25"/>
    <w:rsid w:val="00C309E8"/>
    <w:rsid w:val="00C4222F"/>
    <w:rsid w:val="00C46771"/>
    <w:rsid w:val="00C53068"/>
    <w:rsid w:val="00C63588"/>
    <w:rsid w:val="00C71A56"/>
    <w:rsid w:val="00C754D6"/>
    <w:rsid w:val="00C75D07"/>
    <w:rsid w:val="00C82D2C"/>
    <w:rsid w:val="00C92854"/>
    <w:rsid w:val="00C959BF"/>
    <w:rsid w:val="00CA2C82"/>
    <w:rsid w:val="00CB6605"/>
    <w:rsid w:val="00CD130E"/>
    <w:rsid w:val="00CD50F0"/>
    <w:rsid w:val="00CE1865"/>
    <w:rsid w:val="00CE5653"/>
    <w:rsid w:val="00D06D6D"/>
    <w:rsid w:val="00D15DC2"/>
    <w:rsid w:val="00D21F41"/>
    <w:rsid w:val="00D332CD"/>
    <w:rsid w:val="00D45252"/>
    <w:rsid w:val="00D50E87"/>
    <w:rsid w:val="00D602EC"/>
    <w:rsid w:val="00D71B4D"/>
    <w:rsid w:val="00D72CCE"/>
    <w:rsid w:val="00D77AAB"/>
    <w:rsid w:val="00D91D0C"/>
    <w:rsid w:val="00D93D55"/>
    <w:rsid w:val="00D945A0"/>
    <w:rsid w:val="00D970F5"/>
    <w:rsid w:val="00DA68CE"/>
    <w:rsid w:val="00DE4ADF"/>
    <w:rsid w:val="00DE6C8B"/>
    <w:rsid w:val="00E04F1E"/>
    <w:rsid w:val="00E05132"/>
    <w:rsid w:val="00E05D0E"/>
    <w:rsid w:val="00E335FE"/>
    <w:rsid w:val="00E4201D"/>
    <w:rsid w:val="00E445AA"/>
    <w:rsid w:val="00E4582B"/>
    <w:rsid w:val="00E65738"/>
    <w:rsid w:val="00E75864"/>
    <w:rsid w:val="00E84968"/>
    <w:rsid w:val="00E9740E"/>
    <w:rsid w:val="00EC4E49"/>
    <w:rsid w:val="00ED77FB"/>
    <w:rsid w:val="00EE45FA"/>
    <w:rsid w:val="00EF2B2E"/>
    <w:rsid w:val="00EF7859"/>
    <w:rsid w:val="00F04D57"/>
    <w:rsid w:val="00F15757"/>
    <w:rsid w:val="00F22718"/>
    <w:rsid w:val="00F37028"/>
    <w:rsid w:val="00F435DD"/>
    <w:rsid w:val="00F4799B"/>
    <w:rsid w:val="00F47C84"/>
    <w:rsid w:val="00F56C26"/>
    <w:rsid w:val="00F641C2"/>
    <w:rsid w:val="00F66152"/>
    <w:rsid w:val="00F7587B"/>
    <w:rsid w:val="00F80B37"/>
    <w:rsid w:val="00FB05E9"/>
    <w:rsid w:val="00FD7457"/>
    <w:rsid w:val="00FF614C"/>
  </w:rsids>
  <m:mathPr>
    <m:mathFont m:val="Cambria Math"/>
    <m:brkBin m:val="before"/>
    <m:brkBinSub m:val="--"/>
    <m:smallFrac m:val="0"/>
    <m:dispDef/>
    <m:lMargin m:val="0"/>
    <m:rMargin m:val="0"/>
    <m:defJc m:val="centerGroup"/>
    <m:wrapIndent m:val="1440"/>
    <m:intLim m:val="subSup"/>
    <m:naryLim m:val="undOvr"/>
  </m:mathPr>
  <w:themeFontLang w:val="en-US" w:bidi="lo-L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locked="1" w:qFormat="1"/>
    <w:lsdException w:name="heading 1" w:locked="1" w:qFormat="1"/>
    <w:lsdException w:name="heading 2" w:locked="1" w:qFormat="1"/>
    <w:lsdException w:name="heading 3" w:locked="1" w:qFormat="1"/>
    <w:lsdException w:name="heading 4" w:lock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footer" w:uiPriority="99"/>
    <w:lsdException w:name="caption" w:locked="1" w:qFormat="1"/>
    <w:lsdException w:name="footnote reference" w:uiPriority="99" w:qFormat="1"/>
    <w:lsdException w:name="Title" w:locked="1" w:qFormat="1"/>
    <w:lsdException w:name="Subtitle" w:locked="1" w:qFormat="1"/>
    <w:lsdException w:name="Strong" w:locked="1" w:qFormat="1"/>
    <w:lsdException w:name="Emphasis" w:locked="1"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6C5C"/>
    <w:rPr>
      <w:rFonts w:ascii="Arial" w:eastAsia="SimSun" w:hAnsi="Arial" w:cs="Arial"/>
      <w:sz w:val="22"/>
      <w:lang w:val="es-ES" w:eastAsia="zh-CN"/>
    </w:rPr>
  </w:style>
  <w:style w:type="paragraph" w:styleId="Heading1">
    <w:name w:val="heading 1"/>
    <w:basedOn w:val="Normal"/>
    <w:next w:val="Normal"/>
    <w:link w:val="Heading1Char"/>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qFormat/>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link w:val="FooterChar"/>
    <w:uiPriority w:val="99"/>
    <w:rsid w:val="00676C5C"/>
    <w:pPr>
      <w:tabs>
        <w:tab w:val="center" w:pos="4320"/>
        <w:tab w:val="right" w:pos="8640"/>
      </w:tabs>
    </w:pPr>
  </w:style>
  <w:style w:type="paragraph" w:styleId="FootnoteText">
    <w:name w:val="footnote text"/>
    <w:basedOn w:val="Normal"/>
    <w:link w:val="FootnoteTextChar"/>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5"/>
      </w:numPr>
    </w:pPr>
  </w:style>
  <w:style w:type="paragraph" w:customStyle="1" w:styleId="ONUME">
    <w:name w:val="ONUM E"/>
    <w:basedOn w:val="BodyText"/>
    <w:qFormat/>
    <w:rsid w:val="00676C5C"/>
    <w:pPr>
      <w:numPr>
        <w:numId w:val="6"/>
      </w:numPr>
    </w:pPr>
  </w:style>
  <w:style w:type="paragraph" w:customStyle="1" w:styleId="ONUMFS">
    <w:name w:val="ONUM FS"/>
    <w:basedOn w:val="BodyText"/>
    <w:rsid w:val="00676C5C"/>
    <w:pPr>
      <w:numPr>
        <w:numId w:val="7"/>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BalloonText">
    <w:name w:val="Balloon Text"/>
    <w:basedOn w:val="Normal"/>
    <w:link w:val="BalloonTextChar"/>
    <w:rsid w:val="008E673B"/>
    <w:rPr>
      <w:rFonts w:ascii="Tahoma" w:hAnsi="Tahoma" w:cs="Tahoma"/>
      <w:sz w:val="16"/>
      <w:szCs w:val="16"/>
    </w:rPr>
  </w:style>
  <w:style w:type="character" w:customStyle="1" w:styleId="BalloonTextChar">
    <w:name w:val="Balloon Text Char"/>
    <w:basedOn w:val="DefaultParagraphFont"/>
    <w:link w:val="BalloonText"/>
    <w:locked/>
    <w:rsid w:val="008E673B"/>
    <w:rPr>
      <w:rFonts w:ascii="Tahoma" w:eastAsia="SimSun" w:hAnsi="Tahoma" w:cs="Tahoma"/>
      <w:sz w:val="16"/>
      <w:szCs w:val="16"/>
      <w:lang w:val="x-none" w:eastAsia="zh-CN"/>
    </w:rPr>
  </w:style>
  <w:style w:type="paragraph" w:styleId="ListParagraph">
    <w:name w:val="List Paragraph"/>
    <w:basedOn w:val="Normal"/>
    <w:uiPriority w:val="34"/>
    <w:qFormat/>
    <w:rsid w:val="00BC4D2B"/>
    <w:pPr>
      <w:numPr>
        <w:numId w:val="10"/>
      </w:numPr>
      <w:spacing w:after="240"/>
      <w:ind w:left="0" w:firstLine="567"/>
    </w:pPr>
    <w:rPr>
      <w:lang w:val="en-US"/>
    </w:rPr>
  </w:style>
  <w:style w:type="character" w:styleId="FootnoteReference">
    <w:name w:val="footnote reference"/>
    <w:basedOn w:val="DefaultParagraphFont"/>
    <w:uiPriority w:val="99"/>
    <w:qFormat/>
    <w:rsid w:val="00BC4D2B"/>
    <w:rPr>
      <w:vertAlign w:val="superscript"/>
    </w:rPr>
  </w:style>
  <w:style w:type="character" w:customStyle="1" w:styleId="FootnoteTextChar">
    <w:name w:val="Footnote Text Char"/>
    <w:basedOn w:val="DefaultParagraphFont"/>
    <w:link w:val="FootnoteText"/>
    <w:uiPriority w:val="99"/>
    <w:qFormat/>
    <w:rsid w:val="00BC4D2B"/>
    <w:rPr>
      <w:rFonts w:ascii="Arial" w:eastAsia="SimSun" w:hAnsi="Arial" w:cs="Arial"/>
      <w:sz w:val="18"/>
      <w:lang w:val="es-ES" w:eastAsia="zh-CN"/>
    </w:rPr>
  </w:style>
  <w:style w:type="character" w:customStyle="1" w:styleId="Heading1Char">
    <w:name w:val="Heading 1 Char"/>
    <w:link w:val="Heading1"/>
    <w:locked/>
    <w:rsid w:val="00BC4D2B"/>
    <w:rPr>
      <w:rFonts w:ascii="Arial" w:eastAsia="SimSun" w:hAnsi="Arial" w:cs="Arial"/>
      <w:b/>
      <w:bCs/>
      <w:caps/>
      <w:kern w:val="32"/>
      <w:sz w:val="22"/>
      <w:szCs w:val="32"/>
      <w:lang w:val="es-ES" w:eastAsia="zh-CN"/>
    </w:rPr>
  </w:style>
  <w:style w:type="table" w:styleId="TableGrid">
    <w:name w:val="Table Grid"/>
    <w:basedOn w:val="TableNormal"/>
    <w:rsid w:val="0071152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basedOn w:val="DefaultParagraphFont"/>
    <w:link w:val="Footer"/>
    <w:uiPriority w:val="99"/>
    <w:rsid w:val="0071152B"/>
    <w:rPr>
      <w:rFonts w:ascii="Arial" w:eastAsia="SimSun" w:hAnsi="Arial" w:cs="Arial"/>
      <w:sz w:val="22"/>
      <w:lang w:val="es-ES" w:eastAsia="zh-CN"/>
    </w:rPr>
  </w:style>
  <w:style w:type="character" w:customStyle="1" w:styleId="FootnoteAnchor">
    <w:name w:val="Footnote Anchor"/>
    <w:rsid w:val="00E05132"/>
    <w:rPr>
      <w:vertAlign w:val="superscript"/>
    </w:rPr>
  </w:style>
  <w:style w:type="paragraph" w:customStyle="1" w:styleId="indenti">
    <w:name w:val="indent_i"/>
    <w:basedOn w:val="Normal"/>
    <w:rsid w:val="00E05132"/>
    <w:pPr>
      <w:ind w:left="2160" w:hanging="180"/>
    </w:pPr>
    <w:rPr>
      <w:color w:val="00000A"/>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locked="1" w:qFormat="1"/>
    <w:lsdException w:name="heading 1" w:locked="1" w:qFormat="1"/>
    <w:lsdException w:name="heading 2" w:locked="1" w:qFormat="1"/>
    <w:lsdException w:name="heading 3" w:locked="1" w:qFormat="1"/>
    <w:lsdException w:name="heading 4" w:lock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footer" w:uiPriority="99"/>
    <w:lsdException w:name="caption" w:locked="1" w:qFormat="1"/>
    <w:lsdException w:name="footnote reference" w:uiPriority="99" w:qFormat="1"/>
    <w:lsdException w:name="Title" w:locked="1" w:qFormat="1"/>
    <w:lsdException w:name="Subtitle" w:locked="1" w:qFormat="1"/>
    <w:lsdException w:name="Strong" w:locked="1" w:qFormat="1"/>
    <w:lsdException w:name="Emphasis" w:locked="1"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6C5C"/>
    <w:rPr>
      <w:rFonts w:ascii="Arial" w:eastAsia="SimSun" w:hAnsi="Arial" w:cs="Arial"/>
      <w:sz w:val="22"/>
      <w:lang w:val="es-ES" w:eastAsia="zh-CN"/>
    </w:rPr>
  </w:style>
  <w:style w:type="paragraph" w:styleId="Heading1">
    <w:name w:val="heading 1"/>
    <w:basedOn w:val="Normal"/>
    <w:next w:val="Normal"/>
    <w:link w:val="Heading1Char"/>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qFormat/>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link w:val="FooterChar"/>
    <w:uiPriority w:val="99"/>
    <w:rsid w:val="00676C5C"/>
    <w:pPr>
      <w:tabs>
        <w:tab w:val="center" w:pos="4320"/>
        <w:tab w:val="right" w:pos="8640"/>
      </w:tabs>
    </w:pPr>
  </w:style>
  <w:style w:type="paragraph" w:styleId="FootnoteText">
    <w:name w:val="footnote text"/>
    <w:basedOn w:val="Normal"/>
    <w:link w:val="FootnoteTextChar"/>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5"/>
      </w:numPr>
    </w:pPr>
  </w:style>
  <w:style w:type="paragraph" w:customStyle="1" w:styleId="ONUME">
    <w:name w:val="ONUM E"/>
    <w:basedOn w:val="BodyText"/>
    <w:qFormat/>
    <w:rsid w:val="00676C5C"/>
    <w:pPr>
      <w:numPr>
        <w:numId w:val="6"/>
      </w:numPr>
    </w:pPr>
  </w:style>
  <w:style w:type="paragraph" w:customStyle="1" w:styleId="ONUMFS">
    <w:name w:val="ONUM FS"/>
    <w:basedOn w:val="BodyText"/>
    <w:rsid w:val="00676C5C"/>
    <w:pPr>
      <w:numPr>
        <w:numId w:val="7"/>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BalloonText">
    <w:name w:val="Balloon Text"/>
    <w:basedOn w:val="Normal"/>
    <w:link w:val="BalloonTextChar"/>
    <w:rsid w:val="008E673B"/>
    <w:rPr>
      <w:rFonts w:ascii="Tahoma" w:hAnsi="Tahoma" w:cs="Tahoma"/>
      <w:sz w:val="16"/>
      <w:szCs w:val="16"/>
    </w:rPr>
  </w:style>
  <w:style w:type="character" w:customStyle="1" w:styleId="BalloonTextChar">
    <w:name w:val="Balloon Text Char"/>
    <w:basedOn w:val="DefaultParagraphFont"/>
    <w:link w:val="BalloonText"/>
    <w:locked/>
    <w:rsid w:val="008E673B"/>
    <w:rPr>
      <w:rFonts w:ascii="Tahoma" w:eastAsia="SimSun" w:hAnsi="Tahoma" w:cs="Tahoma"/>
      <w:sz w:val="16"/>
      <w:szCs w:val="16"/>
      <w:lang w:val="x-none" w:eastAsia="zh-CN"/>
    </w:rPr>
  </w:style>
  <w:style w:type="paragraph" w:styleId="ListParagraph">
    <w:name w:val="List Paragraph"/>
    <w:basedOn w:val="Normal"/>
    <w:uiPriority w:val="34"/>
    <w:qFormat/>
    <w:rsid w:val="00BC4D2B"/>
    <w:pPr>
      <w:numPr>
        <w:numId w:val="10"/>
      </w:numPr>
      <w:spacing w:after="240"/>
      <w:ind w:left="0" w:firstLine="567"/>
    </w:pPr>
    <w:rPr>
      <w:lang w:val="en-US"/>
    </w:rPr>
  </w:style>
  <w:style w:type="character" w:styleId="FootnoteReference">
    <w:name w:val="footnote reference"/>
    <w:basedOn w:val="DefaultParagraphFont"/>
    <w:uiPriority w:val="99"/>
    <w:qFormat/>
    <w:rsid w:val="00BC4D2B"/>
    <w:rPr>
      <w:vertAlign w:val="superscript"/>
    </w:rPr>
  </w:style>
  <w:style w:type="character" w:customStyle="1" w:styleId="FootnoteTextChar">
    <w:name w:val="Footnote Text Char"/>
    <w:basedOn w:val="DefaultParagraphFont"/>
    <w:link w:val="FootnoteText"/>
    <w:uiPriority w:val="99"/>
    <w:qFormat/>
    <w:rsid w:val="00BC4D2B"/>
    <w:rPr>
      <w:rFonts w:ascii="Arial" w:eastAsia="SimSun" w:hAnsi="Arial" w:cs="Arial"/>
      <w:sz w:val="18"/>
      <w:lang w:val="es-ES" w:eastAsia="zh-CN"/>
    </w:rPr>
  </w:style>
  <w:style w:type="character" w:customStyle="1" w:styleId="Heading1Char">
    <w:name w:val="Heading 1 Char"/>
    <w:link w:val="Heading1"/>
    <w:locked/>
    <w:rsid w:val="00BC4D2B"/>
    <w:rPr>
      <w:rFonts w:ascii="Arial" w:eastAsia="SimSun" w:hAnsi="Arial" w:cs="Arial"/>
      <w:b/>
      <w:bCs/>
      <w:caps/>
      <w:kern w:val="32"/>
      <w:sz w:val="22"/>
      <w:szCs w:val="32"/>
      <w:lang w:val="es-ES" w:eastAsia="zh-CN"/>
    </w:rPr>
  </w:style>
  <w:style w:type="table" w:styleId="TableGrid">
    <w:name w:val="Table Grid"/>
    <w:basedOn w:val="TableNormal"/>
    <w:rsid w:val="0071152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basedOn w:val="DefaultParagraphFont"/>
    <w:link w:val="Footer"/>
    <w:uiPriority w:val="99"/>
    <w:rsid w:val="0071152B"/>
    <w:rPr>
      <w:rFonts w:ascii="Arial" w:eastAsia="SimSun" w:hAnsi="Arial" w:cs="Arial"/>
      <w:sz w:val="22"/>
      <w:lang w:val="es-ES" w:eastAsia="zh-CN"/>
    </w:rPr>
  </w:style>
  <w:style w:type="character" w:customStyle="1" w:styleId="FootnoteAnchor">
    <w:name w:val="Footnote Anchor"/>
    <w:rsid w:val="00E05132"/>
    <w:rPr>
      <w:vertAlign w:val="superscript"/>
    </w:rPr>
  </w:style>
  <w:style w:type="paragraph" w:customStyle="1" w:styleId="indenti">
    <w:name w:val="indent_i"/>
    <w:basedOn w:val="Normal"/>
    <w:rsid w:val="00E05132"/>
    <w:pPr>
      <w:ind w:left="2160" w:hanging="180"/>
    </w:pPr>
    <w:rPr>
      <w:color w:val="00000A"/>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emf"/><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D:\Temp\IeCache\Content.MSO\CC8E72C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B7AAE5F-A5F9-4A43-94A4-C5755014BD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CC8E72C0</Template>
  <TotalTime>1</TotalTime>
  <Pages>5</Pages>
  <Words>1543</Words>
  <Characters>8065</Characters>
  <Application>Microsoft Office Word</Application>
  <DocSecurity>0</DocSecurity>
  <Lines>67</Lines>
  <Paragraphs>19</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H/LD/WG/7/8</vt:lpstr>
      <vt:lpstr>H/LD/WG/5/1 Prov. </vt:lpstr>
    </vt:vector>
  </TitlesOfParts>
  <Company>WIPO</Company>
  <LinksUpToDate>false</LinksUpToDate>
  <CharactersWithSpaces>9589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H/LD/WG/7/8</dc:title>
  <dc:creator>WIPO</dc:creator>
  <dc:description>ID - 9/5/2018</dc:description>
  <cp:lastModifiedBy>MAILLARD Amber</cp:lastModifiedBy>
  <cp:revision>4</cp:revision>
  <cp:lastPrinted>2018-05-23T09:56:00Z</cp:lastPrinted>
  <dcterms:created xsi:type="dcterms:W3CDTF">2018-05-23T09:55:00Z</dcterms:created>
  <dcterms:modified xsi:type="dcterms:W3CDTF">2018-05-23T09:57:00Z</dcterms:modified>
</cp:coreProperties>
</file>