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12398" w:rsidRPr="00112398" w:rsidTr="00BE73E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202C3" w:rsidRPr="00112398" w:rsidRDefault="00A202C3" w:rsidP="00BE73EC">
            <w:bookmarkStart w:id="0" w:name="TitleOfDoc"/>
            <w:bookmarkStart w:id="1" w:name="_GoBack"/>
            <w:bookmarkEnd w:id="0"/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202C3" w:rsidRPr="00112398" w:rsidRDefault="00A202C3" w:rsidP="00BE73EC">
            <w:r w:rsidRPr="00112398">
              <w:rPr>
                <w:noProof/>
                <w:lang w:eastAsia="en-US"/>
              </w:rPr>
              <w:drawing>
                <wp:inline distT="0" distB="0" distL="0" distR="0" wp14:anchorId="3FBAE987" wp14:editId="009DC02E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202C3" w:rsidRPr="00112398" w:rsidRDefault="00A202C3" w:rsidP="00BE73EC">
            <w:pPr>
              <w:jc w:val="right"/>
            </w:pPr>
            <w:r w:rsidRPr="00112398">
              <w:rPr>
                <w:b/>
                <w:sz w:val="40"/>
                <w:szCs w:val="40"/>
              </w:rPr>
              <w:t>F</w:t>
            </w:r>
          </w:p>
        </w:tc>
      </w:tr>
      <w:tr w:rsidR="00112398" w:rsidRPr="00112398" w:rsidTr="00BE73E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202C3" w:rsidRPr="00112398" w:rsidRDefault="00A202C3" w:rsidP="00BE73E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12398">
              <w:rPr>
                <w:rFonts w:ascii="Arial Black" w:hAnsi="Arial Black"/>
                <w:caps/>
                <w:sz w:val="15"/>
              </w:rPr>
              <w:t>H/LD/WG/7/</w:t>
            </w:r>
            <w:bookmarkStart w:id="2" w:name="Code"/>
            <w:bookmarkEnd w:id="2"/>
            <w:r w:rsidRPr="00112398">
              <w:rPr>
                <w:rFonts w:ascii="Arial Black" w:hAnsi="Arial Black"/>
                <w:caps/>
                <w:sz w:val="15"/>
              </w:rPr>
              <w:t xml:space="preserve">4 </w:t>
            </w:r>
          </w:p>
        </w:tc>
      </w:tr>
      <w:tr w:rsidR="00112398" w:rsidRPr="00112398" w:rsidTr="00BE73E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202C3" w:rsidRPr="00112398" w:rsidRDefault="00A202C3" w:rsidP="00BE73E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12398">
              <w:rPr>
                <w:rFonts w:ascii="Arial Black" w:hAnsi="Arial Black"/>
                <w:caps/>
                <w:sz w:val="15"/>
              </w:rPr>
              <w:t>ORIGINAL</w:t>
            </w:r>
            <w:r w:rsidR="009A5C78" w:rsidRPr="00112398">
              <w:rPr>
                <w:rFonts w:ascii="Arial Black" w:hAnsi="Arial Black"/>
                <w:caps/>
                <w:sz w:val="15"/>
              </w:rPr>
              <w:t> :</w:t>
            </w:r>
            <w:r w:rsidRPr="0011239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Original"/>
            <w:bookmarkEnd w:id="3"/>
            <w:r w:rsidRPr="00112398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A202C3" w:rsidRPr="00112398" w:rsidTr="00BE73E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202C3" w:rsidRPr="00112398" w:rsidRDefault="00A202C3" w:rsidP="00BB0AE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12398">
              <w:rPr>
                <w:rFonts w:ascii="Arial Black" w:hAnsi="Arial Black"/>
                <w:caps/>
                <w:sz w:val="15"/>
              </w:rPr>
              <w:t>DATE</w:t>
            </w:r>
            <w:r w:rsidR="009A5C78" w:rsidRPr="00112398">
              <w:rPr>
                <w:rFonts w:ascii="Arial Black" w:hAnsi="Arial Black"/>
                <w:caps/>
                <w:sz w:val="15"/>
              </w:rPr>
              <w:t> :</w:t>
            </w:r>
            <w:r w:rsidRPr="0011239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4" w:name="Date"/>
            <w:bookmarkEnd w:id="4"/>
            <w:r w:rsidR="00BB0AE1">
              <w:rPr>
                <w:rFonts w:ascii="Arial Black" w:hAnsi="Arial Black"/>
                <w:caps/>
                <w:sz w:val="15"/>
              </w:rPr>
              <w:t xml:space="preserve">8 </w:t>
            </w:r>
            <w:r w:rsidR="00C21136">
              <w:rPr>
                <w:rFonts w:ascii="Arial Black" w:hAnsi="Arial Black"/>
                <w:caps/>
                <w:sz w:val="15"/>
              </w:rPr>
              <w:t>Mai</w:t>
            </w:r>
            <w:r w:rsidR="00C21136" w:rsidRPr="00112398">
              <w:rPr>
                <w:rFonts w:ascii="Arial Black" w:hAnsi="Arial Black"/>
                <w:caps/>
                <w:sz w:val="15"/>
              </w:rPr>
              <w:t> </w:t>
            </w:r>
            <w:r w:rsidR="00E178A7" w:rsidRPr="00112398">
              <w:rPr>
                <w:rFonts w:ascii="Arial Black" w:hAnsi="Arial Black"/>
                <w:caps/>
                <w:sz w:val="15"/>
              </w:rPr>
              <w:t>20</w:t>
            </w:r>
            <w:r w:rsidRPr="00112398">
              <w:rPr>
                <w:rFonts w:ascii="Arial Black" w:hAnsi="Arial Black"/>
                <w:caps/>
                <w:sz w:val="15"/>
              </w:rPr>
              <w:t>18</w:t>
            </w:r>
          </w:p>
        </w:tc>
      </w:tr>
    </w:tbl>
    <w:p w:rsidR="00A202C3" w:rsidRPr="00112398" w:rsidRDefault="00A202C3" w:rsidP="00A202C3"/>
    <w:p w:rsidR="00A202C3" w:rsidRPr="00112398" w:rsidRDefault="00A202C3" w:rsidP="00A202C3"/>
    <w:p w:rsidR="00A202C3" w:rsidRPr="00112398" w:rsidRDefault="00A202C3" w:rsidP="00A202C3"/>
    <w:p w:rsidR="00A202C3" w:rsidRPr="00112398" w:rsidRDefault="00A202C3" w:rsidP="00A202C3"/>
    <w:p w:rsidR="00A202C3" w:rsidRPr="00112398" w:rsidRDefault="00A202C3" w:rsidP="00A202C3"/>
    <w:p w:rsidR="00A202C3" w:rsidRPr="00112398" w:rsidRDefault="00A202C3" w:rsidP="00A202C3">
      <w:pPr>
        <w:rPr>
          <w:lang w:val="fr-FR"/>
        </w:rPr>
      </w:pPr>
      <w:r w:rsidRPr="00112398">
        <w:rPr>
          <w:b/>
          <w:sz w:val="28"/>
          <w:szCs w:val="28"/>
          <w:lang w:val="fr-FR"/>
        </w:rPr>
        <w:t xml:space="preserve">Groupe de travail sur le développement juridique du système de </w:t>
      </w:r>
      <w:r w:rsidR="009A5C78" w:rsidRPr="00112398">
        <w:rPr>
          <w:b/>
          <w:sz w:val="28"/>
          <w:szCs w:val="28"/>
          <w:lang w:val="fr-FR"/>
        </w:rPr>
        <w:t>La Haye</w:t>
      </w:r>
      <w:r w:rsidRPr="00112398">
        <w:rPr>
          <w:b/>
          <w:sz w:val="28"/>
          <w:szCs w:val="28"/>
          <w:lang w:val="fr-FR"/>
        </w:rPr>
        <w:t xml:space="preserve"> concernant l</w:t>
      </w:r>
      <w:r w:rsidR="009A5C78" w:rsidRPr="00112398">
        <w:rPr>
          <w:b/>
          <w:sz w:val="28"/>
          <w:szCs w:val="28"/>
          <w:lang w:val="fr-FR"/>
        </w:rPr>
        <w:t>’</w:t>
      </w:r>
      <w:r w:rsidRPr="00112398">
        <w:rPr>
          <w:b/>
          <w:sz w:val="28"/>
          <w:szCs w:val="28"/>
          <w:lang w:val="fr-FR"/>
        </w:rPr>
        <w:t>enregistrement international des dessins et modèles industriels</w:t>
      </w:r>
    </w:p>
    <w:p w:rsidR="00A202C3" w:rsidRPr="00112398" w:rsidRDefault="00A202C3" w:rsidP="00A202C3">
      <w:pPr>
        <w:rPr>
          <w:lang w:val="fr-FR"/>
        </w:rPr>
      </w:pPr>
    </w:p>
    <w:p w:rsidR="00A202C3" w:rsidRPr="00112398" w:rsidRDefault="00A202C3" w:rsidP="00A202C3">
      <w:pPr>
        <w:rPr>
          <w:lang w:val="fr-FR"/>
        </w:rPr>
      </w:pPr>
    </w:p>
    <w:p w:rsidR="00A202C3" w:rsidRPr="00112398" w:rsidRDefault="00A202C3" w:rsidP="00A202C3">
      <w:pPr>
        <w:rPr>
          <w:b/>
          <w:sz w:val="24"/>
          <w:szCs w:val="24"/>
          <w:lang w:val="fr-FR"/>
        </w:rPr>
      </w:pPr>
      <w:r w:rsidRPr="00112398">
        <w:rPr>
          <w:b/>
          <w:sz w:val="24"/>
          <w:szCs w:val="24"/>
          <w:lang w:val="fr-FR"/>
        </w:rPr>
        <w:t>Sept</w:t>
      </w:r>
      <w:r w:rsidR="009A5C78" w:rsidRPr="00112398">
        <w:rPr>
          <w:b/>
          <w:sz w:val="24"/>
          <w:szCs w:val="24"/>
          <w:lang w:val="fr-FR"/>
        </w:rPr>
        <w:t>ième session</w:t>
      </w:r>
    </w:p>
    <w:p w:rsidR="00A202C3" w:rsidRPr="00112398" w:rsidRDefault="00A202C3" w:rsidP="00A202C3">
      <w:pPr>
        <w:rPr>
          <w:lang w:val="fr-FR"/>
        </w:rPr>
      </w:pPr>
      <w:r w:rsidRPr="00112398">
        <w:rPr>
          <w:b/>
          <w:sz w:val="24"/>
          <w:szCs w:val="24"/>
          <w:lang w:val="fr-FR"/>
        </w:rPr>
        <w:t>Genève, 16 – 1</w:t>
      </w:r>
      <w:r w:rsidR="00E178A7" w:rsidRPr="00112398">
        <w:rPr>
          <w:b/>
          <w:sz w:val="24"/>
          <w:szCs w:val="24"/>
          <w:lang w:val="fr-FR"/>
        </w:rPr>
        <w:t>8 juillet 20</w:t>
      </w:r>
      <w:r w:rsidRPr="00112398">
        <w:rPr>
          <w:b/>
          <w:sz w:val="24"/>
          <w:szCs w:val="24"/>
          <w:lang w:val="fr-FR"/>
        </w:rPr>
        <w:t>18</w:t>
      </w:r>
    </w:p>
    <w:p w:rsidR="008B2CC1" w:rsidRPr="00112398" w:rsidRDefault="0057192F" w:rsidP="00D97770">
      <w:pPr>
        <w:spacing w:before="720"/>
        <w:rPr>
          <w:caps/>
          <w:sz w:val="24"/>
          <w:lang w:val="fr-FR"/>
        </w:rPr>
      </w:pPr>
      <w:r w:rsidRPr="00112398">
        <w:rPr>
          <w:caps/>
          <w:sz w:val="24"/>
          <w:lang w:val="fr-FR"/>
        </w:rPr>
        <w:t xml:space="preserve">questions liées à la </w:t>
      </w:r>
      <w:r w:rsidR="00CE2559">
        <w:rPr>
          <w:caps/>
          <w:sz w:val="24"/>
          <w:lang w:val="fr-FR"/>
        </w:rPr>
        <w:t xml:space="preserve">disponibilité publique </w:t>
      </w:r>
      <w:r w:rsidRPr="00112398">
        <w:rPr>
          <w:caps/>
          <w:sz w:val="24"/>
          <w:lang w:val="fr-FR"/>
        </w:rPr>
        <w:t>des notifications de refus</w:t>
      </w:r>
    </w:p>
    <w:p w:rsidR="008B2CC1" w:rsidRDefault="00F23DE3" w:rsidP="00530FC2">
      <w:pPr>
        <w:spacing w:before="240" w:after="1200"/>
        <w:rPr>
          <w:i/>
          <w:lang w:val="fr-FR"/>
        </w:rPr>
      </w:pPr>
      <w:bookmarkStart w:id="5" w:name="Prepared"/>
      <w:bookmarkEnd w:id="5"/>
      <w:r w:rsidRPr="00112398">
        <w:rPr>
          <w:i/>
          <w:lang w:val="fr-FR"/>
        </w:rPr>
        <w:t xml:space="preserve">Document </w:t>
      </w:r>
      <w:r w:rsidR="0057192F" w:rsidRPr="00112398">
        <w:rPr>
          <w:i/>
          <w:lang w:val="fr-FR"/>
        </w:rPr>
        <w:t>établi par le Bureau i</w:t>
      </w:r>
      <w:r w:rsidRPr="00112398">
        <w:rPr>
          <w:i/>
          <w:lang w:val="fr-FR"/>
        </w:rPr>
        <w:t>nternational</w:t>
      </w:r>
    </w:p>
    <w:p w:rsidR="00F23DE3" w:rsidRPr="00112398" w:rsidRDefault="00F23DE3" w:rsidP="002166E6">
      <w:pPr>
        <w:pStyle w:val="Heading1"/>
        <w:rPr>
          <w:lang w:val="fr-FR"/>
        </w:rPr>
      </w:pPr>
      <w:r w:rsidRPr="00112398">
        <w:rPr>
          <w:lang w:val="fr-FR"/>
        </w:rPr>
        <w:t>I.</w:t>
      </w:r>
      <w:r w:rsidRPr="00112398">
        <w:rPr>
          <w:lang w:val="fr-FR"/>
        </w:rPr>
        <w:tab/>
      </w:r>
      <w:r w:rsidR="00245067" w:rsidRPr="00112398">
        <w:rPr>
          <w:lang w:val="fr-FR"/>
        </w:rPr>
        <w:t>Rappel</w:t>
      </w:r>
    </w:p>
    <w:p w:rsidR="00F23DE3" w:rsidRPr="00112398" w:rsidRDefault="00CE2559" w:rsidP="002166E6">
      <w:pPr>
        <w:pStyle w:val="Heading2"/>
        <w:rPr>
          <w:lang w:val="fr-FR"/>
        </w:rPr>
      </w:pPr>
      <w:r w:rsidRPr="00112398">
        <w:rPr>
          <w:lang w:val="fr-FR"/>
        </w:rPr>
        <w:t xml:space="preserve">copies </w:t>
      </w:r>
      <w:r>
        <w:rPr>
          <w:lang w:val="fr-FR"/>
        </w:rPr>
        <w:t xml:space="preserve">PDF </w:t>
      </w:r>
      <w:r w:rsidRPr="00112398">
        <w:rPr>
          <w:lang w:val="fr-FR"/>
        </w:rPr>
        <w:t xml:space="preserve">des notifications </w:t>
      </w:r>
      <w:r w:rsidR="00BC2F28">
        <w:rPr>
          <w:lang w:val="fr-FR"/>
        </w:rPr>
        <w:t xml:space="preserve">disponibles </w:t>
      </w:r>
      <w:r w:rsidR="00245067" w:rsidRPr="00112398">
        <w:rPr>
          <w:lang w:val="fr-FR"/>
        </w:rPr>
        <w:t>sur le site</w:t>
      </w:r>
      <w:r w:rsidR="007E3D16" w:rsidRPr="00112398">
        <w:rPr>
          <w:lang w:val="fr-FR"/>
        </w:rPr>
        <w:t> Web</w:t>
      </w:r>
      <w:r w:rsidR="00245067" w:rsidRPr="00112398">
        <w:rPr>
          <w:lang w:val="fr-FR"/>
        </w:rPr>
        <w:t xml:space="preserve"> de l</w:t>
      </w:r>
      <w:r w:rsidR="009A5C78" w:rsidRPr="00112398">
        <w:rPr>
          <w:lang w:val="fr-FR"/>
        </w:rPr>
        <w:t>’</w:t>
      </w:r>
      <w:r w:rsidR="002166E6" w:rsidRPr="00112398">
        <w:rPr>
          <w:lang w:val="fr-FR"/>
        </w:rPr>
        <w:t>OMPI</w:t>
      </w:r>
      <w:r w:rsidR="00245067" w:rsidRPr="00112398">
        <w:rPr>
          <w:lang w:val="fr-FR"/>
        </w:rPr>
        <w:t xml:space="preserve"> </w:t>
      </w:r>
    </w:p>
    <w:p w:rsidR="00E178A7" w:rsidRPr="00112398" w:rsidRDefault="004210D8" w:rsidP="00CD3867">
      <w:pPr>
        <w:pStyle w:val="ONUMFS"/>
        <w:rPr>
          <w:lang w:val="fr-FR" w:eastAsia="en-US"/>
        </w:rPr>
      </w:pPr>
      <w:r w:rsidRPr="00112398">
        <w:rPr>
          <w:lang w:val="fr-FR" w:eastAsia="en-US"/>
        </w:rPr>
        <w:t>L</w:t>
      </w:r>
      <w:r w:rsidR="009A5C78" w:rsidRPr="00112398">
        <w:rPr>
          <w:lang w:val="fr-FR" w:eastAsia="en-US"/>
        </w:rPr>
        <w:t>’</w:t>
      </w:r>
      <w:r w:rsidRPr="00112398">
        <w:rPr>
          <w:lang w:val="fr-FR" w:eastAsia="en-US"/>
        </w:rPr>
        <w:t>a</w:t>
      </w:r>
      <w:r w:rsidR="00414153" w:rsidRPr="00112398">
        <w:rPr>
          <w:lang w:val="fr-FR" w:eastAsia="en-US"/>
        </w:rPr>
        <w:t>rticle</w:t>
      </w:r>
      <w:r w:rsidRPr="00112398">
        <w:rPr>
          <w:lang w:val="fr-FR" w:eastAsia="en-US"/>
        </w:rPr>
        <w:t> </w:t>
      </w:r>
      <w:r w:rsidR="00414153" w:rsidRPr="00112398">
        <w:rPr>
          <w:lang w:val="fr-FR" w:eastAsia="en-US"/>
        </w:rPr>
        <w:t>14</w:t>
      </w:r>
      <w:r w:rsidRPr="00112398">
        <w:rPr>
          <w:lang w:val="fr-FR" w:eastAsia="en-US"/>
        </w:rPr>
        <w:t>.</w:t>
      </w:r>
      <w:r w:rsidR="00414153" w:rsidRPr="00112398">
        <w:rPr>
          <w:lang w:val="fr-FR" w:eastAsia="en-US"/>
        </w:rPr>
        <w:t xml:space="preserve">2)c) </w:t>
      </w:r>
      <w:r w:rsidRPr="00112398">
        <w:rPr>
          <w:lang w:val="fr-FR" w:eastAsia="en-US"/>
        </w:rPr>
        <w:t>de l</w:t>
      </w:r>
      <w:r w:rsidR="009A5C78" w:rsidRPr="00112398">
        <w:rPr>
          <w:lang w:val="fr-FR" w:eastAsia="en-US"/>
        </w:rPr>
        <w:t>’</w:t>
      </w:r>
      <w:r w:rsidRPr="00112398">
        <w:rPr>
          <w:lang w:val="fr-FR" w:eastAsia="en-US"/>
        </w:rPr>
        <w:t>Acte de Genève</w:t>
      </w:r>
      <w:r w:rsidR="00414153" w:rsidRPr="00112398">
        <w:rPr>
          <w:lang w:val="fr-FR" w:eastAsia="en-US"/>
        </w:rPr>
        <w:t xml:space="preserve"> (1999)</w:t>
      </w:r>
      <w:r w:rsidR="00864142" w:rsidRPr="00112398">
        <w:rPr>
          <w:lang w:val="fr-FR" w:eastAsia="en-US"/>
        </w:rPr>
        <w:t xml:space="preserve"> de l</w:t>
      </w:r>
      <w:r w:rsidR="009A5C78" w:rsidRPr="00112398">
        <w:rPr>
          <w:lang w:val="fr-FR" w:eastAsia="en-US"/>
        </w:rPr>
        <w:t>’</w:t>
      </w:r>
      <w:r w:rsidR="00864142" w:rsidRPr="00112398">
        <w:rPr>
          <w:lang w:val="fr-FR" w:eastAsia="en-US"/>
        </w:rPr>
        <w:t xml:space="preserve">Arrangement de </w:t>
      </w:r>
      <w:r w:rsidR="009A5C78" w:rsidRPr="00112398">
        <w:rPr>
          <w:lang w:val="fr-FR" w:eastAsia="en-US"/>
        </w:rPr>
        <w:t>La Haye</w:t>
      </w:r>
      <w:r w:rsidR="00864142" w:rsidRPr="00112398">
        <w:rPr>
          <w:lang w:val="fr-FR" w:eastAsia="en-US"/>
        </w:rPr>
        <w:t xml:space="preserve"> (ci</w:t>
      </w:r>
      <w:r w:rsidR="009A5C78" w:rsidRPr="00112398">
        <w:rPr>
          <w:lang w:val="fr-FR" w:eastAsia="en-US"/>
        </w:rPr>
        <w:t>-</w:t>
      </w:r>
      <w:r w:rsidR="00864142" w:rsidRPr="00112398">
        <w:rPr>
          <w:lang w:val="fr-FR" w:eastAsia="en-US"/>
        </w:rPr>
        <w:t xml:space="preserve">après dénommé </w:t>
      </w:r>
      <w:r w:rsidR="00414153" w:rsidRPr="00112398">
        <w:rPr>
          <w:lang w:val="fr-FR" w:eastAsia="en-US"/>
        </w:rPr>
        <w:t>“</w:t>
      </w:r>
      <w:r w:rsidR="00864142" w:rsidRPr="00112398">
        <w:rPr>
          <w:lang w:val="fr-FR" w:eastAsia="en-US"/>
        </w:rPr>
        <w:t xml:space="preserve">Acte </w:t>
      </w:r>
      <w:r w:rsidR="00E178A7" w:rsidRPr="00112398">
        <w:rPr>
          <w:lang w:val="fr-FR" w:eastAsia="en-US"/>
        </w:rPr>
        <w:t>de 1999</w:t>
      </w:r>
      <w:r w:rsidR="00414153" w:rsidRPr="00112398">
        <w:rPr>
          <w:lang w:val="fr-FR" w:eastAsia="en-US"/>
        </w:rPr>
        <w:t>”) pr</w:t>
      </w:r>
      <w:r w:rsidR="00864142" w:rsidRPr="00112398">
        <w:rPr>
          <w:lang w:val="fr-FR" w:eastAsia="en-US"/>
        </w:rPr>
        <w:t>évoit que les effets conférés à l</w:t>
      </w:r>
      <w:r w:rsidR="009A5C78" w:rsidRPr="00112398">
        <w:rPr>
          <w:lang w:val="fr-FR" w:eastAsia="en-US"/>
        </w:rPr>
        <w:t>’</w:t>
      </w:r>
      <w:r w:rsidR="00864142" w:rsidRPr="00112398">
        <w:rPr>
          <w:lang w:val="fr-FR" w:eastAsia="en-US"/>
        </w:rPr>
        <w:t>enregistrement international en vertu de l</w:t>
      </w:r>
      <w:r w:rsidR="009A5C78" w:rsidRPr="00112398">
        <w:rPr>
          <w:lang w:val="fr-FR" w:eastAsia="en-US"/>
        </w:rPr>
        <w:t>’</w:t>
      </w:r>
      <w:r w:rsidR="00864142" w:rsidRPr="00112398">
        <w:rPr>
          <w:lang w:val="fr-FR" w:eastAsia="en-US"/>
        </w:rPr>
        <w:t>article</w:t>
      </w:r>
      <w:r w:rsidR="006764EC">
        <w:rPr>
          <w:lang w:val="fr-FR" w:eastAsia="en-US"/>
        </w:rPr>
        <w:t> </w:t>
      </w:r>
      <w:r w:rsidR="00864142" w:rsidRPr="00112398">
        <w:rPr>
          <w:lang w:val="fr-FR" w:eastAsia="en-US"/>
        </w:rPr>
        <w:t>14.1), 2)a) et</w:t>
      </w:r>
      <w:r w:rsidR="006764EC">
        <w:rPr>
          <w:lang w:val="fr-FR" w:eastAsia="en-US"/>
        </w:rPr>
        <w:t> </w:t>
      </w:r>
      <w:r w:rsidR="00864142" w:rsidRPr="00112398">
        <w:rPr>
          <w:lang w:val="fr-FR" w:eastAsia="en-US"/>
        </w:rPr>
        <w:t>b)</w:t>
      </w:r>
      <w:r w:rsidR="006764EC">
        <w:rPr>
          <w:lang w:val="fr-FR" w:eastAsia="en-US"/>
        </w:rPr>
        <w:t xml:space="preserve"> </w:t>
      </w:r>
      <w:r w:rsidR="00864142" w:rsidRPr="00112398">
        <w:rPr>
          <w:lang w:val="fr-FR" w:eastAsia="en-US"/>
        </w:rPr>
        <w:t>s</w:t>
      </w:r>
      <w:r w:rsidR="009A5C78" w:rsidRPr="00112398">
        <w:rPr>
          <w:lang w:val="fr-FR" w:eastAsia="en-US"/>
        </w:rPr>
        <w:t>’</w:t>
      </w:r>
      <w:r w:rsidR="00864142" w:rsidRPr="00112398">
        <w:rPr>
          <w:lang w:val="fr-FR" w:eastAsia="en-US"/>
        </w:rPr>
        <w:t>appliquent aux dessins ou modèles industriels tels qu</w:t>
      </w:r>
      <w:r w:rsidR="009A5C78" w:rsidRPr="00112398">
        <w:rPr>
          <w:lang w:val="fr-FR" w:eastAsia="en-US"/>
        </w:rPr>
        <w:t>’</w:t>
      </w:r>
      <w:r w:rsidR="00864142" w:rsidRPr="00112398">
        <w:rPr>
          <w:lang w:val="fr-FR" w:eastAsia="en-US"/>
        </w:rPr>
        <w:t>ils ont été reçus du Bureau international par l</w:t>
      </w:r>
      <w:r w:rsidR="009A5C78" w:rsidRPr="00112398">
        <w:rPr>
          <w:lang w:val="fr-FR" w:eastAsia="en-US"/>
        </w:rPr>
        <w:t>’</w:t>
      </w:r>
      <w:r w:rsidR="00BB0AE1">
        <w:rPr>
          <w:lang w:val="fr-FR" w:eastAsia="en-US"/>
        </w:rPr>
        <w:t>O</w:t>
      </w:r>
      <w:r w:rsidR="00864142" w:rsidRPr="00112398">
        <w:rPr>
          <w:lang w:val="fr-FR" w:eastAsia="en-US"/>
        </w:rPr>
        <w:t>ffice d</w:t>
      </w:r>
      <w:r w:rsidR="009A5C78" w:rsidRPr="00112398">
        <w:rPr>
          <w:lang w:val="fr-FR" w:eastAsia="en-US"/>
        </w:rPr>
        <w:t>’</w:t>
      </w:r>
      <w:r w:rsidR="00864142" w:rsidRPr="00112398">
        <w:rPr>
          <w:lang w:val="fr-FR" w:eastAsia="en-US"/>
        </w:rPr>
        <w:t>une partie contractante désignée ou, le cas échéant, “tels qu</w:t>
      </w:r>
      <w:r w:rsidR="009A5C78" w:rsidRPr="00112398">
        <w:rPr>
          <w:lang w:val="fr-FR" w:eastAsia="en-US"/>
        </w:rPr>
        <w:t>’</w:t>
      </w:r>
      <w:r w:rsidR="00864142" w:rsidRPr="00112398">
        <w:rPr>
          <w:lang w:val="fr-FR" w:eastAsia="en-US"/>
        </w:rPr>
        <w:t xml:space="preserve">ils ont été modifiés </w:t>
      </w:r>
      <w:r w:rsidR="00E2734A">
        <w:rPr>
          <w:lang w:val="fr-FR" w:eastAsia="en-US"/>
        </w:rPr>
        <w:t xml:space="preserve">pendant la </w:t>
      </w:r>
      <w:r w:rsidR="00864142" w:rsidRPr="00112398">
        <w:rPr>
          <w:lang w:val="fr-FR" w:eastAsia="en-US"/>
        </w:rPr>
        <w:t xml:space="preserve">procédure devant cet </w:t>
      </w:r>
      <w:r w:rsidR="00BB0AE1">
        <w:rPr>
          <w:lang w:val="fr-FR" w:eastAsia="en-US"/>
        </w:rPr>
        <w:t>O</w:t>
      </w:r>
      <w:r w:rsidR="00864142" w:rsidRPr="00112398">
        <w:rPr>
          <w:lang w:val="fr-FR" w:eastAsia="en-US"/>
        </w:rPr>
        <w:t>ffice</w:t>
      </w:r>
      <w:r w:rsidR="00414153" w:rsidRPr="00112398">
        <w:rPr>
          <w:lang w:val="fr-FR" w:eastAsia="en-US"/>
        </w:rPr>
        <w:t xml:space="preserve">”.  </w:t>
      </w:r>
      <w:r w:rsidR="00864142" w:rsidRPr="00112398">
        <w:rPr>
          <w:lang w:val="fr-FR" w:eastAsia="en-US"/>
        </w:rPr>
        <w:t>Tenant compte de la disposition susmentionnée, l</w:t>
      </w:r>
      <w:r w:rsidR="009A5C78" w:rsidRPr="00112398">
        <w:rPr>
          <w:lang w:val="fr-FR" w:eastAsia="en-US"/>
        </w:rPr>
        <w:t>’</w:t>
      </w:r>
      <w:r w:rsidR="00864142" w:rsidRPr="00112398">
        <w:rPr>
          <w:lang w:val="fr-FR" w:eastAsia="en-US"/>
        </w:rPr>
        <w:t>Assemblée de l</w:t>
      </w:r>
      <w:r w:rsidR="009A5C78" w:rsidRPr="00112398">
        <w:rPr>
          <w:lang w:val="fr-FR" w:eastAsia="en-US"/>
        </w:rPr>
        <w:t>’</w:t>
      </w:r>
      <w:r w:rsidR="00864142" w:rsidRPr="00112398">
        <w:rPr>
          <w:lang w:val="fr-FR" w:eastAsia="en-US"/>
        </w:rPr>
        <w:t xml:space="preserve">Union de </w:t>
      </w:r>
      <w:r w:rsidR="009A5C78" w:rsidRPr="00112398">
        <w:rPr>
          <w:lang w:val="fr-FR" w:eastAsia="en-US"/>
        </w:rPr>
        <w:t>La Haye</w:t>
      </w:r>
      <w:r w:rsidR="00864142" w:rsidRPr="00112398">
        <w:rPr>
          <w:lang w:val="fr-FR" w:eastAsia="en-US"/>
        </w:rPr>
        <w:t>, à sa trente</w:t>
      </w:r>
      <w:r w:rsidR="006764EC">
        <w:rPr>
          <w:lang w:val="fr-FR" w:eastAsia="en-US"/>
        </w:rPr>
        <w:noBreakHyphen/>
      </w:r>
      <w:r w:rsidR="00864142" w:rsidRPr="00112398">
        <w:rPr>
          <w:lang w:val="fr-FR" w:eastAsia="en-US"/>
        </w:rPr>
        <w:t>quatr</w:t>
      </w:r>
      <w:r w:rsidR="009A5C78" w:rsidRPr="00112398">
        <w:rPr>
          <w:lang w:val="fr-FR" w:eastAsia="en-US"/>
        </w:rPr>
        <w:t>ième session</w:t>
      </w:r>
      <w:r w:rsidR="00864142" w:rsidRPr="00112398">
        <w:rPr>
          <w:lang w:val="fr-FR" w:eastAsia="en-US"/>
        </w:rPr>
        <w:t xml:space="preserve"> </w:t>
      </w:r>
      <w:r w:rsidR="009A15B1" w:rsidRPr="00112398">
        <w:rPr>
          <w:lang w:val="fr-FR" w:eastAsia="en-US"/>
        </w:rPr>
        <w:t>(15</w:t>
      </w:r>
      <w:r w:rsidR="00864142" w:rsidRPr="00112398">
        <w:rPr>
          <w:vertAlign w:val="superscript"/>
          <w:lang w:val="fr-FR" w:eastAsia="en-US"/>
        </w:rPr>
        <w:t>e</w:t>
      </w:r>
      <w:r w:rsidR="00361F1B" w:rsidRPr="00112398">
        <w:rPr>
          <w:lang w:val="fr-FR" w:eastAsia="en-US"/>
        </w:rPr>
        <w:t> </w:t>
      </w:r>
      <w:r w:rsidR="00864142" w:rsidRPr="00112398">
        <w:rPr>
          <w:lang w:val="fr-FR" w:eastAsia="en-US"/>
        </w:rPr>
        <w:t xml:space="preserve">session </w:t>
      </w:r>
      <w:r w:rsidR="00002930" w:rsidRPr="00112398">
        <w:rPr>
          <w:lang w:val="fr-FR" w:eastAsia="en-US"/>
        </w:rPr>
        <w:t>e</w:t>
      </w:r>
      <w:r w:rsidR="009A15B1" w:rsidRPr="00112398">
        <w:rPr>
          <w:lang w:val="fr-FR" w:eastAsia="en-US"/>
        </w:rPr>
        <w:t>xtraordina</w:t>
      </w:r>
      <w:r w:rsidR="00864142" w:rsidRPr="00112398">
        <w:rPr>
          <w:lang w:val="fr-FR" w:eastAsia="en-US"/>
        </w:rPr>
        <w:t>ire</w:t>
      </w:r>
      <w:r w:rsidR="009A15B1" w:rsidRPr="00112398">
        <w:rPr>
          <w:lang w:val="fr-FR" w:eastAsia="en-US"/>
        </w:rPr>
        <w:t xml:space="preserve">) </w:t>
      </w:r>
      <w:r w:rsidR="00864142" w:rsidRPr="00112398">
        <w:rPr>
          <w:lang w:val="fr-FR" w:eastAsia="en-US"/>
        </w:rPr>
        <w:t>tenue en septembre </w:t>
      </w:r>
      <w:r w:rsidR="009A15B1" w:rsidRPr="00112398">
        <w:rPr>
          <w:lang w:val="fr-FR" w:eastAsia="en-US"/>
        </w:rPr>
        <w:t xml:space="preserve">2014, </w:t>
      </w:r>
      <w:r w:rsidR="00864142" w:rsidRPr="00112398">
        <w:rPr>
          <w:lang w:val="fr-FR" w:eastAsia="en-US"/>
        </w:rPr>
        <w:t xml:space="preserve">a </w:t>
      </w:r>
      <w:r w:rsidR="00114F1F" w:rsidRPr="00112398">
        <w:rPr>
          <w:lang w:val="fr-FR" w:eastAsia="en-US"/>
        </w:rPr>
        <w:t>adopt</w:t>
      </w:r>
      <w:r w:rsidR="00864142" w:rsidRPr="00112398">
        <w:rPr>
          <w:lang w:val="fr-FR" w:eastAsia="en-US"/>
        </w:rPr>
        <w:t>é des modifications des règles </w:t>
      </w:r>
      <w:r w:rsidR="009A15B1" w:rsidRPr="00112398">
        <w:rPr>
          <w:lang w:val="fr-FR" w:eastAsia="en-US"/>
        </w:rPr>
        <w:t>18</w:t>
      </w:r>
      <w:r w:rsidR="00864142" w:rsidRPr="00112398">
        <w:rPr>
          <w:lang w:val="fr-FR" w:eastAsia="en-US"/>
        </w:rPr>
        <w:t>.</w:t>
      </w:r>
      <w:r w:rsidR="009A15B1" w:rsidRPr="00112398">
        <w:rPr>
          <w:lang w:val="fr-FR" w:eastAsia="en-US"/>
        </w:rPr>
        <w:t>4), 18</w:t>
      </w:r>
      <w:r w:rsidR="009A15B1" w:rsidRPr="00112398">
        <w:rPr>
          <w:i/>
          <w:lang w:val="fr-FR" w:eastAsia="en-US"/>
        </w:rPr>
        <w:t>bis</w:t>
      </w:r>
      <w:r w:rsidR="00864142" w:rsidRPr="00112398">
        <w:rPr>
          <w:i/>
          <w:lang w:val="fr-FR" w:eastAsia="en-US"/>
        </w:rPr>
        <w:t>.</w:t>
      </w:r>
      <w:r w:rsidR="009A15B1" w:rsidRPr="00112398">
        <w:rPr>
          <w:lang w:val="fr-FR" w:eastAsia="en-US"/>
        </w:rPr>
        <w:t xml:space="preserve">1) </w:t>
      </w:r>
      <w:r w:rsidR="00864142" w:rsidRPr="00112398">
        <w:rPr>
          <w:lang w:val="fr-FR" w:eastAsia="en-US"/>
        </w:rPr>
        <w:t>et</w:t>
      </w:r>
      <w:r w:rsidR="006764EC">
        <w:rPr>
          <w:lang w:val="fr-FR" w:eastAsia="en-US"/>
        </w:rPr>
        <w:t> </w:t>
      </w:r>
      <w:r w:rsidR="009A15B1" w:rsidRPr="00112398">
        <w:rPr>
          <w:lang w:val="fr-FR" w:eastAsia="en-US"/>
        </w:rPr>
        <w:t>2)</w:t>
      </w:r>
      <w:r w:rsidR="00414153" w:rsidRPr="00112398">
        <w:rPr>
          <w:lang w:val="fr-FR" w:eastAsia="en-US"/>
        </w:rPr>
        <w:t xml:space="preserve"> </w:t>
      </w:r>
      <w:r w:rsidR="00864142" w:rsidRPr="00112398">
        <w:rPr>
          <w:lang w:val="fr-FR" w:eastAsia="en-US"/>
        </w:rPr>
        <w:t xml:space="preserve">du </w:t>
      </w:r>
      <w:r w:rsidR="006764EC">
        <w:rPr>
          <w:lang w:val="fr-FR" w:eastAsia="en-US"/>
        </w:rPr>
        <w:t>R</w:t>
      </w:r>
      <w:r w:rsidR="007E3D16" w:rsidRPr="00112398">
        <w:rPr>
          <w:lang w:val="fr-FR" w:eastAsia="en-US"/>
        </w:rPr>
        <w:t>ègle</w:t>
      </w:r>
      <w:r w:rsidR="00864142" w:rsidRPr="00112398">
        <w:rPr>
          <w:lang w:val="fr-FR" w:eastAsia="en-US"/>
        </w:rPr>
        <w:t>ment d</w:t>
      </w:r>
      <w:r w:rsidR="009A5C78" w:rsidRPr="00112398">
        <w:rPr>
          <w:lang w:val="fr-FR" w:eastAsia="en-US"/>
        </w:rPr>
        <w:t>’</w:t>
      </w:r>
      <w:r w:rsidR="00864142" w:rsidRPr="00112398">
        <w:rPr>
          <w:lang w:val="fr-FR" w:eastAsia="en-US"/>
        </w:rPr>
        <w:t>exécution commun à l</w:t>
      </w:r>
      <w:r w:rsidR="009A5C78" w:rsidRPr="00112398">
        <w:rPr>
          <w:lang w:val="fr-FR" w:eastAsia="en-US"/>
        </w:rPr>
        <w:t>’</w:t>
      </w:r>
      <w:r w:rsidR="00864142" w:rsidRPr="00112398">
        <w:rPr>
          <w:lang w:val="fr-FR" w:eastAsia="en-US"/>
        </w:rPr>
        <w:t xml:space="preserve">Acte </w:t>
      </w:r>
      <w:r w:rsidR="00E178A7" w:rsidRPr="00112398">
        <w:rPr>
          <w:lang w:val="fr-FR" w:eastAsia="en-US"/>
        </w:rPr>
        <w:t>de 1999</w:t>
      </w:r>
      <w:r w:rsidR="00864142" w:rsidRPr="00112398">
        <w:rPr>
          <w:lang w:val="fr-FR" w:eastAsia="en-US"/>
        </w:rPr>
        <w:t xml:space="preserve"> et l</w:t>
      </w:r>
      <w:r w:rsidR="009A5C78" w:rsidRPr="00112398">
        <w:rPr>
          <w:lang w:val="fr-FR" w:eastAsia="en-US"/>
        </w:rPr>
        <w:t>’</w:t>
      </w:r>
      <w:r w:rsidR="00864142" w:rsidRPr="00112398">
        <w:rPr>
          <w:lang w:val="fr-FR" w:eastAsia="en-US"/>
        </w:rPr>
        <w:t xml:space="preserve">Acte </w:t>
      </w:r>
      <w:r w:rsidR="00E178A7" w:rsidRPr="00112398">
        <w:rPr>
          <w:lang w:val="fr-FR" w:eastAsia="en-US"/>
        </w:rPr>
        <w:t>de 1960</w:t>
      </w:r>
      <w:r w:rsidR="00864142" w:rsidRPr="00112398">
        <w:rPr>
          <w:lang w:val="fr-FR" w:eastAsia="en-US"/>
        </w:rPr>
        <w:t xml:space="preserve"> de l</w:t>
      </w:r>
      <w:r w:rsidR="009A5C78" w:rsidRPr="00112398">
        <w:rPr>
          <w:lang w:val="fr-FR" w:eastAsia="en-US"/>
        </w:rPr>
        <w:t>’</w:t>
      </w:r>
      <w:r w:rsidR="00864142" w:rsidRPr="00112398">
        <w:rPr>
          <w:lang w:val="fr-FR" w:eastAsia="en-US"/>
        </w:rPr>
        <w:t xml:space="preserve">Arrangement de </w:t>
      </w:r>
      <w:r w:rsidR="009A5C78" w:rsidRPr="00112398">
        <w:rPr>
          <w:lang w:val="fr-FR" w:eastAsia="en-US"/>
        </w:rPr>
        <w:t>La Haye</w:t>
      </w:r>
      <w:r w:rsidR="009A15B1" w:rsidRPr="00112398">
        <w:rPr>
          <w:lang w:val="fr-FR" w:eastAsia="en-US"/>
        </w:rPr>
        <w:t xml:space="preserve"> (</w:t>
      </w:r>
      <w:r w:rsidR="002E2D03" w:rsidRPr="00112398">
        <w:rPr>
          <w:lang w:val="fr-FR" w:eastAsia="en-US"/>
        </w:rPr>
        <w:t>ci</w:t>
      </w:r>
      <w:r w:rsidR="009A5C78" w:rsidRPr="00112398">
        <w:rPr>
          <w:lang w:val="fr-FR" w:eastAsia="en-US"/>
        </w:rPr>
        <w:t>-</w:t>
      </w:r>
      <w:r w:rsidR="002E2D03" w:rsidRPr="00112398">
        <w:rPr>
          <w:lang w:val="fr-FR" w:eastAsia="en-US"/>
        </w:rPr>
        <w:t xml:space="preserve">après dénommé </w:t>
      </w:r>
      <w:r w:rsidR="009A15B1" w:rsidRPr="00112398">
        <w:rPr>
          <w:lang w:val="fr-FR" w:eastAsia="en-US"/>
        </w:rPr>
        <w:t>“</w:t>
      </w:r>
      <w:r w:rsidR="002E2D03" w:rsidRPr="00112398">
        <w:rPr>
          <w:lang w:val="fr-FR" w:eastAsia="en-US"/>
        </w:rPr>
        <w:t>règlement d</w:t>
      </w:r>
      <w:r w:rsidR="009A5C78" w:rsidRPr="00112398">
        <w:rPr>
          <w:lang w:val="fr-FR" w:eastAsia="en-US"/>
        </w:rPr>
        <w:t>’</w:t>
      </w:r>
      <w:r w:rsidR="002E2D03" w:rsidRPr="00112398">
        <w:rPr>
          <w:lang w:val="fr-FR" w:eastAsia="en-US"/>
        </w:rPr>
        <w:t>exécution commun</w:t>
      </w:r>
      <w:r w:rsidR="009A15B1" w:rsidRPr="00112398">
        <w:rPr>
          <w:lang w:val="fr-FR" w:eastAsia="en-US"/>
        </w:rPr>
        <w:t>”)</w:t>
      </w:r>
      <w:r w:rsidR="009A15B1" w:rsidRPr="00112398">
        <w:rPr>
          <w:rStyle w:val="FootnoteReference"/>
          <w:lang w:val="fr-FR" w:eastAsia="en-US"/>
        </w:rPr>
        <w:footnoteReference w:id="2"/>
      </w:r>
      <w:r w:rsidR="009A15B1" w:rsidRPr="00112398">
        <w:rPr>
          <w:lang w:val="fr-FR" w:eastAsia="en-US"/>
        </w:rPr>
        <w:t>.</w:t>
      </w:r>
    </w:p>
    <w:p w:rsidR="005F0343" w:rsidRPr="00112398" w:rsidRDefault="002E2D03" w:rsidP="00CD3867">
      <w:pPr>
        <w:pStyle w:val="ONUMFS"/>
        <w:rPr>
          <w:lang w:val="fr-FR" w:eastAsia="en-US"/>
        </w:rPr>
      </w:pPr>
      <w:r w:rsidRPr="00112398">
        <w:rPr>
          <w:lang w:val="fr-FR" w:eastAsia="en-US"/>
        </w:rPr>
        <w:t xml:space="preserve">Les modifications adoptées concernaient </w:t>
      </w:r>
      <w:r w:rsidR="00D14C71" w:rsidRPr="00112398">
        <w:rPr>
          <w:lang w:val="fr-FR" w:eastAsia="en-US"/>
        </w:rPr>
        <w:t>un mécanisme destiné à assurer que toute modification apportée à un dessin ou modèle industriel par suite d</w:t>
      </w:r>
      <w:r w:rsidR="009A5C78" w:rsidRPr="00112398">
        <w:rPr>
          <w:lang w:val="fr-FR" w:eastAsia="en-US"/>
        </w:rPr>
        <w:t>’</w:t>
      </w:r>
      <w:r w:rsidR="00D14C71" w:rsidRPr="00112398">
        <w:rPr>
          <w:lang w:val="fr-FR" w:eastAsia="en-US"/>
        </w:rPr>
        <w:t>une procédure devant l</w:t>
      </w:r>
      <w:r w:rsidR="009A5C78" w:rsidRPr="00112398">
        <w:rPr>
          <w:lang w:val="fr-FR" w:eastAsia="en-US"/>
        </w:rPr>
        <w:t>’</w:t>
      </w:r>
      <w:r w:rsidR="00BB0AE1">
        <w:rPr>
          <w:lang w:val="fr-FR" w:eastAsia="en-US"/>
        </w:rPr>
        <w:t>O</w:t>
      </w:r>
      <w:r w:rsidR="00D14C71" w:rsidRPr="00112398">
        <w:rPr>
          <w:lang w:val="fr-FR" w:eastAsia="en-US"/>
        </w:rPr>
        <w:t>ffice d</w:t>
      </w:r>
      <w:r w:rsidR="009A5C78" w:rsidRPr="00112398">
        <w:rPr>
          <w:lang w:val="fr-FR" w:eastAsia="en-US"/>
        </w:rPr>
        <w:t>’</w:t>
      </w:r>
      <w:r w:rsidR="00D14C71" w:rsidRPr="00112398">
        <w:rPr>
          <w:lang w:val="fr-FR" w:eastAsia="en-US"/>
        </w:rPr>
        <w:t xml:space="preserve">une partie contractante désignée soit </w:t>
      </w:r>
      <w:r w:rsidR="00C419CD" w:rsidRPr="00112398">
        <w:rPr>
          <w:lang w:val="fr-FR" w:eastAsia="en-US"/>
        </w:rPr>
        <w:t>communi</w:t>
      </w:r>
      <w:r w:rsidR="00D14C71" w:rsidRPr="00112398">
        <w:rPr>
          <w:lang w:val="fr-FR" w:eastAsia="en-US"/>
        </w:rPr>
        <w:t>quée au Bureau international au moyen d</w:t>
      </w:r>
      <w:r w:rsidR="009A5C78" w:rsidRPr="00112398">
        <w:rPr>
          <w:lang w:val="fr-FR" w:eastAsia="en-US"/>
        </w:rPr>
        <w:t>’</w:t>
      </w:r>
      <w:r w:rsidR="00D14C71" w:rsidRPr="00112398">
        <w:rPr>
          <w:lang w:val="fr-FR" w:eastAsia="en-US"/>
        </w:rPr>
        <w:t>une déclaration d</w:t>
      </w:r>
      <w:r w:rsidR="009A5C78" w:rsidRPr="00112398">
        <w:rPr>
          <w:lang w:val="fr-FR" w:eastAsia="en-US"/>
        </w:rPr>
        <w:t>’</w:t>
      </w:r>
      <w:r w:rsidR="00D14C71" w:rsidRPr="00112398">
        <w:rPr>
          <w:lang w:val="fr-FR" w:eastAsia="en-US"/>
        </w:rPr>
        <w:t xml:space="preserve">octroi de la protection </w:t>
      </w:r>
      <w:r w:rsidR="00CE336E" w:rsidRPr="00112398">
        <w:rPr>
          <w:lang w:val="fr-FR" w:eastAsia="en-US"/>
        </w:rPr>
        <w:t>en application de</w:t>
      </w:r>
      <w:r w:rsidR="00D14C71" w:rsidRPr="00112398">
        <w:rPr>
          <w:lang w:val="fr-FR" w:eastAsia="en-US"/>
        </w:rPr>
        <w:t xml:space="preserve"> la règle </w:t>
      </w:r>
      <w:r w:rsidR="00C419CD" w:rsidRPr="00112398">
        <w:rPr>
          <w:lang w:val="fr-FR" w:eastAsia="en-US"/>
        </w:rPr>
        <w:t>18</w:t>
      </w:r>
      <w:r w:rsidR="00C419CD" w:rsidRPr="00112398">
        <w:rPr>
          <w:i/>
          <w:lang w:val="fr-FR" w:eastAsia="en-US"/>
        </w:rPr>
        <w:t>bis</w:t>
      </w:r>
      <w:r w:rsidR="00D14C71" w:rsidRPr="00112398">
        <w:rPr>
          <w:lang w:val="fr-FR" w:eastAsia="en-US"/>
        </w:rPr>
        <w:t>.</w:t>
      </w:r>
      <w:r w:rsidR="00C419CD" w:rsidRPr="00112398">
        <w:rPr>
          <w:lang w:val="fr-FR" w:eastAsia="en-US"/>
        </w:rPr>
        <w:t>1) o</w:t>
      </w:r>
      <w:r w:rsidR="00D14C71" w:rsidRPr="00112398">
        <w:rPr>
          <w:lang w:val="fr-FR" w:eastAsia="en-US"/>
        </w:rPr>
        <w:t>u</w:t>
      </w:r>
      <w:r w:rsidR="006764EC">
        <w:rPr>
          <w:lang w:val="fr-FR" w:eastAsia="en-US"/>
        </w:rPr>
        <w:t> </w:t>
      </w:r>
      <w:r w:rsidR="00C419CD" w:rsidRPr="00112398">
        <w:rPr>
          <w:lang w:val="fr-FR" w:eastAsia="en-US"/>
        </w:rPr>
        <w:t>2) o</w:t>
      </w:r>
      <w:r w:rsidR="00D14C71" w:rsidRPr="00112398">
        <w:rPr>
          <w:lang w:val="fr-FR" w:eastAsia="en-US"/>
        </w:rPr>
        <w:t>u d</w:t>
      </w:r>
      <w:r w:rsidR="009A5C78" w:rsidRPr="00112398">
        <w:rPr>
          <w:lang w:val="fr-FR" w:eastAsia="en-US"/>
        </w:rPr>
        <w:t>’</w:t>
      </w:r>
      <w:r w:rsidR="00D14C71" w:rsidRPr="00112398">
        <w:rPr>
          <w:lang w:val="fr-FR" w:eastAsia="en-US"/>
        </w:rPr>
        <w:t xml:space="preserve">une </w:t>
      </w:r>
      <w:r w:rsidR="00C419CD" w:rsidRPr="00112398">
        <w:rPr>
          <w:lang w:val="fr-FR" w:eastAsia="en-US"/>
        </w:rPr>
        <w:t xml:space="preserve">notification </w:t>
      </w:r>
      <w:r w:rsidR="00D14C71" w:rsidRPr="00112398">
        <w:rPr>
          <w:lang w:val="fr-FR" w:eastAsia="en-US"/>
        </w:rPr>
        <w:t>de retrait d</w:t>
      </w:r>
      <w:r w:rsidR="009A5C78" w:rsidRPr="00112398">
        <w:rPr>
          <w:lang w:val="fr-FR" w:eastAsia="en-US"/>
        </w:rPr>
        <w:t>’</w:t>
      </w:r>
      <w:r w:rsidR="00D14C71" w:rsidRPr="00112398">
        <w:rPr>
          <w:lang w:val="fr-FR" w:eastAsia="en-US"/>
        </w:rPr>
        <w:t>un refus telle que prévue à la règle </w:t>
      </w:r>
      <w:r w:rsidR="00C419CD" w:rsidRPr="00112398">
        <w:rPr>
          <w:lang w:val="fr-FR" w:eastAsia="en-US"/>
        </w:rPr>
        <w:t>18</w:t>
      </w:r>
      <w:r w:rsidR="00D14C71" w:rsidRPr="00112398">
        <w:rPr>
          <w:lang w:val="fr-FR" w:eastAsia="en-US"/>
        </w:rPr>
        <w:t>.</w:t>
      </w:r>
      <w:r w:rsidR="00C419CD" w:rsidRPr="00112398">
        <w:rPr>
          <w:lang w:val="fr-FR" w:eastAsia="en-US"/>
        </w:rPr>
        <w:t xml:space="preserve">4).  </w:t>
      </w:r>
      <w:r w:rsidR="00CE336E" w:rsidRPr="00112398">
        <w:rPr>
          <w:lang w:val="fr-FR" w:eastAsia="en-US"/>
        </w:rPr>
        <w:t>Conformément aux règles </w:t>
      </w:r>
      <w:r w:rsidR="00AF4CA1" w:rsidRPr="00112398">
        <w:rPr>
          <w:lang w:val="fr-FR" w:eastAsia="en-US"/>
        </w:rPr>
        <w:t>18</w:t>
      </w:r>
      <w:r w:rsidR="00CE336E" w:rsidRPr="00112398">
        <w:rPr>
          <w:lang w:val="fr-FR" w:eastAsia="en-US"/>
        </w:rPr>
        <w:t>.</w:t>
      </w:r>
      <w:r w:rsidR="00AF4CA1" w:rsidRPr="00112398">
        <w:rPr>
          <w:lang w:val="fr-FR" w:eastAsia="en-US"/>
        </w:rPr>
        <w:t>5), 18</w:t>
      </w:r>
      <w:r w:rsidR="00AF4CA1" w:rsidRPr="00112398">
        <w:rPr>
          <w:i/>
          <w:lang w:val="fr-FR" w:eastAsia="en-US"/>
        </w:rPr>
        <w:t>bis</w:t>
      </w:r>
      <w:r w:rsidR="00CE336E" w:rsidRPr="00112398">
        <w:rPr>
          <w:i/>
          <w:lang w:val="fr-FR" w:eastAsia="en-US"/>
        </w:rPr>
        <w:t>.</w:t>
      </w:r>
      <w:r w:rsidR="00AF4CA1" w:rsidRPr="00112398">
        <w:rPr>
          <w:lang w:val="fr-FR" w:eastAsia="en-US"/>
        </w:rPr>
        <w:t xml:space="preserve">3) </w:t>
      </w:r>
      <w:r w:rsidR="00CE336E" w:rsidRPr="00112398">
        <w:rPr>
          <w:lang w:val="fr-FR" w:eastAsia="en-US"/>
        </w:rPr>
        <w:t>et</w:t>
      </w:r>
      <w:r w:rsidR="00BB0AE1">
        <w:rPr>
          <w:lang w:val="fr-FR" w:eastAsia="en-US"/>
        </w:rPr>
        <w:t> </w:t>
      </w:r>
      <w:r w:rsidR="00CE336E" w:rsidRPr="00112398">
        <w:rPr>
          <w:lang w:val="fr-FR" w:eastAsia="en-US"/>
        </w:rPr>
        <w:t>2</w:t>
      </w:r>
      <w:r w:rsidR="00AF4CA1" w:rsidRPr="00112398">
        <w:rPr>
          <w:lang w:val="fr-FR" w:eastAsia="en-US"/>
        </w:rPr>
        <w:t>6</w:t>
      </w:r>
      <w:r w:rsidR="00CE336E" w:rsidRPr="00112398">
        <w:rPr>
          <w:lang w:val="fr-FR" w:eastAsia="en-US"/>
        </w:rPr>
        <w:t>.</w:t>
      </w:r>
      <w:r w:rsidR="00AF4CA1" w:rsidRPr="00112398">
        <w:rPr>
          <w:lang w:val="fr-FR" w:eastAsia="en-US"/>
        </w:rPr>
        <w:t>1)ii),</w:t>
      </w:r>
      <w:r w:rsidR="00303DDD" w:rsidRPr="00112398">
        <w:rPr>
          <w:lang w:val="fr-FR" w:eastAsia="en-US"/>
        </w:rPr>
        <w:t xml:space="preserve"> </w:t>
      </w:r>
      <w:r w:rsidR="00CE336E" w:rsidRPr="00112398">
        <w:rPr>
          <w:lang w:val="fr-FR" w:eastAsia="en-US"/>
        </w:rPr>
        <w:t xml:space="preserve">et comme indiqué au paragraphe 15 du </w:t>
      </w:r>
      <w:r w:rsidR="00303DDD" w:rsidRPr="00112398">
        <w:rPr>
          <w:lang w:val="fr-FR" w:eastAsia="en-US"/>
        </w:rPr>
        <w:t>document</w:t>
      </w:r>
      <w:r w:rsidR="00002930" w:rsidRPr="00112398">
        <w:rPr>
          <w:lang w:val="fr-FR" w:eastAsia="en-US"/>
        </w:rPr>
        <w:t> </w:t>
      </w:r>
      <w:r w:rsidR="0066467B" w:rsidRPr="00112398">
        <w:rPr>
          <w:lang w:val="fr-FR" w:eastAsia="en-US"/>
        </w:rPr>
        <w:t>H/A/34/2</w:t>
      </w:r>
      <w:r w:rsidR="00CE336E" w:rsidRPr="00112398">
        <w:rPr>
          <w:lang w:val="fr-FR" w:eastAsia="en-US"/>
        </w:rPr>
        <w:t xml:space="preserve"> présenté à ladite session </w:t>
      </w:r>
      <w:r w:rsidR="00CE336E" w:rsidRPr="00112398">
        <w:rPr>
          <w:lang w:val="fr-FR" w:eastAsia="en-US"/>
        </w:rPr>
        <w:lastRenderedPageBreak/>
        <w:t>de l</w:t>
      </w:r>
      <w:r w:rsidR="009A5C78" w:rsidRPr="00112398">
        <w:rPr>
          <w:lang w:val="fr-FR" w:eastAsia="en-US"/>
        </w:rPr>
        <w:t>’</w:t>
      </w:r>
      <w:r w:rsidR="00CE336E" w:rsidRPr="00112398">
        <w:rPr>
          <w:lang w:val="fr-FR" w:eastAsia="en-US"/>
        </w:rPr>
        <w:t>Assemblée de l</w:t>
      </w:r>
      <w:r w:rsidR="009A5C78" w:rsidRPr="00112398">
        <w:rPr>
          <w:lang w:val="fr-FR" w:eastAsia="en-US"/>
        </w:rPr>
        <w:t>’</w:t>
      </w:r>
      <w:r w:rsidR="00CE336E" w:rsidRPr="00112398">
        <w:rPr>
          <w:lang w:val="fr-FR" w:eastAsia="en-US"/>
        </w:rPr>
        <w:t xml:space="preserve">Union de </w:t>
      </w:r>
      <w:r w:rsidR="009A5C78" w:rsidRPr="00112398">
        <w:rPr>
          <w:lang w:val="fr-FR" w:eastAsia="en-US"/>
        </w:rPr>
        <w:t>La Haye</w:t>
      </w:r>
      <w:r w:rsidR="00CE336E" w:rsidRPr="00112398">
        <w:rPr>
          <w:lang w:val="fr-FR" w:eastAsia="en-US"/>
        </w:rPr>
        <w:t>, le Bureau international doit mettre</w:t>
      </w:r>
      <w:r w:rsidR="00CE336E" w:rsidRPr="00C03EDB">
        <w:rPr>
          <w:lang w:val="fr-CH" w:eastAsia="en-US"/>
        </w:rPr>
        <w:t xml:space="preserve"> à la disposition du public, </w:t>
      </w:r>
      <w:r w:rsidR="00E16167" w:rsidRPr="00112398">
        <w:rPr>
          <w:lang w:val="fr-FR" w:eastAsia="en-US"/>
        </w:rPr>
        <w:t>dans le</w:t>
      </w:r>
      <w:r w:rsidR="00CE336E" w:rsidRPr="00112398">
        <w:rPr>
          <w:lang w:val="fr-FR" w:eastAsia="en-US"/>
        </w:rPr>
        <w:t xml:space="preserve"> </w:t>
      </w:r>
      <w:r w:rsidR="00CE336E" w:rsidRPr="00112398">
        <w:rPr>
          <w:i/>
          <w:lang w:val="fr-FR" w:eastAsia="en-US"/>
        </w:rPr>
        <w:t>Bulletin des dessins et modèles internationaux</w:t>
      </w:r>
      <w:r w:rsidR="00CE336E" w:rsidRPr="00112398">
        <w:rPr>
          <w:lang w:val="fr-FR" w:eastAsia="en-US"/>
        </w:rPr>
        <w:t xml:space="preserve"> (ci</w:t>
      </w:r>
      <w:r w:rsidR="009A5C78" w:rsidRPr="00112398">
        <w:rPr>
          <w:lang w:val="fr-FR" w:eastAsia="en-US"/>
        </w:rPr>
        <w:t>-</w:t>
      </w:r>
      <w:r w:rsidR="00CE336E" w:rsidRPr="00112398">
        <w:rPr>
          <w:lang w:val="fr-FR" w:eastAsia="en-US"/>
        </w:rPr>
        <w:t xml:space="preserve">après dénommé “Bulletin”), </w:t>
      </w:r>
      <w:r w:rsidR="00CE336E" w:rsidRPr="00C03EDB">
        <w:rPr>
          <w:lang w:val="fr-CH" w:eastAsia="en-US"/>
        </w:rPr>
        <w:t xml:space="preserve">les </w:t>
      </w:r>
      <w:r w:rsidR="00CE336E" w:rsidRPr="00112398">
        <w:rPr>
          <w:lang w:val="fr-FR" w:eastAsia="en-US"/>
        </w:rPr>
        <w:t>informations</w:t>
      </w:r>
      <w:r w:rsidR="00CE336E" w:rsidRPr="00C03EDB">
        <w:rPr>
          <w:lang w:val="fr-CH" w:eastAsia="en-US"/>
        </w:rPr>
        <w:t xml:space="preserve"> relatives aux modifications</w:t>
      </w:r>
      <w:r w:rsidR="00EC701F" w:rsidRPr="00112398">
        <w:rPr>
          <w:lang w:val="fr-FR" w:eastAsia="en-US"/>
        </w:rPr>
        <w:t xml:space="preserve"> </w:t>
      </w:r>
      <w:r w:rsidR="00CE336E" w:rsidRPr="00112398">
        <w:rPr>
          <w:lang w:val="fr-FR" w:eastAsia="en-US"/>
        </w:rPr>
        <w:t xml:space="preserve">susmentionnées en </w:t>
      </w:r>
      <w:r w:rsidR="00C03EDB">
        <w:rPr>
          <w:lang w:val="fr-FR" w:eastAsia="en-US"/>
        </w:rPr>
        <w:t>publiant</w:t>
      </w:r>
      <w:r w:rsidR="00AB4630" w:rsidRPr="00112398">
        <w:rPr>
          <w:lang w:val="fr-FR" w:eastAsia="en-US"/>
        </w:rPr>
        <w:t xml:space="preserve"> </w:t>
      </w:r>
      <w:r w:rsidR="00CE336E" w:rsidRPr="00112398">
        <w:rPr>
          <w:lang w:val="fr-FR" w:eastAsia="en-US"/>
        </w:rPr>
        <w:t xml:space="preserve">une copie de la </w:t>
      </w:r>
      <w:r w:rsidR="00C419CD" w:rsidRPr="00112398">
        <w:rPr>
          <w:lang w:val="fr-FR" w:eastAsia="en-US"/>
        </w:rPr>
        <w:t>notification o</w:t>
      </w:r>
      <w:r w:rsidR="00CE336E" w:rsidRPr="00112398">
        <w:rPr>
          <w:lang w:val="fr-FR" w:eastAsia="en-US"/>
        </w:rPr>
        <w:t xml:space="preserve">u de la déclaration </w:t>
      </w:r>
      <w:r w:rsidR="00CA1D6E">
        <w:rPr>
          <w:lang w:val="fr-FR" w:eastAsia="en-US"/>
        </w:rPr>
        <w:t xml:space="preserve">telle que </w:t>
      </w:r>
      <w:r w:rsidR="00CE336E" w:rsidRPr="00112398">
        <w:rPr>
          <w:lang w:val="fr-FR" w:eastAsia="en-US"/>
        </w:rPr>
        <w:t>reçue de l</w:t>
      </w:r>
      <w:r w:rsidR="009A5C78" w:rsidRPr="00112398">
        <w:rPr>
          <w:lang w:val="fr-FR" w:eastAsia="en-US"/>
        </w:rPr>
        <w:t>’</w:t>
      </w:r>
      <w:r w:rsidR="00BB0AE1">
        <w:rPr>
          <w:lang w:val="fr-FR" w:eastAsia="en-US"/>
        </w:rPr>
        <w:t>O</w:t>
      </w:r>
      <w:r w:rsidR="00CE336E" w:rsidRPr="00112398">
        <w:rPr>
          <w:lang w:val="fr-FR" w:eastAsia="en-US"/>
        </w:rPr>
        <w:t>ffice</w:t>
      </w:r>
      <w:r w:rsidR="00C419CD" w:rsidRPr="00112398">
        <w:rPr>
          <w:lang w:val="fr-FR" w:eastAsia="en-US"/>
        </w:rPr>
        <w:t>.</w:t>
      </w:r>
    </w:p>
    <w:p w:rsidR="00E178A7" w:rsidRPr="00112398" w:rsidRDefault="00CE336E" w:rsidP="00CD3867">
      <w:pPr>
        <w:pStyle w:val="ONUMFS"/>
        <w:rPr>
          <w:lang w:val="fr-FR"/>
        </w:rPr>
      </w:pPr>
      <w:r w:rsidRPr="00112398">
        <w:rPr>
          <w:lang w:val="fr-FR" w:eastAsia="en-US"/>
        </w:rPr>
        <w:t>Les dispositions modifiées sont entrées en vigueur le</w:t>
      </w:r>
      <w:r w:rsidR="009A5C78" w:rsidRPr="00112398">
        <w:rPr>
          <w:lang w:val="fr-FR" w:eastAsia="en-US"/>
        </w:rPr>
        <w:t xml:space="preserve"> 1</w:t>
      </w:r>
      <w:r w:rsidR="009A5C78" w:rsidRPr="00112398">
        <w:rPr>
          <w:vertAlign w:val="superscript"/>
          <w:lang w:val="fr-FR" w:eastAsia="en-US"/>
        </w:rPr>
        <w:t>er</w:t>
      </w:r>
      <w:r w:rsidR="009A5C78" w:rsidRPr="00112398">
        <w:rPr>
          <w:lang w:val="fr-FR" w:eastAsia="en-US"/>
        </w:rPr>
        <w:t> </w:t>
      </w:r>
      <w:r w:rsidRPr="00112398">
        <w:rPr>
          <w:lang w:val="fr-FR" w:eastAsia="en-US"/>
        </w:rPr>
        <w:t>janvier </w:t>
      </w:r>
      <w:r w:rsidR="00EF1238" w:rsidRPr="00112398">
        <w:rPr>
          <w:lang w:val="fr-FR" w:eastAsia="en-US"/>
        </w:rPr>
        <w:t>2015</w:t>
      </w:r>
      <w:r w:rsidR="00F67DCD" w:rsidRPr="00112398">
        <w:rPr>
          <w:lang w:val="fr-FR" w:eastAsia="en-US"/>
        </w:rPr>
        <w:t>.</w:t>
      </w:r>
      <w:r w:rsidR="00652CEB" w:rsidRPr="00112398">
        <w:rPr>
          <w:lang w:val="fr-FR" w:eastAsia="en-US"/>
        </w:rPr>
        <w:t xml:space="preserve">  </w:t>
      </w:r>
      <w:r w:rsidR="00581BEB" w:rsidRPr="00112398">
        <w:rPr>
          <w:lang w:val="fr-FR" w:eastAsia="en-US"/>
        </w:rPr>
        <w:t xml:space="preserve">En vertu de ces dispositions, des copies </w:t>
      </w:r>
      <w:r w:rsidR="00EF1238" w:rsidRPr="00112398">
        <w:rPr>
          <w:lang w:val="fr-FR" w:eastAsia="en-US"/>
        </w:rPr>
        <w:t>P</w:t>
      </w:r>
      <w:r w:rsidR="00EA7D5B" w:rsidRPr="00112398">
        <w:rPr>
          <w:lang w:val="fr-FR"/>
        </w:rPr>
        <w:t xml:space="preserve">DF </w:t>
      </w:r>
      <w:r w:rsidR="00581BEB" w:rsidRPr="00112398">
        <w:rPr>
          <w:lang w:val="fr-FR"/>
        </w:rPr>
        <w:t>des notifications de retrait d</w:t>
      </w:r>
      <w:r w:rsidR="009A5C78" w:rsidRPr="00112398">
        <w:rPr>
          <w:lang w:val="fr-FR"/>
        </w:rPr>
        <w:t>’</w:t>
      </w:r>
      <w:r w:rsidR="00581BEB" w:rsidRPr="00112398">
        <w:rPr>
          <w:lang w:val="fr-FR"/>
        </w:rPr>
        <w:t>un refus et des déclarations d</w:t>
      </w:r>
      <w:r w:rsidR="009A5C78" w:rsidRPr="00112398">
        <w:rPr>
          <w:lang w:val="fr-FR"/>
        </w:rPr>
        <w:t>’</w:t>
      </w:r>
      <w:r w:rsidR="00581BEB" w:rsidRPr="00112398">
        <w:rPr>
          <w:lang w:val="fr-FR"/>
        </w:rPr>
        <w:t xml:space="preserve">octroi de protection reçues à cette date et après cette date sont </w:t>
      </w:r>
      <w:r w:rsidR="00D6668C">
        <w:rPr>
          <w:lang w:val="fr-FR"/>
        </w:rPr>
        <w:t xml:space="preserve">disponibles </w:t>
      </w:r>
      <w:r w:rsidR="00581BEB" w:rsidRPr="00112398">
        <w:rPr>
          <w:lang w:val="fr-FR"/>
        </w:rPr>
        <w:t xml:space="preserve">dans le Bulletin, ainsi que dans la base de données </w:t>
      </w:r>
      <w:r w:rsidR="00AF4CA1" w:rsidRPr="006764EC">
        <w:rPr>
          <w:i/>
          <w:lang w:val="fr-FR"/>
        </w:rPr>
        <w:t>Hague Express</w:t>
      </w:r>
      <w:r w:rsidR="00AF4CA1" w:rsidRPr="00112398">
        <w:rPr>
          <w:lang w:val="fr-FR"/>
        </w:rPr>
        <w:t xml:space="preserve"> </w:t>
      </w:r>
      <w:r w:rsidR="00581BEB" w:rsidRPr="00112398">
        <w:rPr>
          <w:lang w:val="fr-FR"/>
        </w:rPr>
        <w:t>afin de faciliter l</w:t>
      </w:r>
      <w:r w:rsidR="009A5C78" w:rsidRPr="00112398">
        <w:rPr>
          <w:lang w:val="fr-FR"/>
        </w:rPr>
        <w:t>’</w:t>
      </w:r>
      <w:r w:rsidR="00581BEB" w:rsidRPr="00112398">
        <w:rPr>
          <w:lang w:val="fr-FR"/>
        </w:rPr>
        <w:t>accès aux informatio</w:t>
      </w:r>
      <w:r w:rsidR="007F530A" w:rsidRPr="00112398">
        <w:rPr>
          <w:lang w:val="fr-FR"/>
        </w:rPr>
        <w:t>ns.  De</w:t>
      </w:r>
      <w:r w:rsidR="00581BEB" w:rsidRPr="00112398">
        <w:rPr>
          <w:lang w:val="fr-FR"/>
        </w:rPr>
        <w:t xml:space="preserve">puis lors, une copie PDF de la notification de refus est également </w:t>
      </w:r>
      <w:r w:rsidR="00CA1D6E">
        <w:rPr>
          <w:lang w:val="fr-FR"/>
        </w:rPr>
        <w:t>mise à disposition</w:t>
      </w:r>
      <w:r w:rsidR="00CA1D6E" w:rsidRPr="00112398">
        <w:rPr>
          <w:lang w:val="fr-FR"/>
        </w:rPr>
        <w:t xml:space="preserve"> </w:t>
      </w:r>
      <w:r w:rsidR="00D6668C">
        <w:rPr>
          <w:lang w:val="fr-FR"/>
        </w:rPr>
        <w:t xml:space="preserve">du public </w:t>
      </w:r>
      <w:r w:rsidR="00912505" w:rsidRPr="00112398">
        <w:rPr>
          <w:lang w:val="fr-FR"/>
        </w:rPr>
        <w:t>en vue de présenter l</w:t>
      </w:r>
      <w:r w:rsidR="009A5C78" w:rsidRPr="00112398">
        <w:rPr>
          <w:lang w:val="fr-FR"/>
        </w:rPr>
        <w:t>’</w:t>
      </w:r>
      <w:r w:rsidR="00912505" w:rsidRPr="00112398">
        <w:rPr>
          <w:lang w:val="fr-FR"/>
        </w:rPr>
        <w:t xml:space="preserve">historique ou </w:t>
      </w:r>
      <w:r w:rsidR="001127B3">
        <w:rPr>
          <w:lang w:val="fr-FR"/>
        </w:rPr>
        <w:t>l</w:t>
      </w:r>
      <w:r w:rsidR="00912505" w:rsidRPr="00112398">
        <w:rPr>
          <w:lang w:val="fr-FR"/>
        </w:rPr>
        <w:t>es informations générales concernant les modifications apportées au dessin ou modèle industriel</w:t>
      </w:r>
      <w:r w:rsidR="000D10F8" w:rsidRPr="00112398">
        <w:rPr>
          <w:rStyle w:val="FootnoteReference"/>
          <w:lang w:val="fr-FR"/>
        </w:rPr>
        <w:footnoteReference w:id="3"/>
      </w:r>
      <w:r w:rsidR="00EF1238" w:rsidRPr="00112398">
        <w:rPr>
          <w:lang w:val="fr-FR"/>
        </w:rPr>
        <w:t>.</w:t>
      </w:r>
    </w:p>
    <w:p w:rsidR="005A1FC7" w:rsidRDefault="00912505" w:rsidP="00CD3867">
      <w:pPr>
        <w:pStyle w:val="ONUMFS"/>
        <w:rPr>
          <w:lang w:val="fr-FR" w:eastAsia="en-US"/>
        </w:rPr>
      </w:pPr>
      <w:r w:rsidRPr="00112398">
        <w:rPr>
          <w:lang w:val="fr-FR"/>
        </w:rPr>
        <w:t>Le présent document a pour objet de lancer le débat sur la question de savoir s</w:t>
      </w:r>
      <w:r w:rsidR="009A5C78" w:rsidRPr="00112398">
        <w:rPr>
          <w:lang w:val="fr-FR"/>
        </w:rPr>
        <w:t>’</w:t>
      </w:r>
      <w:r w:rsidRPr="00112398">
        <w:rPr>
          <w:lang w:val="fr-FR"/>
        </w:rPr>
        <w:t xml:space="preserve">il convient de réexaminer la pratique du Bureau international consistant à </w:t>
      </w:r>
      <w:r w:rsidR="006F5224">
        <w:rPr>
          <w:lang w:val="fr-FR"/>
        </w:rPr>
        <w:t>mettre à disposition du</w:t>
      </w:r>
      <w:r w:rsidR="00CA1D6E">
        <w:rPr>
          <w:lang w:val="fr-FR"/>
        </w:rPr>
        <w:t xml:space="preserve"> public </w:t>
      </w:r>
      <w:r w:rsidRPr="00112398">
        <w:rPr>
          <w:lang w:val="fr-FR"/>
        </w:rPr>
        <w:t>les notifications de refus</w:t>
      </w:r>
      <w:r w:rsidR="00665220" w:rsidRPr="00112398">
        <w:rPr>
          <w:lang w:val="fr-FR"/>
        </w:rPr>
        <w:t>.</w:t>
      </w:r>
    </w:p>
    <w:p w:rsidR="00F23DE3" w:rsidRPr="00112398" w:rsidRDefault="00F23DE3" w:rsidP="00AF47AD">
      <w:pPr>
        <w:pStyle w:val="Heading1"/>
        <w:spacing w:before="480"/>
        <w:rPr>
          <w:lang w:val="fr-FR"/>
        </w:rPr>
      </w:pPr>
      <w:r w:rsidRPr="00112398">
        <w:rPr>
          <w:lang w:val="fr-FR"/>
        </w:rPr>
        <w:t>II.</w:t>
      </w:r>
      <w:r w:rsidRPr="00112398">
        <w:rPr>
          <w:lang w:val="fr-FR"/>
        </w:rPr>
        <w:tab/>
      </w:r>
      <w:r w:rsidR="002166E6" w:rsidRPr="00112398">
        <w:rPr>
          <w:lang w:val="fr-FR"/>
        </w:rPr>
        <w:t>Enjeu</w:t>
      </w:r>
    </w:p>
    <w:p w:rsidR="00F23DE3" w:rsidRPr="00112398" w:rsidRDefault="002166E6" w:rsidP="002166E6">
      <w:pPr>
        <w:pStyle w:val="Heading2"/>
        <w:rPr>
          <w:lang w:val="fr-FR" w:eastAsia="en-US"/>
        </w:rPr>
      </w:pPr>
      <w:r w:rsidRPr="00112398">
        <w:rPr>
          <w:lang w:val="fr-FR" w:eastAsia="en-US"/>
        </w:rPr>
        <w:t xml:space="preserve">Avantages </w:t>
      </w:r>
      <w:r w:rsidR="00E771EC" w:rsidRPr="00112398">
        <w:rPr>
          <w:lang w:val="fr-FR" w:eastAsia="en-US"/>
        </w:rPr>
        <w:t>et inconvénients de l</w:t>
      </w:r>
      <w:r w:rsidR="009A5C78" w:rsidRPr="00112398">
        <w:rPr>
          <w:lang w:val="fr-FR" w:eastAsia="en-US"/>
        </w:rPr>
        <w:t>’</w:t>
      </w:r>
      <w:r w:rsidR="00E771EC" w:rsidRPr="00112398">
        <w:rPr>
          <w:lang w:val="fr-FR" w:eastAsia="en-US"/>
        </w:rPr>
        <w:t>accès libre aux motifs de refus</w:t>
      </w:r>
    </w:p>
    <w:p w:rsidR="00F23DE3" w:rsidRPr="00112398" w:rsidRDefault="00E771EC" w:rsidP="00CD3867">
      <w:pPr>
        <w:pStyle w:val="ONUMFS"/>
        <w:rPr>
          <w:lang w:val="fr-FR" w:eastAsia="en-US"/>
        </w:rPr>
      </w:pPr>
      <w:r w:rsidRPr="00112398">
        <w:rPr>
          <w:lang w:val="fr-FR" w:eastAsia="en-US"/>
        </w:rPr>
        <w:t>Dès leur p</w:t>
      </w:r>
      <w:r w:rsidR="00A6071F" w:rsidRPr="00112398">
        <w:rPr>
          <w:lang w:val="fr-FR" w:eastAsia="en-US"/>
        </w:rPr>
        <w:t xml:space="preserve">ublication </w:t>
      </w:r>
      <w:r w:rsidRPr="00112398">
        <w:rPr>
          <w:lang w:val="fr-FR" w:eastAsia="en-US"/>
        </w:rPr>
        <w:t xml:space="preserve">dans le </w:t>
      </w:r>
      <w:r w:rsidR="00A6071F" w:rsidRPr="00112398">
        <w:rPr>
          <w:lang w:val="fr-FR" w:eastAsia="en-US"/>
        </w:rPr>
        <w:t xml:space="preserve">Bulletin, </w:t>
      </w:r>
      <w:r w:rsidRPr="00112398">
        <w:rPr>
          <w:lang w:val="fr-FR" w:eastAsia="en-US"/>
        </w:rPr>
        <w:t xml:space="preserve">les informations relatives aux enregistrements internationaux sont mises par le Bureau international à la disposition des tiers </w:t>
      </w:r>
      <w:r w:rsidR="00AA01C8" w:rsidRPr="00112398">
        <w:rPr>
          <w:lang w:val="fr-FR" w:eastAsia="en-US"/>
        </w:rPr>
        <w:t xml:space="preserve">contre </w:t>
      </w:r>
      <w:r w:rsidRPr="00112398">
        <w:rPr>
          <w:lang w:val="fr-FR" w:eastAsia="en-US"/>
        </w:rPr>
        <w:t>paiement d</w:t>
      </w:r>
      <w:r w:rsidR="009A5C78" w:rsidRPr="00112398">
        <w:rPr>
          <w:lang w:val="fr-FR" w:eastAsia="en-US"/>
        </w:rPr>
        <w:t>’</w:t>
      </w:r>
      <w:r w:rsidRPr="00112398">
        <w:rPr>
          <w:lang w:val="fr-FR" w:eastAsia="en-US"/>
        </w:rPr>
        <w:t>une taxe, conformément à la règle </w:t>
      </w:r>
      <w:r w:rsidR="0006018D" w:rsidRPr="00112398">
        <w:rPr>
          <w:lang w:val="fr-FR" w:eastAsia="en-US"/>
        </w:rPr>
        <w:t>32</w:t>
      </w:r>
      <w:r w:rsidRPr="00112398">
        <w:rPr>
          <w:lang w:val="fr-FR" w:eastAsia="en-US"/>
        </w:rPr>
        <w:t>.</w:t>
      </w:r>
      <w:r w:rsidR="003435EA" w:rsidRPr="00112398">
        <w:rPr>
          <w:lang w:val="fr-FR" w:eastAsia="en-US"/>
        </w:rPr>
        <w:t>1</w:t>
      </w:r>
      <w:proofErr w:type="gramStart"/>
      <w:r w:rsidR="00D06F62" w:rsidRPr="00112398">
        <w:rPr>
          <w:lang w:val="fr-FR" w:eastAsia="en-US"/>
        </w:rPr>
        <w:t>)</w:t>
      </w:r>
      <w:r w:rsidR="00111502" w:rsidRPr="00112398">
        <w:rPr>
          <w:lang w:val="fr-FR" w:eastAsia="en-US"/>
        </w:rPr>
        <w:t>ii</w:t>
      </w:r>
      <w:proofErr w:type="gramEnd"/>
      <w:r w:rsidR="002C579B" w:rsidRPr="00112398">
        <w:rPr>
          <w:lang w:val="fr-FR" w:eastAsia="en-US"/>
        </w:rPr>
        <w:t>) o</w:t>
      </w:r>
      <w:r w:rsidRPr="00112398">
        <w:rPr>
          <w:lang w:val="fr-FR" w:eastAsia="en-US"/>
        </w:rPr>
        <w:t>u</w:t>
      </w:r>
      <w:r w:rsidR="00880B0B">
        <w:rPr>
          <w:lang w:val="fr-FR" w:eastAsia="en-US"/>
        </w:rPr>
        <w:t> </w:t>
      </w:r>
      <w:r w:rsidR="002C579B" w:rsidRPr="00112398">
        <w:rPr>
          <w:lang w:val="fr-FR" w:eastAsia="en-US"/>
        </w:rPr>
        <w:t>ii</w:t>
      </w:r>
      <w:r w:rsidR="00111502" w:rsidRPr="00112398">
        <w:rPr>
          <w:lang w:val="fr-FR" w:eastAsia="en-US"/>
        </w:rPr>
        <w:t>i)</w:t>
      </w:r>
      <w:r w:rsidR="00A7596B" w:rsidRPr="00112398">
        <w:rPr>
          <w:rStyle w:val="FootnoteReference"/>
          <w:lang w:val="fr-FR" w:eastAsia="en-US"/>
        </w:rPr>
        <w:footnoteReference w:id="4"/>
      </w:r>
      <w:r w:rsidR="00F23DE3" w:rsidRPr="00112398">
        <w:rPr>
          <w:lang w:val="fr-FR" w:eastAsia="en-US"/>
        </w:rPr>
        <w:t>.</w:t>
      </w:r>
      <w:r w:rsidR="0006018D" w:rsidRPr="00112398">
        <w:rPr>
          <w:lang w:val="fr-FR" w:eastAsia="en-US"/>
        </w:rPr>
        <w:t xml:space="preserve">  </w:t>
      </w:r>
      <w:r w:rsidR="00517C2F" w:rsidRPr="00112398">
        <w:rPr>
          <w:lang w:val="fr-FR" w:eastAsia="en-US"/>
        </w:rPr>
        <w:t xml:space="preserve">Ces informations </w:t>
      </w:r>
      <w:r w:rsidR="00A76F5A">
        <w:rPr>
          <w:lang w:val="fr-FR" w:eastAsia="en-US"/>
        </w:rPr>
        <w:t>disponibles</w:t>
      </w:r>
      <w:r w:rsidR="00517C2F" w:rsidRPr="00112398">
        <w:rPr>
          <w:lang w:val="fr-FR" w:eastAsia="en-US"/>
        </w:rPr>
        <w:t xml:space="preserve"> comprennent une copie de la demande internationale </w:t>
      </w:r>
      <w:r w:rsidR="00CA1D6E">
        <w:rPr>
          <w:lang w:val="fr-FR" w:eastAsia="en-US"/>
        </w:rPr>
        <w:t xml:space="preserve">telle que </w:t>
      </w:r>
      <w:r w:rsidR="00517C2F" w:rsidRPr="00112398">
        <w:rPr>
          <w:lang w:val="fr-FR" w:eastAsia="en-US"/>
        </w:rPr>
        <w:t>déposée et toutes les notifications reçues des différentes parties contractantes désignées</w:t>
      </w:r>
      <w:r w:rsidR="00547318" w:rsidRPr="00112398">
        <w:rPr>
          <w:lang w:val="fr-FR" w:eastAsia="en-US"/>
        </w:rPr>
        <w:t>.</w:t>
      </w:r>
    </w:p>
    <w:p w:rsidR="0006018D" w:rsidRPr="00112398" w:rsidRDefault="00FD3145" w:rsidP="00CD3867">
      <w:pPr>
        <w:pStyle w:val="ONUMFS"/>
        <w:rPr>
          <w:lang w:val="fr-FR" w:eastAsia="en-US"/>
        </w:rPr>
      </w:pPr>
      <w:r w:rsidRPr="00112398">
        <w:rPr>
          <w:lang w:val="fr-FR" w:eastAsia="en-US"/>
        </w:rPr>
        <w:t xml:space="preserve">Un accès facilité aux </w:t>
      </w:r>
      <w:r w:rsidR="0006018D" w:rsidRPr="00112398">
        <w:rPr>
          <w:lang w:val="fr-FR" w:eastAsia="en-US"/>
        </w:rPr>
        <w:t>notification</w:t>
      </w:r>
      <w:r w:rsidRPr="00112398">
        <w:rPr>
          <w:lang w:val="fr-FR" w:eastAsia="en-US"/>
        </w:rPr>
        <w:t>s</w:t>
      </w:r>
      <w:r w:rsidR="0006018D" w:rsidRPr="00112398">
        <w:rPr>
          <w:lang w:val="fr-FR" w:eastAsia="en-US"/>
        </w:rPr>
        <w:t xml:space="preserve"> </w:t>
      </w:r>
      <w:r w:rsidRPr="00112398">
        <w:rPr>
          <w:lang w:val="fr-FR" w:eastAsia="en-US"/>
        </w:rPr>
        <w:t xml:space="preserve">de </w:t>
      </w:r>
      <w:r w:rsidR="0006018D" w:rsidRPr="00112398">
        <w:rPr>
          <w:lang w:val="fr-FR" w:eastAsia="en-US"/>
        </w:rPr>
        <w:t>refus</w:t>
      </w:r>
      <w:r w:rsidRPr="00112398">
        <w:rPr>
          <w:lang w:val="fr-FR" w:eastAsia="en-US"/>
        </w:rPr>
        <w:t xml:space="preserve"> </w:t>
      </w:r>
      <w:r w:rsidR="00A76F5A">
        <w:rPr>
          <w:lang w:val="fr-FR" w:eastAsia="en-US"/>
        </w:rPr>
        <w:t>aide</w:t>
      </w:r>
      <w:r w:rsidR="001E7D55" w:rsidRPr="00112398">
        <w:rPr>
          <w:lang w:val="fr-FR" w:eastAsia="en-US"/>
        </w:rPr>
        <w:t xml:space="preserve"> </w:t>
      </w:r>
      <w:r w:rsidRPr="00112398">
        <w:rPr>
          <w:lang w:val="fr-FR" w:eastAsia="en-US"/>
        </w:rPr>
        <w:t xml:space="preserve">considérablement les utilisateurs du système de </w:t>
      </w:r>
      <w:r w:rsidR="009A5C78" w:rsidRPr="00112398">
        <w:rPr>
          <w:lang w:val="fr-FR" w:eastAsia="en-US"/>
        </w:rPr>
        <w:t>La Haye</w:t>
      </w:r>
      <w:r w:rsidRPr="00112398">
        <w:rPr>
          <w:lang w:val="fr-FR" w:eastAsia="en-US"/>
        </w:rPr>
        <w:t xml:space="preserve"> à analyser les conditions de fond, en particulier celles relatives au degré de divulgation d</w:t>
      </w:r>
      <w:r w:rsidR="006C2553">
        <w:rPr>
          <w:lang w:val="fr-FR" w:eastAsia="en-US"/>
        </w:rPr>
        <w:t>’un</w:t>
      </w:r>
      <w:r w:rsidRPr="00112398">
        <w:rPr>
          <w:lang w:val="fr-FR" w:eastAsia="en-US"/>
        </w:rPr>
        <w:t xml:space="preserve"> dessin ou modèle industriel lorsque certaines parties contractantes sont désignées</w:t>
      </w:r>
      <w:r w:rsidR="00A609F8" w:rsidRPr="00112398">
        <w:rPr>
          <w:rStyle w:val="FootnoteReference"/>
          <w:lang w:val="fr-FR" w:eastAsia="en-US"/>
        </w:rPr>
        <w:footnoteReference w:id="5"/>
      </w:r>
      <w:r w:rsidR="0006018D" w:rsidRPr="00112398">
        <w:rPr>
          <w:lang w:val="fr-FR" w:eastAsia="en-US"/>
        </w:rPr>
        <w:t xml:space="preserve">.  </w:t>
      </w:r>
      <w:r w:rsidRPr="00112398">
        <w:rPr>
          <w:lang w:val="fr-FR" w:eastAsia="en-US"/>
        </w:rPr>
        <w:t xml:space="preserve">La </w:t>
      </w:r>
      <w:r w:rsidR="00D94873">
        <w:rPr>
          <w:lang w:val="fr-FR" w:eastAsia="en-US"/>
        </w:rPr>
        <w:t>citation</w:t>
      </w:r>
      <w:r w:rsidR="00C03EDB" w:rsidRPr="00C03EDB">
        <w:rPr>
          <w:lang w:val="fr-FR" w:eastAsia="en-US"/>
        </w:rPr>
        <w:t xml:space="preserve"> </w:t>
      </w:r>
      <w:r w:rsidR="00C03EDB">
        <w:rPr>
          <w:lang w:val="fr-FR" w:eastAsia="en-US"/>
        </w:rPr>
        <w:t xml:space="preserve">par un </w:t>
      </w:r>
      <w:r w:rsidR="00BB0AE1">
        <w:rPr>
          <w:lang w:val="fr-FR" w:eastAsia="en-US"/>
        </w:rPr>
        <w:t>O</w:t>
      </w:r>
      <w:r w:rsidR="00C03EDB">
        <w:rPr>
          <w:lang w:val="fr-FR" w:eastAsia="en-US"/>
        </w:rPr>
        <w:t>ffice</w:t>
      </w:r>
      <w:r w:rsidR="00D94873">
        <w:rPr>
          <w:lang w:val="fr-FR" w:eastAsia="en-US"/>
        </w:rPr>
        <w:t xml:space="preserve"> d’</w:t>
      </w:r>
      <w:r w:rsidRPr="00112398">
        <w:rPr>
          <w:lang w:val="fr-FR" w:eastAsia="en-US"/>
        </w:rPr>
        <w:t>un dessin ou modèle antérieur</w:t>
      </w:r>
      <w:r w:rsidR="006C2553">
        <w:rPr>
          <w:lang w:val="fr-FR" w:eastAsia="en-US"/>
        </w:rPr>
        <w:t xml:space="preserve"> </w:t>
      </w:r>
      <w:r w:rsidRPr="00112398">
        <w:rPr>
          <w:lang w:val="fr-FR" w:eastAsia="en-US"/>
        </w:rPr>
        <w:t>peut également permettre aux utilisateurs de</w:t>
      </w:r>
      <w:r w:rsidR="00DB1613">
        <w:rPr>
          <w:lang w:val="fr-FR" w:eastAsia="en-US"/>
        </w:rPr>
        <w:t xml:space="preserve"> prendre connaissance </w:t>
      </w:r>
      <w:r w:rsidR="00C03EDB">
        <w:rPr>
          <w:lang w:val="fr-FR" w:eastAsia="en-US"/>
        </w:rPr>
        <w:t xml:space="preserve">de l’appréciation faite par un </w:t>
      </w:r>
      <w:r w:rsidR="00BB0AE1">
        <w:rPr>
          <w:lang w:val="fr-FR" w:eastAsia="en-US"/>
        </w:rPr>
        <w:t>O</w:t>
      </w:r>
      <w:r w:rsidR="00C03EDB">
        <w:rPr>
          <w:lang w:val="fr-FR" w:eastAsia="en-US"/>
        </w:rPr>
        <w:t xml:space="preserve">ffice déterminé, </w:t>
      </w:r>
      <w:r w:rsidR="00DB1613">
        <w:rPr>
          <w:lang w:val="fr-FR" w:eastAsia="en-US"/>
        </w:rPr>
        <w:t>du degré de similitude</w:t>
      </w:r>
      <w:r w:rsidRPr="00112398">
        <w:rPr>
          <w:lang w:val="fr-FR" w:eastAsia="en-US"/>
        </w:rPr>
        <w:t xml:space="preserve"> </w:t>
      </w:r>
      <w:r w:rsidR="006C2553">
        <w:rPr>
          <w:lang w:val="fr-FR" w:eastAsia="en-US"/>
        </w:rPr>
        <w:t xml:space="preserve">entre des dessins ou modèles, </w:t>
      </w:r>
      <w:r w:rsidRPr="00112398">
        <w:rPr>
          <w:lang w:val="fr-FR" w:eastAsia="en-US"/>
        </w:rPr>
        <w:t xml:space="preserve">le cas échéant, en </w:t>
      </w:r>
      <w:r w:rsidR="006F5224">
        <w:rPr>
          <w:lang w:val="fr-FR" w:eastAsia="en-US"/>
        </w:rPr>
        <w:t xml:space="preserve">ce qui concerne </w:t>
      </w:r>
      <w:r w:rsidRPr="00112398">
        <w:rPr>
          <w:lang w:val="fr-FR" w:eastAsia="en-US"/>
        </w:rPr>
        <w:t>chaque type de produit</w:t>
      </w:r>
      <w:r w:rsidR="008220D6" w:rsidRPr="00112398">
        <w:rPr>
          <w:lang w:val="fr-FR" w:eastAsia="en-US"/>
        </w:rPr>
        <w:t>.</w:t>
      </w:r>
    </w:p>
    <w:p w:rsidR="00E178A7" w:rsidRPr="00112398" w:rsidRDefault="00EA5764" w:rsidP="00CD3867">
      <w:pPr>
        <w:pStyle w:val="ONUMFS"/>
        <w:rPr>
          <w:szCs w:val="22"/>
          <w:lang w:val="fr-FR"/>
        </w:rPr>
      </w:pPr>
      <w:r w:rsidRPr="00112398">
        <w:rPr>
          <w:szCs w:val="22"/>
          <w:lang w:val="fr-FR"/>
        </w:rPr>
        <w:t>Toutefois, l</w:t>
      </w:r>
      <w:r w:rsidR="009A5C78" w:rsidRPr="00112398">
        <w:rPr>
          <w:szCs w:val="22"/>
          <w:lang w:val="fr-FR"/>
        </w:rPr>
        <w:t>’</w:t>
      </w:r>
      <w:r w:rsidRPr="00112398">
        <w:rPr>
          <w:szCs w:val="22"/>
          <w:lang w:val="fr-FR"/>
        </w:rPr>
        <w:t xml:space="preserve">attention du Bureau international a parfois été </w:t>
      </w:r>
      <w:r w:rsidR="006F5224">
        <w:rPr>
          <w:szCs w:val="22"/>
          <w:lang w:val="fr-FR"/>
        </w:rPr>
        <w:t xml:space="preserve">appelée </w:t>
      </w:r>
      <w:r w:rsidRPr="00112398">
        <w:rPr>
          <w:szCs w:val="22"/>
          <w:lang w:val="fr-FR"/>
        </w:rPr>
        <w:t xml:space="preserve">sur le fait que ce </w:t>
      </w:r>
      <w:r w:rsidR="00013A10" w:rsidRPr="00112398">
        <w:rPr>
          <w:szCs w:val="22"/>
          <w:lang w:val="fr-FR"/>
        </w:rPr>
        <w:t xml:space="preserve">libre </w:t>
      </w:r>
      <w:r w:rsidRPr="00112398">
        <w:rPr>
          <w:szCs w:val="22"/>
          <w:lang w:val="fr-FR"/>
        </w:rPr>
        <w:t xml:space="preserve">accès aux motifs de refus est considéré par certains utilisateurs potentiels </w:t>
      </w:r>
      <w:r w:rsidR="00924BFA" w:rsidRPr="00112398">
        <w:rPr>
          <w:szCs w:val="22"/>
          <w:lang w:val="fr-FR"/>
        </w:rPr>
        <w:t xml:space="preserve">comme un élément </w:t>
      </w:r>
      <w:r w:rsidR="00B54389" w:rsidRPr="00112398">
        <w:rPr>
          <w:szCs w:val="22"/>
          <w:lang w:val="fr-FR"/>
        </w:rPr>
        <w:t xml:space="preserve">tendant à </w:t>
      </w:r>
      <w:r w:rsidR="00396E35">
        <w:rPr>
          <w:szCs w:val="22"/>
          <w:lang w:val="fr-FR"/>
        </w:rPr>
        <w:t>les dissuader d’utiliser</w:t>
      </w:r>
      <w:r w:rsidR="00924BFA" w:rsidRPr="00112398">
        <w:rPr>
          <w:szCs w:val="22"/>
          <w:lang w:val="fr-FR"/>
        </w:rPr>
        <w:t xml:space="preserve"> </w:t>
      </w:r>
      <w:r w:rsidR="0057286C">
        <w:rPr>
          <w:szCs w:val="22"/>
          <w:lang w:val="fr-FR"/>
        </w:rPr>
        <w:t xml:space="preserve">le </w:t>
      </w:r>
      <w:r w:rsidR="00924BFA" w:rsidRPr="00112398">
        <w:rPr>
          <w:szCs w:val="22"/>
          <w:lang w:val="fr-FR"/>
        </w:rPr>
        <w:t xml:space="preserve">système de </w:t>
      </w:r>
      <w:r w:rsidR="009A5C78" w:rsidRPr="00112398">
        <w:rPr>
          <w:szCs w:val="22"/>
          <w:lang w:val="fr-FR"/>
        </w:rPr>
        <w:t>La Haye</w:t>
      </w:r>
      <w:r w:rsidR="00924BFA" w:rsidRPr="00112398">
        <w:rPr>
          <w:szCs w:val="22"/>
          <w:lang w:val="fr-FR"/>
        </w:rPr>
        <w:t xml:space="preserve">, dans la mesure où un dessin ou modèle antérieur cité dans une notification de refus émise par un </w:t>
      </w:r>
      <w:r w:rsidR="00BB0AE1">
        <w:rPr>
          <w:szCs w:val="22"/>
          <w:lang w:val="fr-FR"/>
        </w:rPr>
        <w:t>O</w:t>
      </w:r>
      <w:r w:rsidR="00924BFA" w:rsidRPr="00112398">
        <w:rPr>
          <w:szCs w:val="22"/>
          <w:lang w:val="fr-FR"/>
        </w:rPr>
        <w:t>ffice devient connu des concurrents et peut être utilisé comme un motif éventuel d</w:t>
      </w:r>
      <w:r w:rsidR="009A5C78" w:rsidRPr="00112398">
        <w:rPr>
          <w:szCs w:val="22"/>
          <w:lang w:val="fr-FR"/>
        </w:rPr>
        <w:t>’</w:t>
      </w:r>
      <w:r w:rsidR="00924BFA" w:rsidRPr="00112398">
        <w:rPr>
          <w:szCs w:val="22"/>
          <w:lang w:val="fr-FR"/>
        </w:rPr>
        <w:t xml:space="preserve">invalidation </w:t>
      </w:r>
      <w:r w:rsidR="003D0BCD">
        <w:rPr>
          <w:szCs w:val="22"/>
          <w:lang w:val="fr-FR"/>
        </w:rPr>
        <w:t xml:space="preserve">du dessin ou modèle </w:t>
      </w:r>
      <w:r w:rsidR="00924BFA" w:rsidRPr="00112398">
        <w:rPr>
          <w:szCs w:val="22"/>
          <w:lang w:val="fr-FR"/>
        </w:rPr>
        <w:t>dans d</w:t>
      </w:r>
      <w:r w:rsidR="009A5C78" w:rsidRPr="00112398">
        <w:rPr>
          <w:szCs w:val="22"/>
          <w:lang w:val="fr-FR"/>
        </w:rPr>
        <w:t>’</w:t>
      </w:r>
      <w:r w:rsidR="00924BFA" w:rsidRPr="00112398">
        <w:rPr>
          <w:szCs w:val="22"/>
          <w:lang w:val="fr-FR"/>
        </w:rPr>
        <w:t>autres pays.</w:t>
      </w:r>
    </w:p>
    <w:p w:rsidR="00880B0B" w:rsidRDefault="00880B0B">
      <w:pPr>
        <w:rPr>
          <w:b/>
          <w:bCs/>
          <w:caps/>
          <w:kern w:val="32"/>
          <w:szCs w:val="32"/>
          <w:lang w:val="fr-FR"/>
        </w:rPr>
      </w:pPr>
      <w:r>
        <w:rPr>
          <w:lang w:val="fr-FR"/>
        </w:rPr>
        <w:br w:type="page"/>
      </w:r>
    </w:p>
    <w:p w:rsidR="00EB04AD" w:rsidRPr="00112398" w:rsidRDefault="00EB04AD" w:rsidP="00AF47AD">
      <w:pPr>
        <w:pStyle w:val="Heading1"/>
        <w:keepNext w:val="0"/>
        <w:spacing w:before="480"/>
        <w:rPr>
          <w:lang w:val="fr-FR"/>
        </w:rPr>
      </w:pPr>
      <w:r w:rsidRPr="00112398">
        <w:rPr>
          <w:lang w:val="fr-FR"/>
        </w:rPr>
        <w:lastRenderedPageBreak/>
        <w:t>III.</w:t>
      </w:r>
      <w:r w:rsidRPr="00112398">
        <w:rPr>
          <w:lang w:val="fr-FR"/>
        </w:rPr>
        <w:tab/>
        <w:t>Analyse</w:t>
      </w:r>
    </w:p>
    <w:p w:rsidR="00EB04AD" w:rsidRPr="00112398" w:rsidRDefault="002166E6" w:rsidP="00937A91">
      <w:pPr>
        <w:pStyle w:val="Heading2"/>
        <w:keepNext w:val="0"/>
        <w:spacing w:after="220"/>
        <w:rPr>
          <w:lang w:val="fr-FR" w:eastAsia="en-US"/>
        </w:rPr>
      </w:pPr>
      <w:r w:rsidRPr="00112398">
        <w:rPr>
          <w:lang w:val="fr-FR" w:eastAsia="en-US"/>
        </w:rPr>
        <w:t xml:space="preserve">Nature </w:t>
      </w:r>
      <w:r w:rsidR="00924BFA" w:rsidRPr="00112398">
        <w:rPr>
          <w:lang w:val="fr-FR" w:eastAsia="en-US"/>
        </w:rPr>
        <w:t xml:space="preserve">et valeur des </w:t>
      </w:r>
      <w:r w:rsidR="00EB04AD" w:rsidRPr="00112398">
        <w:rPr>
          <w:lang w:val="fr-FR" w:eastAsia="en-US"/>
        </w:rPr>
        <w:t>information</w:t>
      </w:r>
      <w:r w:rsidR="00924BFA" w:rsidRPr="00112398">
        <w:rPr>
          <w:lang w:val="fr-FR" w:eastAsia="en-US"/>
        </w:rPr>
        <w:t>s</w:t>
      </w:r>
    </w:p>
    <w:p w:rsidR="00754F99" w:rsidRPr="00112398" w:rsidRDefault="00B54389" w:rsidP="00AF47AD">
      <w:pPr>
        <w:pStyle w:val="ONUMFS"/>
        <w:rPr>
          <w:lang w:val="fr-FR" w:eastAsia="en-US"/>
        </w:rPr>
      </w:pPr>
      <w:r w:rsidRPr="00112398">
        <w:rPr>
          <w:lang w:val="fr-FR"/>
        </w:rPr>
        <w:t>L</w:t>
      </w:r>
      <w:r w:rsidR="00C03EDB">
        <w:rPr>
          <w:lang w:val="fr-FR"/>
        </w:rPr>
        <w:t>a publication</w:t>
      </w:r>
      <w:r w:rsidR="00B72104">
        <w:rPr>
          <w:lang w:val="fr-FR"/>
        </w:rPr>
        <w:t xml:space="preserve"> </w:t>
      </w:r>
      <w:r w:rsidRPr="00112398">
        <w:rPr>
          <w:lang w:val="fr-FR"/>
        </w:rPr>
        <w:t>de la</w:t>
      </w:r>
      <w:r w:rsidR="00896269" w:rsidRPr="00112398">
        <w:rPr>
          <w:lang w:val="fr-FR"/>
        </w:rPr>
        <w:t xml:space="preserve"> copie </w:t>
      </w:r>
      <w:r w:rsidR="00754F99" w:rsidRPr="00112398">
        <w:rPr>
          <w:lang w:val="fr-FR"/>
        </w:rPr>
        <w:t xml:space="preserve">PDF </w:t>
      </w:r>
      <w:r w:rsidR="00896269" w:rsidRPr="00112398">
        <w:rPr>
          <w:lang w:val="fr-FR"/>
        </w:rPr>
        <w:t>d</w:t>
      </w:r>
      <w:r w:rsidR="009A5C78" w:rsidRPr="00112398">
        <w:rPr>
          <w:lang w:val="fr-FR"/>
        </w:rPr>
        <w:t>’</w:t>
      </w:r>
      <w:r w:rsidR="00896269" w:rsidRPr="00112398">
        <w:rPr>
          <w:lang w:val="fr-FR"/>
        </w:rPr>
        <w:t>une notification de refus sur le site Web de l</w:t>
      </w:r>
      <w:r w:rsidR="009A5C78" w:rsidRPr="00112398">
        <w:rPr>
          <w:lang w:val="fr-FR"/>
        </w:rPr>
        <w:t>’</w:t>
      </w:r>
      <w:r w:rsidR="00896269" w:rsidRPr="00112398">
        <w:rPr>
          <w:lang w:val="fr-FR"/>
        </w:rPr>
        <w:t xml:space="preserve">OMPI </w:t>
      </w:r>
      <w:r w:rsidR="00E167A1" w:rsidRPr="00112398">
        <w:rPr>
          <w:lang w:val="fr-FR"/>
        </w:rPr>
        <w:t>s</w:t>
      </w:r>
      <w:r w:rsidR="009A5C78" w:rsidRPr="00112398">
        <w:rPr>
          <w:lang w:val="fr-FR"/>
        </w:rPr>
        <w:t>’</w:t>
      </w:r>
      <w:r w:rsidR="00E167A1" w:rsidRPr="00112398">
        <w:rPr>
          <w:lang w:val="fr-FR"/>
        </w:rPr>
        <w:t>inscrit dans la</w:t>
      </w:r>
      <w:r w:rsidR="0006020C">
        <w:rPr>
          <w:lang w:val="fr-FR"/>
        </w:rPr>
        <w:t xml:space="preserve"> pratique </w:t>
      </w:r>
      <w:r w:rsidR="00E167A1" w:rsidRPr="00112398">
        <w:rPr>
          <w:lang w:val="fr-FR"/>
        </w:rPr>
        <w:t>établi</w:t>
      </w:r>
      <w:r w:rsidR="0006020C">
        <w:rPr>
          <w:lang w:val="fr-FR"/>
        </w:rPr>
        <w:t>e</w:t>
      </w:r>
      <w:r w:rsidR="00E167A1" w:rsidRPr="00112398">
        <w:rPr>
          <w:lang w:val="fr-FR"/>
        </w:rPr>
        <w:t xml:space="preserve"> dans le cadre du système de </w:t>
      </w:r>
      <w:r w:rsidR="00754F99" w:rsidRPr="00112398">
        <w:rPr>
          <w:lang w:val="fr-FR"/>
        </w:rPr>
        <w:t>Madrid</w:t>
      </w:r>
      <w:r w:rsidR="00510815" w:rsidRPr="00112398">
        <w:rPr>
          <w:rStyle w:val="FootnoteReference"/>
          <w:lang w:val="fr-FR"/>
        </w:rPr>
        <w:footnoteReference w:id="6"/>
      </w:r>
      <w:r w:rsidR="00754F99" w:rsidRPr="00112398">
        <w:rPr>
          <w:lang w:val="fr-FR"/>
        </w:rPr>
        <w:t>.</w:t>
      </w:r>
    </w:p>
    <w:p w:rsidR="00E178A7" w:rsidRPr="00112398" w:rsidRDefault="00A4728D" w:rsidP="00CD3867">
      <w:pPr>
        <w:pStyle w:val="ONUMFS"/>
        <w:rPr>
          <w:lang w:val="fr-FR"/>
        </w:rPr>
      </w:pPr>
      <w:r w:rsidRPr="00112398">
        <w:rPr>
          <w:lang w:val="fr-FR"/>
        </w:rPr>
        <w:t>Toutefois, le critère de</w:t>
      </w:r>
      <w:r w:rsidR="007917E2">
        <w:rPr>
          <w:lang w:val="fr-FR"/>
        </w:rPr>
        <w:t xml:space="preserve"> </w:t>
      </w:r>
      <w:r w:rsidRPr="00112398">
        <w:rPr>
          <w:lang w:val="fr-FR"/>
        </w:rPr>
        <w:t>nouveauté n</w:t>
      </w:r>
      <w:r w:rsidR="009A5C78" w:rsidRPr="00112398">
        <w:rPr>
          <w:lang w:val="fr-FR"/>
        </w:rPr>
        <w:t>’</w:t>
      </w:r>
      <w:r w:rsidRPr="00112398">
        <w:rPr>
          <w:lang w:val="fr-FR"/>
        </w:rPr>
        <w:t>est pas requis aux fins de la protection d</w:t>
      </w:r>
      <w:r w:rsidR="009A5C78" w:rsidRPr="00112398">
        <w:rPr>
          <w:lang w:val="fr-FR"/>
        </w:rPr>
        <w:t>’</w:t>
      </w:r>
      <w:r w:rsidRPr="00112398">
        <w:rPr>
          <w:lang w:val="fr-FR"/>
        </w:rPr>
        <w:t>une marq</w:t>
      </w:r>
      <w:r w:rsidR="007F530A" w:rsidRPr="00112398">
        <w:rPr>
          <w:lang w:val="fr-FR"/>
        </w:rPr>
        <w:t>ue.  To</w:t>
      </w:r>
      <w:r w:rsidRPr="00112398">
        <w:rPr>
          <w:lang w:val="fr-FR"/>
        </w:rPr>
        <w:t>ut conflit avec une marque antérieure, qu</w:t>
      </w:r>
      <w:r w:rsidR="009A5C78" w:rsidRPr="00112398">
        <w:rPr>
          <w:lang w:val="fr-FR"/>
        </w:rPr>
        <w:t>’</w:t>
      </w:r>
      <w:r w:rsidRPr="00112398">
        <w:rPr>
          <w:lang w:val="fr-FR"/>
        </w:rPr>
        <w:t>elle ait ou non été enregistrée, peut être examiné d</w:t>
      </w:r>
      <w:r w:rsidR="009A5C78" w:rsidRPr="00112398">
        <w:rPr>
          <w:lang w:val="fr-FR"/>
        </w:rPr>
        <w:t>’</w:t>
      </w:r>
      <w:r w:rsidRPr="00112398">
        <w:rPr>
          <w:lang w:val="fr-FR"/>
        </w:rPr>
        <w:t>office ou sur la base d</w:t>
      </w:r>
      <w:r w:rsidR="009A5C78" w:rsidRPr="00112398">
        <w:rPr>
          <w:lang w:val="fr-FR"/>
        </w:rPr>
        <w:t>’</w:t>
      </w:r>
      <w:r w:rsidRPr="00112398">
        <w:rPr>
          <w:lang w:val="fr-FR"/>
        </w:rPr>
        <w:t>une opposition</w:t>
      </w:r>
      <w:r w:rsidR="00754F99" w:rsidRPr="00112398">
        <w:rPr>
          <w:lang w:val="fr-FR"/>
        </w:rPr>
        <w:t>, o</w:t>
      </w:r>
      <w:r w:rsidRPr="00112398">
        <w:rPr>
          <w:lang w:val="fr-FR"/>
        </w:rPr>
        <w:t>u peut être tranché dans le cadre d</w:t>
      </w:r>
      <w:r w:rsidR="009A5C78" w:rsidRPr="00112398">
        <w:rPr>
          <w:lang w:val="fr-FR"/>
        </w:rPr>
        <w:t>’</w:t>
      </w:r>
      <w:r w:rsidRPr="00112398">
        <w:rPr>
          <w:lang w:val="fr-FR"/>
        </w:rPr>
        <w:t xml:space="preserve">une procédure judiciaire, </w:t>
      </w:r>
      <w:r w:rsidR="001F7934">
        <w:rPr>
          <w:lang w:val="fr-FR"/>
        </w:rPr>
        <w:t>compte tenu</w:t>
      </w:r>
      <w:r w:rsidRPr="00112398">
        <w:rPr>
          <w:lang w:val="fr-FR"/>
        </w:rPr>
        <w:t xml:space="preserve"> de la simil</w:t>
      </w:r>
      <w:r w:rsidR="00B54389" w:rsidRPr="00112398">
        <w:rPr>
          <w:lang w:val="fr-FR"/>
        </w:rPr>
        <w:t>itude</w:t>
      </w:r>
      <w:r w:rsidRPr="00112398">
        <w:rPr>
          <w:lang w:val="fr-FR"/>
        </w:rPr>
        <w:t xml:space="preserve"> des deux marques</w:t>
      </w:r>
      <w:r w:rsidR="000F5C63" w:rsidRPr="00112398">
        <w:rPr>
          <w:lang w:val="fr-FR"/>
        </w:rPr>
        <w:t>,</w:t>
      </w:r>
      <w:r w:rsidR="00754F99" w:rsidRPr="00112398">
        <w:rPr>
          <w:lang w:val="fr-FR"/>
        </w:rPr>
        <w:t xml:space="preserve"> </w:t>
      </w:r>
      <w:r w:rsidRPr="00112398">
        <w:rPr>
          <w:lang w:val="fr-FR"/>
        </w:rPr>
        <w:t xml:space="preserve">de </w:t>
      </w:r>
      <w:r w:rsidR="001B50D5" w:rsidRPr="00112398">
        <w:rPr>
          <w:lang w:val="fr-FR"/>
        </w:rPr>
        <w:t>leur utilisation effective dans le commerce</w:t>
      </w:r>
      <w:r w:rsidR="006C0441">
        <w:rPr>
          <w:lang w:val="fr-FR"/>
        </w:rPr>
        <w:t>, de</w:t>
      </w:r>
      <w:r w:rsidR="001B50D5" w:rsidRPr="00112398">
        <w:rPr>
          <w:lang w:val="fr-FR"/>
        </w:rPr>
        <w:t xml:space="preserve"> leur notoriété </w:t>
      </w:r>
      <w:r w:rsidR="00E16171">
        <w:rPr>
          <w:lang w:val="fr-FR"/>
        </w:rPr>
        <w:t>sur le</w:t>
      </w:r>
      <w:r w:rsidR="00024B28">
        <w:rPr>
          <w:lang w:val="fr-FR"/>
        </w:rPr>
        <w:t xml:space="preserve"> plan local</w:t>
      </w:r>
      <w:r w:rsidR="006C0441">
        <w:rPr>
          <w:lang w:val="fr-FR"/>
        </w:rPr>
        <w:t>,</w:t>
      </w:r>
      <w:r w:rsidR="00E16171">
        <w:rPr>
          <w:lang w:val="fr-FR"/>
        </w:rPr>
        <w:t xml:space="preserve"> ou de l’étendue de la liste des produits ou des services</w:t>
      </w:r>
      <w:r w:rsidR="007F530A" w:rsidRPr="00112398">
        <w:rPr>
          <w:lang w:val="fr-FR"/>
        </w:rPr>
        <w:t>.  Dè</w:t>
      </w:r>
      <w:r w:rsidR="001B50D5" w:rsidRPr="00112398">
        <w:rPr>
          <w:lang w:val="fr-FR"/>
        </w:rPr>
        <w:t>s lors, un motif de refus valable dans un</w:t>
      </w:r>
      <w:r w:rsidR="008566A9">
        <w:rPr>
          <w:lang w:val="fr-FR"/>
        </w:rPr>
        <w:t xml:space="preserve"> pays peut ne pas être confirmé</w:t>
      </w:r>
      <w:r w:rsidR="001C3E5B">
        <w:rPr>
          <w:lang w:val="fr-FR"/>
        </w:rPr>
        <w:t>,</w:t>
      </w:r>
      <w:r w:rsidR="001B50D5" w:rsidRPr="00112398">
        <w:rPr>
          <w:lang w:val="fr-FR"/>
        </w:rPr>
        <w:t xml:space="preserve"> ni même</w:t>
      </w:r>
      <w:r w:rsidR="00903EBF">
        <w:rPr>
          <w:lang w:val="fr-FR"/>
        </w:rPr>
        <w:t xml:space="preserve"> être</w:t>
      </w:r>
      <w:r w:rsidR="001B50D5" w:rsidRPr="00112398">
        <w:rPr>
          <w:lang w:val="fr-FR"/>
        </w:rPr>
        <w:t xml:space="preserve"> pertinent dans d</w:t>
      </w:r>
      <w:r w:rsidR="009A5C78" w:rsidRPr="00112398">
        <w:rPr>
          <w:lang w:val="fr-FR"/>
        </w:rPr>
        <w:t>’</w:t>
      </w:r>
      <w:r w:rsidR="001B50D5" w:rsidRPr="00112398">
        <w:rPr>
          <w:lang w:val="fr-FR"/>
        </w:rPr>
        <w:t>autres pays.</w:t>
      </w:r>
    </w:p>
    <w:p w:rsidR="00E178A7" w:rsidRPr="00112398" w:rsidRDefault="001B50D5" w:rsidP="00CD3867">
      <w:pPr>
        <w:pStyle w:val="ONUMFS"/>
        <w:rPr>
          <w:lang w:val="fr-FR"/>
        </w:rPr>
      </w:pPr>
      <w:r w:rsidRPr="00112398">
        <w:rPr>
          <w:lang w:val="fr-FR"/>
        </w:rPr>
        <w:t>En revanche, le critère de nouveauté est essentiel à la validité d</w:t>
      </w:r>
      <w:r w:rsidR="009A5C78" w:rsidRPr="00112398">
        <w:rPr>
          <w:lang w:val="fr-FR"/>
        </w:rPr>
        <w:t>’</w:t>
      </w:r>
      <w:r w:rsidRPr="00112398">
        <w:rPr>
          <w:lang w:val="fr-FR"/>
        </w:rPr>
        <w:t xml:space="preserve">un </w:t>
      </w:r>
      <w:r w:rsidR="00827506">
        <w:rPr>
          <w:lang w:val="fr-FR"/>
        </w:rPr>
        <w:t>droit sur un</w:t>
      </w:r>
      <w:r w:rsidR="001F7934">
        <w:rPr>
          <w:lang w:val="fr-FR"/>
        </w:rPr>
        <w:t xml:space="preserve"> </w:t>
      </w:r>
      <w:r w:rsidRPr="00112398">
        <w:rPr>
          <w:lang w:val="fr-FR"/>
        </w:rPr>
        <w:t>dessin ou modè</w:t>
      </w:r>
      <w:r w:rsidR="007F530A" w:rsidRPr="00112398">
        <w:rPr>
          <w:lang w:val="fr-FR"/>
        </w:rPr>
        <w:t>le.  La</w:t>
      </w:r>
      <w:r w:rsidRPr="00112398">
        <w:rPr>
          <w:lang w:val="fr-FR"/>
        </w:rPr>
        <w:t xml:space="preserve"> plupart des pays exigent la nouveauté à l</w:t>
      </w:r>
      <w:r w:rsidR="009A5C78" w:rsidRPr="00112398">
        <w:rPr>
          <w:lang w:val="fr-FR"/>
        </w:rPr>
        <w:t>’</w:t>
      </w:r>
      <w:r w:rsidRPr="00112398">
        <w:rPr>
          <w:lang w:val="fr-FR"/>
        </w:rPr>
        <w:t>échelle mondiale comme condition pour l</w:t>
      </w:r>
      <w:r w:rsidR="009A5C78" w:rsidRPr="00112398">
        <w:rPr>
          <w:lang w:val="fr-FR"/>
        </w:rPr>
        <w:t>’</w:t>
      </w:r>
      <w:r w:rsidRPr="00112398">
        <w:rPr>
          <w:lang w:val="fr-FR"/>
        </w:rPr>
        <w:t xml:space="preserve">enregistrement </w:t>
      </w:r>
      <w:r w:rsidR="0066517E" w:rsidRPr="00112398">
        <w:rPr>
          <w:lang w:val="fr-FR"/>
        </w:rPr>
        <w:t>d</w:t>
      </w:r>
      <w:r w:rsidR="009A5C78" w:rsidRPr="00112398">
        <w:rPr>
          <w:lang w:val="fr-FR"/>
        </w:rPr>
        <w:t>’</w:t>
      </w:r>
      <w:r w:rsidR="0066517E" w:rsidRPr="00112398">
        <w:rPr>
          <w:lang w:val="fr-FR"/>
        </w:rPr>
        <w:t xml:space="preserve">un dessin ou modèle </w:t>
      </w:r>
      <w:r w:rsidR="0066517E" w:rsidRPr="002C13EB">
        <w:rPr>
          <w:lang w:val="fr-FR"/>
        </w:rPr>
        <w:t>ou l</w:t>
      </w:r>
      <w:r w:rsidR="009A5C78" w:rsidRPr="002C13EB">
        <w:rPr>
          <w:lang w:val="fr-FR"/>
        </w:rPr>
        <w:t>’</w:t>
      </w:r>
      <w:r w:rsidR="0066517E" w:rsidRPr="002C13EB">
        <w:rPr>
          <w:lang w:val="fr-FR"/>
        </w:rPr>
        <w:t>octroi d</w:t>
      </w:r>
      <w:r w:rsidR="009A5C78" w:rsidRPr="00C9668C">
        <w:rPr>
          <w:lang w:val="fr-FR"/>
        </w:rPr>
        <w:t>’</w:t>
      </w:r>
      <w:r w:rsidR="0066517E" w:rsidRPr="00C94337">
        <w:rPr>
          <w:lang w:val="fr-FR"/>
        </w:rPr>
        <w:t>un brevet sur un</w:t>
      </w:r>
      <w:r w:rsidR="009C6CCE">
        <w:rPr>
          <w:lang w:val="fr-FR"/>
        </w:rPr>
        <w:t xml:space="preserve"> </w:t>
      </w:r>
      <w:r w:rsidR="0066517E" w:rsidRPr="00C94337">
        <w:rPr>
          <w:lang w:val="fr-FR"/>
        </w:rPr>
        <w:t>dessin</w:t>
      </w:r>
      <w:r w:rsidR="0066517E" w:rsidRPr="00112398">
        <w:rPr>
          <w:lang w:val="fr-FR"/>
        </w:rPr>
        <w:t xml:space="preserve"> ou modèle</w:t>
      </w:r>
      <w:r w:rsidR="00267B07">
        <w:rPr>
          <w:lang w:val="fr-FR"/>
        </w:rPr>
        <w:t xml:space="preserve"> donné</w:t>
      </w:r>
      <w:r w:rsidR="0066517E" w:rsidRPr="00112398">
        <w:rPr>
          <w:lang w:val="fr-FR"/>
        </w:rPr>
        <w:t xml:space="preserve">, indépendamment du fait que leur </w:t>
      </w:r>
      <w:r w:rsidR="00BB0AE1">
        <w:rPr>
          <w:lang w:val="fr-FR"/>
        </w:rPr>
        <w:t>O</w:t>
      </w:r>
      <w:r w:rsidR="0066517E" w:rsidRPr="00112398">
        <w:rPr>
          <w:lang w:val="fr-FR"/>
        </w:rPr>
        <w:t>ffice examine les demandes d</w:t>
      </w:r>
      <w:r w:rsidR="009A5C78" w:rsidRPr="00112398">
        <w:rPr>
          <w:lang w:val="fr-FR"/>
        </w:rPr>
        <w:t>’</w:t>
      </w:r>
      <w:r w:rsidR="0066517E" w:rsidRPr="00112398">
        <w:rPr>
          <w:lang w:val="fr-FR"/>
        </w:rPr>
        <w:t>offi</w:t>
      </w:r>
      <w:r w:rsidR="007F530A" w:rsidRPr="00112398">
        <w:rPr>
          <w:lang w:val="fr-FR"/>
        </w:rPr>
        <w:t>ce</w:t>
      </w:r>
      <w:r w:rsidR="007F530A" w:rsidRPr="00C03EDB">
        <w:rPr>
          <w:i/>
          <w:lang w:val="fr-FR"/>
        </w:rPr>
        <w:t>.</w:t>
      </w:r>
      <w:r w:rsidR="007F530A" w:rsidRPr="00112398">
        <w:rPr>
          <w:lang w:val="fr-FR"/>
        </w:rPr>
        <w:t xml:space="preserve">  En</w:t>
      </w:r>
      <w:r w:rsidR="0066517E" w:rsidRPr="00112398">
        <w:rPr>
          <w:lang w:val="fr-FR"/>
        </w:rPr>
        <w:t xml:space="preserve"> conséquence, </w:t>
      </w:r>
      <w:r w:rsidR="00267B07">
        <w:rPr>
          <w:lang w:val="fr-FR"/>
        </w:rPr>
        <w:t xml:space="preserve">l’information relative à </w:t>
      </w:r>
      <w:r w:rsidR="0087602B" w:rsidRPr="00112398">
        <w:rPr>
          <w:lang w:val="fr-FR"/>
        </w:rPr>
        <w:t xml:space="preserve">un dessin ou modèle antérieur trouvé et cité par </w:t>
      </w:r>
      <w:r w:rsidR="00F079AD">
        <w:rPr>
          <w:lang w:val="fr-FR"/>
        </w:rPr>
        <w:t>tout</w:t>
      </w:r>
      <w:r w:rsidR="0087602B" w:rsidRPr="00112398">
        <w:rPr>
          <w:lang w:val="fr-FR"/>
        </w:rPr>
        <w:t xml:space="preserve"> autre </w:t>
      </w:r>
      <w:r w:rsidR="00BB0AE1">
        <w:rPr>
          <w:lang w:val="fr-FR"/>
        </w:rPr>
        <w:t>O</w:t>
      </w:r>
      <w:r w:rsidR="0087602B" w:rsidRPr="00112398">
        <w:rPr>
          <w:lang w:val="fr-FR"/>
        </w:rPr>
        <w:t>ffice constituerait une information bien plus sensible.</w:t>
      </w:r>
    </w:p>
    <w:p w:rsidR="00140C99" w:rsidRPr="00112398" w:rsidRDefault="0087602B" w:rsidP="00CD3867">
      <w:pPr>
        <w:pStyle w:val="ONUMFS"/>
        <w:rPr>
          <w:lang w:val="fr-FR" w:eastAsia="en-US"/>
        </w:rPr>
      </w:pPr>
      <w:r w:rsidRPr="00112398">
        <w:rPr>
          <w:lang w:val="fr-FR" w:eastAsia="en-US"/>
        </w:rPr>
        <w:t>Cependant, la question se résume alors à la probabilité</w:t>
      </w:r>
      <w:r w:rsidR="00441E10" w:rsidRPr="00112398">
        <w:rPr>
          <w:lang w:val="fr-FR" w:eastAsia="en-US"/>
        </w:rPr>
        <w:t xml:space="preserve"> d</w:t>
      </w:r>
      <w:r w:rsidR="009A5C78" w:rsidRPr="00112398">
        <w:rPr>
          <w:lang w:val="fr-FR" w:eastAsia="en-US"/>
        </w:rPr>
        <w:t>’</w:t>
      </w:r>
      <w:r w:rsidR="00441E10" w:rsidRPr="00112398">
        <w:rPr>
          <w:lang w:val="fr-FR" w:eastAsia="en-US"/>
        </w:rPr>
        <w:t xml:space="preserve">un refus </w:t>
      </w:r>
      <w:r w:rsidR="006B7F6E" w:rsidRPr="00112398">
        <w:rPr>
          <w:lang w:val="fr-FR" w:eastAsia="en-US"/>
        </w:rPr>
        <w:t xml:space="preserve">pour défaut </w:t>
      </w:r>
      <w:r w:rsidR="00441E10" w:rsidRPr="00112398">
        <w:rPr>
          <w:lang w:val="fr-FR" w:eastAsia="en-US"/>
        </w:rPr>
        <w:t>de nouveauté</w:t>
      </w:r>
      <w:r w:rsidR="00547FBB" w:rsidRPr="00112398">
        <w:rPr>
          <w:lang w:val="fr-FR" w:eastAsia="en-US"/>
        </w:rPr>
        <w:t>.</w:t>
      </w:r>
      <w:r w:rsidR="002C7D24" w:rsidRPr="00112398">
        <w:rPr>
          <w:lang w:val="fr-FR" w:eastAsia="en-US"/>
        </w:rPr>
        <w:t xml:space="preserve">  </w:t>
      </w:r>
      <w:r w:rsidR="00441E10" w:rsidRPr="00112398">
        <w:rPr>
          <w:lang w:val="fr-FR" w:eastAsia="en-US"/>
        </w:rPr>
        <w:t>L</w:t>
      </w:r>
      <w:r w:rsidR="009A5C78" w:rsidRPr="00112398">
        <w:rPr>
          <w:lang w:val="fr-FR" w:eastAsia="en-US"/>
        </w:rPr>
        <w:t>’</w:t>
      </w:r>
      <w:r w:rsidR="00441E10" w:rsidRPr="00112398">
        <w:rPr>
          <w:lang w:val="fr-FR" w:eastAsia="en-US"/>
        </w:rPr>
        <w:t>Office des brevets du Japon</w:t>
      </w:r>
      <w:r w:rsidR="002C7D24" w:rsidRPr="00112398">
        <w:rPr>
          <w:lang w:val="fr-FR"/>
        </w:rPr>
        <w:t xml:space="preserve"> (JPO), </w:t>
      </w:r>
      <w:r w:rsidR="00441E10" w:rsidRPr="00112398">
        <w:rPr>
          <w:lang w:val="fr-FR"/>
        </w:rPr>
        <w:t>l</w:t>
      </w:r>
      <w:r w:rsidR="009A5C78" w:rsidRPr="00112398">
        <w:rPr>
          <w:lang w:val="fr-FR"/>
        </w:rPr>
        <w:t>’</w:t>
      </w:r>
      <w:r w:rsidR="00441E10" w:rsidRPr="00112398">
        <w:rPr>
          <w:lang w:val="fr-FR"/>
        </w:rPr>
        <w:t>Office coréen de la propriété intellectuelle</w:t>
      </w:r>
      <w:r w:rsidR="00880B0B">
        <w:rPr>
          <w:lang w:val="fr-FR"/>
        </w:rPr>
        <w:t> </w:t>
      </w:r>
      <w:r w:rsidR="002C7D24" w:rsidRPr="00112398">
        <w:rPr>
          <w:lang w:val="fr-FR"/>
        </w:rPr>
        <w:t>(KIPO)</w:t>
      </w:r>
      <w:r w:rsidR="00441E10" w:rsidRPr="00112398">
        <w:rPr>
          <w:lang w:val="fr-FR"/>
        </w:rPr>
        <w:t xml:space="preserve"> et l</w:t>
      </w:r>
      <w:r w:rsidR="009A5C78" w:rsidRPr="00112398">
        <w:rPr>
          <w:lang w:val="fr-FR"/>
        </w:rPr>
        <w:t>’</w:t>
      </w:r>
      <w:r w:rsidR="00441E10" w:rsidRPr="00112398">
        <w:rPr>
          <w:lang w:val="fr-FR"/>
        </w:rPr>
        <w:t>Office des brevets et des marques des États</w:t>
      </w:r>
      <w:r w:rsidR="009A5C78" w:rsidRPr="00112398">
        <w:rPr>
          <w:lang w:val="fr-FR"/>
        </w:rPr>
        <w:t>-</w:t>
      </w:r>
      <w:r w:rsidR="00441E10" w:rsidRPr="00112398">
        <w:rPr>
          <w:lang w:val="fr-FR"/>
        </w:rPr>
        <w:t>Unis</w:t>
      </w:r>
      <w:r w:rsidR="007E3D16" w:rsidRPr="00112398">
        <w:rPr>
          <w:lang w:val="fr-FR"/>
        </w:rPr>
        <w:t xml:space="preserve"> </w:t>
      </w:r>
      <w:r w:rsidR="00441E10" w:rsidRPr="00112398">
        <w:rPr>
          <w:lang w:val="fr-FR"/>
        </w:rPr>
        <w:t>d</w:t>
      </w:r>
      <w:r w:rsidR="009A5C78" w:rsidRPr="00112398">
        <w:rPr>
          <w:lang w:val="fr-FR"/>
        </w:rPr>
        <w:t>’</w:t>
      </w:r>
      <w:r w:rsidR="00441E10" w:rsidRPr="00112398">
        <w:rPr>
          <w:lang w:val="fr-FR"/>
        </w:rPr>
        <w:t xml:space="preserve">Amérique </w:t>
      </w:r>
      <w:r w:rsidR="002C7D24" w:rsidRPr="00112398">
        <w:rPr>
          <w:lang w:val="fr-FR"/>
        </w:rPr>
        <w:t xml:space="preserve">(USPTO) </w:t>
      </w:r>
      <w:r w:rsidR="00441E10" w:rsidRPr="00112398">
        <w:rPr>
          <w:lang w:val="fr-FR"/>
        </w:rPr>
        <w:t xml:space="preserve">sont actuellement les trois principaux </w:t>
      </w:r>
      <w:r w:rsidR="00BB0AE1">
        <w:rPr>
          <w:lang w:val="fr-FR"/>
        </w:rPr>
        <w:t>O</w:t>
      </w:r>
      <w:r w:rsidR="00441E10" w:rsidRPr="00112398">
        <w:rPr>
          <w:lang w:val="fr-FR"/>
        </w:rPr>
        <w:t>ffices émettant des notifications de ref</w:t>
      </w:r>
      <w:r w:rsidR="007F530A" w:rsidRPr="00112398">
        <w:rPr>
          <w:lang w:val="fr-FR"/>
        </w:rPr>
        <w:t xml:space="preserve">us.  </w:t>
      </w:r>
      <w:r w:rsidR="007F530A" w:rsidRPr="00C5130E">
        <w:rPr>
          <w:lang w:val="fr-FR"/>
        </w:rPr>
        <w:t>En</w:t>
      </w:r>
      <w:r w:rsidR="00E178A7" w:rsidRPr="00C5130E">
        <w:rPr>
          <w:lang w:val="fr-FR"/>
        </w:rPr>
        <w:t> 2017</w:t>
      </w:r>
      <w:r w:rsidR="006D4F5D" w:rsidRPr="00216598">
        <w:rPr>
          <w:lang w:val="fr-FR"/>
        </w:rPr>
        <w:t>, 1550</w:t>
      </w:r>
      <w:r w:rsidR="006D4F5D" w:rsidRPr="00216598">
        <w:rPr>
          <w:rStyle w:val="FootnoteReference"/>
          <w:lang w:val="fr-FR"/>
        </w:rPr>
        <w:footnoteReference w:id="7"/>
      </w:r>
      <w:r w:rsidR="004C6A78" w:rsidRPr="00216598">
        <w:rPr>
          <w:lang w:val="fr-FR"/>
        </w:rPr>
        <w:t>,</w:t>
      </w:r>
      <w:r w:rsidR="006D4F5D" w:rsidRPr="00216598">
        <w:rPr>
          <w:lang w:val="fr-FR"/>
        </w:rPr>
        <w:t xml:space="preserve"> 598</w:t>
      </w:r>
      <w:r w:rsidR="00AA78DA" w:rsidRPr="00216598">
        <w:rPr>
          <w:lang w:val="fr-FR"/>
        </w:rPr>
        <w:t xml:space="preserve"> </w:t>
      </w:r>
      <w:r w:rsidR="004C6A78" w:rsidRPr="00216598">
        <w:rPr>
          <w:lang w:val="fr-FR"/>
        </w:rPr>
        <w:t xml:space="preserve">et </w:t>
      </w:r>
      <w:r w:rsidR="006D4F5D" w:rsidRPr="00B72104">
        <w:rPr>
          <w:lang w:val="fr-FR"/>
        </w:rPr>
        <w:t>1285</w:t>
      </w:r>
      <w:r w:rsidR="00DA3060" w:rsidRPr="00112398">
        <w:rPr>
          <w:lang w:val="fr-FR"/>
        </w:rPr>
        <w:t> </w:t>
      </w:r>
      <w:r w:rsidR="00955BAC" w:rsidRPr="00112398">
        <w:rPr>
          <w:lang w:val="fr-FR"/>
        </w:rPr>
        <w:t xml:space="preserve">notifications de </w:t>
      </w:r>
      <w:r w:rsidR="006D4F5D" w:rsidRPr="00112398">
        <w:rPr>
          <w:lang w:val="fr-FR"/>
        </w:rPr>
        <w:t>refus</w:t>
      </w:r>
      <w:r w:rsidR="00955BAC" w:rsidRPr="00112398">
        <w:rPr>
          <w:lang w:val="fr-FR"/>
        </w:rPr>
        <w:t xml:space="preserve"> ont été </w:t>
      </w:r>
      <w:r w:rsidR="004C6F57" w:rsidRPr="00112398">
        <w:rPr>
          <w:lang w:val="fr-FR"/>
        </w:rPr>
        <w:t xml:space="preserve">respectivement </w:t>
      </w:r>
      <w:r w:rsidR="00955BAC" w:rsidRPr="00112398">
        <w:rPr>
          <w:lang w:val="fr-FR"/>
        </w:rPr>
        <w:t>reçues</w:t>
      </w:r>
      <w:r w:rsidR="00E178A7" w:rsidRPr="00112398">
        <w:rPr>
          <w:lang w:val="fr-FR"/>
        </w:rPr>
        <w:t xml:space="preserve"> du JPO</w:t>
      </w:r>
      <w:r w:rsidR="006D4F5D" w:rsidRPr="00112398">
        <w:rPr>
          <w:lang w:val="fr-FR"/>
        </w:rPr>
        <w:t>,</w:t>
      </w:r>
      <w:r w:rsidR="00E178A7" w:rsidRPr="00112398">
        <w:rPr>
          <w:lang w:val="fr-FR"/>
        </w:rPr>
        <w:t xml:space="preserve"> du KIP</w:t>
      </w:r>
      <w:r w:rsidR="006D4F5D" w:rsidRPr="00112398">
        <w:rPr>
          <w:lang w:val="fr-FR"/>
        </w:rPr>
        <w:t xml:space="preserve">O </w:t>
      </w:r>
      <w:r w:rsidR="00955BAC" w:rsidRPr="00112398">
        <w:rPr>
          <w:lang w:val="fr-FR"/>
        </w:rPr>
        <w:t>et de l</w:t>
      </w:r>
      <w:r w:rsidR="009A5C78" w:rsidRPr="00112398">
        <w:rPr>
          <w:lang w:val="fr-FR"/>
        </w:rPr>
        <w:t>’</w:t>
      </w:r>
      <w:r w:rsidR="006D4F5D" w:rsidRPr="00112398">
        <w:rPr>
          <w:lang w:val="fr-FR"/>
        </w:rPr>
        <w:t xml:space="preserve">USPTO, </w:t>
      </w:r>
      <w:r w:rsidR="00955BAC" w:rsidRPr="00112398">
        <w:rPr>
          <w:lang w:val="fr-FR"/>
        </w:rPr>
        <w:t xml:space="preserve">soit </w:t>
      </w:r>
      <w:r w:rsidR="006D4F5D" w:rsidRPr="00112398">
        <w:rPr>
          <w:lang w:val="fr-FR"/>
        </w:rPr>
        <w:t>96</w:t>
      </w:r>
      <w:r w:rsidR="00955BAC" w:rsidRPr="00112398">
        <w:rPr>
          <w:lang w:val="fr-FR"/>
        </w:rPr>
        <w:t>,</w:t>
      </w:r>
      <w:r w:rsidR="006D4F5D" w:rsidRPr="00112398">
        <w:rPr>
          <w:lang w:val="fr-FR"/>
        </w:rPr>
        <w:t>1</w:t>
      </w:r>
      <w:r w:rsidR="00955BAC" w:rsidRPr="00112398">
        <w:rPr>
          <w:lang w:val="fr-FR"/>
        </w:rPr>
        <w:t>% du nombre total de ref</w:t>
      </w:r>
      <w:r w:rsidR="007F530A" w:rsidRPr="00112398">
        <w:rPr>
          <w:lang w:val="fr-FR"/>
        </w:rPr>
        <w:t>us.  Le</w:t>
      </w:r>
      <w:r w:rsidR="00955BAC" w:rsidRPr="00112398">
        <w:rPr>
          <w:lang w:val="fr-FR"/>
        </w:rPr>
        <w:t xml:space="preserve"> Bureau international a examiné les n</w:t>
      </w:r>
      <w:r w:rsidR="002C7D24" w:rsidRPr="00112398">
        <w:rPr>
          <w:lang w:val="fr-FR"/>
        </w:rPr>
        <w:t xml:space="preserve">otifications </w:t>
      </w:r>
      <w:r w:rsidR="00955BAC" w:rsidRPr="00112398">
        <w:rPr>
          <w:lang w:val="fr-FR"/>
        </w:rPr>
        <w:t>de refus reçues de ces trois </w:t>
      </w:r>
      <w:r w:rsidR="00BB0AE1">
        <w:rPr>
          <w:lang w:val="fr-FR"/>
        </w:rPr>
        <w:t>O</w:t>
      </w:r>
      <w:r w:rsidR="00955BAC" w:rsidRPr="00112398">
        <w:rPr>
          <w:lang w:val="fr-FR"/>
        </w:rPr>
        <w:t>ffices jusqu</w:t>
      </w:r>
      <w:r w:rsidR="009A5C78" w:rsidRPr="00112398">
        <w:rPr>
          <w:lang w:val="fr-FR"/>
        </w:rPr>
        <w:t>’</w:t>
      </w:r>
      <w:r w:rsidR="00955BAC" w:rsidRPr="00112398">
        <w:rPr>
          <w:lang w:val="fr-FR"/>
        </w:rPr>
        <w:t>au 31 décembre </w:t>
      </w:r>
      <w:r w:rsidR="00140C99" w:rsidRPr="00112398">
        <w:rPr>
          <w:lang w:val="fr-FR"/>
        </w:rPr>
        <w:t>2017 (</w:t>
      </w:r>
      <w:r w:rsidR="00BB0AE1">
        <w:rPr>
          <w:lang w:val="fr-FR"/>
        </w:rPr>
        <w:t>se référer au</w:t>
      </w:r>
      <w:r w:rsidR="004C6F57" w:rsidRPr="00112398">
        <w:rPr>
          <w:lang w:val="fr-FR"/>
        </w:rPr>
        <w:t xml:space="preserve"> tableau </w:t>
      </w:r>
      <w:r w:rsidR="00B54389" w:rsidRPr="00112398">
        <w:rPr>
          <w:lang w:val="fr-FR"/>
        </w:rPr>
        <w:t>figurant dans</w:t>
      </w:r>
      <w:r w:rsidR="004C6F57" w:rsidRPr="00112398">
        <w:rPr>
          <w:lang w:val="fr-FR"/>
        </w:rPr>
        <w:t xml:space="preserve"> l</w:t>
      </w:r>
      <w:r w:rsidR="009A5C78" w:rsidRPr="00112398">
        <w:rPr>
          <w:lang w:val="fr-FR"/>
        </w:rPr>
        <w:t>’</w:t>
      </w:r>
      <w:r w:rsidR="004C6F57" w:rsidRPr="00112398">
        <w:rPr>
          <w:lang w:val="fr-FR"/>
        </w:rPr>
        <w:t>annexe</w:t>
      </w:r>
      <w:r w:rsidR="00E300FD">
        <w:rPr>
          <w:lang w:val="fr-FR"/>
        </w:rPr>
        <w:t xml:space="preserve"> du présent </w:t>
      </w:r>
      <w:r w:rsidR="002A5573">
        <w:rPr>
          <w:lang w:val="fr-FR"/>
        </w:rPr>
        <w:t>document)</w:t>
      </w:r>
      <w:r w:rsidR="00CD224D" w:rsidRPr="00112398">
        <w:rPr>
          <w:lang w:val="fr-FR"/>
        </w:rPr>
        <w:t>.</w:t>
      </w:r>
    </w:p>
    <w:p w:rsidR="005C5EA8" w:rsidRPr="00112398" w:rsidRDefault="004C6F57" w:rsidP="00CD3867">
      <w:pPr>
        <w:pStyle w:val="ONUMFS"/>
        <w:rPr>
          <w:lang w:val="fr-FR" w:eastAsia="en-US"/>
        </w:rPr>
      </w:pPr>
      <w:r w:rsidRPr="00112398">
        <w:rPr>
          <w:lang w:val="fr-FR"/>
        </w:rPr>
        <w:t>Selon ces statistiques non officielles</w:t>
      </w:r>
      <w:r w:rsidR="00CD224D" w:rsidRPr="00112398">
        <w:rPr>
          <w:lang w:val="fr-FR"/>
        </w:rPr>
        <w:t>,</w:t>
      </w:r>
      <w:r w:rsidR="005707A6" w:rsidRPr="00112398">
        <w:rPr>
          <w:lang w:val="fr-FR"/>
        </w:rPr>
        <w:t xml:space="preserve"> </w:t>
      </w:r>
      <w:r w:rsidR="00670A46" w:rsidRPr="00112398">
        <w:rPr>
          <w:lang w:val="fr-FR"/>
        </w:rPr>
        <w:t xml:space="preserve">493 </w:t>
      </w:r>
      <w:r w:rsidRPr="00112398">
        <w:rPr>
          <w:lang w:val="fr-FR"/>
        </w:rPr>
        <w:t xml:space="preserve">et </w:t>
      </w:r>
      <w:r w:rsidR="00670A46" w:rsidRPr="00112398">
        <w:rPr>
          <w:lang w:val="fr-FR"/>
        </w:rPr>
        <w:t>471</w:t>
      </w:r>
      <w:r w:rsidR="00DA3060" w:rsidRPr="00112398">
        <w:rPr>
          <w:lang w:val="fr-FR"/>
        </w:rPr>
        <w:t> </w:t>
      </w:r>
      <w:r w:rsidR="00670A46" w:rsidRPr="00112398">
        <w:rPr>
          <w:lang w:val="fr-FR"/>
        </w:rPr>
        <w:t>des</w:t>
      </w:r>
      <w:r w:rsidRPr="00112398">
        <w:rPr>
          <w:lang w:val="fr-FR"/>
        </w:rPr>
        <w:t xml:space="preserve">sins ou modèles ont été respectivement refusés </w:t>
      </w:r>
      <w:r w:rsidR="00B54389" w:rsidRPr="00112398">
        <w:rPr>
          <w:lang w:val="fr-FR"/>
        </w:rPr>
        <w:t>par</w:t>
      </w:r>
      <w:r w:rsidR="00E178A7" w:rsidRPr="00112398">
        <w:rPr>
          <w:lang w:val="fr-FR"/>
        </w:rPr>
        <w:t xml:space="preserve"> le JPO</w:t>
      </w:r>
      <w:r w:rsidR="00B54389" w:rsidRPr="00112398">
        <w:rPr>
          <w:lang w:val="fr-FR"/>
        </w:rPr>
        <w:t xml:space="preserve"> et</w:t>
      </w:r>
      <w:r w:rsidR="00E178A7" w:rsidRPr="00112398">
        <w:rPr>
          <w:lang w:val="fr-FR"/>
        </w:rPr>
        <w:t xml:space="preserve"> le KIP</w:t>
      </w:r>
      <w:r w:rsidR="00B54389" w:rsidRPr="00112398">
        <w:rPr>
          <w:lang w:val="fr-FR"/>
        </w:rPr>
        <w:t xml:space="preserve">O </w:t>
      </w:r>
      <w:r w:rsidRPr="00112398">
        <w:rPr>
          <w:lang w:val="fr-FR"/>
        </w:rPr>
        <w:t xml:space="preserve">pour </w:t>
      </w:r>
      <w:r w:rsidR="006B7F6E" w:rsidRPr="00112398">
        <w:rPr>
          <w:lang w:val="fr-FR"/>
        </w:rPr>
        <w:t>défaut</w:t>
      </w:r>
      <w:r w:rsidRPr="00112398">
        <w:rPr>
          <w:lang w:val="fr-FR"/>
        </w:rPr>
        <w:t xml:space="preserve"> de nouveau</w:t>
      </w:r>
      <w:r w:rsidR="007F530A" w:rsidRPr="00112398">
        <w:rPr>
          <w:lang w:val="fr-FR"/>
        </w:rPr>
        <w:t>té.  Ce</w:t>
      </w:r>
      <w:r w:rsidRPr="00112398">
        <w:rPr>
          <w:lang w:val="fr-FR"/>
        </w:rPr>
        <w:t xml:space="preserve">s chiffres représentent respectivement environ </w:t>
      </w:r>
      <w:r w:rsidR="00CC081B" w:rsidRPr="00112398">
        <w:rPr>
          <w:lang w:val="fr-FR"/>
        </w:rPr>
        <w:t xml:space="preserve">20% et 14% du nombre total de </w:t>
      </w:r>
      <w:r w:rsidR="00B54389" w:rsidRPr="00112398">
        <w:rPr>
          <w:lang w:val="fr-FR"/>
        </w:rPr>
        <w:t xml:space="preserve">motifs de </w:t>
      </w:r>
      <w:r w:rsidR="00CC081B" w:rsidRPr="00112398">
        <w:rPr>
          <w:lang w:val="fr-FR"/>
        </w:rPr>
        <w:t xml:space="preserve">refus </w:t>
      </w:r>
      <w:r w:rsidR="00867C60">
        <w:rPr>
          <w:lang w:val="fr-FR"/>
        </w:rPr>
        <w:t>invoqués</w:t>
      </w:r>
      <w:r w:rsidR="00360F92" w:rsidRPr="00112398">
        <w:rPr>
          <w:lang w:val="fr-FR"/>
        </w:rPr>
        <w:t xml:space="preserve"> </w:t>
      </w:r>
      <w:r w:rsidR="00CC081B" w:rsidRPr="00112398">
        <w:rPr>
          <w:lang w:val="fr-FR"/>
        </w:rPr>
        <w:t xml:space="preserve">par </w:t>
      </w:r>
      <w:r w:rsidR="00216598">
        <w:rPr>
          <w:lang w:val="fr-FR"/>
        </w:rPr>
        <w:t>c</w:t>
      </w:r>
      <w:r w:rsidR="00CC081B" w:rsidRPr="00112398">
        <w:rPr>
          <w:lang w:val="fr-FR"/>
        </w:rPr>
        <w:t>es deux </w:t>
      </w:r>
      <w:r w:rsidR="00BB0AE1">
        <w:rPr>
          <w:lang w:val="fr-FR"/>
        </w:rPr>
        <w:t>O</w:t>
      </w:r>
      <w:r w:rsidR="00CC081B" w:rsidRPr="00112398">
        <w:rPr>
          <w:lang w:val="fr-FR"/>
        </w:rPr>
        <w:t>ffic</w:t>
      </w:r>
      <w:r w:rsidR="007F530A" w:rsidRPr="00112398">
        <w:rPr>
          <w:lang w:val="fr-FR"/>
        </w:rPr>
        <w:t>es.  To</w:t>
      </w:r>
      <w:r w:rsidR="00CC081B" w:rsidRPr="00112398">
        <w:rPr>
          <w:lang w:val="fr-FR"/>
        </w:rPr>
        <w:t xml:space="preserve">utefois, </w:t>
      </w:r>
      <w:r w:rsidR="00867C60">
        <w:rPr>
          <w:lang w:val="fr-FR"/>
        </w:rPr>
        <w:t xml:space="preserve">dans </w:t>
      </w:r>
      <w:r w:rsidR="00CC081B" w:rsidRPr="00112398">
        <w:rPr>
          <w:lang w:val="fr-FR"/>
        </w:rPr>
        <w:t>un grand nombre de notifications de refus,</w:t>
      </w:r>
      <w:r w:rsidR="00216598">
        <w:rPr>
          <w:lang w:val="fr-FR"/>
        </w:rPr>
        <w:t xml:space="preserve"> </w:t>
      </w:r>
      <w:r w:rsidR="00CC081B" w:rsidRPr="00112398">
        <w:rPr>
          <w:lang w:val="fr-FR"/>
        </w:rPr>
        <w:t>le même dessin ou modèle</w:t>
      </w:r>
      <w:r w:rsidR="00216598">
        <w:rPr>
          <w:lang w:val="fr-FR"/>
        </w:rPr>
        <w:t xml:space="preserve"> déposé</w:t>
      </w:r>
      <w:r w:rsidR="00CC081B" w:rsidRPr="00112398">
        <w:rPr>
          <w:lang w:val="fr-FR"/>
        </w:rPr>
        <w:t xml:space="preserve"> auprès d</w:t>
      </w:r>
      <w:r w:rsidR="009A5C78" w:rsidRPr="00112398">
        <w:rPr>
          <w:lang w:val="fr-FR"/>
        </w:rPr>
        <w:t>’</w:t>
      </w:r>
      <w:r w:rsidR="00CC081B" w:rsidRPr="00112398">
        <w:rPr>
          <w:lang w:val="fr-FR"/>
        </w:rPr>
        <w:t xml:space="preserve">un autre </w:t>
      </w:r>
      <w:r w:rsidR="00BB0AE1">
        <w:rPr>
          <w:lang w:val="fr-FR"/>
        </w:rPr>
        <w:t>O</w:t>
      </w:r>
      <w:r w:rsidR="00CC081B" w:rsidRPr="00112398">
        <w:rPr>
          <w:lang w:val="fr-FR"/>
        </w:rPr>
        <w:t xml:space="preserve">ffice </w:t>
      </w:r>
      <w:r w:rsidR="008B6B36" w:rsidRPr="00112398">
        <w:rPr>
          <w:lang w:val="fr-FR"/>
        </w:rPr>
        <w:t>(</w:t>
      </w:r>
      <w:r w:rsidR="00CC081B" w:rsidRPr="00112398">
        <w:rPr>
          <w:lang w:val="fr-FR"/>
        </w:rPr>
        <w:t>généralement le premier dépôt</w:t>
      </w:r>
      <w:r w:rsidR="008B6B36" w:rsidRPr="00112398">
        <w:rPr>
          <w:lang w:val="fr-FR"/>
        </w:rPr>
        <w:t>)</w:t>
      </w:r>
      <w:r w:rsidR="005C5EA8" w:rsidRPr="00112398">
        <w:rPr>
          <w:lang w:val="fr-FR"/>
        </w:rPr>
        <w:t xml:space="preserve"> </w:t>
      </w:r>
      <w:r w:rsidR="00CC081B" w:rsidRPr="00112398">
        <w:rPr>
          <w:lang w:val="fr-FR"/>
        </w:rPr>
        <w:t xml:space="preserve">par le même déposant </w:t>
      </w:r>
      <w:r w:rsidR="005C5EA8" w:rsidRPr="00112398">
        <w:rPr>
          <w:lang w:val="fr-FR"/>
        </w:rPr>
        <w:t>(</w:t>
      </w:r>
      <w:r w:rsidR="00CC081B" w:rsidRPr="00112398">
        <w:rPr>
          <w:lang w:val="fr-FR"/>
        </w:rPr>
        <w:t>le titulaire de l</w:t>
      </w:r>
      <w:r w:rsidR="009A5C78" w:rsidRPr="00112398">
        <w:rPr>
          <w:lang w:val="fr-FR"/>
        </w:rPr>
        <w:t>’</w:t>
      </w:r>
      <w:r w:rsidR="00CC081B" w:rsidRPr="00112398">
        <w:rPr>
          <w:lang w:val="fr-FR"/>
        </w:rPr>
        <w:t xml:space="preserve">enregistrement </w:t>
      </w:r>
      <w:r w:rsidR="005C5EA8" w:rsidRPr="00112398">
        <w:rPr>
          <w:lang w:val="fr-FR"/>
        </w:rPr>
        <w:t>international)</w:t>
      </w:r>
      <w:r w:rsidR="00867C60">
        <w:rPr>
          <w:lang w:val="fr-FR"/>
        </w:rPr>
        <w:t xml:space="preserve"> était </w:t>
      </w:r>
      <w:r w:rsidR="00C03EDB">
        <w:rPr>
          <w:lang w:val="fr-FR"/>
        </w:rPr>
        <w:t>cité</w:t>
      </w:r>
      <w:r w:rsidR="00867C60">
        <w:rPr>
          <w:lang w:val="fr-FR"/>
        </w:rPr>
        <w:t xml:space="preserve"> comme motif du refus</w:t>
      </w:r>
      <w:r w:rsidR="00216598">
        <w:rPr>
          <w:lang w:val="fr-FR"/>
        </w:rPr>
        <w:t xml:space="preserve">. </w:t>
      </w:r>
      <w:r w:rsidR="00C03EDB">
        <w:rPr>
          <w:lang w:val="fr-FR"/>
        </w:rPr>
        <w:t xml:space="preserve"> </w:t>
      </w:r>
      <w:r w:rsidR="007F530A" w:rsidRPr="00112398">
        <w:rPr>
          <w:lang w:val="fr-FR"/>
        </w:rPr>
        <w:t>C’e</w:t>
      </w:r>
      <w:r w:rsidR="00C04200" w:rsidRPr="00112398">
        <w:rPr>
          <w:lang w:val="fr-FR"/>
        </w:rPr>
        <w:t>st</w:t>
      </w:r>
      <w:r w:rsidR="00880B0B">
        <w:rPr>
          <w:lang w:val="fr-FR"/>
        </w:rPr>
        <w:t xml:space="preserve"> </w:t>
      </w:r>
      <w:r w:rsidR="00C04200" w:rsidRPr="00112398">
        <w:rPr>
          <w:lang w:val="fr-FR"/>
        </w:rPr>
        <w:t xml:space="preserve">notamment le cas lorsque le premier dépôt est publié </w:t>
      </w:r>
      <w:r w:rsidR="00B44230">
        <w:rPr>
          <w:lang w:val="fr-FR"/>
        </w:rPr>
        <w:t>antérieurement à</w:t>
      </w:r>
      <w:r w:rsidR="00B44230" w:rsidRPr="00112398">
        <w:rPr>
          <w:lang w:val="fr-FR"/>
        </w:rPr>
        <w:t xml:space="preserve"> </w:t>
      </w:r>
      <w:r w:rsidR="00C04200" w:rsidRPr="00112398">
        <w:rPr>
          <w:lang w:val="fr-FR"/>
        </w:rPr>
        <w:t>la date de l</w:t>
      </w:r>
      <w:r w:rsidR="009A5C78" w:rsidRPr="00112398">
        <w:rPr>
          <w:lang w:val="fr-FR"/>
        </w:rPr>
        <w:t>’</w:t>
      </w:r>
      <w:r w:rsidR="00C04200" w:rsidRPr="00112398">
        <w:rPr>
          <w:lang w:val="fr-FR"/>
        </w:rPr>
        <w:t xml:space="preserve">enregistrement </w:t>
      </w:r>
      <w:r w:rsidR="005C5EA8" w:rsidRPr="00112398">
        <w:rPr>
          <w:lang w:val="fr-FR"/>
        </w:rPr>
        <w:t>international</w:t>
      </w:r>
      <w:r w:rsidR="00C04200" w:rsidRPr="00112398">
        <w:rPr>
          <w:lang w:val="fr-FR"/>
        </w:rPr>
        <w:t>, mais le droit de priorité est perdu parce que le déposant n</w:t>
      </w:r>
      <w:r w:rsidR="009A5C78" w:rsidRPr="00112398">
        <w:rPr>
          <w:lang w:val="fr-FR"/>
        </w:rPr>
        <w:t>’</w:t>
      </w:r>
      <w:r w:rsidR="00C04200" w:rsidRPr="00112398">
        <w:rPr>
          <w:lang w:val="fr-FR"/>
        </w:rPr>
        <w:t xml:space="preserve">a pas </w:t>
      </w:r>
      <w:r w:rsidR="00CA5BE1">
        <w:rPr>
          <w:lang w:val="fr-FR"/>
        </w:rPr>
        <w:t xml:space="preserve">présenté </w:t>
      </w:r>
      <w:r w:rsidR="00C04200" w:rsidRPr="00112398">
        <w:rPr>
          <w:lang w:val="fr-FR"/>
        </w:rPr>
        <w:t xml:space="preserve">un document de priorité à ces </w:t>
      </w:r>
      <w:r w:rsidR="00BB0AE1">
        <w:rPr>
          <w:lang w:val="fr-FR"/>
        </w:rPr>
        <w:t>O</w:t>
      </w:r>
      <w:r w:rsidR="00C04200" w:rsidRPr="00112398">
        <w:rPr>
          <w:lang w:val="fr-FR"/>
        </w:rPr>
        <w:t>ffices dans le délai prescrit</w:t>
      </w:r>
      <w:r w:rsidR="00670A46" w:rsidRPr="00112398">
        <w:rPr>
          <w:lang w:val="fr-FR"/>
        </w:rPr>
        <w:t>.</w:t>
      </w:r>
    </w:p>
    <w:p w:rsidR="00383A7D" w:rsidRPr="00112398" w:rsidRDefault="00C04200" w:rsidP="00CD3867">
      <w:pPr>
        <w:pStyle w:val="ONUMFS"/>
        <w:rPr>
          <w:lang w:val="fr-FR" w:eastAsia="en-US"/>
        </w:rPr>
      </w:pPr>
      <w:r w:rsidRPr="00112398">
        <w:rPr>
          <w:lang w:val="fr-FR"/>
        </w:rPr>
        <w:t>De même,</w:t>
      </w:r>
      <w:r w:rsidR="00E178A7" w:rsidRPr="00112398">
        <w:rPr>
          <w:lang w:val="fr-FR"/>
        </w:rPr>
        <w:t xml:space="preserve"> le JPO</w:t>
      </w:r>
      <w:r w:rsidR="005F1B1E" w:rsidRPr="00112398">
        <w:rPr>
          <w:lang w:val="fr-FR"/>
        </w:rPr>
        <w:t xml:space="preserve"> </w:t>
      </w:r>
      <w:r w:rsidRPr="00112398">
        <w:rPr>
          <w:lang w:val="fr-FR"/>
        </w:rPr>
        <w:t>et</w:t>
      </w:r>
      <w:r w:rsidR="00E178A7" w:rsidRPr="00112398">
        <w:rPr>
          <w:lang w:val="fr-FR"/>
        </w:rPr>
        <w:t xml:space="preserve"> le KIP</w:t>
      </w:r>
      <w:r w:rsidR="005F1B1E" w:rsidRPr="00112398">
        <w:rPr>
          <w:lang w:val="fr-FR"/>
        </w:rPr>
        <w:t xml:space="preserve">O </w:t>
      </w:r>
      <w:r w:rsidRPr="00112398">
        <w:rPr>
          <w:lang w:val="fr-FR"/>
        </w:rPr>
        <w:t xml:space="preserve">ont </w:t>
      </w:r>
      <w:r w:rsidR="005F1B1E" w:rsidRPr="00112398">
        <w:rPr>
          <w:lang w:val="fr-FR"/>
        </w:rPr>
        <w:t>respective</w:t>
      </w:r>
      <w:r w:rsidRPr="00112398">
        <w:rPr>
          <w:lang w:val="fr-FR"/>
        </w:rPr>
        <w:t xml:space="preserve">ment refusé </w:t>
      </w:r>
      <w:r w:rsidR="00670A46" w:rsidRPr="00112398">
        <w:rPr>
          <w:lang w:val="fr-FR"/>
        </w:rPr>
        <w:t xml:space="preserve">534 </w:t>
      </w:r>
      <w:r w:rsidRPr="00112398">
        <w:rPr>
          <w:lang w:val="fr-FR"/>
        </w:rPr>
        <w:t xml:space="preserve">et </w:t>
      </w:r>
      <w:r w:rsidR="00670A46" w:rsidRPr="00112398">
        <w:rPr>
          <w:lang w:val="fr-FR"/>
        </w:rPr>
        <w:t>811</w:t>
      </w:r>
      <w:r w:rsidRPr="00112398">
        <w:rPr>
          <w:lang w:val="fr-FR"/>
        </w:rPr>
        <w:t xml:space="preserve"> dessins ou modèles </w:t>
      </w:r>
      <w:r w:rsidR="00331E22" w:rsidRPr="00112398">
        <w:rPr>
          <w:lang w:val="fr-FR"/>
        </w:rPr>
        <w:t>au motif d</w:t>
      </w:r>
      <w:r w:rsidR="009A5C78" w:rsidRPr="00112398">
        <w:rPr>
          <w:lang w:val="fr-FR"/>
        </w:rPr>
        <w:t>’</w:t>
      </w:r>
      <w:r w:rsidRPr="00112398">
        <w:rPr>
          <w:lang w:val="fr-FR"/>
        </w:rPr>
        <w:t>une demande (</w:t>
      </w:r>
      <w:r w:rsidR="009A5C78" w:rsidRPr="00112398">
        <w:rPr>
          <w:lang w:val="fr-FR"/>
        </w:rPr>
        <w:t>y compris</w:t>
      </w:r>
      <w:r w:rsidRPr="00112398">
        <w:rPr>
          <w:lang w:val="fr-FR"/>
        </w:rPr>
        <w:t xml:space="preserve"> avec la même date de dépôt) ou </w:t>
      </w:r>
      <w:r w:rsidR="00331E22" w:rsidRPr="00112398">
        <w:rPr>
          <w:lang w:val="fr-FR"/>
        </w:rPr>
        <w:t>d</w:t>
      </w:r>
      <w:r w:rsidR="009A5C78" w:rsidRPr="00112398">
        <w:rPr>
          <w:lang w:val="fr-FR"/>
        </w:rPr>
        <w:t>’</w:t>
      </w:r>
      <w:r w:rsidRPr="00112398">
        <w:rPr>
          <w:lang w:val="fr-FR"/>
        </w:rPr>
        <w:t>un enregistrement antérie</w:t>
      </w:r>
      <w:r w:rsidR="007F530A" w:rsidRPr="00112398">
        <w:rPr>
          <w:lang w:val="fr-FR"/>
        </w:rPr>
        <w:t>ur.  Ce</w:t>
      </w:r>
      <w:r w:rsidRPr="00112398">
        <w:rPr>
          <w:lang w:val="fr-FR"/>
        </w:rPr>
        <w:t xml:space="preserve">s chiffres représentent environ </w:t>
      </w:r>
      <w:r w:rsidR="00DA22CF" w:rsidRPr="00112398">
        <w:rPr>
          <w:lang w:val="fr-FR"/>
        </w:rPr>
        <w:t>21</w:t>
      </w:r>
      <w:r w:rsidRPr="00112398">
        <w:rPr>
          <w:lang w:val="fr-FR"/>
        </w:rPr>
        <w:t>,</w:t>
      </w:r>
      <w:r w:rsidR="00DA22CF" w:rsidRPr="00112398">
        <w:rPr>
          <w:lang w:val="fr-FR"/>
        </w:rPr>
        <w:t>5</w:t>
      </w:r>
      <w:r w:rsidRPr="00112398">
        <w:rPr>
          <w:lang w:val="fr-FR"/>
        </w:rPr>
        <w:t xml:space="preserve">% et </w:t>
      </w:r>
      <w:r w:rsidR="00CC3215" w:rsidRPr="00112398">
        <w:rPr>
          <w:lang w:val="fr-FR"/>
        </w:rPr>
        <w:t>24</w:t>
      </w:r>
      <w:r w:rsidRPr="00112398">
        <w:rPr>
          <w:lang w:val="fr-FR"/>
        </w:rPr>
        <w:t xml:space="preserve">% </w:t>
      </w:r>
      <w:r w:rsidR="00B54389" w:rsidRPr="00112398">
        <w:rPr>
          <w:lang w:val="fr-FR"/>
        </w:rPr>
        <w:t>des motifs</w:t>
      </w:r>
      <w:r w:rsidRPr="00112398">
        <w:rPr>
          <w:lang w:val="fr-FR"/>
        </w:rPr>
        <w:t xml:space="preserve"> de refus </w:t>
      </w:r>
      <w:r w:rsidR="00CA5BE1">
        <w:rPr>
          <w:lang w:val="fr-FR"/>
        </w:rPr>
        <w:t>invoqués</w:t>
      </w:r>
      <w:r w:rsidR="00415508" w:rsidRPr="00112398">
        <w:rPr>
          <w:lang w:val="fr-FR"/>
        </w:rPr>
        <w:t xml:space="preserve"> </w:t>
      </w:r>
      <w:r w:rsidR="005C5218" w:rsidRPr="00112398">
        <w:rPr>
          <w:lang w:val="fr-FR"/>
        </w:rPr>
        <w:t xml:space="preserve">par ces </w:t>
      </w:r>
      <w:r w:rsidR="00BB0AE1">
        <w:rPr>
          <w:lang w:val="fr-FR"/>
        </w:rPr>
        <w:t>O</w:t>
      </w:r>
      <w:r w:rsidR="005C5218" w:rsidRPr="00112398">
        <w:rPr>
          <w:lang w:val="fr-FR"/>
        </w:rPr>
        <w:t>ffic</w:t>
      </w:r>
      <w:r w:rsidR="007F530A" w:rsidRPr="00112398">
        <w:rPr>
          <w:lang w:val="fr-FR"/>
        </w:rPr>
        <w:t>es.  Là</w:t>
      </w:r>
      <w:r w:rsidR="005C5218" w:rsidRPr="00112398">
        <w:rPr>
          <w:lang w:val="fr-FR"/>
        </w:rPr>
        <w:t xml:space="preserve"> encore, pour la </w:t>
      </w:r>
      <w:r w:rsidR="00CA5BE1">
        <w:rPr>
          <w:lang w:val="fr-FR"/>
        </w:rPr>
        <w:t>majorité</w:t>
      </w:r>
      <w:r w:rsidR="00CA5BE1" w:rsidRPr="00112398">
        <w:rPr>
          <w:lang w:val="fr-FR"/>
        </w:rPr>
        <w:t xml:space="preserve"> </w:t>
      </w:r>
      <w:r w:rsidR="005C5218" w:rsidRPr="00112398">
        <w:rPr>
          <w:lang w:val="fr-FR"/>
        </w:rPr>
        <w:t>de</w:t>
      </w:r>
      <w:r w:rsidR="00447548">
        <w:rPr>
          <w:lang w:val="fr-FR"/>
        </w:rPr>
        <w:t xml:space="preserve"> ces</w:t>
      </w:r>
      <w:r w:rsidR="005C5218" w:rsidRPr="00112398">
        <w:rPr>
          <w:lang w:val="fr-FR"/>
        </w:rPr>
        <w:t xml:space="preserve"> refus, un dessin ou modèle similaire figurant dans la même demande internationale ou dans une demande nationale ou internationale antérieure déposée par le même déposant</w:t>
      </w:r>
      <w:r w:rsidR="00524A91">
        <w:rPr>
          <w:lang w:val="fr-FR"/>
        </w:rPr>
        <w:t xml:space="preserve"> était </w:t>
      </w:r>
      <w:r w:rsidR="00E66886">
        <w:rPr>
          <w:lang w:val="fr-FR"/>
        </w:rPr>
        <w:t>cité</w:t>
      </w:r>
      <w:r w:rsidR="00524A91">
        <w:rPr>
          <w:lang w:val="fr-FR"/>
        </w:rPr>
        <w:t xml:space="preserve"> comme motif de refus. </w:t>
      </w:r>
      <w:r w:rsidR="00880B0B">
        <w:rPr>
          <w:lang w:val="fr-FR"/>
        </w:rPr>
        <w:t xml:space="preserve"> </w:t>
      </w:r>
      <w:r w:rsidR="007F530A" w:rsidRPr="00112398">
        <w:rPr>
          <w:lang w:val="fr-FR"/>
        </w:rPr>
        <w:t>C’e</w:t>
      </w:r>
      <w:r w:rsidR="005C5218" w:rsidRPr="00112398">
        <w:rPr>
          <w:lang w:val="fr-FR"/>
        </w:rPr>
        <w:t>st le cas lorsque le déposant omet d</w:t>
      </w:r>
      <w:r w:rsidR="009A5C78" w:rsidRPr="00112398">
        <w:rPr>
          <w:lang w:val="fr-FR"/>
        </w:rPr>
        <w:t>’</w:t>
      </w:r>
      <w:r w:rsidR="005C5218" w:rsidRPr="00112398">
        <w:rPr>
          <w:lang w:val="fr-FR"/>
        </w:rPr>
        <w:t xml:space="preserve">indiquer </w:t>
      </w:r>
      <w:r w:rsidR="00BF6A52" w:rsidRPr="00112398">
        <w:rPr>
          <w:lang w:val="fr-FR"/>
        </w:rPr>
        <w:t xml:space="preserve">de manière appropriée </w:t>
      </w:r>
      <w:r w:rsidR="005C5218" w:rsidRPr="00112398">
        <w:rPr>
          <w:lang w:val="fr-FR"/>
        </w:rPr>
        <w:t xml:space="preserve">un </w:t>
      </w:r>
      <w:r w:rsidR="002A25D0" w:rsidRPr="00112398">
        <w:rPr>
          <w:lang w:val="fr-FR"/>
        </w:rPr>
        <w:t>“</w:t>
      </w:r>
      <w:r w:rsidR="00BF6A52" w:rsidRPr="00112398">
        <w:rPr>
          <w:lang w:val="fr-FR"/>
        </w:rPr>
        <w:t xml:space="preserve">dessin ou modèle </w:t>
      </w:r>
      <w:r w:rsidR="002A25D0" w:rsidRPr="00112398">
        <w:rPr>
          <w:lang w:val="fr-FR"/>
        </w:rPr>
        <w:t xml:space="preserve">principal” </w:t>
      </w:r>
      <w:r w:rsidR="00BF6A52" w:rsidRPr="00112398">
        <w:rPr>
          <w:lang w:val="fr-FR"/>
        </w:rPr>
        <w:t>et un ou plusieurs</w:t>
      </w:r>
      <w:r w:rsidR="002A25D0" w:rsidRPr="00112398">
        <w:rPr>
          <w:lang w:val="fr-FR"/>
        </w:rPr>
        <w:t xml:space="preserve"> “</w:t>
      </w:r>
      <w:r w:rsidR="00BF6A52" w:rsidRPr="00112398">
        <w:rPr>
          <w:lang w:val="fr-FR"/>
        </w:rPr>
        <w:t>dessin(s) ou modèle(s) connexe(s)</w:t>
      </w:r>
      <w:r w:rsidR="002A25D0" w:rsidRPr="00112398">
        <w:rPr>
          <w:lang w:val="fr-FR"/>
        </w:rPr>
        <w:t xml:space="preserve">” </w:t>
      </w:r>
      <w:r w:rsidR="00BF6A52" w:rsidRPr="00112398">
        <w:rPr>
          <w:lang w:val="fr-FR"/>
        </w:rPr>
        <w:t>ou si l</w:t>
      </w:r>
      <w:r w:rsidR="009A5C78" w:rsidRPr="00112398">
        <w:rPr>
          <w:lang w:val="fr-FR"/>
        </w:rPr>
        <w:t>’</w:t>
      </w:r>
      <w:r w:rsidR="00BF6A52" w:rsidRPr="00112398">
        <w:rPr>
          <w:lang w:val="fr-FR"/>
        </w:rPr>
        <w:t xml:space="preserve">examinateur </w:t>
      </w:r>
      <w:r w:rsidR="00447548">
        <w:rPr>
          <w:lang w:val="fr-FR"/>
        </w:rPr>
        <w:t>a</w:t>
      </w:r>
      <w:r w:rsidR="00447548" w:rsidRPr="00112398">
        <w:rPr>
          <w:lang w:val="fr-FR"/>
        </w:rPr>
        <w:t xml:space="preserve"> </w:t>
      </w:r>
      <w:r w:rsidR="00BF6A52" w:rsidRPr="00112398">
        <w:rPr>
          <w:lang w:val="fr-FR"/>
        </w:rPr>
        <w:t xml:space="preserve">une opinion différente sur </w:t>
      </w:r>
      <w:r w:rsidR="00524A91">
        <w:rPr>
          <w:lang w:val="fr-FR"/>
        </w:rPr>
        <w:t>les</w:t>
      </w:r>
      <w:r w:rsidR="00BF6A52" w:rsidRPr="00112398">
        <w:rPr>
          <w:lang w:val="fr-FR"/>
        </w:rPr>
        <w:t xml:space="preserve"> indications</w:t>
      </w:r>
      <w:r w:rsidR="00524A91">
        <w:rPr>
          <w:lang w:val="fr-FR"/>
        </w:rPr>
        <w:t xml:space="preserve"> fournies</w:t>
      </w:r>
      <w:r w:rsidR="002A25D0" w:rsidRPr="00112398">
        <w:rPr>
          <w:lang w:val="fr-FR"/>
        </w:rPr>
        <w:t>.</w:t>
      </w:r>
    </w:p>
    <w:p w:rsidR="00937A91" w:rsidRDefault="00937A91">
      <w:pPr>
        <w:rPr>
          <w:lang w:val="fr-FR"/>
        </w:rPr>
      </w:pPr>
      <w:r>
        <w:rPr>
          <w:lang w:val="fr-FR"/>
        </w:rPr>
        <w:br w:type="page"/>
      </w:r>
    </w:p>
    <w:p w:rsidR="00CF5A48" w:rsidRPr="00112398" w:rsidRDefault="00266C80" w:rsidP="00CD3867">
      <w:pPr>
        <w:pStyle w:val="ONUMFS"/>
        <w:rPr>
          <w:i/>
          <w:lang w:val="fr-FR" w:eastAsia="en-US"/>
        </w:rPr>
      </w:pPr>
      <w:r w:rsidRPr="00112398">
        <w:rPr>
          <w:lang w:val="fr-FR"/>
        </w:rPr>
        <w:lastRenderedPageBreak/>
        <w:t xml:space="preserve">Les deux cas susmentionnés </w:t>
      </w:r>
      <w:r w:rsidR="00B54389" w:rsidRPr="00112398">
        <w:rPr>
          <w:lang w:val="fr-FR"/>
        </w:rPr>
        <w:t>sont</w:t>
      </w:r>
      <w:r w:rsidR="006B7F6E" w:rsidRPr="00112398">
        <w:rPr>
          <w:lang w:val="fr-FR"/>
        </w:rPr>
        <w:t xml:space="preserve"> </w:t>
      </w:r>
      <w:r w:rsidR="00C6721A">
        <w:rPr>
          <w:lang w:val="fr-FR"/>
        </w:rPr>
        <w:t xml:space="preserve">spécifiques </w:t>
      </w:r>
      <w:r w:rsidR="00065FF9">
        <w:rPr>
          <w:lang w:val="fr-FR"/>
        </w:rPr>
        <w:t>aux</w:t>
      </w:r>
      <w:r w:rsidRPr="00112398">
        <w:rPr>
          <w:lang w:val="fr-FR"/>
        </w:rPr>
        <w:t xml:space="preserve"> </w:t>
      </w:r>
      <w:r w:rsidR="00835F02" w:rsidRPr="00112398">
        <w:rPr>
          <w:lang w:val="fr-FR"/>
        </w:rPr>
        <w:t>l</w:t>
      </w:r>
      <w:r w:rsidRPr="00112398">
        <w:rPr>
          <w:lang w:val="fr-FR"/>
        </w:rPr>
        <w:t>é</w:t>
      </w:r>
      <w:r w:rsidR="00835F02" w:rsidRPr="00112398">
        <w:rPr>
          <w:lang w:val="fr-FR"/>
        </w:rPr>
        <w:t xml:space="preserve">gislations </w:t>
      </w:r>
      <w:r w:rsidRPr="00112398">
        <w:rPr>
          <w:lang w:val="fr-FR"/>
        </w:rPr>
        <w:t>du Japon et de la République de</w:t>
      </w:r>
      <w:r w:rsidR="00880B0B">
        <w:rPr>
          <w:lang w:val="fr-FR"/>
        </w:rPr>
        <w:t> </w:t>
      </w:r>
      <w:r w:rsidRPr="00112398">
        <w:rPr>
          <w:lang w:val="fr-FR"/>
        </w:rPr>
        <w:t>Corée</w:t>
      </w:r>
      <w:r w:rsidR="00835F02" w:rsidRPr="00112398">
        <w:rPr>
          <w:lang w:val="fr-FR"/>
        </w:rPr>
        <w:t xml:space="preserve">, </w:t>
      </w:r>
      <w:r w:rsidRPr="00112398">
        <w:rPr>
          <w:lang w:val="fr-FR"/>
        </w:rPr>
        <w:t xml:space="preserve">ce qui signifie que les motifs de refus précités ne semblent pas avoir de lien direct avec la possibilité </w:t>
      </w:r>
      <w:r w:rsidR="000A4AEA" w:rsidRPr="00112398">
        <w:rPr>
          <w:lang w:val="fr-FR"/>
        </w:rPr>
        <w:t>d</w:t>
      </w:r>
      <w:r w:rsidR="009A5C78" w:rsidRPr="00112398">
        <w:rPr>
          <w:lang w:val="fr-FR"/>
        </w:rPr>
        <w:t>’</w:t>
      </w:r>
      <w:r w:rsidR="000A4AEA" w:rsidRPr="00112398">
        <w:rPr>
          <w:lang w:val="fr-FR"/>
        </w:rPr>
        <w:t xml:space="preserve">enregistrer un dessin ou modèle ou </w:t>
      </w:r>
      <w:r w:rsidR="005935A8" w:rsidRPr="00112398">
        <w:rPr>
          <w:lang w:val="fr-FR"/>
        </w:rPr>
        <w:t>de délivrer</w:t>
      </w:r>
      <w:r w:rsidR="000A4AEA" w:rsidRPr="00112398">
        <w:rPr>
          <w:lang w:val="fr-FR"/>
        </w:rPr>
        <w:t xml:space="preserve"> un brevet sur un dessin ou modèle dans d</w:t>
      </w:r>
      <w:r w:rsidR="009A5C78" w:rsidRPr="00112398">
        <w:rPr>
          <w:lang w:val="fr-FR"/>
        </w:rPr>
        <w:t>’</w:t>
      </w:r>
      <w:r w:rsidR="000A4AEA" w:rsidRPr="00112398">
        <w:rPr>
          <w:lang w:val="fr-FR"/>
        </w:rPr>
        <w:t>autres pa</w:t>
      </w:r>
      <w:r w:rsidR="007F530A" w:rsidRPr="00112398">
        <w:rPr>
          <w:lang w:val="fr-FR"/>
        </w:rPr>
        <w:t>ys.  En</w:t>
      </w:r>
      <w:r w:rsidR="000A4AEA" w:rsidRPr="00112398">
        <w:rPr>
          <w:lang w:val="fr-FR"/>
        </w:rPr>
        <w:t xml:space="preserve"> d</w:t>
      </w:r>
      <w:r w:rsidR="009A5C78" w:rsidRPr="00112398">
        <w:rPr>
          <w:lang w:val="fr-FR"/>
        </w:rPr>
        <w:t>’</w:t>
      </w:r>
      <w:r w:rsidR="000A4AEA" w:rsidRPr="00112398">
        <w:rPr>
          <w:lang w:val="fr-FR"/>
        </w:rPr>
        <w:t>autres termes</w:t>
      </w:r>
      <w:r w:rsidR="0034706C" w:rsidRPr="00112398">
        <w:rPr>
          <w:lang w:val="fr-FR"/>
        </w:rPr>
        <w:t xml:space="preserve">, </w:t>
      </w:r>
      <w:r w:rsidR="000A4AEA" w:rsidRPr="00112398">
        <w:rPr>
          <w:lang w:val="fr-FR"/>
        </w:rPr>
        <w:t>le dessin ou modèle n</w:t>
      </w:r>
      <w:r w:rsidR="009A5C78" w:rsidRPr="00112398">
        <w:rPr>
          <w:lang w:val="fr-FR"/>
        </w:rPr>
        <w:t>’</w:t>
      </w:r>
      <w:r w:rsidR="000A4AEA" w:rsidRPr="00112398">
        <w:rPr>
          <w:lang w:val="fr-FR"/>
        </w:rPr>
        <w:t xml:space="preserve">est pas réputé </w:t>
      </w:r>
      <w:r w:rsidR="006B7F6E" w:rsidRPr="00112398">
        <w:rPr>
          <w:lang w:val="fr-FR"/>
        </w:rPr>
        <w:t>présenter intrinsèquement un défaut de nouveauté et techniquement</w:t>
      </w:r>
      <w:r w:rsidR="00B27ACA" w:rsidRPr="00112398">
        <w:rPr>
          <w:lang w:val="fr-FR"/>
        </w:rPr>
        <w:t>, ce refus peut être surmonté ou évi</w:t>
      </w:r>
      <w:r w:rsidR="007F530A" w:rsidRPr="00112398">
        <w:rPr>
          <w:lang w:val="fr-FR"/>
        </w:rPr>
        <w:t xml:space="preserve">té.  </w:t>
      </w:r>
      <w:r w:rsidR="00A37843">
        <w:rPr>
          <w:lang w:val="fr-FR"/>
        </w:rPr>
        <w:t xml:space="preserve">Cette situation est similaire à celle dans laquelle un </w:t>
      </w:r>
      <w:r w:rsidR="00B27ACA" w:rsidRPr="00112398">
        <w:rPr>
          <w:lang w:val="fr-FR"/>
        </w:rPr>
        <w:t>dessin ou modèle donné fait l</w:t>
      </w:r>
      <w:r w:rsidR="009A5C78" w:rsidRPr="00112398">
        <w:rPr>
          <w:lang w:val="fr-FR"/>
        </w:rPr>
        <w:t>’</w:t>
      </w:r>
      <w:r w:rsidR="00B27ACA" w:rsidRPr="00112398">
        <w:rPr>
          <w:lang w:val="fr-FR"/>
        </w:rPr>
        <w:t>objet d</w:t>
      </w:r>
      <w:r w:rsidR="009A5C78" w:rsidRPr="00112398">
        <w:rPr>
          <w:lang w:val="fr-FR"/>
        </w:rPr>
        <w:t>’</w:t>
      </w:r>
      <w:r w:rsidR="00B27ACA" w:rsidRPr="00112398">
        <w:rPr>
          <w:lang w:val="fr-FR"/>
        </w:rPr>
        <w:t xml:space="preserve">un refus pour divulgation insuffisante, indication ambiguë du produit ou </w:t>
      </w:r>
      <w:r w:rsidR="00C03EDB">
        <w:rPr>
          <w:lang w:val="fr-FR"/>
        </w:rPr>
        <w:t xml:space="preserve">au motif qu’il ne répond pas à la </w:t>
      </w:r>
      <w:r w:rsidR="00B27ACA" w:rsidRPr="00112398">
        <w:rPr>
          <w:lang w:val="fr-FR"/>
        </w:rPr>
        <w:t xml:space="preserve">définition </w:t>
      </w:r>
      <w:r w:rsidR="00A25C2E">
        <w:rPr>
          <w:lang w:val="fr-FR"/>
        </w:rPr>
        <w:t>d’un</w:t>
      </w:r>
      <w:r w:rsidR="00B27ACA" w:rsidRPr="00112398">
        <w:rPr>
          <w:lang w:val="fr-FR"/>
        </w:rPr>
        <w:t xml:space="preserve"> dessin ou modèle, ces conditions variant d</w:t>
      </w:r>
      <w:r w:rsidR="009A5C78" w:rsidRPr="00112398">
        <w:rPr>
          <w:lang w:val="fr-FR"/>
        </w:rPr>
        <w:t>’</w:t>
      </w:r>
      <w:r w:rsidR="00B27ACA" w:rsidRPr="00112398">
        <w:rPr>
          <w:lang w:val="fr-FR"/>
        </w:rPr>
        <w:t>un pays à l</w:t>
      </w:r>
      <w:r w:rsidR="009A5C78" w:rsidRPr="00112398">
        <w:rPr>
          <w:lang w:val="fr-FR"/>
        </w:rPr>
        <w:t>’</w:t>
      </w:r>
      <w:r w:rsidR="00B27ACA" w:rsidRPr="00112398">
        <w:rPr>
          <w:lang w:val="fr-FR"/>
        </w:rPr>
        <w:t>autre</w:t>
      </w:r>
      <w:r w:rsidR="000E072D" w:rsidRPr="00112398">
        <w:rPr>
          <w:lang w:val="fr-FR"/>
        </w:rPr>
        <w:t>.</w:t>
      </w:r>
    </w:p>
    <w:p w:rsidR="00547FBB" w:rsidRPr="00112398" w:rsidRDefault="00ED03ED" w:rsidP="00880B0B">
      <w:pPr>
        <w:pStyle w:val="ONUMFS"/>
        <w:rPr>
          <w:lang w:val="fr-FR" w:eastAsia="en-US"/>
        </w:rPr>
      </w:pPr>
      <w:r w:rsidRPr="00112398">
        <w:rPr>
          <w:lang w:val="fr-FR"/>
        </w:rPr>
        <w:t>En ce qui concerne les États</w:t>
      </w:r>
      <w:r w:rsidR="009A5C78" w:rsidRPr="00112398">
        <w:rPr>
          <w:lang w:val="fr-FR"/>
        </w:rPr>
        <w:t>-</w:t>
      </w:r>
      <w:r w:rsidRPr="00112398">
        <w:rPr>
          <w:lang w:val="fr-FR"/>
        </w:rPr>
        <w:t>Unis</w:t>
      </w:r>
      <w:r w:rsidR="007E3D16" w:rsidRPr="00112398">
        <w:rPr>
          <w:lang w:val="fr-FR"/>
        </w:rPr>
        <w:t xml:space="preserve"> </w:t>
      </w:r>
      <w:r w:rsidRPr="00112398">
        <w:rPr>
          <w:lang w:val="fr-FR"/>
        </w:rPr>
        <w:t>d</w:t>
      </w:r>
      <w:r w:rsidR="009A5C78" w:rsidRPr="00112398">
        <w:rPr>
          <w:lang w:val="fr-FR"/>
        </w:rPr>
        <w:t>’</w:t>
      </w:r>
      <w:r w:rsidRPr="00112398">
        <w:rPr>
          <w:lang w:val="fr-FR"/>
        </w:rPr>
        <w:t>Amérique, le</w:t>
      </w:r>
      <w:r w:rsidR="00331E22" w:rsidRPr="00112398">
        <w:rPr>
          <w:lang w:val="fr-FR"/>
        </w:rPr>
        <w:t>s refus pour</w:t>
      </w:r>
      <w:r w:rsidRPr="00112398">
        <w:rPr>
          <w:lang w:val="fr-FR"/>
        </w:rPr>
        <w:t xml:space="preserve"> défaut de nouveauté ne représente</w:t>
      </w:r>
      <w:r w:rsidR="00331E22" w:rsidRPr="00112398">
        <w:rPr>
          <w:lang w:val="fr-FR"/>
        </w:rPr>
        <w:t>nt</w:t>
      </w:r>
      <w:r w:rsidRPr="00112398">
        <w:rPr>
          <w:lang w:val="fr-FR"/>
        </w:rPr>
        <w:t xml:space="preserve"> que 1% du nombre total de</w:t>
      </w:r>
      <w:r w:rsidR="008C2A5D">
        <w:rPr>
          <w:lang w:val="fr-FR"/>
        </w:rPr>
        <w:t>s</w:t>
      </w:r>
      <w:r w:rsidRPr="00112398">
        <w:rPr>
          <w:lang w:val="fr-FR"/>
        </w:rPr>
        <w:t xml:space="preserve"> </w:t>
      </w:r>
      <w:r w:rsidR="00B54389" w:rsidRPr="00112398">
        <w:rPr>
          <w:lang w:val="fr-FR"/>
        </w:rPr>
        <w:t xml:space="preserve">motifs de </w:t>
      </w:r>
      <w:r w:rsidRPr="00112398">
        <w:rPr>
          <w:lang w:val="fr-FR"/>
        </w:rPr>
        <w:t xml:space="preserve">refus </w:t>
      </w:r>
      <w:r w:rsidR="006225AC">
        <w:rPr>
          <w:lang w:val="fr-FR"/>
        </w:rPr>
        <w:t xml:space="preserve">invoqués </w:t>
      </w:r>
      <w:r w:rsidRPr="00112398">
        <w:rPr>
          <w:lang w:val="fr-FR"/>
        </w:rPr>
        <w:t>par l</w:t>
      </w:r>
      <w:r w:rsidR="009A5C78" w:rsidRPr="00112398">
        <w:rPr>
          <w:lang w:val="fr-FR"/>
        </w:rPr>
        <w:t>’</w:t>
      </w:r>
      <w:r w:rsidRPr="00112398">
        <w:rPr>
          <w:lang w:val="fr-FR"/>
        </w:rPr>
        <w:t xml:space="preserve">USPTO, alors que </w:t>
      </w:r>
      <w:r w:rsidR="009436AE" w:rsidRPr="00112398">
        <w:rPr>
          <w:lang w:val="fr-FR"/>
        </w:rPr>
        <w:t>l</w:t>
      </w:r>
      <w:r w:rsidR="009A5C78" w:rsidRPr="00112398">
        <w:rPr>
          <w:lang w:val="fr-FR"/>
        </w:rPr>
        <w:t>’</w:t>
      </w:r>
      <w:r w:rsidR="009436AE" w:rsidRPr="00112398">
        <w:rPr>
          <w:lang w:val="fr-FR"/>
        </w:rPr>
        <w:t>absence</w:t>
      </w:r>
      <w:r w:rsidRPr="00112398">
        <w:rPr>
          <w:lang w:val="fr-FR"/>
        </w:rPr>
        <w:t xml:space="preserve"> de conformité à l</w:t>
      </w:r>
      <w:r w:rsidR="009A5C78" w:rsidRPr="00112398">
        <w:rPr>
          <w:lang w:val="fr-FR"/>
        </w:rPr>
        <w:t>’</w:t>
      </w:r>
      <w:r w:rsidRPr="00112398">
        <w:rPr>
          <w:lang w:val="fr-FR"/>
        </w:rPr>
        <w:t>exigence selon laquelle l</w:t>
      </w:r>
      <w:r w:rsidR="009A5C78" w:rsidRPr="00112398">
        <w:rPr>
          <w:lang w:val="fr-FR"/>
        </w:rPr>
        <w:t>’</w:t>
      </w:r>
      <w:r w:rsidRPr="00112398">
        <w:rPr>
          <w:lang w:val="fr-FR"/>
        </w:rPr>
        <w:t>enregistrement international ne doit contenir qu</w:t>
      </w:r>
      <w:r w:rsidR="009A5C78" w:rsidRPr="00112398">
        <w:rPr>
          <w:lang w:val="fr-FR"/>
        </w:rPr>
        <w:t>’</w:t>
      </w:r>
      <w:r w:rsidRPr="00112398">
        <w:rPr>
          <w:lang w:val="fr-FR"/>
        </w:rPr>
        <w:t>un seul dessin</w:t>
      </w:r>
      <w:r w:rsidR="00331E22" w:rsidRPr="00112398">
        <w:rPr>
          <w:lang w:val="fr-FR"/>
        </w:rPr>
        <w:t>, qui</w:t>
      </w:r>
      <w:r w:rsidRPr="00112398">
        <w:rPr>
          <w:lang w:val="fr-FR"/>
        </w:rPr>
        <w:t xml:space="preserve"> constitue de loin le motif de refus le </w:t>
      </w:r>
      <w:r w:rsidR="00331E22" w:rsidRPr="00112398">
        <w:rPr>
          <w:lang w:val="fr-FR"/>
        </w:rPr>
        <w:t xml:space="preserve">plus fréquent et, souvent le seul, représente 76% du nombre total de </w:t>
      </w:r>
      <w:r w:rsidR="00B54389" w:rsidRPr="00112398">
        <w:rPr>
          <w:lang w:val="fr-FR"/>
        </w:rPr>
        <w:t xml:space="preserve">motifs de </w:t>
      </w:r>
      <w:r w:rsidR="00331E22" w:rsidRPr="00112398">
        <w:rPr>
          <w:lang w:val="fr-FR"/>
        </w:rPr>
        <w:t xml:space="preserve">refus </w:t>
      </w:r>
      <w:r w:rsidR="006225AC">
        <w:rPr>
          <w:lang w:val="fr-FR"/>
        </w:rPr>
        <w:t>invoqués</w:t>
      </w:r>
      <w:r w:rsidR="00821095" w:rsidRPr="00112398">
        <w:rPr>
          <w:lang w:val="fr-FR"/>
        </w:rPr>
        <w:t>.</w:t>
      </w:r>
    </w:p>
    <w:p w:rsidR="00EB04AD" w:rsidRPr="00112398" w:rsidRDefault="007E3D16" w:rsidP="0066092C">
      <w:pPr>
        <w:pStyle w:val="Heading2"/>
        <w:spacing w:before="360"/>
        <w:rPr>
          <w:lang w:val="fr-FR" w:eastAsia="en-US"/>
        </w:rPr>
      </w:pPr>
      <w:r w:rsidRPr="00112398">
        <w:rPr>
          <w:lang w:val="fr-FR" w:eastAsia="en-US"/>
        </w:rPr>
        <w:t>Règle</w:t>
      </w:r>
      <w:r w:rsidR="00331E22" w:rsidRPr="00112398">
        <w:rPr>
          <w:lang w:val="fr-FR" w:eastAsia="en-US"/>
        </w:rPr>
        <w:t>s applicables</w:t>
      </w:r>
    </w:p>
    <w:p w:rsidR="00E668FC" w:rsidRPr="00112398" w:rsidRDefault="00331E22" w:rsidP="00CD3867">
      <w:pPr>
        <w:pStyle w:val="ONUMFS"/>
        <w:rPr>
          <w:lang w:val="fr-FR"/>
        </w:rPr>
      </w:pPr>
      <w:r w:rsidRPr="00112398">
        <w:rPr>
          <w:lang w:val="fr-FR"/>
        </w:rPr>
        <w:t>La règle </w:t>
      </w:r>
      <w:r w:rsidR="00001D8E" w:rsidRPr="00112398">
        <w:rPr>
          <w:lang w:val="fr-FR"/>
        </w:rPr>
        <w:t>26</w:t>
      </w:r>
      <w:r w:rsidRPr="00112398">
        <w:rPr>
          <w:lang w:val="fr-FR"/>
        </w:rPr>
        <w:t>.</w:t>
      </w:r>
      <w:r w:rsidR="00001D8E" w:rsidRPr="00112398">
        <w:rPr>
          <w:lang w:val="fr-FR"/>
        </w:rPr>
        <w:t xml:space="preserve">1) </w:t>
      </w:r>
      <w:r w:rsidR="00645E67" w:rsidRPr="00112398">
        <w:rPr>
          <w:lang w:val="fr-FR"/>
        </w:rPr>
        <w:t>d</w:t>
      </w:r>
      <w:r w:rsidRPr="00112398">
        <w:rPr>
          <w:lang w:val="fr-FR"/>
        </w:rPr>
        <w:t xml:space="preserve">éfinit les données publiées dans le </w:t>
      </w:r>
      <w:r w:rsidR="00880B0B">
        <w:rPr>
          <w:lang w:val="fr-FR"/>
        </w:rPr>
        <w:t>B</w:t>
      </w:r>
      <w:r w:rsidRPr="00112398">
        <w:rPr>
          <w:lang w:val="fr-FR"/>
        </w:rPr>
        <w:t>ullet</w:t>
      </w:r>
      <w:r w:rsidR="007F530A" w:rsidRPr="00112398">
        <w:rPr>
          <w:lang w:val="fr-FR"/>
        </w:rPr>
        <w:t>in.  Le</w:t>
      </w:r>
      <w:r w:rsidRPr="00112398">
        <w:rPr>
          <w:lang w:val="fr-FR"/>
        </w:rPr>
        <w:t xml:space="preserve"> sous</w:t>
      </w:r>
      <w:r w:rsidR="009A5C78" w:rsidRPr="00112398">
        <w:rPr>
          <w:lang w:val="fr-FR"/>
        </w:rPr>
        <w:t>-</w:t>
      </w:r>
      <w:r w:rsidRPr="00112398">
        <w:rPr>
          <w:lang w:val="fr-FR"/>
        </w:rPr>
        <w:t>alinéa </w:t>
      </w:r>
      <w:r w:rsidR="00001D8E" w:rsidRPr="00112398">
        <w:rPr>
          <w:lang w:val="fr-FR"/>
        </w:rPr>
        <w:t>ii)</w:t>
      </w:r>
      <w:r w:rsidR="00645E67" w:rsidRPr="00112398">
        <w:rPr>
          <w:lang w:val="fr-FR"/>
        </w:rPr>
        <w:t xml:space="preserve"> </w:t>
      </w:r>
      <w:r w:rsidR="00B6324B" w:rsidRPr="00112398">
        <w:rPr>
          <w:lang w:val="fr-FR"/>
        </w:rPr>
        <w:t xml:space="preserve">fait référence aux </w:t>
      </w:r>
      <w:r w:rsidR="00001D8E" w:rsidRPr="00112398">
        <w:rPr>
          <w:lang w:val="fr-FR"/>
        </w:rPr>
        <w:t xml:space="preserve">“refus, </w:t>
      </w:r>
      <w:r w:rsidR="00B6324B" w:rsidRPr="00112398">
        <w:rPr>
          <w:lang w:val="fr-FR"/>
        </w:rPr>
        <w:t>en indiquant s</w:t>
      </w:r>
      <w:r w:rsidR="009A5C78" w:rsidRPr="00112398">
        <w:rPr>
          <w:lang w:val="fr-FR"/>
        </w:rPr>
        <w:t>’</w:t>
      </w:r>
      <w:r w:rsidR="00B6324B" w:rsidRPr="00112398">
        <w:rPr>
          <w:lang w:val="fr-FR"/>
        </w:rPr>
        <w:t xml:space="preserve">il y a une possibilité de réexamen ou de recours, </w:t>
      </w:r>
      <w:r w:rsidR="00B6324B" w:rsidRPr="00112398">
        <w:rPr>
          <w:u w:val="single"/>
          <w:lang w:val="fr-FR"/>
        </w:rPr>
        <w:t>mais sans publier les motifs de refus</w:t>
      </w:r>
      <w:r w:rsidR="00001D8E" w:rsidRPr="00112398">
        <w:rPr>
          <w:lang w:val="fr-FR"/>
        </w:rPr>
        <w:t>…”.</w:t>
      </w:r>
      <w:r w:rsidR="000A7C3B" w:rsidRPr="00112398">
        <w:rPr>
          <w:lang w:val="fr-FR"/>
        </w:rPr>
        <w:t xml:space="preserve">  </w:t>
      </w:r>
      <w:r w:rsidR="00B6324B" w:rsidRPr="00112398">
        <w:rPr>
          <w:lang w:val="fr-FR"/>
        </w:rPr>
        <w:t>Ce</w:t>
      </w:r>
      <w:r w:rsidR="005844D2" w:rsidRPr="00112398">
        <w:rPr>
          <w:lang w:val="fr-FR"/>
        </w:rPr>
        <w:t xml:space="preserve">s termes ont </w:t>
      </w:r>
      <w:r w:rsidR="00B54389" w:rsidRPr="00112398">
        <w:rPr>
          <w:lang w:val="fr-FR"/>
        </w:rPr>
        <w:t xml:space="preserve">été </w:t>
      </w:r>
      <w:r w:rsidR="005844D2" w:rsidRPr="00112398">
        <w:rPr>
          <w:lang w:val="fr-FR"/>
        </w:rPr>
        <w:t>utilisés</w:t>
      </w:r>
      <w:r w:rsidR="00B6324B" w:rsidRPr="00112398">
        <w:rPr>
          <w:lang w:val="fr-FR"/>
        </w:rPr>
        <w:t xml:space="preserve"> pour la première fois dans le </w:t>
      </w:r>
      <w:r w:rsidR="000A7C3B" w:rsidRPr="00112398">
        <w:rPr>
          <w:lang w:val="fr-FR"/>
        </w:rPr>
        <w:t>“</w:t>
      </w:r>
      <w:r w:rsidR="00B6324B" w:rsidRPr="00112398">
        <w:rPr>
          <w:lang w:val="fr-FR"/>
        </w:rPr>
        <w:t>projet de règlement d</w:t>
      </w:r>
      <w:r w:rsidR="009A5C78" w:rsidRPr="00112398">
        <w:rPr>
          <w:lang w:val="fr-FR"/>
        </w:rPr>
        <w:t>’</w:t>
      </w:r>
      <w:r w:rsidR="00B6324B" w:rsidRPr="00112398">
        <w:rPr>
          <w:lang w:val="fr-FR"/>
        </w:rPr>
        <w:t>exécution</w:t>
      </w:r>
      <w:r w:rsidR="000A7C3B" w:rsidRPr="00112398">
        <w:rPr>
          <w:lang w:val="fr-FR"/>
        </w:rPr>
        <w:t>” s</w:t>
      </w:r>
      <w:r w:rsidR="00B6324B" w:rsidRPr="00112398">
        <w:rPr>
          <w:lang w:val="fr-FR"/>
        </w:rPr>
        <w:t>oumis à la sept</w:t>
      </w:r>
      <w:r w:rsidR="009A5C78" w:rsidRPr="00112398">
        <w:rPr>
          <w:lang w:val="fr-FR"/>
        </w:rPr>
        <w:t>ième session</w:t>
      </w:r>
      <w:r w:rsidR="00B6324B" w:rsidRPr="00112398">
        <w:rPr>
          <w:lang w:val="fr-FR"/>
        </w:rPr>
        <w:t xml:space="preserve"> du Comité d</w:t>
      </w:r>
      <w:r w:rsidR="009A5C78" w:rsidRPr="00112398">
        <w:rPr>
          <w:lang w:val="fr-FR"/>
        </w:rPr>
        <w:t>’</w:t>
      </w:r>
      <w:r w:rsidR="00B6324B" w:rsidRPr="00112398">
        <w:rPr>
          <w:lang w:val="fr-FR"/>
        </w:rPr>
        <w:t>experts sur le développement de l</w:t>
      </w:r>
      <w:r w:rsidR="009A5C78" w:rsidRPr="00112398">
        <w:rPr>
          <w:lang w:val="fr-FR"/>
        </w:rPr>
        <w:t>’</w:t>
      </w:r>
      <w:r w:rsidR="00B6324B" w:rsidRPr="00112398">
        <w:rPr>
          <w:lang w:val="fr-FR"/>
        </w:rPr>
        <w:t xml:space="preserve">Arrangement de </w:t>
      </w:r>
      <w:r w:rsidR="009A5C78" w:rsidRPr="00112398">
        <w:rPr>
          <w:lang w:val="fr-FR"/>
        </w:rPr>
        <w:t>La Haye</w:t>
      </w:r>
      <w:r w:rsidR="00B6324B" w:rsidRPr="00112398">
        <w:rPr>
          <w:lang w:val="fr-FR"/>
        </w:rPr>
        <w:t xml:space="preserve"> concernant le dépôt international des dessins et modèles industriels (ci</w:t>
      </w:r>
      <w:r w:rsidR="009A5C78" w:rsidRPr="00112398">
        <w:rPr>
          <w:lang w:val="fr-FR"/>
        </w:rPr>
        <w:t>-</w:t>
      </w:r>
      <w:r w:rsidR="00B6324B" w:rsidRPr="00112398">
        <w:rPr>
          <w:lang w:val="fr-FR"/>
        </w:rPr>
        <w:t xml:space="preserve">après </w:t>
      </w:r>
      <w:proofErr w:type="gramStart"/>
      <w:r w:rsidR="00B6324B" w:rsidRPr="00112398">
        <w:rPr>
          <w:lang w:val="fr-FR"/>
        </w:rPr>
        <w:t>dénommé</w:t>
      </w:r>
      <w:proofErr w:type="gramEnd"/>
      <w:r w:rsidR="00B6324B" w:rsidRPr="00112398">
        <w:rPr>
          <w:lang w:val="fr-FR"/>
        </w:rPr>
        <w:t xml:space="preserve"> “comité d</w:t>
      </w:r>
      <w:r w:rsidR="009A5C78" w:rsidRPr="00112398">
        <w:rPr>
          <w:lang w:val="fr-FR"/>
        </w:rPr>
        <w:t>’</w:t>
      </w:r>
      <w:r w:rsidR="00B6324B" w:rsidRPr="00112398">
        <w:rPr>
          <w:lang w:val="fr-FR"/>
        </w:rPr>
        <w:t>experts”) tenue en novembre </w:t>
      </w:r>
      <w:r w:rsidR="000A7C3B" w:rsidRPr="00112398">
        <w:rPr>
          <w:lang w:val="fr-FR"/>
        </w:rPr>
        <w:t>1997</w:t>
      </w:r>
      <w:r w:rsidR="000A7C3B" w:rsidRPr="00112398">
        <w:rPr>
          <w:rStyle w:val="FootnoteReference"/>
          <w:lang w:val="fr-FR"/>
        </w:rPr>
        <w:footnoteReference w:id="8"/>
      </w:r>
      <w:r w:rsidR="000A7C3B" w:rsidRPr="00112398">
        <w:rPr>
          <w:lang w:val="fr-FR"/>
        </w:rPr>
        <w:t>.</w:t>
      </w:r>
    </w:p>
    <w:p w:rsidR="00F23DE3" w:rsidRPr="00112398" w:rsidRDefault="00B6324B" w:rsidP="00CD3867">
      <w:pPr>
        <w:pStyle w:val="ONUMFS"/>
        <w:rPr>
          <w:rFonts w:eastAsia="MS Mincho"/>
          <w:lang w:val="fr-FR"/>
        </w:rPr>
      </w:pPr>
      <w:r w:rsidRPr="00112398">
        <w:rPr>
          <w:lang w:val="fr-FR"/>
        </w:rPr>
        <w:t>Ce premier projet de règlement d</w:t>
      </w:r>
      <w:r w:rsidR="009A5C78" w:rsidRPr="00112398">
        <w:rPr>
          <w:lang w:val="fr-FR"/>
        </w:rPr>
        <w:t>’</w:t>
      </w:r>
      <w:r w:rsidRPr="00112398">
        <w:rPr>
          <w:lang w:val="fr-FR"/>
        </w:rPr>
        <w:t xml:space="preserve">exécution </w:t>
      </w:r>
      <w:r w:rsidR="0042316C" w:rsidRPr="00112398">
        <w:rPr>
          <w:lang w:val="fr-FR"/>
        </w:rPr>
        <w:t>est devenu le projet de règlement d</w:t>
      </w:r>
      <w:r w:rsidR="009A5C78" w:rsidRPr="00112398">
        <w:rPr>
          <w:lang w:val="fr-FR"/>
        </w:rPr>
        <w:t>’</w:t>
      </w:r>
      <w:r w:rsidR="0042316C" w:rsidRPr="00112398">
        <w:rPr>
          <w:lang w:val="fr-FR"/>
        </w:rPr>
        <w:t>exécution relatif au nouvel Acte de l</w:t>
      </w:r>
      <w:r w:rsidR="009A5C78" w:rsidRPr="00112398">
        <w:rPr>
          <w:lang w:val="fr-FR"/>
        </w:rPr>
        <w:t>’</w:t>
      </w:r>
      <w:r w:rsidR="0042316C" w:rsidRPr="00112398">
        <w:rPr>
          <w:lang w:val="fr-FR"/>
        </w:rPr>
        <w:t xml:space="preserve">Arrangement de </w:t>
      </w:r>
      <w:r w:rsidR="009A5C78" w:rsidRPr="00112398">
        <w:rPr>
          <w:lang w:val="fr-FR"/>
        </w:rPr>
        <w:t>La Haye</w:t>
      </w:r>
      <w:r w:rsidR="0042316C" w:rsidRPr="00112398">
        <w:rPr>
          <w:lang w:val="fr-FR"/>
        </w:rPr>
        <w:t xml:space="preserve"> </w:t>
      </w:r>
      <w:r w:rsidR="00D94873">
        <w:rPr>
          <w:lang w:val="fr-FR"/>
        </w:rPr>
        <w:t xml:space="preserve">concernant l’enregistrement international des dessins et modèles industriels </w:t>
      </w:r>
      <w:r w:rsidR="0042316C" w:rsidRPr="00112398">
        <w:rPr>
          <w:lang w:val="fr-FR"/>
        </w:rPr>
        <w:t>soumis à la Conférence diplomatique pour l</w:t>
      </w:r>
      <w:r w:rsidR="009A5C78" w:rsidRPr="00112398">
        <w:rPr>
          <w:lang w:val="fr-FR"/>
        </w:rPr>
        <w:t>’</w:t>
      </w:r>
      <w:r w:rsidR="0042316C" w:rsidRPr="00112398">
        <w:rPr>
          <w:lang w:val="fr-FR"/>
        </w:rPr>
        <w:t>adoption d</w:t>
      </w:r>
      <w:r w:rsidR="009A5C78" w:rsidRPr="00112398">
        <w:rPr>
          <w:lang w:val="fr-FR"/>
        </w:rPr>
        <w:t>’</w:t>
      </w:r>
      <w:r w:rsidR="0042316C" w:rsidRPr="00112398">
        <w:rPr>
          <w:lang w:val="fr-FR"/>
        </w:rPr>
        <w:t>un nouvel Acte de l</w:t>
      </w:r>
      <w:r w:rsidR="009A5C78" w:rsidRPr="00112398">
        <w:rPr>
          <w:lang w:val="fr-FR"/>
        </w:rPr>
        <w:t>’</w:t>
      </w:r>
      <w:r w:rsidR="0042316C" w:rsidRPr="00112398">
        <w:rPr>
          <w:lang w:val="fr-FR"/>
        </w:rPr>
        <w:t xml:space="preserve">Arrangement de </w:t>
      </w:r>
      <w:r w:rsidR="009A5C78" w:rsidRPr="00112398">
        <w:rPr>
          <w:lang w:val="fr-FR"/>
        </w:rPr>
        <w:t>La Haye</w:t>
      </w:r>
      <w:r w:rsidR="0042316C" w:rsidRPr="00112398">
        <w:rPr>
          <w:lang w:val="fr-FR"/>
        </w:rPr>
        <w:t xml:space="preserve"> concernant le dépôt international des dessins et modèles industriels (Acte de Genève</w:t>
      </w:r>
      <w:r w:rsidR="005E338C" w:rsidRPr="00112398">
        <w:rPr>
          <w:lang w:val="fr-FR"/>
        </w:rPr>
        <w:t xml:space="preserve">) </w:t>
      </w:r>
      <w:r w:rsidR="0042316C" w:rsidRPr="00112398">
        <w:rPr>
          <w:lang w:val="fr-FR"/>
        </w:rPr>
        <w:t xml:space="preserve">tenue du 16 juin au </w:t>
      </w:r>
      <w:r w:rsidR="00F601C6">
        <w:rPr>
          <w:lang w:val="fr-FR"/>
        </w:rPr>
        <w:t>6</w:t>
      </w:r>
      <w:r w:rsidR="0042316C" w:rsidRPr="00112398">
        <w:rPr>
          <w:lang w:val="fr-FR"/>
        </w:rPr>
        <w:t> juillet 19</w:t>
      </w:r>
      <w:r w:rsidR="005E338C" w:rsidRPr="00112398">
        <w:rPr>
          <w:lang w:val="fr-FR"/>
        </w:rPr>
        <w:t>99</w:t>
      </w:r>
      <w:r w:rsidR="00175421" w:rsidRPr="00112398">
        <w:rPr>
          <w:lang w:val="fr-FR"/>
        </w:rPr>
        <w:t xml:space="preserve"> (</w:t>
      </w:r>
      <w:r w:rsidR="0042316C" w:rsidRPr="00112398">
        <w:rPr>
          <w:lang w:val="fr-FR"/>
        </w:rPr>
        <w:t>ci</w:t>
      </w:r>
      <w:r w:rsidR="009A5C78" w:rsidRPr="00112398">
        <w:rPr>
          <w:lang w:val="fr-FR"/>
        </w:rPr>
        <w:t>-</w:t>
      </w:r>
      <w:r w:rsidR="0042316C" w:rsidRPr="00112398">
        <w:rPr>
          <w:lang w:val="fr-FR"/>
        </w:rPr>
        <w:t xml:space="preserve">après dénommée </w:t>
      </w:r>
      <w:r w:rsidR="00175421" w:rsidRPr="00112398">
        <w:rPr>
          <w:lang w:val="fr-FR"/>
        </w:rPr>
        <w:t>“</w:t>
      </w:r>
      <w:r w:rsidR="0042316C" w:rsidRPr="00112398">
        <w:rPr>
          <w:lang w:val="fr-FR"/>
        </w:rPr>
        <w:t>conférence d</w:t>
      </w:r>
      <w:r w:rsidR="00175421" w:rsidRPr="00112398">
        <w:rPr>
          <w:lang w:val="fr-FR"/>
        </w:rPr>
        <w:t>iplomati</w:t>
      </w:r>
      <w:r w:rsidR="0042316C" w:rsidRPr="00112398">
        <w:rPr>
          <w:lang w:val="fr-FR"/>
        </w:rPr>
        <w:t>que</w:t>
      </w:r>
      <w:r w:rsidR="00175421" w:rsidRPr="00112398">
        <w:rPr>
          <w:lang w:val="fr-FR"/>
        </w:rPr>
        <w:t>”)</w:t>
      </w:r>
      <w:r w:rsidR="00E668FC" w:rsidRPr="00112398">
        <w:rPr>
          <w:rStyle w:val="FootnoteReference"/>
          <w:lang w:val="fr-FR"/>
        </w:rPr>
        <w:footnoteReference w:id="9"/>
      </w:r>
      <w:r w:rsidR="005E338C" w:rsidRPr="00112398">
        <w:rPr>
          <w:lang w:val="fr-FR"/>
        </w:rPr>
        <w:t>.</w:t>
      </w:r>
      <w:r w:rsidR="00E668FC" w:rsidRPr="00112398">
        <w:rPr>
          <w:lang w:val="fr-FR"/>
        </w:rPr>
        <w:t xml:space="preserve">  </w:t>
      </w:r>
      <w:r w:rsidR="0042316C" w:rsidRPr="00112398">
        <w:rPr>
          <w:lang w:val="fr-FR"/>
        </w:rPr>
        <w:t>Cette partie de la règle est restée inchangée à ce jour</w:t>
      </w:r>
      <w:r w:rsidR="00C33A66" w:rsidRPr="00112398">
        <w:rPr>
          <w:lang w:val="fr-FR"/>
        </w:rPr>
        <w:t>.</w:t>
      </w:r>
    </w:p>
    <w:p w:rsidR="00496163" w:rsidRPr="00112398" w:rsidRDefault="002419A2" w:rsidP="00CD3867">
      <w:pPr>
        <w:pStyle w:val="ONUMFS"/>
        <w:rPr>
          <w:rFonts w:eastAsia="MS Mincho"/>
          <w:lang w:val="fr-FR"/>
        </w:rPr>
      </w:pPr>
      <w:r w:rsidRPr="00112398">
        <w:rPr>
          <w:rFonts w:eastAsia="MS Mincho"/>
          <w:lang w:val="fr-FR"/>
        </w:rPr>
        <w:t>Aucune explication ne figure dans les documents soumis au comité d</w:t>
      </w:r>
      <w:r w:rsidR="009A5C78" w:rsidRPr="00112398">
        <w:rPr>
          <w:rFonts w:eastAsia="MS Mincho"/>
          <w:lang w:val="fr-FR"/>
        </w:rPr>
        <w:t>’</w:t>
      </w:r>
      <w:r w:rsidRPr="00112398">
        <w:rPr>
          <w:rFonts w:eastAsia="MS Mincho"/>
          <w:lang w:val="fr-FR"/>
        </w:rPr>
        <w:t>experts ou à la conférence diplomatique quant à la raison pour laquelle une notification de refus doit être publiée sans indication des motifs de refus</w:t>
      </w:r>
      <w:r w:rsidR="00496163" w:rsidRPr="00112398">
        <w:rPr>
          <w:rFonts w:eastAsia="MS Mincho"/>
          <w:lang w:val="fr-FR"/>
        </w:rPr>
        <w:t>.</w:t>
      </w:r>
    </w:p>
    <w:p w:rsidR="000A7C3B" w:rsidRPr="00112398" w:rsidRDefault="002419A2" w:rsidP="00CD3867">
      <w:pPr>
        <w:pStyle w:val="ONUMFS"/>
        <w:rPr>
          <w:rFonts w:eastAsia="MS Mincho"/>
          <w:lang w:val="fr-FR"/>
        </w:rPr>
      </w:pPr>
      <w:r w:rsidRPr="00112398">
        <w:rPr>
          <w:rFonts w:eastAsia="MS Mincho"/>
          <w:lang w:val="fr-FR"/>
        </w:rPr>
        <w:t>La règle </w:t>
      </w:r>
      <w:r w:rsidR="00496163" w:rsidRPr="00112398">
        <w:rPr>
          <w:rFonts w:eastAsia="MS Mincho"/>
          <w:lang w:val="fr-FR"/>
        </w:rPr>
        <w:t>32</w:t>
      </w:r>
      <w:r w:rsidRPr="00112398">
        <w:rPr>
          <w:rFonts w:eastAsia="MS Mincho"/>
          <w:lang w:val="fr-FR"/>
        </w:rPr>
        <w:t>.</w:t>
      </w:r>
      <w:r w:rsidR="00496163" w:rsidRPr="00112398">
        <w:rPr>
          <w:rFonts w:eastAsia="MS Mincho"/>
          <w:lang w:val="fr-FR"/>
        </w:rPr>
        <w:t>1</w:t>
      </w:r>
      <w:proofErr w:type="gramStart"/>
      <w:r w:rsidR="00496163" w:rsidRPr="00112398">
        <w:rPr>
          <w:rFonts w:eastAsia="MS Mincho"/>
          <w:lang w:val="fr-FR"/>
        </w:rPr>
        <w:t>)iii</w:t>
      </w:r>
      <w:proofErr w:type="gramEnd"/>
      <w:r w:rsidR="00496163" w:rsidRPr="00112398">
        <w:rPr>
          <w:rFonts w:eastAsia="MS Mincho"/>
          <w:lang w:val="fr-FR"/>
        </w:rPr>
        <w:t xml:space="preserve">) </w:t>
      </w:r>
      <w:r w:rsidRPr="00112398">
        <w:rPr>
          <w:rFonts w:eastAsia="MS Mincho"/>
          <w:lang w:val="fr-FR"/>
        </w:rPr>
        <w:t xml:space="preserve">du </w:t>
      </w:r>
      <w:r w:rsidR="000C516D">
        <w:rPr>
          <w:rFonts w:eastAsia="MS Mincho"/>
          <w:lang w:val="fr-FR"/>
        </w:rPr>
        <w:t>R</w:t>
      </w:r>
      <w:r w:rsidR="007E3D16" w:rsidRPr="00112398">
        <w:rPr>
          <w:rFonts w:eastAsia="MS Mincho"/>
          <w:lang w:val="fr-FR"/>
        </w:rPr>
        <w:t>ègle</w:t>
      </w:r>
      <w:r w:rsidRPr="00112398">
        <w:rPr>
          <w:rFonts w:eastAsia="MS Mincho"/>
          <w:lang w:val="fr-FR"/>
        </w:rPr>
        <w:t>ment d</w:t>
      </w:r>
      <w:r w:rsidR="009A5C78" w:rsidRPr="00112398">
        <w:rPr>
          <w:rFonts w:eastAsia="MS Mincho"/>
          <w:lang w:val="fr-FR"/>
        </w:rPr>
        <w:t>’</w:t>
      </w:r>
      <w:r w:rsidRPr="00112398">
        <w:rPr>
          <w:rFonts w:eastAsia="MS Mincho"/>
          <w:lang w:val="fr-FR"/>
        </w:rPr>
        <w:t>exécution commun à l</w:t>
      </w:r>
      <w:r w:rsidR="009A5C78" w:rsidRPr="00112398">
        <w:rPr>
          <w:rFonts w:eastAsia="MS Mincho"/>
          <w:lang w:val="fr-FR"/>
        </w:rPr>
        <w:t>’</w:t>
      </w:r>
      <w:r w:rsidRPr="00112398">
        <w:rPr>
          <w:rFonts w:eastAsia="MS Mincho"/>
          <w:lang w:val="fr-FR"/>
        </w:rPr>
        <w:t>Arrangement de Madrid concernant l</w:t>
      </w:r>
      <w:r w:rsidR="009A5C78" w:rsidRPr="00112398">
        <w:rPr>
          <w:rFonts w:eastAsia="MS Mincho"/>
          <w:lang w:val="fr-FR"/>
        </w:rPr>
        <w:t>’</w:t>
      </w:r>
      <w:r w:rsidRPr="00112398">
        <w:rPr>
          <w:rFonts w:eastAsia="MS Mincho"/>
          <w:lang w:val="fr-FR"/>
        </w:rPr>
        <w:t xml:space="preserve">enregistrement international des marques et au Protocole relatif à cet Arrangement </w:t>
      </w:r>
      <w:r w:rsidR="00496163" w:rsidRPr="00112398">
        <w:rPr>
          <w:rFonts w:eastAsia="MS Mincho"/>
          <w:lang w:val="fr-FR"/>
        </w:rPr>
        <w:t>(</w:t>
      </w:r>
      <w:r w:rsidRPr="00112398">
        <w:rPr>
          <w:rFonts w:eastAsia="MS Mincho"/>
          <w:lang w:val="fr-FR"/>
        </w:rPr>
        <w:t>ci</w:t>
      </w:r>
      <w:r w:rsidR="009A5C78" w:rsidRPr="00112398">
        <w:rPr>
          <w:rFonts w:eastAsia="MS Mincho"/>
          <w:lang w:val="fr-FR"/>
        </w:rPr>
        <w:t>-</w:t>
      </w:r>
      <w:r w:rsidRPr="00112398">
        <w:rPr>
          <w:rFonts w:eastAsia="MS Mincho"/>
          <w:lang w:val="fr-FR"/>
        </w:rPr>
        <w:t xml:space="preserve">après dénommé </w:t>
      </w:r>
      <w:r w:rsidR="0066456B" w:rsidRPr="00112398">
        <w:rPr>
          <w:lang w:val="fr-FR"/>
        </w:rPr>
        <w:t>“</w:t>
      </w:r>
      <w:r w:rsidRPr="00112398">
        <w:rPr>
          <w:lang w:val="fr-FR"/>
        </w:rPr>
        <w:t>règlement d</w:t>
      </w:r>
      <w:r w:rsidR="009A5C78" w:rsidRPr="00112398">
        <w:rPr>
          <w:lang w:val="fr-FR"/>
        </w:rPr>
        <w:t>’</w:t>
      </w:r>
      <w:r w:rsidRPr="00112398">
        <w:rPr>
          <w:lang w:val="fr-FR"/>
        </w:rPr>
        <w:t xml:space="preserve">exécution </w:t>
      </w:r>
      <w:r w:rsidR="00D94873">
        <w:rPr>
          <w:lang w:val="fr-FR"/>
        </w:rPr>
        <w:t xml:space="preserve">de </w:t>
      </w:r>
      <w:r w:rsidRPr="00112398">
        <w:rPr>
          <w:lang w:val="fr-FR"/>
        </w:rPr>
        <w:t>Madrid</w:t>
      </w:r>
      <w:r w:rsidR="0066456B" w:rsidRPr="00112398">
        <w:rPr>
          <w:lang w:val="fr-FR"/>
        </w:rPr>
        <w:t xml:space="preserve">”) </w:t>
      </w:r>
      <w:r w:rsidR="00F66B5E" w:rsidRPr="00112398">
        <w:rPr>
          <w:lang w:val="fr-FR"/>
        </w:rPr>
        <w:t>mentionne également les</w:t>
      </w:r>
      <w:r w:rsidRPr="00112398">
        <w:rPr>
          <w:lang w:val="fr-FR"/>
        </w:rPr>
        <w:t xml:space="preserve"> </w:t>
      </w:r>
      <w:r w:rsidR="0066456B" w:rsidRPr="00112398">
        <w:rPr>
          <w:lang w:val="fr-FR"/>
        </w:rPr>
        <w:t>“</w:t>
      </w:r>
      <w:r w:rsidR="00F66B5E" w:rsidRPr="00112398">
        <w:rPr>
          <w:lang w:val="fr-FR"/>
        </w:rPr>
        <w:t xml:space="preserve">refus </w:t>
      </w:r>
      <w:r w:rsidR="0066456B" w:rsidRPr="00112398">
        <w:rPr>
          <w:lang w:val="fr-FR"/>
        </w:rPr>
        <w:t>provis</w:t>
      </w:r>
      <w:r w:rsidR="00F66B5E" w:rsidRPr="00112398">
        <w:rPr>
          <w:lang w:val="fr-FR"/>
        </w:rPr>
        <w:t>oires inscrits en vertu de la règle </w:t>
      </w:r>
      <w:r w:rsidR="008F5DCA" w:rsidRPr="00112398">
        <w:rPr>
          <w:lang w:val="fr-FR"/>
        </w:rPr>
        <w:t>17</w:t>
      </w:r>
      <w:r w:rsidR="00F66B5E" w:rsidRPr="00112398">
        <w:rPr>
          <w:lang w:val="fr-FR"/>
        </w:rPr>
        <w:t>.</w:t>
      </w:r>
      <w:r w:rsidR="008F5DCA" w:rsidRPr="00112398">
        <w:rPr>
          <w:lang w:val="fr-FR"/>
        </w:rPr>
        <w:t>4)</w:t>
      </w:r>
      <w:r w:rsidR="007E3D16" w:rsidRPr="00112398">
        <w:rPr>
          <w:lang w:val="fr-FR"/>
        </w:rPr>
        <w:t xml:space="preserve">… </w:t>
      </w:r>
      <w:r w:rsidR="00F66B5E" w:rsidRPr="00112398">
        <w:rPr>
          <w:lang w:val="fr-FR"/>
        </w:rPr>
        <w:t>sans l</w:t>
      </w:r>
      <w:r w:rsidR="009A5C78" w:rsidRPr="00112398">
        <w:rPr>
          <w:lang w:val="fr-FR"/>
        </w:rPr>
        <w:t>’</w:t>
      </w:r>
      <w:r w:rsidR="00F66B5E" w:rsidRPr="00112398">
        <w:rPr>
          <w:lang w:val="fr-FR"/>
        </w:rPr>
        <w:t>indication des motifs de refus</w:t>
      </w:r>
      <w:r w:rsidR="0066456B" w:rsidRPr="00112398">
        <w:rPr>
          <w:lang w:val="fr-FR"/>
        </w:rPr>
        <w:t xml:space="preserve">…” </w:t>
      </w:r>
      <w:r w:rsidR="00F66B5E" w:rsidRPr="00112398">
        <w:rPr>
          <w:lang w:val="fr-FR"/>
        </w:rPr>
        <w:t>en ce qui concerne les données à publi</w:t>
      </w:r>
      <w:r w:rsidR="007F530A" w:rsidRPr="00112398">
        <w:rPr>
          <w:lang w:val="fr-FR"/>
        </w:rPr>
        <w:t xml:space="preserve">er.  </w:t>
      </w:r>
      <w:r w:rsidR="007F530A" w:rsidRPr="00112398">
        <w:rPr>
          <w:rFonts w:eastAsia="MS Mincho"/>
          <w:lang w:val="fr-FR"/>
        </w:rPr>
        <w:t>Ce</w:t>
      </w:r>
      <w:r w:rsidR="00F66B5E" w:rsidRPr="00112398">
        <w:rPr>
          <w:rFonts w:eastAsia="MS Mincho"/>
          <w:lang w:val="fr-FR"/>
        </w:rPr>
        <w:t xml:space="preserve">tte partie de la règle est restée inchangée depuis la toute première version </w:t>
      </w:r>
      <w:r w:rsidR="008F5DCA" w:rsidRPr="00112398">
        <w:rPr>
          <w:rFonts w:eastAsia="MS Mincho"/>
          <w:lang w:val="fr-FR"/>
        </w:rPr>
        <w:t xml:space="preserve">(1996) </w:t>
      </w:r>
      <w:r w:rsidR="00F66B5E" w:rsidRPr="00112398">
        <w:rPr>
          <w:rFonts w:eastAsia="MS Mincho"/>
          <w:lang w:val="fr-FR"/>
        </w:rPr>
        <w:t>du règlement d</w:t>
      </w:r>
      <w:r w:rsidR="009A5C78" w:rsidRPr="00112398">
        <w:rPr>
          <w:rFonts w:eastAsia="MS Mincho"/>
          <w:lang w:val="fr-FR"/>
        </w:rPr>
        <w:t>’</w:t>
      </w:r>
      <w:r w:rsidR="00F66B5E" w:rsidRPr="00112398">
        <w:rPr>
          <w:rFonts w:eastAsia="MS Mincho"/>
          <w:lang w:val="fr-FR"/>
        </w:rPr>
        <w:t>exécution (commun</w:t>
      </w:r>
      <w:r w:rsidR="00D0727D">
        <w:rPr>
          <w:rFonts w:eastAsia="MS Mincho"/>
          <w:lang w:val="fr-FR"/>
        </w:rPr>
        <w:t>)</w:t>
      </w:r>
      <w:r w:rsidR="0025292D">
        <w:rPr>
          <w:rFonts w:eastAsia="MS Mincho"/>
          <w:lang w:val="fr-FR"/>
        </w:rPr>
        <w:t xml:space="preserve"> de Madrid</w:t>
      </w:r>
      <w:r w:rsidR="00ED079E" w:rsidRPr="00112398">
        <w:rPr>
          <w:rStyle w:val="FootnoteReference"/>
          <w:rFonts w:eastAsia="MS Mincho"/>
          <w:lang w:val="fr-FR"/>
        </w:rPr>
        <w:footnoteReference w:id="10"/>
      </w:r>
      <w:r w:rsidR="008F5DCA" w:rsidRPr="00112398">
        <w:rPr>
          <w:rFonts w:eastAsia="MS Mincho"/>
          <w:lang w:val="fr-FR"/>
        </w:rPr>
        <w:t>.</w:t>
      </w:r>
    </w:p>
    <w:p w:rsidR="00EA55F4" w:rsidRPr="00112398" w:rsidRDefault="00E31716" w:rsidP="00CD3867">
      <w:pPr>
        <w:pStyle w:val="ONUMFS"/>
        <w:rPr>
          <w:rFonts w:eastAsia="MS Mincho"/>
          <w:lang w:val="fr-FR"/>
        </w:rPr>
      </w:pPr>
      <w:r w:rsidRPr="00112398">
        <w:rPr>
          <w:rFonts w:eastAsia="MS Mincho"/>
          <w:lang w:val="fr-FR"/>
        </w:rPr>
        <w:t>À l</w:t>
      </w:r>
      <w:r w:rsidR="009A5C78" w:rsidRPr="00112398">
        <w:rPr>
          <w:rFonts w:eastAsia="MS Mincho"/>
          <w:lang w:val="fr-FR"/>
        </w:rPr>
        <w:t>’</w:t>
      </w:r>
      <w:r w:rsidRPr="00112398">
        <w:rPr>
          <w:rFonts w:eastAsia="MS Mincho"/>
          <w:lang w:val="fr-FR"/>
        </w:rPr>
        <w:t xml:space="preserve">époque, tant les enregistrements de marques que les enregistrements de dessins ou modèles en vertu des systèmes de Madrid et de </w:t>
      </w:r>
      <w:r w:rsidR="009A5C78" w:rsidRPr="00112398">
        <w:rPr>
          <w:rFonts w:eastAsia="MS Mincho"/>
          <w:lang w:val="fr-FR"/>
        </w:rPr>
        <w:t>La Haye</w:t>
      </w:r>
      <w:r w:rsidRPr="00112398">
        <w:rPr>
          <w:rFonts w:eastAsia="MS Mincho"/>
          <w:lang w:val="fr-FR"/>
        </w:rPr>
        <w:t xml:space="preserve"> étaient publiés sur papi</w:t>
      </w:r>
      <w:r w:rsidR="007F530A" w:rsidRPr="00112398">
        <w:rPr>
          <w:rFonts w:eastAsia="MS Mincho"/>
          <w:lang w:val="fr-FR"/>
        </w:rPr>
        <w:t>er.  Co</w:t>
      </w:r>
      <w:r w:rsidRPr="00112398">
        <w:rPr>
          <w:rFonts w:eastAsia="MS Mincho"/>
          <w:lang w:val="fr-FR"/>
        </w:rPr>
        <w:t>mme c</w:t>
      </w:r>
      <w:r w:rsidR="009A5C78" w:rsidRPr="00112398">
        <w:rPr>
          <w:rFonts w:eastAsia="MS Mincho"/>
          <w:lang w:val="fr-FR"/>
        </w:rPr>
        <w:t>’</w:t>
      </w:r>
      <w:r w:rsidRPr="00112398">
        <w:rPr>
          <w:rFonts w:eastAsia="MS Mincho"/>
          <w:lang w:val="fr-FR"/>
        </w:rPr>
        <w:t xml:space="preserve">est toujours le cas, le Bureau international ne </w:t>
      </w:r>
      <w:r w:rsidR="00145391" w:rsidRPr="00112398">
        <w:rPr>
          <w:rFonts w:eastAsia="MS Mincho"/>
          <w:lang w:val="fr-FR"/>
        </w:rPr>
        <w:t>“</w:t>
      </w:r>
      <w:r w:rsidRPr="00112398">
        <w:rPr>
          <w:rFonts w:eastAsia="MS Mincho"/>
          <w:lang w:val="fr-FR"/>
        </w:rPr>
        <w:t>saisissait pas les données textuelles relatives aux motifs de refus</w:t>
      </w:r>
      <w:r w:rsidR="00145391" w:rsidRPr="00112398">
        <w:rPr>
          <w:rFonts w:eastAsia="MS Mincho"/>
          <w:lang w:val="fr-FR"/>
        </w:rPr>
        <w:t>”</w:t>
      </w:r>
      <w:r w:rsidR="00BA7123" w:rsidRPr="00112398">
        <w:rPr>
          <w:rFonts w:eastAsia="MS Mincho"/>
          <w:lang w:val="fr-FR"/>
        </w:rPr>
        <w:t xml:space="preserve"> </w:t>
      </w:r>
      <w:r w:rsidRPr="00112398">
        <w:rPr>
          <w:rFonts w:eastAsia="MS Mincho"/>
          <w:lang w:val="fr-FR"/>
        </w:rPr>
        <w:t xml:space="preserve">figurant dans chaque </w:t>
      </w:r>
      <w:r w:rsidR="00BA7123" w:rsidRPr="00112398">
        <w:rPr>
          <w:rFonts w:eastAsia="MS Mincho"/>
          <w:lang w:val="fr-FR"/>
        </w:rPr>
        <w:t xml:space="preserve">notification </w:t>
      </w:r>
      <w:r w:rsidRPr="00112398">
        <w:rPr>
          <w:rFonts w:eastAsia="MS Mincho"/>
          <w:lang w:val="fr-FR"/>
        </w:rPr>
        <w:t xml:space="preserve">de refus </w:t>
      </w:r>
      <w:r w:rsidR="00BA7123" w:rsidRPr="00112398">
        <w:rPr>
          <w:rFonts w:eastAsia="MS Mincho"/>
          <w:lang w:val="fr-FR"/>
        </w:rPr>
        <w:t>(provis</w:t>
      </w:r>
      <w:r w:rsidRPr="00112398">
        <w:rPr>
          <w:rFonts w:eastAsia="MS Mincho"/>
          <w:lang w:val="fr-FR"/>
        </w:rPr>
        <w:t>oi</w:t>
      </w:r>
      <w:r w:rsidR="007F530A" w:rsidRPr="00112398">
        <w:rPr>
          <w:rFonts w:eastAsia="MS Mincho"/>
          <w:lang w:val="fr-FR"/>
        </w:rPr>
        <w:t>re).  Dè</w:t>
      </w:r>
      <w:r w:rsidRPr="00112398">
        <w:rPr>
          <w:rFonts w:eastAsia="MS Mincho"/>
          <w:lang w:val="fr-FR"/>
        </w:rPr>
        <w:t>s lors, il n</w:t>
      </w:r>
      <w:r w:rsidR="009A5C78" w:rsidRPr="00112398">
        <w:rPr>
          <w:rFonts w:eastAsia="MS Mincho"/>
          <w:lang w:val="fr-FR"/>
        </w:rPr>
        <w:t>’</w:t>
      </w:r>
      <w:r w:rsidRPr="00112398">
        <w:rPr>
          <w:rFonts w:eastAsia="MS Mincho"/>
          <w:lang w:val="fr-FR"/>
        </w:rPr>
        <w:t xml:space="preserve">existait pas de moyen </w:t>
      </w:r>
      <w:r w:rsidR="00E12354">
        <w:rPr>
          <w:rFonts w:eastAsia="MS Mincho"/>
          <w:lang w:val="fr-FR"/>
        </w:rPr>
        <w:t>automatisé</w:t>
      </w:r>
      <w:r w:rsidR="00E12354" w:rsidRPr="00112398">
        <w:rPr>
          <w:rFonts w:eastAsia="MS Mincho"/>
          <w:lang w:val="fr-FR"/>
        </w:rPr>
        <w:t xml:space="preserve"> </w:t>
      </w:r>
      <w:r w:rsidRPr="00112398">
        <w:rPr>
          <w:rFonts w:eastAsia="MS Mincho"/>
          <w:lang w:val="fr-FR"/>
        </w:rPr>
        <w:t xml:space="preserve">de reproduction de ces données dans la </w:t>
      </w:r>
      <w:r w:rsidR="00145391" w:rsidRPr="00112398">
        <w:rPr>
          <w:rFonts w:eastAsia="MS Mincho"/>
          <w:lang w:val="fr-FR"/>
        </w:rPr>
        <w:t>publicati</w:t>
      </w:r>
      <w:r w:rsidR="007F530A" w:rsidRPr="00112398">
        <w:rPr>
          <w:rFonts w:eastAsia="MS Mincho"/>
          <w:lang w:val="fr-FR"/>
        </w:rPr>
        <w:t xml:space="preserve">on.  À </w:t>
      </w:r>
      <w:r w:rsidRPr="00112398">
        <w:rPr>
          <w:rFonts w:eastAsia="MS Mincho"/>
          <w:lang w:val="fr-FR"/>
        </w:rPr>
        <w:t xml:space="preserve">cet égard, il </w:t>
      </w:r>
      <w:r w:rsidR="000C516D">
        <w:rPr>
          <w:rFonts w:eastAsia="MS Mincho"/>
          <w:lang w:val="fr-FR"/>
        </w:rPr>
        <w:br/>
      </w:r>
      <w:r w:rsidR="000C516D">
        <w:rPr>
          <w:rFonts w:eastAsia="MS Mincho"/>
          <w:lang w:val="fr-FR"/>
        </w:rPr>
        <w:br/>
      </w:r>
      <w:r w:rsidR="000C516D">
        <w:rPr>
          <w:rFonts w:eastAsia="MS Mincho"/>
          <w:lang w:val="fr-FR"/>
        </w:rPr>
        <w:br/>
      </w:r>
      <w:r w:rsidRPr="00112398">
        <w:rPr>
          <w:rFonts w:eastAsia="MS Mincho"/>
          <w:lang w:val="fr-FR"/>
        </w:rPr>
        <w:lastRenderedPageBreak/>
        <w:t>était possible de</w:t>
      </w:r>
      <w:r w:rsidR="00AF4287">
        <w:rPr>
          <w:rFonts w:eastAsia="MS Mincho"/>
          <w:lang w:val="fr-FR"/>
        </w:rPr>
        <w:t xml:space="preserve"> fournir</w:t>
      </w:r>
      <w:r w:rsidR="00A17737">
        <w:rPr>
          <w:rFonts w:eastAsia="MS Mincho"/>
          <w:lang w:val="fr-FR"/>
        </w:rPr>
        <w:t xml:space="preserve"> l’information</w:t>
      </w:r>
      <w:r w:rsidR="008243CF">
        <w:rPr>
          <w:rFonts w:eastAsia="MS Mincho"/>
          <w:lang w:val="fr-FR"/>
        </w:rPr>
        <w:t xml:space="preserve"> relative à</w:t>
      </w:r>
      <w:r w:rsidRPr="00112398">
        <w:rPr>
          <w:rFonts w:eastAsia="MS Mincho"/>
          <w:lang w:val="fr-FR"/>
        </w:rPr>
        <w:t xml:space="preserve"> une marque ou un dessin ou modèle antérieur cité comme motif de refus en </w:t>
      </w:r>
      <w:r w:rsidR="005844D2" w:rsidRPr="00112398">
        <w:rPr>
          <w:rFonts w:eastAsia="MS Mincho"/>
          <w:lang w:val="fr-FR"/>
        </w:rPr>
        <w:t>joignant une copie de la publication nationale</w:t>
      </w:r>
      <w:r w:rsidR="00287F7D">
        <w:rPr>
          <w:rFonts w:eastAsia="MS Mincho"/>
          <w:lang w:val="fr-FR"/>
        </w:rPr>
        <w:t>,</w:t>
      </w:r>
      <w:r w:rsidR="005844D2" w:rsidRPr="00112398">
        <w:rPr>
          <w:rFonts w:eastAsia="MS Mincho"/>
          <w:lang w:val="fr-FR"/>
        </w:rPr>
        <w:t xml:space="preserve"> qui pouvait être dans une langue loca</w:t>
      </w:r>
      <w:r w:rsidR="007F530A" w:rsidRPr="00112398">
        <w:rPr>
          <w:rFonts w:eastAsia="MS Mincho"/>
          <w:lang w:val="fr-FR"/>
        </w:rPr>
        <w:t>le.  En</w:t>
      </w:r>
      <w:r w:rsidR="005844D2" w:rsidRPr="00112398">
        <w:rPr>
          <w:rFonts w:eastAsia="MS Mincho"/>
          <w:lang w:val="fr-FR"/>
        </w:rPr>
        <w:t xml:space="preserve"> outre, plusieurs marques ou dessins ou modèles antérieurs pouvaient être cités dans une seule </w:t>
      </w:r>
      <w:r w:rsidR="00EA55F4" w:rsidRPr="00112398">
        <w:rPr>
          <w:rFonts w:eastAsia="MS Mincho"/>
          <w:lang w:val="fr-FR"/>
        </w:rPr>
        <w:t>notification.</w:t>
      </w:r>
    </w:p>
    <w:p w:rsidR="00C1070F" w:rsidRPr="00112398" w:rsidRDefault="005844D2" w:rsidP="00CD3867">
      <w:pPr>
        <w:pStyle w:val="ONUMFS"/>
        <w:rPr>
          <w:lang w:val="fr-FR"/>
        </w:rPr>
      </w:pPr>
      <w:r w:rsidRPr="00112398">
        <w:rPr>
          <w:lang w:val="fr-FR"/>
        </w:rPr>
        <w:t xml:space="preserve">La </w:t>
      </w:r>
      <w:r w:rsidR="00EA55F4" w:rsidRPr="00112398">
        <w:rPr>
          <w:lang w:val="fr-FR"/>
        </w:rPr>
        <w:t>publi</w:t>
      </w:r>
      <w:r w:rsidR="00D476A5" w:rsidRPr="00112398">
        <w:rPr>
          <w:lang w:val="fr-FR"/>
        </w:rPr>
        <w:t xml:space="preserve">cation </w:t>
      </w:r>
      <w:r w:rsidRPr="00112398">
        <w:rPr>
          <w:lang w:val="fr-FR"/>
        </w:rPr>
        <w:t>d</w:t>
      </w:r>
      <w:r w:rsidR="009A5C78" w:rsidRPr="00112398">
        <w:rPr>
          <w:lang w:val="fr-FR"/>
        </w:rPr>
        <w:t>’</w:t>
      </w:r>
      <w:r w:rsidRPr="00112398">
        <w:rPr>
          <w:lang w:val="fr-FR"/>
        </w:rPr>
        <w:t xml:space="preserve">un refus </w:t>
      </w:r>
      <w:r w:rsidR="00EA55F4" w:rsidRPr="00112398">
        <w:rPr>
          <w:lang w:val="fr-FR"/>
        </w:rPr>
        <w:t>(provis</w:t>
      </w:r>
      <w:r w:rsidRPr="00112398">
        <w:rPr>
          <w:lang w:val="fr-FR"/>
        </w:rPr>
        <w:t>oire ou définitif</w:t>
      </w:r>
      <w:r w:rsidR="00EA55F4" w:rsidRPr="00112398">
        <w:rPr>
          <w:lang w:val="fr-FR"/>
        </w:rPr>
        <w:t xml:space="preserve">) </w:t>
      </w:r>
      <w:r w:rsidRPr="00112398">
        <w:rPr>
          <w:lang w:val="fr-FR"/>
        </w:rPr>
        <w:t>a pour objet d</w:t>
      </w:r>
      <w:r w:rsidR="009A5C78" w:rsidRPr="00112398">
        <w:rPr>
          <w:lang w:val="fr-FR"/>
        </w:rPr>
        <w:t>’</w:t>
      </w:r>
      <w:r w:rsidRPr="00112398">
        <w:rPr>
          <w:lang w:val="fr-FR"/>
        </w:rPr>
        <w:t>indiquer que les effets d</w:t>
      </w:r>
      <w:r w:rsidR="009A5C78" w:rsidRPr="00112398">
        <w:rPr>
          <w:lang w:val="fr-FR"/>
        </w:rPr>
        <w:t>’</w:t>
      </w:r>
      <w:r w:rsidRPr="00112398">
        <w:rPr>
          <w:lang w:val="fr-FR"/>
        </w:rPr>
        <w:t>un en</w:t>
      </w:r>
      <w:r w:rsidR="00EA55F4" w:rsidRPr="00112398">
        <w:rPr>
          <w:lang w:val="fr-FR"/>
        </w:rPr>
        <w:t>re</w:t>
      </w:r>
      <w:r w:rsidRPr="00112398">
        <w:rPr>
          <w:lang w:val="fr-FR"/>
        </w:rPr>
        <w:t xml:space="preserve">gistrement </w:t>
      </w:r>
      <w:r w:rsidR="00EA55F4" w:rsidRPr="00112398">
        <w:rPr>
          <w:lang w:val="fr-FR"/>
        </w:rPr>
        <w:t xml:space="preserve">international </w:t>
      </w:r>
      <w:r w:rsidRPr="00112398">
        <w:rPr>
          <w:lang w:val="fr-FR"/>
        </w:rPr>
        <w:t>ont été refusés par une partie contractante désign</w:t>
      </w:r>
      <w:r w:rsidR="007F530A" w:rsidRPr="00112398">
        <w:rPr>
          <w:lang w:val="fr-FR"/>
        </w:rPr>
        <w:t>ée.  Le</w:t>
      </w:r>
      <w:r w:rsidR="00BC184A" w:rsidRPr="00112398">
        <w:rPr>
          <w:lang w:val="fr-FR"/>
        </w:rPr>
        <w:t>s termes</w:t>
      </w:r>
      <w:r w:rsidR="00BA7123" w:rsidRPr="00112398">
        <w:rPr>
          <w:lang w:val="fr-FR"/>
        </w:rPr>
        <w:t xml:space="preserve"> “</w:t>
      </w:r>
      <w:r w:rsidR="00BC184A" w:rsidRPr="00112398">
        <w:rPr>
          <w:lang w:val="fr-FR"/>
        </w:rPr>
        <w:t xml:space="preserve">sans </w:t>
      </w:r>
      <w:r w:rsidR="00D0727D">
        <w:rPr>
          <w:lang w:val="fr-FR"/>
        </w:rPr>
        <w:t xml:space="preserve">l’indication </w:t>
      </w:r>
      <w:r w:rsidR="00D0727D">
        <w:rPr>
          <w:rFonts w:eastAsia="MS Mincho"/>
          <w:lang w:val="fr-FR"/>
        </w:rPr>
        <w:t>d</w:t>
      </w:r>
      <w:r w:rsidR="00BC184A" w:rsidRPr="00112398">
        <w:rPr>
          <w:rFonts w:eastAsia="MS Mincho"/>
          <w:lang w:val="fr-FR"/>
        </w:rPr>
        <w:t>es motifs de refus</w:t>
      </w:r>
      <w:r w:rsidR="00BA7123" w:rsidRPr="00112398">
        <w:rPr>
          <w:lang w:val="fr-FR"/>
        </w:rPr>
        <w:t xml:space="preserve">” </w:t>
      </w:r>
      <w:r w:rsidR="00BC184A" w:rsidRPr="00112398">
        <w:rPr>
          <w:lang w:val="fr-FR"/>
        </w:rPr>
        <w:t>semblent avoir été incorporés dans le règlement d</w:t>
      </w:r>
      <w:r w:rsidR="009A5C78" w:rsidRPr="00112398">
        <w:rPr>
          <w:lang w:val="fr-FR"/>
        </w:rPr>
        <w:t>’</w:t>
      </w:r>
      <w:r w:rsidR="00BC184A" w:rsidRPr="00112398">
        <w:rPr>
          <w:lang w:val="fr-FR"/>
        </w:rPr>
        <w:t>exécution de Madrid afin de rendre compte non seulement de cet objectif principal de la publication d</w:t>
      </w:r>
      <w:r w:rsidR="009A5C78" w:rsidRPr="00112398">
        <w:rPr>
          <w:lang w:val="fr-FR"/>
        </w:rPr>
        <w:t>’</w:t>
      </w:r>
      <w:r w:rsidR="00BC184A" w:rsidRPr="00112398">
        <w:rPr>
          <w:lang w:val="fr-FR"/>
        </w:rPr>
        <w:t>un refus, mais aussi des contraintes techniques découlant du fait qu</w:t>
      </w:r>
      <w:r w:rsidR="009A5C78" w:rsidRPr="00112398">
        <w:rPr>
          <w:lang w:val="fr-FR"/>
        </w:rPr>
        <w:t>’</w:t>
      </w:r>
      <w:r w:rsidR="00BC184A" w:rsidRPr="00112398">
        <w:rPr>
          <w:lang w:val="fr-FR"/>
        </w:rPr>
        <w:t>il est extrêmement difficile pour le Bureau international de saisir et de publier toutes les informations relatives aux motifs de refus</w:t>
      </w:r>
      <w:r w:rsidR="00CE6C8E" w:rsidRPr="00112398">
        <w:rPr>
          <w:lang w:val="fr-FR"/>
        </w:rPr>
        <w:t>.</w:t>
      </w:r>
    </w:p>
    <w:p w:rsidR="0066092C" w:rsidRPr="0066092C" w:rsidRDefault="00910A69" w:rsidP="0066092C">
      <w:pPr>
        <w:pStyle w:val="ONUMFS"/>
        <w:rPr>
          <w:rFonts w:eastAsia="MS Mincho"/>
          <w:lang w:val="fr-FR"/>
        </w:rPr>
      </w:pPr>
      <w:r w:rsidRPr="00112398">
        <w:rPr>
          <w:rFonts w:eastAsia="MS Mincho"/>
          <w:lang w:val="fr-FR"/>
        </w:rPr>
        <w:t>En l</w:t>
      </w:r>
      <w:r w:rsidR="009A5C78" w:rsidRPr="00112398">
        <w:rPr>
          <w:rFonts w:eastAsia="MS Mincho"/>
          <w:lang w:val="fr-FR"/>
        </w:rPr>
        <w:t>’</w:t>
      </w:r>
      <w:r w:rsidRPr="00112398">
        <w:rPr>
          <w:rFonts w:eastAsia="MS Mincho"/>
          <w:lang w:val="fr-FR"/>
        </w:rPr>
        <w:t>absence d</w:t>
      </w:r>
      <w:r w:rsidR="009A5C78" w:rsidRPr="00112398">
        <w:rPr>
          <w:rFonts w:eastAsia="MS Mincho"/>
          <w:lang w:val="fr-FR"/>
        </w:rPr>
        <w:t>’</w:t>
      </w:r>
      <w:r w:rsidRPr="00112398">
        <w:rPr>
          <w:rFonts w:eastAsia="MS Mincho"/>
          <w:lang w:val="fr-FR"/>
        </w:rPr>
        <w:t>observations sur ce point dans les documents du comité d</w:t>
      </w:r>
      <w:r w:rsidR="009A5C78" w:rsidRPr="00112398">
        <w:rPr>
          <w:rFonts w:eastAsia="MS Mincho"/>
          <w:lang w:val="fr-FR"/>
        </w:rPr>
        <w:t>’</w:t>
      </w:r>
      <w:r w:rsidRPr="00112398">
        <w:rPr>
          <w:rFonts w:eastAsia="MS Mincho"/>
          <w:lang w:val="fr-FR"/>
        </w:rPr>
        <w:t>experts et de la conférence diplomatique, il peut être présumé que les mêmes termes ont simplement été copiés du règlement d</w:t>
      </w:r>
      <w:r w:rsidR="009A5C78" w:rsidRPr="00112398">
        <w:rPr>
          <w:rFonts w:eastAsia="MS Mincho"/>
          <w:lang w:val="fr-FR"/>
        </w:rPr>
        <w:t>’</w:t>
      </w:r>
      <w:r w:rsidRPr="00112398">
        <w:rPr>
          <w:rFonts w:eastAsia="MS Mincho"/>
          <w:lang w:val="fr-FR"/>
        </w:rPr>
        <w:t xml:space="preserve">exécution de Madrid afin </w:t>
      </w:r>
      <w:r w:rsidR="00B1296B" w:rsidRPr="00112398">
        <w:rPr>
          <w:rFonts w:eastAsia="MS Mincho"/>
          <w:lang w:val="fr-FR"/>
        </w:rPr>
        <w:t>de faire ressortir</w:t>
      </w:r>
      <w:r w:rsidR="00440838" w:rsidRPr="00112398">
        <w:rPr>
          <w:rFonts w:eastAsia="MS Mincho"/>
          <w:lang w:val="fr-FR"/>
        </w:rPr>
        <w:t xml:space="preserve"> </w:t>
      </w:r>
      <w:r w:rsidR="00B1296B" w:rsidRPr="00112398">
        <w:rPr>
          <w:rFonts w:eastAsia="MS Mincho"/>
          <w:lang w:val="fr-FR"/>
        </w:rPr>
        <w:t xml:space="preserve">la même </w:t>
      </w:r>
      <w:r w:rsidR="00440838" w:rsidRPr="00112398">
        <w:rPr>
          <w:rFonts w:eastAsia="MS Mincho"/>
          <w:lang w:val="fr-FR"/>
        </w:rPr>
        <w:t xml:space="preserve">nuance </w:t>
      </w:r>
      <w:r w:rsidR="00B1296B" w:rsidRPr="00112398">
        <w:rPr>
          <w:rFonts w:eastAsia="MS Mincho"/>
          <w:lang w:val="fr-FR"/>
        </w:rPr>
        <w:t>dans le règlement d</w:t>
      </w:r>
      <w:r w:rsidR="009A5C78" w:rsidRPr="00112398">
        <w:rPr>
          <w:rFonts w:eastAsia="MS Mincho"/>
          <w:lang w:val="fr-FR"/>
        </w:rPr>
        <w:t>’</w:t>
      </w:r>
      <w:r w:rsidR="00B1296B" w:rsidRPr="00112398">
        <w:rPr>
          <w:rFonts w:eastAsia="MS Mincho"/>
          <w:lang w:val="fr-FR"/>
        </w:rPr>
        <w:t xml:space="preserve">exécution commun de </w:t>
      </w:r>
      <w:r w:rsidR="009A5C78" w:rsidRPr="00112398">
        <w:rPr>
          <w:rFonts w:eastAsia="MS Mincho"/>
          <w:lang w:val="fr-FR"/>
        </w:rPr>
        <w:t>La Haye</w:t>
      </w:r>
      <w:r w:rsidR="009E2E83" w:rsidRPr="00112398">
        <w:rPr>
          <w:rFonts w:eastAsia="MS Mincho"/>
          <w:lang w:val="fr-FR"/>
        </w:rPr>
        <w:t>.</w:t>
      </w:r>
    </w:p>
    <w:p w:rsidR="00EB04AD" w:rsidRPr="00112398" w:rsidRDefault="002166E6" w:rsidP="0066092C">
      <w:pPr>
        <w:pStyle w:val="Heading2"/>
        <w:spacing w:before="360"/>
        <w:rPr>
          <w:lang w:val="fr-FR" w:eastAsia="en-US"/>
        </w:rPr>
      </w:pPr>
      <w:r w:rsidRPr="00112398">
        <w:rPr>
          <w:lang w:val="fr-FR" w:eastAsia="en-US"/>
        </w:rPr>
        <w:t xml:space="preserve">Pratiques </w:t>
      </w:r>
      <w:r w:rsidR="00B1296B" w:rsidRPr="00112398">
        <w:rPr>
          <w:lang w:val="fr-FR" w:eastAsia="en-US"/>
        </w:rPr>
        <w:t>des offices émettant fréquemment des notifications de refus</w:t>
      </w:r>
    </w:p>
    <w:p w:rsidR="00F23DE3" w:rsidRPr="00112398" w:rsidRDefault="00B1296B" w:rsidP="00CD3867">
      <w:pPr>
        <w:pStyle w:val="ONUMFS"/>
        <w:rPr>
          <w:rFonts w:eastAsia="MS Mincho"/>
          <w:lang w:val="fr-FR"/>
        </w:rPr>
      </w:pPr>
      <w:r w:rsidRPr="00112398">
        <w:rPr>
          <w:lang w:val="fr-FR"/>
        </w:rPr>
        <w:t xml:space="preserve">Comme indiqué </w:t>
      </w:r>
      <w:r w:rsidR="00BD34E9">
        <w:rPr>
          <w:lang w:val="fr-FR"/>
        </w:rPr>
        <w:t>ci-dessus</w:t>
      </w:r>
      <w:r w:rsidRPr="00112398">
        <w:rPr>
          <w:lang w:val="fr-FR"/>
        </w:rPr>
        <w:t>,</w:t>
      </w:r>
      <w:r w:rsidR="00E178A7" w:rsidRPr="00112398">
        <w:rPr>
          <w:lang w:val="fr-FR"/>
        </w:rPr>
        <w:t xml:space="preserve"> le JPO</w:t>
      </w:r>
      <w:r w:rsidR="006B0918" w:rsidRPr="00112398">
        <w:rPr>
          <w:lang w:val="fr-FR"/>
        </w:rPr>
        <w:t>,</w:t>
      </w:r>
      <w:r w:rsidR="00E178A7" w:rsidRPr="00112398">
        <w:rPr>
          <w:lang w:val="fr-FR"/>
        </w:rPr>
        <w:t xml:space="preserve"> le KIP</w:t>
      </w:r>
      <w:r w:rsidR="006B0918" w:rsidRPr="00112398">
        <w:rPr>
          <w:lang w:val="fr-FR"/>
        </w:rPr>
        <w:t>O</w:t>
      </w:r>
      <w:r w:rsidR="000C4046" w:rsidRPr="00112398">
        <w:rPr>
          <w:lang w:val="fr-FR"/>
        </w:rPr>
        <w:t xml:space="preserve"> </w:t>
      </w:r>
      <w:r w:rsidRPr="00112398">
        <w:rPr>
          <w:lang w:val="fr-FR"/>
        </w:rPr>
        <w:t>et l</w:t>
      </w:r>
      <w:r w:rsidR="009A5C78" w:rsidRPr="00112398">
        <w:rPr>
          <w:lang w:val="fr-FR"/>
        </w:rPr>
        <w:t>’</w:t>
      </w:r>
      <w:r w:rsidR="006B0918" w:rsidRPr="00112398">
        <w:rPr>
          <w:lang w:val="fr-FR"/>
        </w:rPr>
        <w:t>USPTO</w:t>
      </w:r>
      <w:r w:rsidR="000C4046" w:rsidRPr="00112398">
        <w:rPr>
          <w:lang w:val="fr-FR"/>
        </w:rPr>
        <w:t xml:space="preserve"> </w:t>
      </w:r>
      <w:r w:rsidRPr="00112398">
        <w:rPr>
          <w:lang w:val="fr-FR"/>
        </w:rPr>
        <w:t xml:space="preserve">sont actuellement les trois principaux </w:t>
      </w:r>
      <w:r w:rsidR="00BB0AE1">
        <w:rPr>
          <w:lang w:val="fr-FR"/>
        </w:rPr>
        <w:t>O</w:t>
      </w:r>
      <w:r w:rsidRPr="00112398">
        <w:rPr>
          <w:lang w:val="fr-FR"/>
        </w:rPr>
        <w:t>ffices émettant des n</w:t>
      </w:r>
      <w:r w:rsidR="000C4046" w:rsidRPr="00112398">
        <w:rPr>
          <w:lang w:val="fr-FR"/>
        </w:rPr>
        <w:t>otification</w:t>
      </w:r>
      <w:r w:rsidR="00CF72B4" w:rsidRPr="00112398">
        <w:rPr>
          <w:lang w:val="fr-FR"/>
        </w:rPr>
        <w:t>s</w:t>
      </w:r>
      <w:r w:rsidR="000C4046" w:rsidRPr="00112398">
        <w:rPr>
          <w:lang w:val="fr-FR"/>
        </w:rPr>
        <w:t xml:space="preserve"> </w:t>
      </w:r>
      <w:r w:rsidRPr="00112398">
        <w:rPr>
          <w:lang w:val="fr-FR"/>
        </w:rPr>
        <w:t>de refus</w:t>
      </w:r>
      <w:r w:rsidR="000C4046" w:rsidRPr="00112398">
        <w:rPr>
          <w:lang w:val="fr-FR"/>
        </w:rPr>
        <w:t>.</w:t>
      </w:r>
    </w:p>
    <w:p w:rsidR="00F23DE3" w:rsidRPr="00112398" w:rsidRDefault="00472869" w:rsidP="00CD3867">
      <w:pPr>
        <w:pStyle w:val="ONUMFS"/>
        <w:rPr>
          <w:rFonts w:eastAsia="MS Mincho"/>
          <w:lang w:val="fr-FR"/>
        </w:rPr>
      </w:pPr>
      <w:r w:rsidRPr="00112398">
        <w:rPr>
          <w:lang w:val="fr-FR"/>
        </w:rPr>
        <w:t>L</w:t>
      </w:r>
      <w:r w:rsidR="009A5C78" w:rsidRPr="00112398">
        <w:rPr>
          <w:lang w:val="fr-FR"/>
        </w:rPr>
        <w:t>’</w:t>
      </w:r>
      <w:r w:rsidR="00635123" w:rsidRPr="00112398">
        <w:rPr>
          <w:lang w:val="fr-FR"/>
        </w:rPr>
        <w:t xml:space="preserve">USPTO </w:t>
      </w:r>
      <w:r w:rsidRPr="00112398">
        <w:rPr>
          <w:lang w:val="fr-FR"/>
        </w:rPr>
        <w:t>propose le Système de recherche d</w:t>
      </w:r>
      <w:r w:rsidR="009A5C78" w:rsidRPr="00112398">
        <w:rPr>
          <w:lang w:val="fr-FR"/>
        </w:rPr>
        <w:t>’</w:t>
      </w:r>
      <w:r w:rsidRPr="00112398">
        <w:rPr>
          <w:lang w:val="fr-FR"/>
        </w:rPr>
        <w:t xml:space="preserve">informations en matière de demandes de brevet </w:t>
      </w:r>
      <w:r w:rsidR="00635123" w:rsidRPr="00112398">
        <w:rPr>
          <w:lang w:val="fr-FR"/>
        </w:rPr>
        <w:t>(“</w:t>
      </w:r>
      <w:r w:rsidRPr="00112398">
        <w:rPr>
          <w:lang w:val="fr-FR"/>
        </w:rPr>
        <w:t xml:space="preserve">système </w:t>
      </w:r>
      <w:r w:rsidR="00635123" w:rsidRPr="00112398">
        <w:rPr>
          <w:lang w:val="fr-FR"/>
        </w:rPr>
        <w:t xml:space="preserve">PAIR”) </w:t>
      </w:r>
      <w:r w:rsidRPr="00112398">
        <w:rPr>
          <w:lang w:val="fr-FR"/>
        </w:rPr>
        <w:t>sur son site W</w:t>
      </w:r>
      <w:r w:rsidR="007F530A" w:rsidRPr="00112398">
        <w:rPr>
          <w:lang w:val="fr-FR"/>
        </w:rPr>
        <w:t>eb.  Un</w:t>
      </w:r>
      <w:r w:rsidRPr="00112398">
        <w:rPr>
          <w:lang w:val="fr-FR"/>
        </w:rPr>
        <w:t xml:space="preserve"> déposant peut</w:t>
      </w:r>
      <w:r w:rsidR="00926CD7">
        <w:rPr>
          <w:lang w:val="fr-FR"/>
        </w:rPr>
        <w:t xml:space="preserve">, </w:t>
      </w:r>
      <w:r w:rsidRPr="00112398">
        <w:rPr>
          <w:lang w:val="fr-FR"/>
        </w:rPr>
        <w:t>à tout moment</w:t>
      </w:r>
      <w:r w:rsidR="00926CD7">
        <w:rPr>
          <w:lang w:val="fr-FR"/>
        </w:rPr>
        <w:t xml:space="preserve">, </w:t>
      </w:r>
      <w:r w:rsidRPr="00112398">
        <w:rPr>
          <w:lang w:val="fr-FR"/>
        </w:rPr>
        <w:t>vérifier l</w:t>
      </w:r>
      <w:r w:rsidR="009A5C78" w:rsidRPr="00112398">
        <w:rPr>
          <w:lang w:val="fr-FR"/>
        </w:rPr>
        <w:t>’</w:t>
      </w:r>
      <w:r w:rsidRPr="00112398">
        <w:rPr>
          <w:lang w:val="fr-FR"/>
        </w:rPr>
        <w:t>état d</w:t>
      </w:r>
      <w:r w:rsidR="009A5C78" w:rsidRPr="00112398">
        <w:rPr>
          <w:lang w:val="fr-FR"/>
        </w:rPr>
        <w:t>’</w:t>
      </w:r>
      <w:r w:rsidRPr="00112398">
        <w:rPr>
          <w:lang w:val="fr-FR"/>
        </w:rPr>
        <w:t>avancement de sa demande de brevet par l</w:t>
      </w:r>
      <w:r w:rsidR="009A5C78" w:rsidRPr="00112398">
        <w:rPr>
          <w:lang w:val="fr-FR"/>
        </w:rPr>
        <w:t>’</w:t>
      </w:r>
      <w:r w:rsidRPr="00112398">
        <w:rPr>
          <w:lang w:val="fr-FR"/>
        </w:rPr>
        <w:t xml:space="preserve">intermédiaire de </w:t>
      </w:r>
      <w:r w:rsidR="00D93060" w:rsidRPr="00112398">
        <w:rPr>
          <w:lang w:val="fr-FR"/>
        </w:rPr>
        <w:t>“</w:t>
      </w:r>
      <w:proofErr w:type="spellStart"/>
      <w:r w:rsidR="00D93060" w:rsidRPr="00112398">
        <w:rPr>
          <w:lang w:val="fr-FR"/>
        </w:rPr>
        <w:t>Private</w:t>
      </w:r>
      <w:proofErr w:type="spellEnd"/>
      <w:r w:rsidR="00D93060" w:rsidRPr="00112398">
        <w:rPr>
          <w:lang w:val="fr-FR"/>
        </w:rPr>
        <w:t xml:space="preserve"> PAIR”</w:t>
      </w:r>
      <w:r w:rsidR="00CB5B2E" w:rsidRPr="00112398">
        <w:rPr>
          <w:lang w:val="fr-FR"/>
        </w:rPr>
        <w:t>.</w:t>
      </w:r>
      <w:r w:rsidR="005F1073" w:rsidRPr="00112398">
        <w:rPr>
          <w:lang w:val="fr-FR"/>
        </w:rPr>
        <w:t xml:space="preserve"> </w:t>
      </w:r>
      <w:r w:rsidR="00CB5B2E" w:rsidRPr="00112398">
        <w:rPr>
          <w:lang w:val="fr-FR"/>
        </w:rPr>
        <w:t xml:space="preserve"> </w:t>
      </w:r>
      <w:r w:rsidRPr="00112398">
        <w:rPr>
          <w:lang w:val="fr-FR"/>
        </w:rPr>
        <w:t>En outre,</w:t>
      </w:r>
      <w:r w:rsidR="00CB5B2E" w:rsidRPr="00112398">
        <w:rPr>
          <w:lang w:val="fr-FR"/>
        </w:rPr>
        <w:t xml:space="preserve"> “Public</w:t>
      </w:r>
      <w:r w:rsidR="008566A9">
        <w:rPr>
          <w:lang w:val="fr-FR"/>
        </w:rPr>
        <w:t> </w:t>
      </w:r>
      <w:r w:rsidR="00CB5B2E" w:rsidRPr="00112398">
        <w:rPr>
          <w:lang w:val="fr-FR"/>
        </w:rPr>
        <w:t xml:space="preserve">PAIR” </w:t>
      </w:r>
      <w:r w:rsidRPr="00112398">
        <w:rPr>
          <w:lang w:val="fr-FR"/>
        </w:rPr>
        <w:t>permet aux tiers d</w:t>
      </w:r>
      <w:r w:rsidR="009A5C78" w:rsidRPr="00112398">
        <w:rPr>
          <w:lang w:val="fr-FR"/>
        </w:rPr>
        <w:t>’</w:t>
      </w:r>
      <w:r w:rsidRPr="00112398">
        <w:rPr>
          <w:lang w:val="fr-FR"/>
        </w:rPr>
        <w:t>avoir accès aux données pertinentes</w:t>
      </w:r>
      <w:r w:rsidR="00111502" w:rsidRPr="00112398">
        <w:rPr>
          <w:lang w:val="fr-FR"/>
        </w:rPr>
        <w:t xml:space="preserve">, </w:t>
      </w:r>
      <w:r w:rsidR="009A5C78" w:rsidRPr="00112398">
        <w:rPr>
          <w:lang w:val="fr-FR"/>
        </w:rPr>
        <w:t>y compris</w:t>
      </w:r>
      <w:r w:rsidRPr="00112398">
        <w:rPr>
          <w:lang w:val="fr-FR"/>
        </w:rPr>
        <w:t xml:space="preserve"> les </w:t>
      </w:r>
      <w:r w:rsidR="005F1073" w:rsidRPr="00112398">
        <w:rPr>
          <w:lang w:val="fr-FR"/>
        </w:rPr>
        <w:t>notification</w:t>
      </w:r>
      <w:r w:rsidRPr="00112398">
        <w:rPr>
          <w:lang w:val="fr-FR"/>
        </w:rPr>
        <w:t>s de refus et tous les autres échanges entre le déposant et l</w:t>
      </w:r>
      <w:r w:rsidR="009A5C78" w:rsidRPr="00112398">
        <w:rPr>
          <w:lang w:val="fr-FR"/>
        </w:rPr>
        <w:t>’</w:t>
      </w:r>
      <w:r w:rsidR="00BB0AE1">
        <w:rPr>
          <w:lang w:val="fr-FR"/>
        </w:rPr>
        <w:t>O</w:t>
      </w:r>
      <w:r w:rsidRPr="00112398">
        <w:rPr>
          <w:lang w:val="fr-FR"/>
        </w:rPr>
        <w:t>ffice</w:t>
      </w:r>
      <w:r w:rsidR="00AC7AC6" w:rsidRPr="00112398">
        <w:rPr>
          <w:lang w:val="fr-FR"/>
        </w:rPr>
        <w:t xml:space="preserve">, </w:t>
      </w:r>
      <w:r w:rsidR="00DE1E62">
        <w:rPr>
          <w:lang w:val="fr-FR"/>
        </w:rPr>
        <w:t>seulement</w:t>
      </w:r>
      <w:r w:rsidR="00C03EDB">
        <w:rPr>
          <w:lang w:val="fr-FR"/>
        </w:rPr>
        <w:t xml:space="preserve">, si le </w:t>
      </w:r>
      <w:r w:rsidR="00AC7AC6" w:rsidRPr="00112398">
        <w:rPr>
          <w:lang w:val="fr-FR"/>
        </w:rPr>
        <w:t>brevet</w:t>
      </w:r>
      <w:r w:rsidR="00C03EDB">
        <w:rPr>
          <w:lang w:val="fr-FR"/>
        </w:rPr>
        <w:t xml:space="preserve"> est délivré</w:t>
      </w:r>
      <w:r w:rsidR="007F530A" w:rsidRPr="00112398">
        <w:rPr>
          <w:lang w:val="fr-FR"/>
        </w:rPr>
        <w:t>.  Pa</w:t>
      </w:r>
      <w:r w:rsidR="00AC7AC6" w:rsidRPr="00112398">
        <w:rPr>
          <w:lang w:val="fr-FR"/>
        </w:rPr>
        <w:t>r ailleurs, si les États</w:t>
      </w:r>
      <w:r w:rsidR="009A5C78" w:rsidRPr="00112398">
        <w:rPr>
          <w:lang w:val="fr-FR"/>
        </w:rPr>
        <w:t>-</w:t>
      </w:r>
      <w:r w:rsidR="00AC7AC6" w:rsidRPr="00112398">
        <w:rPr>
          <w:lang w:val="fr-FR"/>
        </w:rPr>
        <w:t>Unis</w:t>
      </w:r>
      <w:r w:rsidR="007E3D16" w:rsidRPr="00112398">
        <w:rPr>
          <w:lang w:val="fr-FR"/>
        </w:rPr>
        <w:t xml:space="preserve"> d</w:t>
      </w:r>
      <w:r w:rsidR="009A5C78" w:rsidRPr="00112398">
        <w:rPr>
          <w:lang w:val="fr-FR"/>
        </w:rPr>
        <w:t>’</w:t>
      </w:r>
      <w:r w:rsidR="007E3D16" w:rsidRPr="00112398">
        <w:rPr>
          <w:lang w:val="fr-FR"/>
        </w:rPr>
        <w:t>Amérique</w:t>
      </w:r>
      <w:r w:rsidR="00AC7AC6" w:rsidRPr="00112398">
        <w:rPr>
          <w:lang w:val="fr-FR"/>
        </w:rPr>
        <w:t xml:space="preserve"> sont désignés dans un enregistrement international, toutes </w:t>
      </w:r>
      <w:r w:rsidR="00652D74">
        <w:rPr>
          <w:lang w:val="fr-FR"/>
        </w:rPr>
        <w:t>c</w:t>
      </w:r>
      <w:r w:rsidR="00AC7AC6" w:rsidRPr="00112398">
        <w:rPr>
          <w:lang w:val="fr-FR"/>
        </w:rPr>
        <w:t>es communications deviennent accessibles après sa publication par le Bureau international, quel</w:t>
      </w:r>
      <w:r w:rsidR="000900E7" w:rsidRPr="00112398">
        <w:rPr>
          <w:lang w:val="fr-FR"/>
        </w:rPr>
        <w:t>le</w:t>
      </w:r>
      <w:r w:rsidR="00AC7AC6" w:rsidRPr="00112398">
        <w:rPr>
          <w:lang w:val="fr-FR"/>
        </w:rPr>
        <w:t xml:space="preserve"> que soit </w:t>
      </w:r>
      <w:r w:rsidR="000900E7" w:rsidRPr="00112398">
        <w:rPr>
          <w:lang w:val="fr-FR"/>
        </w:rPr>
        <w:t>l</w:t>
      </w:r>
      <w:r w:rsidR="009A5C78" w:rsidRPr="00112398">
        <w:rPr>
          <w:lang w:val="fr-FR"/>
        </w:rPr>
        <w:t>’</w:t>
      </w:r>
      <w:r w:rsidR="000900E7" w:rsidRPr="00112398">
        <w:rPr>
          <w:lang w:val="fr-FR"/>
        </w:rPr>
        <w:t>issue de l</w:t>
      </w:r>
      <w:r w:rsidR="009A5C78" w:rsidRPr="00112398">
        <w:rPr>
          <w:lang w:val="fr-FR"/>
        </w:rPr>
        <w:t>’</w:t>
      </w:r>
      <w:r w:rsidR="000900E7" w:rsidRPr="00112398">
        <w:rPr>
          <w:lang w:val="fr-FR"/>
        </w:rPr>
        <w:t>enregistrement</w:t>
      </w:r>
      <w:r w:rsidR="002A574B" w:rsidRPr="00112398">
        <w:rPr>
          <w:lang w:val="fr-FR"/>
        </w:rPr>
        <w:t>.</w:t>
      </w:r>
    </w:p>
    <w:p w:rsidR="008253A7" w:rsidRPr="00112398" w:rsidRDefault="000900E7" w:rsidP="00CD3867">
      <w:pPr>
        <w:pStyle w:val="ONUMFS"/>
        <w:rPr>
          <w:lang w:val="fr-FR" w:eastAsia="en-US"/>
        </w:rPr>
      </w:pPr>
      <w:r w:rsidRPr="00112398">
        <w:rPr>
          <w:lang w:val="fr-FR" w:eastAsia="en-US"/>
        </w:rPr>
        <w:t xml:space="preserve">Par contre, les bases de données </w:t>
      </w:r>
      <w:r w:rsidR="008253A7" w:rsidRPr="00112398">
        <w:rPr>
          <w:lang w:val="fr-FR" w:eastAsia="en-US"/>
        </w:rPr>
        <w:t>J</w:t>
      </w:r>
      <w:r w:rsidR="009A5C78" w:rsidRPr="00112398">
        <w:rPr>
          <w:lang w:val="fr-FR" w:eastAsia="en-US"/>
        </w:rPr>
        <w:t>-</w:t>
      </w:r>
      <w:r w:rsidR="008253A7" w:rsidRPr="00112398">
        <w:rPr>
          <w:lang w:val="fr-FR" w:eastAsia="en-US"/>
        </w:rPr>
        <w:t>PRAT</w:t>
      </w:r>
      <w:r w:rsidR="009A5C78" w:rsidRPr="00112398">
        <w:rPr>
          <w:lang w:val="fr-FR" w:eastAsia="en-US"/>
        </w:rPr>
        <w:t>-</w:t>
      </w:r>
      <w:r w:rsidR="008253A7" w:rsidRPr="00112398">
        <w:rPr>
          <w:lang w:val="fr-FR" w:eastAsia="en-US"/>
        </w:rPr>
        <w:t>PAT</w:t>
      </w:r>
      <w:r w:rsidR="00E178A7" w:rsidRPr="00112398">
        <w:rPr>
          <w:lang w:val="fr-FR" w:eastAsia="en-US"/>
        </w:rPr>
        <w:t xml:space="preserve"> du JPO</w:t>
      </w:r>
      <w:r w:rsidRPr="00112398">
        <w:rPr>
          <w:lang w:val="fr-FR" w:eastAsia="en-US"/>
        </w:rPr>
        <w:t xml:space="preserve"> et KIPRIS</w:t>
      </w:r>
      <w:r w:rsidR="00E178A7" w:rsidRPr="00112398">
        <w:rPr>
          <w:lang w:val="fr-FR" w:eastAsia="en-US"/>
        </w:rPr>
        <w:t xml:space="preserve"> du KIP</w:t>
      </w:r>
      <w:r w:rsidRPr="00112398">
        <w:rPr>
          <w:lang w:val="fr-FR" w:eastAsia="en-US"/>
        </w:rPr>
        <w:t>O ne permettent pas à un tiers d</w:t>
      </w:r>
      <w:r w:rsidR="009A5C78" w:rsidRPr="00112398">
        <w:rPr>
          <w:lang w:val="fr-FR" w:eastAsia="en-US"/>
        </w:rPr>
        <w:t>’</w:t>
      </w:r>
      <w:r w:rsidRPr="00112398">
        <w:rPr>
          <w:lang w:val="fr-FR" w:eastAsia="en-US"/>
        </w:rPr>
        <w:t xml:space="preserve">avoir accès aux </w:t>
      </w:r>
      <w:r w:rsidR="008253A7" w:rsidRPr="00112398">
        <w:rPr>
          <w:lang w:val="fr-FR" w:eastAsia="en-US"/>
        </w:rPr>
        <w:t>notification</w:t>
      </w:r>
      <w:r w:rsidR="00022060" w:rsidRPr="00112398">
        <w:rPr>
          <w:lang w:val="fr-FR" w:eastAsia="en-US"/>
        </w:rPr>
        <w:t>s</w:t>
      </w:r>
      <w:r w:rsidR="008253A7" w:rsidRPr="00112398">
        <w:rPr>
          <w:lang w:val="fr-FR" w:eastAsia="en-US"/>
        </w:rPr>
        <w:t xml:space="preserve"> </w:t>
      </w:r>
      <w:r w:rsidRPr="00112398">
        <w:rPr>
          <w:lang w:val="fr-FR" w:eastAsia="en-US"/>
        </w:rPr>
        <w:t>de refus par l</w:t>
      </w:r>
      <w:r w:rsidR="009A5C78" w:rsidRPr="00112398">
        <w:rPr>
          <w:lang w:val="fr-FR" w:eastAsia="en-US"/>
        </w:rPr>
        <w:t>’</w:t>
      </w:r>
      <w:r w:rsidRPr="00112398">
        <w:rPr>
          <w:lang w:val="fr-FR" w:eastAsia="en-US"/>
        </w:rPr>
        <w:t>intermédiaire de leur site W</w:t>
      </w:r>
      <w:r w:rsidR="007F530A" w:rsidRPr="00112398">
        <w:rPr>
          <w:lang w:val="fr-FR" w:eastAsia="en-US"/>
        </w:rPr>
        <w:t>eb.  To</w:t>
      </w:r>
      <w:r w:rsidRPr="00112398">
        <w:rPr>
          <w:lang w:val="fr-FR" w:eastAsia="en-US"/>
        </w:rPr>
        <w:t xml:space="preserve">utefois, en principe, toutes les communications, </w:t>
      </w:r>
      <w:r w:rsidR="009A5C78" w:rsidRPr="00112398">
        <w:rPr>
          <w:lang w:val="fr-FR" w:eastAsia="en-US"/>
        </w:rPr>
        <w:t>y compris</w:t>
      </w:r>
      <w:r w:rsidRPr="00112398">
        <w:rPr>
          <w:lang w:val="fr-FR" w:eastAsia="en-US"/>
        </w:rPr>
        <w:t xml:space="preserve"> les notifications de refus, sont mises à la disposition des tiers sur demande, </w:t>
      </w:r>
      <w:r w:rsidR="00DE1E62">
        <w:rPr>
          <w:lang w:val="fr-FR" w:eastAsia="en-US"/>
        </w:rPr>
        <w:t xml:space="preserve">seulement </w:t>
      </w:r>
      <w:r w:rsidR="00C03EDB">
        <w:rPr>
          <w:lang w:val="fr-FR" w:eastAsia="en-US"/>
        </w:rPr>
        <w:t>si le</w:t>
      </w:r>
      <w:r w:rsidRPr="00112398">
        <w:rPr>
          <w:lang w:val="fr-FR" w:eastAsia="en-US"/>
        </w:rPr>
        <w:t xml:space="preserve"> dessin ou modèle industriel</w:t>
      </w:r>
      <w:r w:rsidR="00C03EDB">
        <w:rPr>
          <w:lang w:val="fr-FR" w:eastAsia="en-US"/>
        </w:rPr>
        <w:t xml:space="preserve"> est enregistré</w:t>
      </w:r>
      <w:r w:rsidR="002A574B" w:rsidRPr="00112398">
        <w:rPr>
          <w:lang w:val="fr-FR" w:eastAsia="en-US"/>
        </w:rPr>
        <w:t>.</w:t>
      </w:r>
    </w:p>
    <w:p w:rsidR="00F23DE3" w:rsidRPr="00112398" w:rsidRDefault="00F23DE3" w:rsidP="00AF47AD">
      <w:pPr>
        <w:pStyle w:val="Heading1"/>
        <w:spacing w:before="480"/>
        <w:rPr>
          <w:lang w:val="fr-FR" w:eastAsia="en-US"/>
        </w:rPr>
      </w:pPr>
      <w:r w:rsidRPr="00112398">
        <w:rPr>
          <w:lang w:val="fr-FR" w:eastAsia="en-US"/>
        </w:rPr>
        <w:t>I</w:t>
      </w:r>
      <w:r w:rsidR="008253A7" w:rsidRPr="00112398">
        <w:rPr>
          <w:lang w:val="fr-FR" w:eastAsia="en-US"/>
        </w:rPr>
        <w:t>V</w:t>
      </w:r>
      <w:r w:rsidR="005305EA" w:rsidRPr="00112398">
        <w:rPr>
          <w:lang w:val="fr-FR" w:eastAsia="en-US"/>
        </w:rPr>
        <w:t>.</w:t>
      </w:r>
      <w:r w:rsidR="005305EA" w:rsidRPr="00112398">
        <w:rPr>
          <w:lang w:val="fr-FR" w:eastAsia="en-US"/>
        </w:rPr>
        <w:tab/>
      </w:r>
      <w:r w:rsidR="007E3D16" w:rsidRPr="00112398">
        <w:rPr>
          <w:lang w:val="fr-FR" w:eastAsia="en-US"/>
        </w:rPr>
        <w:t>Point</w:t>
      </w:r>
      <w:r w:rsidR="000900E7" w:rsidRPr="00112398">
        <w:rPr>
          <w:lang w:val="fr-FR" w:eastAsia="en-US"/>
        </w:rPr>
        <w:t>s à examiner</w:t>
      </w:r>
    </w:p>
    <w:p w:rsidR="00C633AA" w:rsidRPr="00112398" w:rsidRDefault="006752F0" w:rsidP="00937A91">
      <w:pPr>
        <w:pStyle w:val="Heading2"/>
        <w:rPr>
          <w:lang w:val="fr-FR" w:eastAsia="en-US"/>
        </w:rPr>
      </w:pPr>
      <w:r>
        <w:rPr>
          <w:lang w:val="fr-FR" w:eastAsia="en-US"/>
        </w:rPr>
        <w:t>disponibilité</w:t>
      </w:r>
      <w:r w:rsidRPr="00112398">
        <w:rPr>
          <w:lang w:val="fr-FR" w:eastAsia="en-US"/>
        </w:rPr>
        <w:t xml:space="preserve"> </w:t>
      </w:r>
      <w:r w:rsidR="000900E7" w:rsidRPr="00112398">
        <w:rPr>
          <w:lang w:val="fr-FR" w:eastAsia="en-US"/>
        </w:rPr>
        <w:t xml:space="preserve">des </w:t>
      </w:r>
      <w:r w:rsidR="009C27DC" w:rsidRPr="00112398">
        <w:rPr>
          <w:lang w:val="fr-FR" w:eastAsia="en-US"/>
        </w:rPr>
        <w:t>notification</w:t>
      </w:r>
      <w:r w:rsidR="000900E7" w:rsidRPr="00112398">
        <w:rPr>
          <w:lang w:val="fr-FR" w:eastAsia="en-US"/>
        </w:rPr>
        <w:t>s</w:t>
      </w:r>
      <w:r w:rsidR="009C27DC" w:rsidRPr="00112398">
        <w:rPr>
          <w:lang w:val="fr-FR" w:eastAsia="en-US"/>
        </w:rPr>
        <w:t xml:space="preserve"> </w:t>
      </w:r>
      <w:r w:rsidR="000900E7" w:rsidRPr="00112398">
        <w:rPr>
          <w:lang w:val="fr-FR" w:eastAsia="en-US"/>
        </w:rPr>
        <w:t>de</w:t>
      </w:r>
      <w:r w:rsidR="009C27DC" w:rsidRPr="00112398">
        <w:rPr>
          <w:lang w:val="fr-FR" w:eastAsia="en-US"/>
        </w:rPr>
        <w:t xml:space="preserve"> refus</w:t>
      </w:r>
      <w:r w:rsidR="000900E7" w:rsidRPr="00112398">
        <w:rPr>
          <w:lang w:val="fr-FR" w:eastAsia="en-US"/>
        </w:rPr>
        <w:t xml:space="preserve"> sur le site </w:t>
      </w:r>
      <w:r w:rsidR="007E3D16" w:rsidRPr="00112398">
        <w:rPr>
          <w:lang w:val="fr-FR" w:eastAsia="en-US"/>
        </w:rPr>
        <w:t>Web</w:t>
      </w:r>
      <w:r w:rsidR="000900E7" w:rsidRPr="00112398">
        <w:rPr>
          <w:lang w:val="fr-FR" w:eastAsia="en-US"/>
        </w:rPr>
        <w:t xml:space="preserve"> de l</w:t>
      </w:r>
      <w:r w:rsidR="009A5C78" w:rsidRPr="00112398">
        <w:rPr>
          <w:lang w:val="fr-FR" w:eastAsia="en-US"/>
        </w:rPr>
        <w:t>’</w:t>
      </w:r>
      <w:r w:rsidR="002166E6" w:rsidRPr="00112398">
        <w:rPr>
          <w:lang w:val="fr-FR" w:eastAsia="en-US"/>
        </w:rPr>
        <w:t>OMPI</w:t>
      </w:r>
    </w:p>
    <w:p w:rsidR="009C27DC" w:rsidRPr="00112398" w:rsidRDefault="000900E7" w:rsidP="00CD3867">
      <w:pPr>
        <w:pStyle w:val="ONUMFS"/>
        <w:rPr>
          <w:lang w:val="fr-FR"/>
        </w:rPr>
      </w:pPr>
      <w:r w:rsidRPr="00112398">
        <w:rPr>
          <w:lang w:val="fr-FR"/>
        </w:rPr>
        <w:t>Le groupe de travail peut indiquer s</w:t>
      </w:r>
      <w:r w:rsidR="009A5C78" w:rsidRPr="00112398">
        <w:rPr>
          <w:lang w:val="fr-FR"/>
        </w:rPr>
        <w:t>’</w:t>
      </w:r>
      <w:r w:rsidRPr="00112398">
        <w:rPr>
          <w:lang w:val="fr-FR"/>
        </w:rPr>
        <w:t>il considère que le Bureau international doit cesser de télécharger sur le site Web de l</w:t>
      </w:r>
      <w:r w:rsidR="009A5C78" w:rsidRPr="00112398">
        <w:rPr>
          <w:lang w:val="fr-FR"/>
        </w:rPr>
        <w:t>’</w:t>
      </w:r>
      <w:r w:rsidRPr="00112398">
        <w:rPr>
          <w:lang w:val="fr-FR"/>
        </w:rPr>
        <w:t xml:space="preserve">OMPI </w:t>
      </w:r>
      <w:r w:rsidR="00724E58">
        <w:rPr>
          <w:lang w:val="fr-FR"/>
        </w:rPr>
        <w:t>les</w:t>
      </w:r>
      <w:r w:rsidR="00724E58" w:rsidRPr="00112398">
        <w:rPr>
          <w:lang w:val="fr-FR"/>
        </w:rPr>
        <w:t xml:space="preserve"> </w:t>
      </w:r>
      <w:r w:rsidRPr="00112398">
        <w:rPr>
          <w:lang w:val="fr-FR"/>
        </w:rPr>
        <w:t>copie</w:t>
      </w:r>
      <w:r w:rsidR="00724E58">
        <w:rPr>
          <w:lang w:val="fr-FR"/>
        </w:rPr>
        <w:t>s</w:t>
      </w:r>
      <w:r w:rsidRPr="00112398">
        <w:rPr>
          <w:lang w:val="fr-FR"/>
        </w:rPr>
        <w:t xml:space="preserve"> PDF des notifications de refus </w:t>
      </w:r>
      <w:r w:rsidR="00806D74" w:rsidRPr="00112398">
        <w:rPr>
          <w:lang w:val="fr-FR"/>
        </w:rPr>
        <w:t>reçu</w:t>
      </w:r>
      <w:r w:rsidR="00BC28B6">
        <w:rPr>
          <w:lang w:val="fr-FR"/>
        </w:rPr>
        <w:t>e</w:t>
      </w:r>
      <w:r w:rsidR="00806D74" w:rsidRPr="00112398">
        <w:rPr>
          <w:lang w:val="fr-FR"/>
        </w:rPr>
        <w:t>s</w:t>
      </w:r>
      <w:r w:rsidRPr="00112398">
        <w:rPr>
          <w:lang w:val="fr-FR"/>
        </w:rPr>
        <w:t xml:space="preserve"> et enregistr</w:t>
      </w:r>
      <w:r w:rsidR="00806D74" w:rsidRPr="00112398">
        <w:rPr>
          <w:lang w:val="fr-FR"/>
        </w:rPr>
        <w:t>é</w:t>
      </w:r>
      <w:r w:rsidR="00BC28B6">
        <w:rPr>
          <w:lang w:val="fr-FR"/>
        </w:rPr>
        <w:t>e</w:t>
      </w:r>
      <w:r w:rsidR="00806D74" w:rsidRPr="00112398">
        <w:rPr>
          <w:lang w:val="fr-FR"/>
        </w:rPr>
        <w:t>s</w:t>
      </w:r>
      <w:r w:rsidR="000C516D">
        <w:rPr>
          <w:lang w:val="fr-FR"/>
        </w:rPr>
        <w:t xml:space="preserve"> par le Bureau international.</w:t>
      </w:r>
    </w:p>
    <w:p w:rsidR="008A25C8" w:rsidRPr="00112398" w:rsidRDefault="00AB3422" w:rsidP="0066092C">
      <w:pPr>
        <w:pStyle w:val="Heading2"/>
        <w:spacing w:before="360"/>
        <w:rPr>
          <w:lang w:val="fr-FR" w:eastAsia="en-US"/>
        </w:rPr>
      </w:pPr>
      <w:r>
        <w:rPr>
          <w:lang w:val="fr-FR" w:eastAsia="en-US"/>
        </w:rPr>
        <w:t>disponibilit</w:t>
      </w:r>
      <w:r w:rsidR="0025292D">
        <w:rPr>
          <w:lang w:val="fr-FR" w:eastAsia="en-US"/>
        </w:rPr>
        <w:t>É</w:t>
      </w:r>
      <w:r w:rsidR="00BC28B6">
        <w:rPr>
          <w:lang w:val="fr-FR" w:eastAsia="en-US"/>
        </w:rPr>
        <w:t xml:space="preserve"> </w:t>
      </w:r>
      <w:r w:rsidR="00806D74" w:rsidRPr="00112398">
        <w:rPr>
          <w:lang w:val="fr-FR" w:eastAsia="en-US"/>
        </w:rPr>
        <w:t xml:space="preserve">des </w:t>
      </w:r>
      <w:r w:rsidR="008A25C8" w:rsidRPr="00112398">
        <w:rPr>
          <w:lang w:val="fr-FR" w:eastAsia="en-US"/>
        </w:rPr>
        <w:t>notification</w:t>
      </w:r>
      <w:r w:rsidR="00806D74" w:rsidRPr="00112398">
        <w:rPr>
          <w:lang w:val="fr-FR" w:eastAsia="en-US"/>
        </w:rPr>
        <w:t>s</w:t>
      </w:r>
      <w:r w:rsidR="008A25C8" w:rsidRPr="00112398">
        <w:rPr>
          <w:lang w:val="fr-FR" w:eastAsia="en-US"/>
        </w:rPr>
        <w:t xml:space="preserve"> </w:t>
      </w:r>
      <w:r w:rsidR="00806D74" w:rsidRPr="00112398">
        <w:rPr>
          <w:lang w:val="fr-FR" w:eastAsia="en-US"/>
        </w:rPr>
        <w:t>de refus n</w:t>
      </w:r>
      <w:r w:rsidR="009A5C78" w:rsidRPr="00112398">
        <w:rPr>
          <w:lang w:val="fr-FR" w:eastAsia="en-US"/>
        </w:rPr>
        <w:t>’</w:t>
      </w:r>
      <w:r w:rsidR="00806D74" w:rsidRPr="00112398">
        <w:rPr>
          <w:lang w:val="fr-FR" w:eastAsia="en-US"/>
        </w:rPr>
        <w:t>ayant pas été retiré</w:t>
      </w:r>
      <w:r>
        <w:rPr>
          <w:lang w:val="fr-FR" w:eastAsia="en-US"/>
        </w:rPr>
        <w:t>e</w:t>
      </w:r>
      <w:r w:rsidR="00806D74" w:rsidRPr="00112398">
        <w:rPr>
          <w:lang w:val="fr-FR" w:eastAsia="en-US"/>
        </w:rPr>
        <w:t>s sur demande</w:t>
      </w:r>
    </w:p>
    <w:p w:rsidR="008A25C8" w:rsidRPr="00112398" w:rsidRDefault="00806D74" w:rsidP="00CD3867">
      <w:pPr>
        <w:pStyle w:val="ONUMFS"/>
        <w:rPr>
          <w:lang w:val="fr-FR"/>
        </w:rPr>
      </w:pPr>
      <w:r w:rsidRPr="00112398">
        <w:rPr>
          <w:lang w:val="fr-FR"/>
        </w:rPr>
        <w:t>Le Bureau international continuera de mettre des copies des notifications de refus à la disposition des tiers</w:t>
      </w:r>
      <w:r w:rsidR="00E42E0E">
        <w:rPr>
          <w:lang w:val="fr-FR"/>
        </w:rPr>
        <w:t xml:space="preserve">, </w:t>
      </w:r>
      <w:r w:rsidR="00E42E0E" w:rsidRPr="00112398">
        <w:rPr>
          <w:lang w:val="fr-FR"/>
        </w:rPr>
        <w:t xml:space="preserve">sur demande </w:t>
      </w:r>
      <w:r w:rsidR="00E42E0E">
        <w:rPr>
          <w:lang w:val="fr-FR"/>
        </w:rPr>
        <w:t xml:space="preserve">et </w:t>
      </w:r>
      <w:r w:rsidRPr="00112398">
        <w:rPr>
          <w:lang w:val="fr-FR"/>
        </w:rPr>
        <w:t>contre paiement d</w:t>
      </w:r>
      <w:r w:rsidR="009A5C78" w:rsidRPr="00112398">
        <w:rPr>
          <w:lang w:val="fr-FR"/>
        </w:rPr>
        <w:t>’</w:t>
      </w:r>
      <w:r w:rsidRPr="00112398">
        <w:rPr>
          <w:lang w:val="fr-FR"/>
        </w:rPr>
        <w:t>une taxe</w:t>
      </w:r>
      <w:r w:rsidR="008A25C8" w:rsidRPr="00112398">
        <w:rPr>
          <w:lang w:val="fr-FR"/>
        </w:rPr>
        <w:t xml:space="preserve">, </w:t>
      </w:r>
      <w:r w:rsidRPr="00112398">
        <w:rPr>
          <w:lang w:val="fr-FR"/>
        </w:rPr>
        <w:t>conformément à la règle </w:t>
      </w:r>
      <w:r w:rsidR="008A25C8" w:rsidRPr="00112398">
        <w:rPr>
          <w:lang w:val="fr-FR"/>
        </w:rPr>
        <w:t>32</w:t>
      </w:r>
      <w:r w:rsidRPr="00112398">
        <w:rPr>
          <w:lang w:val="fr-FR"/>
        </w:rPr>
        <w:t>.</w:t>
      </w:r>
      <w:r w:rsidR="008A25C8" w:rsidRPr="00112398">
        <w:rPr>
          <w:lang w:val="fr-FR"/>
        </w:rPr>
        <w:t>1</w:t>
      </w:r>
      <w:proofErr w:type="gramStart"/>
      <w:r w:rsidR="008A25C8" w:rsidRPr="00112398">
        <w:rPr>
          <w:lang w:val="fr-FR"/>
        </w:rPr>
        <w:t>)</w:t>
      </w:r>
      <w:r w:rsidR="000A0E4E" w:rsidRPr="00112398">
        <w:rPr>
          <w:lang w:val="fr-FR"/>
        </w:rPr>
        <w:t>ii</w:t>
      </w:r>
      <w:proofErr w:type="gramEnd"/>
      <w:r w:rsidR="002C579B" w:rsidRPr="00112398">
        <w:rPr>
          <w:lang w:val="fr-FR"/>
        </w:rPr>
        <w:t>) o</w:t>
      </w:r>
      <w:r w:rsidRPr="00112398">
        <w:rPr>
          <w:lang w:val="fr-FR"/>
        </w:rPr>
        <w:t xml:space="preserve">u </w:t>
      </w:r>
      <w:r w:rsidR="002C579B" w:rsidRPr="00112398">
        <w:rPr>
          <w:lang w:val="fr-FR"/>
        </w:rPr>
        <w:t>ii</w:t>
      </w:r>
      <w:r w:rsidR="000A0E4E" w:rsidRPr="00112398">
        <w:rPr>
          <w:lang w:val="fr-FR"/>
        </w:rPr>
        <w:t>i)</w:t>
      </w:r>
      <w:r w:rsidR="008A25C8" w:rsidRPr="00112398">
        <w:rPr>
          <w:lang w:val="fr-FR"/>
        </w:rPr>
        <w:t>.</w:t>
      </w:r>
    </w:p>
    <w:p w:rsidR="00937A91" w:rsidRDefault="00937A91">
      <w:pPr>
        <w:rPr>
          <w:lang w:val="fr-FR"/>
        </w:rPr>
      </w:pPr>
      <w:r>
        <w:rPr>
          <w:lang w:val="fr-FR"/>
        </w:rPr>
        <w:br w:type="page"/>
      </w:r>
    </w:p>
    <w:p w:rsidR="000A0E4E" w:rsidRPr="00112398" w:rsidRDefault="00806D74" w:rsidP="00765C14">
      <w:pPr>
        <w:pStyle w:val="ONUMFS"/>
        <w:keepLines/>
        <w:rPr>
          <w:lang w:val="fr-FR"/>
        </w:rPr>
      </w:pPr>
      <w:r w:rsidRPr="00112398">
        <w:rPr>
          <w:lang w:val="fr-FR"/>
        </w:rPr>
        <w:lastRenderedPageBreak/>
        <w:t>Comme indiqué dans la précédente section, les législations du Japon, de la République de</w:t>
      </w:r>
      <w:r w:rsidR="000C516D">
        <w:rPr>
          <w:lang w:val="fr-FR"/>
        </w:rPr>
        <w:t> </w:t>
      </w:r>
      <w:r w:rsidRPr="00112398">
        <w:rPr>
          <w:lang w:val="fr-FR"/>
        </w:rPr>
        <w:t>Corée et des États</w:t>
      </w:r>
      <w:r w:rsidR="009A5C78" w:rsidRPr="00112398">
        <w:rPr>
          <w:lang w:val="fr-FR"/>
        </w:rPr>
        <w:t>-</w:t>
      </w:r>
      <w:r w:rsidRPr="00112398">
        <w:rPr>
          <w:lang w:val="fr-FR"/>
        </w:rPr>
        <w:t>Unis</w:t>
      </w:r>
      <w:r w:rsidR="007E3D16" w:rsidRPr="00112398">
        <w:rPr>
          <w:lang w:val="fr-FR"/>
        </w:rPr>
        <w:t xml:space="preserve"> </w:t>
      </w:r>
      <w:r w:rsidRPr="00112398">
        <w:rPr>
          <w:lang w:val="fr-FR"/>
        </w:rPr>
        <w:t>d</w:t>
      </w:r>
      <w:r w:rsidR="009A5C78" w:rsidRPr="00112398">
        <w:rPr>
          <w:lang w:val="fr-FR"/>
        </w:rPr>
        <w:t>’</w:t>
      </w:r>
      <w:r w:rsidRPr="00112398">
        <w:rPr>
          <w:lang w:val="fr-FR"/>
        </w:rPr>
        <w:t xml:space="preserve">Amérique prévoient que toutes les communications pertinentes </w:t>
      </w:r>
      <w:r w:rsidR="005935A8" w:rsidRPr="00112398">
        <w:rPr>
          <w:lang w:val="fr-FR"/>
        </w:rPr>
        <w:t xml:space="preserve">relatives à des demandes nationales sont </w:t>
      </w:r>
      <w:r w:rsidR="00724E58">
        <w:rPr>
          <w:lang w:val="fr-FR"/>
        </w:rPr>
        <w:t>mises à disposition</w:t>
      </w:r>
      <w:r w:rsidR="002362D2">
        <w:rPr>
          <w:lang w:val="fr-FR"/>
        </w:rPr>
        <w:t xml:space="preserve"> du public</w:t>
      </w:r>
      <w:r w:rsidR="00E42E0E" w:rsidRPr="00112398">
        <w:rPr>
          <w:lang w:val="fr-FR"/>
        </w:rPr>
        <w:t xml:space="preserve"> </w:t>
      </w:r>
      <w:r w:rsidR="005935A8" w:rsidRPr="00112398">
        <w:rPr>
          <w:lang w:val="fr-FR"/>
        </w:rPr>
        <w:t>sur le site Web ou sur demande,</w:t>
      </w:r>
      <w:r w:rsidR="000A0E4E" w:rsidRPr="00112398">
        <w:rPr>
          <w:lang w:val="fr-FR"/>
        </w:rPr>
        <w:t xml:space="preserve"> </w:t>
      </w:r>
      <w:r w:rsidR="000A0E4E" w:rsidRPr="00112398">
        <w:rPr>
          <w:u w:val="single"/>
          <w:lang w:val="fr-FR"/>
        </w:rPr>
        <w:t>a</w:t>
      </w:r>
      <w:r w:rsidR="005935A8" w:rsidRPr="00112398">
        <w:rPr>
          <w:u w:val="single"/>
          <w:lang w:val="fr-FR"/>
        </w:rPr>
        <w:t>près que le dessin ou modèle a fait l</w:t>
      </w:r>
      <w:r w:rsidR="009A5C78" w:rsidRPr="00112398">
        <w:rPr>
          <w:u w:val="single"/>
          <w:lang w:val="fr-FR"/>
        </w:rPr>
        <w:t>’</w:t>
      </w:r>
      <w:r w:rsidR="005935A8" w:rsidRPr="00112398">
        <w:rPr>
          <w:u w:val="single"/>
          <w:lang w:val="fr-FR"/>
        </w:rPr>
        <w:t>objet d</w:t>
      </w:r>
      <w:r w:rsidR="009A5C78" w:rsidRPr="00112398">
        <w:rPr>
          <w:u w:val="single"/>
          <w:lang w:val="fr-FR"/>
        </w:rPr>
        <w:t>’</w:t>
      </w:r>
      <w:r w:rsidR="005935A8" w:rsidRPr="00112398">
        <w:rPr>
          <w:u w:val="single"/>
          <w:lang w:val="fr-FR"/>
        </w:rPr>
        <w:t>un enregistrement ou d</w:t>
      </w:r>
      <w:r w:rsidR="009A5C78" w:rsidRPr="00112398">
        <w:rPr>
          <w:u w:val="single"/>
          <w:lang w:val="fr-FR"/>
        </w:rPr>
        <w:t>’</w:t>
      </w:r>
      <w:r w:rsidR="005935A8" w:rsidRPr="00112398">
        <w:rPr>
          <w:u w:val="single"/>
          <w:lang w:val="fr-FR"/>
        </w:rPr>
        <w:t>un</w:t>
      </w:r>
      <w:r w:rsidR="00BC28B6">
        <w:rPr>
          <w:u w:val="single"/>
          <w:lang w:val="fr-FR"/>
        </w:rPr>
        <w:t xml:space="preserve"> </w:t>
      </w:r>
      <w:r w:rsidR="005935A8" w:rsidRPr="00112398">
        <w:rPr>
          <w:u w:val="single"/>
          <w:lang w:val="fr-FR"/>
        </w:rPr>
        <w:t>brevet</w:t>
      </w:r>
      <w:r w:rsidR="000A0E4E" w:rsidRPr="00112398">
        <w:rPr>
          <w:lang w:val="fr-FR"/>
        </w:rPr>
        <w:t>.</w:t>
      </w:r>
    </w:p>
    <w:p w:rsidR="008A25C8" w:rsidRPr="00112398" w:rsidRDefault="005935A8" w:rsidP="00CD3867">
      <w:pPr>
        <w:pStyle w:val="ONUMFS"/>
        <w:rPr>
          <w:lang w:val="fr-FR"/>
        </w:rPr>
      </w:pPr>
      <w:r w:rsidRPr="00112398">
        <w:rPr>
          <w:lang w:val="fr-FR"/>
        </w:rPr>
        <w:t xml:space="preserve">Ainsi, cette occasion pourrait être saisie pour indiquer clairement si le Bureau international doit </w:t>
      </w:r>
      <w:r w:rsidR="005F3FF3" w:rsidRPr="00112398">
        <w:rPr>
          <w:lang w:val="fr-FR"/>
        </w:rPr>
        <w:t>s</w:t>
      </w:r>
      <w:r w:rsidR="009A5C78" w:rsidRPr="00112398">
        <w:rPr>
          <w:lang w:val="fr-FR"/>
        </w:rPr>
        <w:t>’</w:t>
      </w:r>
      <w:r w:rsidR="005F3FF3" w:rsidRPr="00112398">
        <w:rPr>
          <w:lang w:val="fr-FR"/>
        </w:rPr>
        <w:t>abstenir de divulguer les notifications de refus, du moins tant que le refus n</w:t>
      </w:r>
      <w:r w:rsidR="009A5C78" w:rsidRPr="00112398">
        <w:rPr>
          <w:lang w:val="fr-FR"/>
        </w:rPr>
        <w:t>’</w:t>
      </w:r>
      <w:r w:rsidR="005F3FF3" w:rsidRPr="00112398">
        <w:rPr>
          <w:lang w:val="fr-FR"/>
        </w:rPr>
        <w:t xml:space="preserve">est pas retiré ou </w:t>
      </w:r>
      <w:r w:rsidR="002362D2">
        <w:rPr>
          <w:lang w:val="fr-FR"/>
        </w:rPr>
        <w:t xml:space="preserve">qu’il est </w:t>
      </w:r>
      <w:r w:rsidR="005F3FF3" w:rsidRPr="00112398">
        <w:rPr>
          <w:lang w:val="fr-FR"/>
        </w:rPr>
        <w:t>suivi d</w:t>
      </w:r>
      <w:r w:rsidR="009A5C78" w:rsidRPr="00112398">
        <w:rPr>
          <w:lang w:val="fr-FR"/>
        </w:rPr>
        <w:t>’</w:t>
      </w:r>
      <w:r w:rsidR="005F3FF3" w:rsidRPr="00112398">
        <w:rPr>
          <w:lang w:val="fr-FR"/>
        </w:rPr>
        <w:t>une déclaration d</w:t>
      </w:r>
      <w:r w:rsidR="009A5C78" w:rsidRPr="00112398">
        <w:rPr>
          <w:lang w:val="fr-FR"/>
        </w:rPr>
        <w:t>’</w:t>
      </w:r>
      <w:r w:rsidR="005F3FF3" w:rsidRPr="00112398">
        <w:rPr>
          <w:lang w:val="fr-FR"/>
        </w:rPr>
        <w:t>octroi de la protection en vertu de la règle </w:t>
      </w:r>
      <w:r w:rsidR="005539A6" w:rsidRPr="00112398">
        <w:rPr>
          <w:lang w:val="fr-FR"/>
        </w:rPr>
        <w:t>18</w:t>
      </w:r>
      <w:r w:rsidR="005539A6" w:rsidRPr="00112398">
        <w:rPr>
          <w:i/>
          <w:lang w:val="fr-FR"/>
        </w:rPr>
        <w:t>bis</w:t>
      </w:r>
      <w:r w:rsidR="005F3FF3" w:rsidRPr="00112398">
        <w:rPr>
          <w:i/>
          <w:lang w:val="fr-FR"/>
        </w:rPr>
        <w:t>.</w:t>
      </w:r>
      <w:r w:rsidR="005539A6" w:rsidRPr="00112398">
        <w:rPr>
          <w:lang w:val="fr-FR"/>
        </w:rPr>
        <w:t>2)</w:t>
      </w:r>
      <w:r w:rsidR="001C2B3B" w:rsidRPr="00112398">
        <w:rPr>
          <w:lang w:val="fr-FR"/>
        </w:rPr>
        <w:t>.</w:t>
      </w:r>
    </w:p>
    <w:p w:rsidR="00F23DE3" w:rsidRPr="000D4A56" w:rsidRDefault="005F3FF3" w:rsidP="000C516D">
      <w:pPr>
        <w:pStyle w:val="ONUMFS"/>
        <w:keepNext/>
        <w:tabs>
          <w:tab w:val="left" w:pos="6096"/>
        </w:tabs>
        <w:ind w:left="5534"/>
        <w:rPr>
          <w:i/>
          <w:lang w:val="fr-FR"/>
        </w:rPr>
      </w:pPr>
      <w:r w:rsidRPr="000D4A56">
        <w:rPr>
          <w:i/>
          <w:lang w:val="fr-FR"/>
        </w:rPr>
        <w:t>Le groupe de travail est invité</w:t>
      </w:r>
      <w:r w:rsidR="000C516D">
        <w:rPr>
          <w:i/>
          <w:lang w:val="fr-FR"/>
        </w:rPr>
        <w:t xml:space="preserve"> à :</w:t>
      </w:r>
    </w:p>
    <w:p w:rsidR="00F23DE3" w:rsidRPr="00112398" w:rsidRDefault="00F23DE3" w:rsidP="000C516D">
      <w:pPr>
        <w:pStyle w:val="ONUME"/>
        <w:keepNext/>
        <w:numPr>
          <w:ilvl w:val="0"/>
          <w:numId w:val="0"/>
        </w:numPr>
        <w:tabs>
          <w:tab w:val="left" w:pos="6663"/>
        </w:tabs>
        <w:ind w:left="6096"/>
        <w:rPr>
          <w:rFonts w:ascii="Arial,Italic" w:eastAsia="MS Mincho" w:hAnsi="Arial,Italic" w:cs="Arial,Italic"/>
          <w:i/>
          <w:iCs/>
          <w:szCs w:val="22"/>
          <w:lang w:val="fr-FR" w:eastAsia="en-US"/>
        </w:rPr>
      </w:pPr>
      <w:r w:rsidRPr="00112398">
        <w:rPr>
          <w:rFonts w:ascii="Arial,Italic" w:eastAsia="MS Mincho" w:hAnsi="Arial,Italic" w:cs="Arial,Italic"/>
          <w:i/>
          <w:iCs/>
          <w:szCs w:val="22"/>
          <w:lang w:val="fr-FR" w:eastAsia="en-US"/>
        </w:rPr>
        <w:t>i)</w:t>
      </w:r>
      <w:r w:rsidRPr="00112398">
        <w:rPr>
          <w:rFonts w:ascii="Arial,Italic" w:eastAsia="MS Mincho" w:hAnsi="Arial,Italic" w:cs="Arial,Italic"/>
          <w:i/>
          <w:iCs/>
          <w:szCs w:val="22"/>
          <w:lang w:val="fr-FR" w:eastAsia="en-US"/>
        </w:rPr>
        <w:tab/>
      </w:r>
      <w:r w:rsidR="005F3FF3" w:rsidRPr="00112398">
        <w:rPr>
          <w:rFonts w:ascii="Arial,Italic" w:eastAsia="MS Mincho" w:hAnsi="Arial,Italic" w:cs="Arial,Italic"/>
          <w:i/>
          <w:iCs/>
          <w:szCs w:val="22"/>
          <w:lang w:val="fr-FR" w:eastAsia="en-US"/>
        </w:rPr>
        <w:t>examiner la question soulevée dans le présent document et à formuler des observations à cet égard</w:t>
      </w:r>
      <w:r w:rsidRPr="00112398">
        <w:rPr>
          <w:rFonts w:ascii="Arial,Italic" w:eastAsia="MS Mincho" w:hAnsi="Arial,Italic" w:cs="Arial,Italic"/>
          <w:i/>
          <w:iCs/>
          <w:szCs w:val="22"/>
          <w:lang w:val="fr-FR" w:eastAsia="en-US"/>
        </w:rPr>
        <w:t xml:space="preserve"> </w:t>
      </w:r>
      <w:r w:rsidR="005F3FF3" w:rsidRPr="00112398">
        <w:rPr>
          <w:rFonts w:ascii="Arial,Italic" w:eastAsia="MS Mincho" w:hAnsi="Arial,Italic" w:cs="Arial,Italic"/>
          <w:i/>
          <w:iCs/>
          <w:szCs w:val="22"/>
          <w:lang w:val="fr-FR" w:eastAsia="en-US"/>
        </w:rPr>
        <w:t>et</w:t>
      </w:r>
    </w:p>
    <w:p w:rsidR="00F23DE3" w:rsidRPr="00112398" w:rsidRDefault="00F23DE3" w:rsidP="000C516D">
      <w:pPr>
        <w:pStyle w:val="ONUME"/>
        <w:keepNext/>
        <w:numPr>
          <w:ilvl w:val="0"/>
          <w:numId w:val="0"/>
        </w:numPr>
        <w:tabs>
          <w:tab w:val="left" w:pos="6663"/>
        </w:tabs>
        <w:ind w:left="6096"/>
        <w:rPr>
          <w:rFonts w:eastAsia="Times New Roman"/>
          <w:i/>
          <w:szCs w:val="22"/>
          <w:lang w:val="fr-FR" w:eastAsia="en-US"/>
        </w:rPr>
      </w:pPr>
      <w:r w:rsidRPr="00112398">
        <w:rPr>
          <w:rFonts w:ascii="Arial,Italic" w:eastAsia="MS Mincho" w:hAnsi="Arial,Italic" w:cs="Arial,Italic"/>
          <w:i/>
          <w:iCs/>
          <w:szCs w:val="22"/>
          <w:lang w:val="fr-FR" w:eastAsia="en-US"/>
        </w:rPr>
        <w:t>ii)</w:t>
      </w:r>
      <w:r w:rsidRPr="00112398">
        <w:rPr>
          <w:rFonts w:ascii="Arial,Italic" w:eastAsia="MS Mincho" w:hAnsi="Arial,Italic" w:cs="Arial,Italic"/>
          <w:i/>
          <w:iCs/>
          <w:szCs w:val="22"/>
          <w:lang w:val="fr-FR" w:eastAsia="en-US"/>
        </w:rPr>
        <w:tab/>
      </w:r>
      <w:proofErr w:type="gramStart"/>
      <w:r w:rsidRPr="00112398">
        <w:rPr>
          <w:rFonts w:ascii="Arial,Italic" w:eastAsia="MS Mincho" w:hAnsi="Arial,Italic" w:cs="Arial,Italic"/>
          <w:i/>
          <w:iCs/>
          <w:szCs w:val="22"/>
          <w:lang w:val="fr-FR" w:eastAsia="en-US"/>
        </w:rPr>
        <w:t>indi</w:t>
      </w:r>
      <w:r w:rsidR="005F3FF3" w:rsidRPr="00112398">
        <w:rPr>
          <w:rFonts w:ascii="Arial,Italic" w:eastAsia="MS Mincho" w:hAnsi="Arial,Italic" w:cs="Arial,Italic"/>
          <w:i/>
          <w:iCs/>
          <w:szCs w:val="22"/>
          <w:lang w:val="fr-FR" w:eastAsia="en-US"/>
        </w:rPr>
        <w:t>quer</w:t>
      </w:r>
      <w:proofErr w:type="gramEnd"/>
      <w:r w:rsidR="005F3FF3" w:rsidRPr="00112398">
        <w:rPr>
          <w:rFonts w:ascii="Arial,Italic" w:eastAsia="MS Mincho" w:hAnsi="Arial,Italic" w:cs="Arial,Italic"/>
          <w:i/>
          <w:iCs/>
          <w:szCs w:val="22"/>
          <w:lang w:val="fr-FR" w:eastAsia="en-US"/>
        </w:rPr>
        <w:t xml:space="preserve"> s</w:t>
      </w:r>
      <w:r w:rsidR="009A5C78" w:rsidRPr="00112398">
        <w:rPr>
          <w:rFonts w:ascii="Arial,Italic" w:eastAsia="MS Mincho" w:hAnsi="Arial,Italic" w:cs="Arial,Italic"/>
          <w:i/>
          <w:iCs/>
          <w:szCs w:val="22"/>
          <w:lang w:val="fr-FR" w:eastAsia="en-US"/>
        </w:rPr>
        <w:t>’</w:t>
      </w:r>
      <w:r w:rsidR="005F3FF3" w:rsidRPr="00112398">
        <w:rPr>
          <w:rFonts w:ascii="Arial,Italic" w:eastAsia="MS Mincho" w:hAnsi="Arial,Italic" w:cs="Arial,Italic"/>
          <w:i/>
          <w:iCs/>
          <w:szCs w:val="22"/>
          <w:lang w:val="fr-FR" w:eastAsia="en-US"/>
        </w:rPr>
        <w:t xml:space="preserve">il recommanderait au Bureau international </w:t>
      </w:r>
      <w:r w:rsidR="009436AE" w:rsidRPr="00112398">
        <w:rPr>
          <w:rFonts w:ascii="Arial,Italic" w:eastAsia="MS Mincho" w:hAnsi="Arial,Italic" w:cs="Arial,Italic"/>
          <w:i/>
          <w:iCs/>
          <w:szCs w:val="22"/>
          <w:lang w:val="fr-FR" w:eastAsia="en-US"/>
        </w:rPr>
        <w:t>de</w:t>
      </w:r>
      <w:r w:rsidR="005F3FF3" w:rsidRPr="00112398">
        <w:rPr>
          <w:rFonts w:ascii="Arial,Italic" w:eastAsia="MS Mincho" w:hAnsi="Arial,Italic" w:cs="Arial,Italic"/>
          <w:i/>
          <w:iCs/>
          <w:szCs w:val="22"/>
          <w:lang w:val="fr-FR" w:eastAsia="en-US"/>
        </w:rPr>
        <w:t xml:space="preserve"> change</w:t>
      </w:r>
      <w:r w:rsidR="009436AE" w:rsidRPr="00112398">
        <w:rPr>
          <w:rFonts w:ascii="Arial,Italic" w:eastAsia="MS Mincho" w:hAnsi="Arial,Italic" w:cs="Arial,Italic"/>
          <w:i/>
          <w:iCs/>
          <w:szCs w:val="22"/>
          <w:lang w:val="fr-FR" w:eastAsia="en-US"/>
        </w:rPr>
        <w:t>r</w:t>
      </w:r>
      <w:r w:rsidR="005F3FF3" w:rsidRPr="00112398">
        <w:rPr>
          <w:rFonts w:ascii="Arial,Italic" w:eastAsia="MS Mincho" w:hAnsi="Arial,Italic" w:cs="Arial,Italic"/>
          <w:i/>
          <w:iCs/>
          <w:szCs w:val="22"/>
          <w:lang w:val="fr-FR" w:eastAsia="en-US"/>
        </w:rPr>
        <w:t xml:space="preserve"> sa pratique concernant la </w:t>
      </w:r>
      <w:r w:rsidR="003B5AB0">
        <w:rPr>
          <w:rFonts w:ascii="Arial,Italic" w:eastAsia="MS Mincho" w:hAnsi="Arial,Italic" w:cs="Arial,Italic"/>
          <w:i/>
          <w:iCs/>
          <w:szCs w:val="22"/>
          <w:lang w:val="fr-FR" w:eastAsia="en-US"/>
        </w:rPr>
        <w:t xml:space="preserve">mise à disposition du public </w:t>
      </w:r>
      <w:r w:rsidR="005F3FF3" w:rsidRPr="00112398">
        <w:rPr>
          <w:rFonts w:ascii="Arial,Italic" w:eastAsia="MS Mincho" w:hAnsi="Arial,Italic" w:cs="Arial,Italic"/>
          <w:i/>
          <w:iCs/>
          <w:szCs w:val="22"/>
          <w:lang w:val="fr-FR" w:eastAsia="en-US"/>
        </w:rPr>
        <w:t>des notifications de refus</w:t>
      </w:r>
      <w:r w:rsidR="00B925E8" w:rsidRPr="00112398">
        <w:rPr>
          <w:rFonts w:ascii="Arial,Italic" w:eastAsia="MS Mincho" w:hAnsi="Arial,Italic" w:cs="Arial,Italic"/>
          <w:i/>
          <w:iCs/>
          <w:szCs w:val="22"/>
          <w:lang w:val="fr-FR" w:eastAsia="en-US"/>
        </w:rPr>
        <w:t>.</w:t>
      </w:r>
    </w:p>
    <w:p w:rsidR="007A747E" w:rsidRPr="00112398" w:rsidRDefault="00F23DE3" w:rsidP="007A747E">
      <w:pPr>
        <w:pStyle w:val="Endofdocument-Annex"/>
        <w:spacing w:before="720"/>
        <w:rPr>
          <w:lang w:val="fr-FR"/>
        </w:rPr>
      </w:pPr>
      <w:r w:rsidRPr="00112398">
        <w:rPr>
          <w:lang w:val="fr-FR"/>
        </w:rPr>
        <w:t>[</w:t>
      </w:r>
      <w:r w:rsidR="005F3FF3" w:rsidRPr="00112398">
        <w:rPr>
          <w:lang w:val="fr-FR"/>
        </w:rPr>
        <w:t>L</w:t>
      </w:r>
      <w:r w:rsidR="009A5C78" w:rsidRPr="00112398">
        <w:rPr>
          <w:lang w:val="fr-FR"/>
        </w:rPr>
        <w:t>’</w:t>
      </w:r>
      <w:r w:rsidR="005F3FF3" w:rsidRPr="00112398">
        <w:rPr>
          <w:lang w:val="fr-FR"/>
        </w:rPr>
        <w:t>a</w:t>
      </w:r>
      <w:r w:rsidR="005F1A64" w:rsidRPr="00112398">
        <w:rPr>
          <w:lang w:val="fr-FR"/>
        </w:rPr>
        <w:t>nnex</w:t>
      </w:r>
      <w:r w:rsidR="005F3FF3" w:rsidRPr="00112398">
        <w:rPr>
          <w:lang w:val="fr-FR"/>
        </w:rPr>
        <w:t>e suit</w:t>
      </w:r>
      <w:r w:rsidRPr="00112398">
        <w:rPr>
          <w:lang w:val="fr-FR"/>
        </w:rPr>
        <w:t>]</w:t>
      </w:r>
    </w:p>
    <w:p w:rsidR="007A747E" w:rsidRPr="00112398" w:rsidRDefault="007A747E" w:rsidP="007A747E">
      <w:pPr>
        <w:pStyle w:val="Endofdocument-Annex"/>
        <w:spacing w:before="720"/>
        <w:rPr>
          <w:lang w:val="fr-FR"/>
        </w:rPr>
        <w:sectPr w:rsidR="007A747E" w:rsidRPr="00112398" w:rsidSect="003D4329">
          <w:headerReference w:type="default" r:id="rId10"/>
          <w:endnotePr>
            <w:numFmt w:val="decimal"/>
          </w:endnotePr>
          <w:pgSz w:w="11907" w:h="16840" w:code="9"/>
          <w:pgMar w:top="567" w:right="1134" w:bottom="851" w:left="1418" w:header="510" w:footer="1021" w:gutter="0"/>
          <w:pgNumType w:start="1"/>
          <w:cols w:space="720"/>
          <w:titlePg/>
          <w:docGrid w:linePitch="299"/>
        </w:sectPr>
      </w:pPr>
    </w:p>
    <w:p w:rsidR="00785CB0" w:rsidRDefault="00785CB0" w:rsidP="00AC1327">
      <w:pPr>
        <w:rPr>
          <w:lang w:val="fr-FR"/>
        </w:rPr>
      </w:pPr>
      <w:r>
        <w:rPr>
          <w:noProof/>
          <w:lang w:eastAsia="en-US"/>
        </w:rPr>
        <w:lastRenderedPageBreak/>
        <w:drawing>
          <wp:inline distT="0" distB="0" distL="0" distR="0" wp14:anchorId="6F79258A" wp14:editId="0D145088">
            <wp:extent cx="9407769" cy="5439508"/>
            <wp:effectExtent l="0" t="0" r="22225" b="2794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85CB0" w:rsidRDefault="00785CB0" w:rsidP="00AC1327">
      <w:pPr>
        <w:rPr>
          <w:lang w:val="fr-FR"/>
        </w:rPr>
      </w:pPr>
    </w:p>
    <w:p w:rsidR="0004659B" w:rsidRDefault="0004659B" w:rsidP="0004659B">
      <w:pPr>
        <w:ind w:left="9923"/>
        <w:rPr>
          <w:lang w:val="fr-FR"/>
        </w:rPr>
      </w:pPr>
      <w:r w:rsidRPr="00112398">
        <w:rPr>
          <w:lang w:val="fr-FR"/>
        </w:rPr>
        <w:t>[Fin de l’annexe et du document]</w:t>
      </w:r>
    </w:p>
    <w:sectPr w:rsidR="0004659B" w:rsidSect="007A747E">
      <w:headerReference w:type="first" r:id="rId12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7B4" w:rsidRDefault="00D277B4">
      <w:r>
        <w:separator/>
      </w:r>
    </w:p>
  </w:endnote>
  <w:endnote w:type="continuationSeparator" w:id="0">
    <w:p w:rsidR="00D277B4" w:rsidRDefault="00D277B4" w:rsidP="003B38C1">
      <w:r>
        <w:separator/>
      </w:r>
    </w:p>
    <w:p w:rsidR="00D277B4" w:rsidRPr="003B38C1" w:rsidRDefault="00D277B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277B4" w:rsidRPr="003B38C1" w:rsidRDefault="00D277B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7B4" w:rsidRDefault="00D277B4">
      <w:r>
        <w:separator/>
      </w:r>
    </w:p>
  </w:footnote>
  <w:footnote w:type="continuationSeparator" w:id="0">
    <w:p w:rsidR="00D277B4" w:rsidRDefault="00D277B4" w:rsidP="008B60B2">
      <w:r>
        <w:separator/>
      </w:r>
    </w:p>
    <w:p w:rsidR="00D277B4" w:rsidRPr="00ED77FB" w:rsidRDefault="00D277B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277B4" w:rsidRPr="00ED77FB" w:rsidRDefault="00D277B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1296B" w:rsidRPr="002E2D03" w:rsidRDefault="00B1296B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C03EDB">
        <w:rPr>
          <w:lang w:val="fr-CH"/>
        </w:rPr>
        <w:tab/>
      </w:r>
      <w:r w:rsidR="00BB0AE1">
        <w:rPr>
          <w:lang w:val="fr-FR"/>
        </w:rPr>
        <w:t>Se référer aux</w:t>
      </w:r>
      <w:r w:rsidRPr="002E2D03">
        <w:rPr>
          <w:lang w:val="fr-FR"/>
        </w:rPr>
        <w:t xml:space="preserve"> paragraphes 12 à 31 du document H/A/34/2.</w:t>
      </w:r>
    </w:p>
  </w:footnote>
  <w:footnote w:id="3">
    <w:p w:rsidR="00B1296B" w:rsidRPr="002E2D03" w:rsidRDefault="00B1296B">
      <w:pPr>
        <w:pStyle w:val="FootnoteText"/>
        <w:rPr>
          <w:lang w:val="fr-FR"/>
        </w:rPr>
      </w:pPr>
      <w:r w:rsidRPr="002E2D03">
        <w:rPr>
          <w:rStyle w:val="FootnoteReference"/>
          <w:lang w:val="fr-FR"/>
        </w:rPr>
        <w:footnoteRef/>
      </w:r>
      <w:r w:rsidRPr="002E2D03">
        <w:rPr>
          <w:lang w:val="fr-FR"/>
        </w:rPr>
        <w:tab/>
      </w:r>
      <w:r>
        <w:rPr>
          <w:lang w:val="fr-FR"/>
        </w:rPr>
        <w:t>Les n</w:t>
      </w:r>
      <w:r w:rsidRPr="002E2D03">
        <w:rPr>
          <w:lang w:val="fr-FR"/>
        </w:rPr>
        <w:t xml:space="preserve">otifications </w:t>
      </w:r>
      <w:r>
        <w:rPr>
          <w:lang w:val="fr-FR"/>
        </w:rPr>
        <w:t>d</w:t>
      </w:r>
      <w:r w:rsidR="005F5E71">
        <w:rPr>
          <w:lang w:val="fr-FR"/>
        </w:rPr>
        <w:t>’</w:t>
      </w:r>
      <w:r>
        <w:rPr>
          <w:lang w:val="fr-FR"/>
        </w:rPr>
        <w:t>in</w:t>
      </w:r>
      <w:r w:rsidRPr="002E2D03">
        <w:rPr>
          <w:lang w:val="fr-FR"/>
        </w:rPr>
        <w:t xml:space="preserve">validation </w:t>
      </w:r>
      <w:r>
        <w:rPr>
          <w:lang w:val="fr-FR"/>
        </w:rPr>
        <w:t>en vertu de la règle </w:t>
      </w:r>
      <w:r w:rsidRPr="002E2D03">
        <w:rPr>
          <w:lang w:val="fr-FR"/>
        </w:rPr>
        <w:t>20</w:t>
      </w:r>
      <w:r>
        <w:rPr>
          <w:lang w:val="fr-FR"/>
        </w:rPr>
        <w:t>.</w:t>
      </w:r>
      <w:r w:rsidRPr="002E2D03">
        <w:rPr>
          <w:lang w:val="fr-FR"/>
        </w:rPr>
        <w:t xml:space="preserve">1) </w:t>
      </w:r>
      <w:r>
        <w:rPr>
          <w:lang w:val="fr-FR"/>
        </w:rPr>
        <w:t xml:space="preserve">et les </w:t>
      </w:r>
      <w:r w:rsidRPr="002E2D03">
        <w:rPr>
          <w:lang w:val="fr-FR"/>
        </w:rPr>
        <w:t xml:space="preserve">notifications </w:t>
      </w:r>
      <w:r>
        <w:rPr>
          <w:lang w:val="fr-FR"/>
        </w:rPr>
        <w:t>de refus des effets de la rectification en vertu de la règle </w:t>
      </w:r>
      <w:r w:rsidRPr="002E2D03">
        <w:rPr>
          <w:lang w:val="fr-FR"/>
        </w:rPr>
        <w:t>22</w:t>
      </w:r>
      <w:r>
        <w:rPr>
          <w:lang w:val="fr-FR"/>
        </w:rPr>
        <w:t>.</w:t>
      </w:r>
      <w:r w:rsidRPr="002E2D03">
        <w:rPr>
          <w:lang w:val="fr-FR"/>
        </w:rPr>
        <w:t xml:space="preserve">2) </w:t>
      </w:r>
      <w:r>
        <w:rPr>
          <w:lang w:val="fr-FR"/>
        </w:rPr>
        <w:t>sont également mises à disposition selon les mêmes modalités</w:t>
      </w:r>
      <w:r w:rsidRPr="002E2D03">
        <w:rPr>
          <w:lang w:val="fr-FR"/>
        </w:rPr>
        <w:t>.</w:t>
      </w:r>
    </w:p>
  </w:footnote>
  <w:footnote w:id="4">
    <w:p w:rsidR="00B1296B" w:rsidRPr="002E2D03" w:rsidRDefault="00B1296B">
      <w:pPr>
        <w:pStyle w:val="FootnoteText"/>
        <w:rPr>
          <w:lang w:val="fr-FR"/>
        </w:rPr>
      </w:pPr>
      <w:r w:rsidRPr="002E2D03">
        <w:rPr>
          <w:rStyle w:val="FootnoteReference"/>
          <w:lang w:val="fr-FR"/>
        </w:rPr>
        <w:footnoteRef/>
      </w:r>
      <w:r w:rsidRPr="002E2D03">
        <w:rPr>
          <w:lang w:val="fr-FR"/>
        </w:rPr>
        <w:tab/>
      </w:r>
      <w:r>
        <w:rPr>
          <w:lang w:val="fr-FR"/>
        </w:rPr>
        <w:t>Des c</w:t>
      </w:r>
      <w:r w:rsidRPr="002E2D03">
        <w:rPr>
          <w:lang w:val="fr-FR"/>
        </w:rPr>
        <w:t xml:space="preserve">opies </w:t>
      </w:r>
      <w:r>
        <w:rPr>
          <w:lang w:val="fr-FR"/>
        </w:rPr>
        <w:t>des inscriptions faites au registre international ou des pièces du dossier de l</w:t>
      </w:r>
      <w:r w:rsidR="005F5E71">
        <w:rPr>
          <w:lang w:val="fr-FR"/>
        </w:rPr>
        <w:t>’</w:t>
      </w:r>
      <w:r>
        <w:rPr>
          <w:lang w:val="fr-FR"/>
        </w:rPr>
        <w:t>enregistrement international sont mises à disposition, qu</w:t>
      </w:r>
      <w:r w:rsidR="005F5E71">
        <w:rPr>
          <w:lang w:val="fr-FR"/>
        </w:rPr>
        <w:t>’</w:t>
      </w:r>
      <w:r>
        <w:rPr>
          <w:lang w:val="fr-FR"/>
        </w:rPr>
        <w:t>elles aient ou non été certifiées conformes</w:t>
      </w:r>
      <w:r w:rsidRPr="002E2D03">
        <w:rPr>
          <w:lang w:val="fr-FR"/>
        </w:rPr>
        <w:t xml:space="preserve"> (</w:t>
      </w:r>
      <w:r>
        <w:rPr>
          <w:lang w:val="fr-FR"/>
        </w:rPr>
        <w:t>règle </w:t>
      </w:r>
      <w:r w:rsidRPr="002E2D03">
        <w:rPr>
          <w:lang w:val="fr-FR"/>
        </w:rPr>
        <w:t>32</w:t>
      </w:r>
      <w:r>
        <w:rPr>
          <w:lang w:val="fr-FR"/>
        </w:rPr>
        <w:t>.</w:t>
      </w:r>
      <w:r w:rsidRPr="002E2D03">
        <w:rPr>
          <w:lang w:val="fr-FR"/>
        </w:rPr>
        <w:t>1</w:t>
      </w:r>
      <w:proofErr w:type="gramStart"/>
      <w:r w:rsidRPr="002E2D03">
        <w:rPr>
          <w:lang w:val="fr-FR"/>
        </w:rPr>
        <w:t>)ii</w:t>
      </w:r>
      <w:proofErr w:type="gramEnd"/>
      <w:r w:rsidRPr="002E2D03">
        <w:rPr>
          <w:lang w:val="fr-FR"/>
        </w:rPr>
        <w:t>) o</w:t>
      </w:r>
      <w:r>
        <w:rPr>
          <w:lang w:val="fr-FR"/>
        </w:rPr>
        <w:t>u</w:t>
      </w:r>
      <w:r w:rsidR="00880B0B">
        <w:rPr>
          <w:lang w:val="fr-FR"/>
        </w:rPr>
        <w:t> </w:t>
      </w:r>
      <w:r>
        <w:rPr>
          <w:lang w:val="fr-FR"/>
        </w:rPr>
        <w:t>i</w:t>
      </w:r>
      <w:r w:rsidRPr="002E2D03">
        <w:rPr>
          <w:lang w:val="fr-FR"/>
        </w:rPr>
        <w:t>ii)).</w:t>
      </w:r>
    </w:p>
  </w:footnote>
  <w:footnote w:id="5">
    <w:p w:rsidR="00B1296B" w:rsidRPr="002E2D03" w:rsidRDefault="00B1296B">
      <w:pPr>
        <w:pStyle w:val="FootnoteText"/>
        <w:rPr>
          <w:lang w:val="fr-FR"/>
        </w:rPr>
      </w:pPr>
      <w:r w:rsidRPr="002E2D03">
        <w:rPr>
          <w:rStyle w:val="FootnoteReference"/>
          <w:lang w:val="fr-FR"/>
        </w:rPr>
        <w:footnoteRef/>
      </w:r>
      <w:r w:rsidRPr="002E2D03">
        <w:rPr>
          <w:lang w:val="fr-FR"/>
        </w:rPr>
        <w:tab/>
        <w:t>I</w:t>
      </w:r>
      <w:r>
        <w:rPr>
          <w:lang w:val="fr-FR"/>
        </w:rPr>
        <w:t>l convient de rappeler que, à sa cinqu</w:t>
      </w:r>
      <w:r w:rsidR="005F5E71">
        <w:rPr>
          <w:lang w:val="fr-FR"/>
        </w:rPr>
        <w:t>ième session</w:t>
      </w:r>
      <w:r>
        <w:rPr>
          <w:lang w:val="fr-FR"/>
        </w:rPr>
        <w:t xml:space="preserve">, le groupe de </w:t>
      </w:r>
      <w:r w:rsidRPr="002E2D03">
        <w:rPr>
          <w:lang w:val="fr-FR"/>
        </w:rPr>
        <w:t>t</w:t>
      </w:r>
      <w:r>
        <w:rPr>
          <w:lang w:val="fr-FR"/>
        </w:rPr>
        <w:t>ravail a examiné une proposition ayant trait à des recomma</w:t>
      </w:r>
      <w:r w:rsidRPr="002E2D03">
        <w:rPr>
          <w:lang w:val="fr-FR"/>
        </w:rPr>
        <w:t xml:space="preserve">ndations </w:t>
      </w:r>
      <w:r>
        <w:rPr>
          <w:lang w:val="fr-FR"/>
        </w:rPr>
        <w:t>relatives à la divulgation d</w:t>
      </w:r>
      <w:r w:rsidR="005F5E71">
        <w:rPr>
          <w:lang w:val="fr-FR"/>
        </w:rPr>
        <w:t>’</w:t>
      </w:r>
      <w:r>
        <w:rPr>
          <w:lang w:val="fr-FR"/>
        </w:rPr>
        <w:t xml:space="preserve">un dessin ou modèle industriel dans une demande internationale </w:t>
      </w:r>
      <w:r w:rsidRPr="002E2D03">
        <w:rPr>
          <w:lang w:val="fr-FR"/>
        </w:rPr>
        <w:t>(document</w:t>
      </w:r>
      <w:r w:rsidR="00DA3060">
        <w:rPr>
          <w:lang w:val="fr-FR"/>
        </w:rPr>
        <w:t> </w:t>
      </w:r>
      <w:r w:rsidRPr="002E2D03">
        <w:rPr>
          <w:lang w:val="fr-FR"/>
        </w:rPr>
        <w:t xml:space="preserve">H/LD/WG/5/4).  </w:t>
      </w:r>
      <w:r>
        <w:rPr>
          <w:lang w:val="fr-FR"/>
        </w:rPr>
        <w:t>Par la suite, des</w:t>
      </w:r>
      <w:r w:rsidRPr="002E2D03">
        <w:rPr>
          <w:lang w:val="fr-FR"/>
        </w:rPr>
        <w:t xml:space="preserve"> “</w:t>
      </w:r>
      <w:hyperlink r:id="rId1" w:history="1">
        <w:r w:rsidRPr="0025292D">
          <w:rPr>
            <w:rStyle w:val="Hyperlink"/>
            <w:color w:val="auto"/>
            <w:u w:val="none"/>
            <w:lang w:val="fr-FR"/>
          </w:rPr>
          <w:t>Recommandations concernant l</w:t>
        </w:r>
        <w:r w:rsidR="005F5E71" w:rsidRPr="0025292D">
          <w:rPr>
            <w:rStyle w:val="Hyperlink"/>
            <w:color w:val="auto"/>
            <w:u w:val="none"/>
            <w:lang w:val="fr-FR"/>
          </w:rPr>
          <w:t>’</w:t>
        </w:r>
        <w:r w:rsidRPr="0025292D">
          <w:rPr>
            <w:rStyle w:val="Hyperlink"/>
            <w:color w:val="auto"/>
            <w:u w:val="none"/>
            <w:lang w:val="fr-FR"/>
          </w:rPr>
          <w:t>établissement et la remise des reproductions afin de prévenir d</w:t>
        </w:r>
        <w:r w:rsidR="005F5E71" w:rsidRPr="0025292D">
          <w:rPr>
            <w:rStyle w:val="Hyperlink"/>
            <w:color w:val="auto"/>
            <w:u w:val="none"/>
            <w:lang w:val="fr-FR"/>
          </w:rPr>
          <w:t>’</w:t>
        </w:r>
        <w:r w:rsidRPr="0025292D">
          <w:rPr>
            <w:rStyle w:val="Hyperlink"/>
            <w:color w:val="auto"/>
            <w:u w:val="none"/>
            <w:lang w:val="fr-FR"/>
          </w:rPr>
          <w:t xml:space="preserve">éventuels refus de la part des </w:t>
        </w:r>
        <w:r w:rsidR="00BB0AE1" w:rsidRPr="0025292D">
          <w:rPr>
            <w:rStyle w:val="Hyperlink"/>
            <w:color w:val="auto"/>
            <w:u w:val="none"/>
            <w:lang w:val="fr-FR"/>
          </w:rPr>
          <w:t>O</w:t>
        </w:r>
        <w:r w:rsidRPr="0025292D">
          <w:rPr>
            <w:rStyle w:val="Hyperlink"/>
            <w:color w:val="auto"/>
            <w:u w:val="none"/>
            <w:lang w:val="fr-FR"/>
          </w:rPr>
          <w:t>ffices procédant à l</w:t>
        </w:r>
        <w:r w:rsidR="005F5E71" w:rsidRPr="0025292D">
          <w:rPr>
            <w:rStyle w:val="Hyperlink"/>
            <w:color w:val="auto"/>
            <w:u w:val="none"/>
            <w:lang w:val="fr-FR"/>
          </w:rPr>
          <w:t>’</w:t>
        </w:r>
        <w:r w:rsidRPr="0025292D">
          <w:rPr>
            <w:rStyle w:val="Hyperlink"/>
            <w:color w:val="auto"/>
            <w:u w:val="none"/>
            <w:lang w:val="fr-FR"/>
          </w:rPr>
          <w:t>examen au motif que la divulgation du dessin ou modèle industriel est insuffisante</w:t>
        </w:r>
      </w:hyperlink>
      <w:r w:rsidRPr="002E2D03">
        <w:rPr>
          <w:lang w:val="fr-FR"/>
        </w:rPr>
        <w:t xml:space="preserve">” </w:t>
      </w:r>
      <w:r>
        <w:rPr>
          <w:lang w:val="fr-FR"/>
        </w:rPr>
        <w:t>ont été établies en août </w:t>
      </w:r>
      <w:r w:rsidRPr="002E2D03">
        <w:rPr>
          <w:lang w:val="fr-FR"/>
        </w:rPr>
        <w:t>2016.</w:t>
      </w:r>
    </w:p>
  </w:footnote>
  <w:footnote w:id="6">
    <w:p w:rsidR="00B1296B" w:rsidRPr="002E2D03" w:rsidRDefault="00B1296B">
      <w:pPr>
        <w:pStyle w:val="FootnoteText"/>
        <w:rPr>
          <w:lang w:val="fr-FR"/>
        </w:rPr>
      </w:pPr>
      <w:r w:rsidRPr="002E2D03">
        <w:rPr>
          <w:rStyle w:val="FootnoteReference"/>
          <w:lang w:val="fr-FR"/>
        </w:rPr>
        <w:footnoteRef/>
      </w:r>
      <w:r w:rsidRPr="002E2D03">
        <w:rPr>
          <w:lang w:val="fr-FR"/>
        </w:rPr>
        <w:tab/>
      </w:r>
      <w:r>
        <w:rPr>
          <w:lang w:val="fr-FR"/>
        </w:rPr>
        <w:t xml:space="preserve">Des copies </w:t>
      </w:r>
      <w:r w:rsidRPr="002E2D03">
        <w:rPr>
          <w:lang w:val="fr-FR"/>
        </w:rPr>
        <w:t xml:space="preserve">PDF </w:t>
      </w:r>
      <w:r>
        <w:rPr>
          <w:lang w:val="fr-FR"/>
        </w:rPr>
        <w:t xml:space="preserve">de divers types de </w:t>
      </w:r>
      <w:r w:rsidRPr="002E2D03">
        <w:rPr>
          <w:lang w:val="fr-FR"/>
        </w:rPr>
        <w:t>notifications re</w:t>
      </w:r>
      <w:r>
        <w:rPr>
          <w:lang w:val="fr-FR"/>
        </w:rPr>
        <w:t>çues de l</w:t>
      </w:r>
      <w:r w:rsidR="005F5E71">
        <w:rPr>
          <w:lang w:val="fr-FR"/>
        </w:rPr>
        <w:t>’</w:t>
      </w:r>
      <w:r w:rsidR="00BB0AE1">
        <w:rPr>
          <w:lang w:val="fr-FR"/>
        </w:rPr>
        <w:t>O</w:t>
      </w:r>
      <w:r>
        <w:rPr>
          <w:lang w:val="fr-FR"/>
        </w:rPr>
        <w:t>ffice d</w:t>
      </w:r>
      <w:r w:rsidR="005F5E71">
        <w:rPr>
          <w:lang w:val="fr-FR"/>
        </w:rPr>
        <w:t>’</w:t>
      </w:r>
      <w:r>
        <w:rPr>
          <w:lang w:val="fr-FR"/>
        </w:rPr>
        <w:t xml:space="preserve">une partie contractante désignée, </w:t>
      </w:r>
      <w:r w:rsidR="005F5E71">
        <w:rPr>
          <w:lang w:val="fr-FR"/>
        </w:rPr>
        <w:t>y compris</w:t>
      </w:r>
      <w:r>
        <w:rPr>
          <w:lang w:val="fr-FR"/>
        </w:rPr>
        <w:t xml:space="preserve"> une notification de refus provisoire, sont mises à disposition depuis janvier 2005 sur la page du site Web de l</w:t>
      </w:r>
      <w:r w:rsidR="005F5E71">
        <w:rPr>
          <w:lang w:val="fr-FR"/>
        </w:rPr>
        <w:t>’</w:t>
      </w:r>
      <w:r>
        <w:rPr>
          <w:lang w:val="fr-FR"/>
        </w:rPr>
        <w:t>OMPI consacrée au système de Madrid</w:t>
      </w:r>
      <w:r w:rsidRPr="002E2D03">
        <w:rPr>
          <w:lang w:val="fr-FR"/>
        </w:rPr>
        <w:t>.</w:t>
      </w:r>
    </w:p>
  </w:footnote>
  <w:footnote w:id="7">
    <w:p w:rsidR="00B1296B" w:rsidRPr="002E2D03" w:rsidRDefault="00B1296B" w:rsidP="006D4F5D">
      <w:pPr>
        <w:pStyle w:val="FootnoteText"/>
        <w:rPr>
          <w:lang w:val="fr-FR"/>
        </w:rPr>
      </w:pPr>
      <w:r w:rsidRPr="002E2D03">
        <w:rPr>
          <w:rStyle w:val="FootnoteReference"/>
          <w:lang w:val="fr-FR"/>
        </w:rPr>
        <w:footnoteRef/>
      </w:r>
      <w:r w:rsidRPr="002E2D03">
        <w:rPr>
          <w:lang w:val="fr-FR"/>
        </w:rPr>
        <w:tab/>
        <w:t>I</w:t>
      </w:r>
      <w:r>
        <w:rPr>
          <w:lang w:val="fr-FR"/>
        </w:rPr>
        <w:t>l convien</w:t>
      </w:r>
      <w:r w:rsidRPr="002E2D03">
        <w:rPr>
          <w:lang w:val="fr-FR"/>
        </w:rPr>
        <w:t xml:space="preserve">t </w:t>
      </w:r>
      <w:r>
        <w:rPr>
          <w:lang w:val="fr-FR"/>
        </w:rPr>
        <w:t>de noter que</w:t>
      </w:r>
      <w:r w:rsidR="00942E02">
        <w:rPr>
          <w:lang w:val="fr-FR"/>
        </w:rPr>
        <w:t xml:space="preserve"> le JPO</w:t>
      </w:r>
      <w:r>
        <w:rPr>
          <w:lang w:val="fr-FR"/>
        </w:rPr>
        <w:t xml:space="preserve"> émet une not</w:t>
      </w:r>
      <w:r w:rsidRPr="002E2D03">
        <w:rPr>
          <w:lang w:val="fr-FR"/>
        </w:rPr>
        <w:t xml:space="preserve">ification </w:t>
      </w:r>
      <w:r>
        <w:rPr>
          <w:lang w:val="fr-FR"/>
        </w:rPr>
        <w:t>de refus par dessin ou modèle si l</w:t>
      </w:r>
      <w:r w:rsidR="005F5E71">
        <w:rPr>
          <w:lang w:val="fr-FR"/>
        </w:rPr>
        <w:t>’</w:t>
      </w:r>
      <w:r>
        <w:rPr>
          <w:lang w:val="fr-FR"/>
        </w:rPr>
        <w:t>enregistrement international contient plusieurs dessins ou modèles industriels</w:t>
      </w:r>
      <w:r w:rsidRPr="002E2D03">
        <w:rPr>
          <w:lang w:val="fr-FR"/>
        </w:rPr>
        <w:t>.</w:t>
      </w:r>
    </w:p>
  </w:footnote>
  <w:footnote w:id="8">
    <w:p w:rsidR="00B1296B" w:rsidRPr="002E2D03" w:rsidRDefault="00B1296B">
      <w:pPr>
        <w:pStyle w:val="FootnoteText"/>
        <w:rPr>
          <w:lang w:val="fr-FR"/>
        </w:rPr>
      </w:pPr>
      <w:r w:rsidRPr="002E2D03">
        <w:rPr>
          <w:rStyle w:val="FootnoteReference"/>
          <w:lang w:val="fr-FR"/>
        </w:rPr>
        <w:footnoteRef/>
      </w:r>
      <w:r w:rsidRPr="002E2D03">
        <w:rPr>
          <w:lang w:val="fr-FR"/>
        </w:rPr>
        <w:tab/>
      </w:r>
      <w:r>
        <w:rPr>
          <w:lang w:val="fr-FR"/>
        </w:rPr>
        <w:t>Se</w:t>
      </w:r>
      <w:r w:rsidR="000C516D">
        <w:rPr>
          <w:lang w:val="fr-FR"/>
        </w:rPr>
        <w:t xml:space="preserve"> référer</w:t>
      </w:r>
      <w:r>
        <w:rPr>
          <w:lang w:val="fr-FR"/>
        </w:rPr>
        <w:t xml:space="preserve"> au projet de règle </w:t>
      </w:r>
      <w:r w:rsidRPr="002E2D03">
        <w:rPr>
          <w:lang w:val="fr-FR"/>
        </w:rPr>
        <w:t>24</w:t>
      </w:r>
      <w:r>
        <w:rPr>
          <w:lang w:val="fr-FR"/>
        </w:rPr>
        <w:t>.</w:t>
      </w:r>
      <w:r w:rsidRPr="002E2D03">
        <w:rPr>
          <w:lang w:val="fr-FR"/>
        </w:rPr>
        <w:t>1</w:t>
      </w:r>
      <w:proofErr w:type="gramStart"/>
      <w:r w:rsidRPr="002E2D03">
        <w:rPr>
          <w:lang w:val="fr-FR"/>
        </w:rPr>
        <w:t>)ii</w:t>
      </w:r>
      <w:proofErr w:type="gramEnd"/>
      <w:r w:rsidRPr="002E2D03">
        <w:rPr>
          <w:lang w:val="fr-FR"/>
        </w:rPr>
        <w:t>)</w:t>
      </w:r>
      <w:r>
        <w:rPr>
          <w:lang w:val="fr-FR"/>
        </w:rPr>
        <w:t xml:space="preserve"> dans le</w:t>
      </w:r>
      <w:r w:rsidRPr="002E2D03">
        <w:rPr>
          <w:lang w:val="fr-FR"/>
        </w:rPr>
        <w:t xml:space="preserve"> </w:t>
      </w:r>
      <w:r>
        <w:rPr>
          <w:lang w:val="fr-FR"/>
        </w:rPr>
        <w:t>document</w:t>
      </w:r>
      <w:r w:rsidR="00DA3060">
        <w:rPr>
          <w:lang w:val="fr-FR"/>
        </w:rPr>
        <w:t> </w:t>
      </w:r>
      <w:r>
        <w:rPr>
          <w:lang w:val="fr-FR"/>
        </w:rPr>
        <w:t>H/CE/VII/4.</w:t>
      </w:r>
    </w:p>
  </w:footnote>
  <w:footnote w:id="9">
    <w:p w:rsidR="00B1296B" w:rsidRPr="002E2D03" w:rsidRDefault="00B1296B">
      <w:pPr>
        <w:pStyle w:val="FootnoteText"/>
        <w:rPr>
          <w:lang w:val="fr-FR"/>
        </w:rPr>
      </w:pPr>
      <w:r w:rsidRPr="002E2D03">
        <w:rPr>
          <w:rStyle w:val="FootnoteReference"/>
          <w:lang w:val="fr-FR"/>
        </w:rPr>
        <w:footnoteRef/>
      </w:r>
      <w:r w:rsidRPr="002E2D03">
        <w:rPr>
          <w:lang w:val="fr-FR"/>
        </w:rPr>
        <w:tab/>
      </w:r>
      <w:r>
        <w:rPr>
          <w:lang w:val="fr-FR"/>
        </w:rPr>
        <w:t>Se</w:t>
      </w:r>
      <w:r w:rsidR="000C516D">
        <w:rPr>
          <w:lang w:val="fr-FR"/>
        </w:rPr>
        <w:t xml:space="preserve"> référer</w:t>
      </w:r>
      <w:r>
        <w:rPr>
          <w:lang w:val="fr-FR"/>
        </w:rPr>
        <w:t xml:space="preserve"> au projet de règle </w:t>
      </w:r>
      <w:r w:rsidRPr="002E2D03">
        <w:rPr>
          <w:lang w:val="fr-FR"/>
        </w:rPr>
        <w:t>26</w:t>
      </w:r>
      <w:r>
        <w:rPr>
          <w:lang w:val="fr-FR"/>
        </w:rPr>
        <w:t>.</w:t>
      </w:r>
      <w:r w:rsidRPr="002E2D03">
        <w:rPr>
          <w:lang w:val="fr-FR"/>
        </w:rPr>
        <w:t>1</w:t>
      </w:r>
      <w:proofErr w:type="gramStart"/>
      <w:r w:rsidRPr="002E2D03">
        <w:rPr>
          <w:lang w:val="fr-FR"/>
        </w:rPr>
        <w:t>)ii</w:t>
      </w:r>
      <w:proofErr w:type="gramEnd"/>
      <w:r w:rsidRPr="002E2D03">
        <w:rPr>
          <w:lang w:val="fr-FR"/>
        </w:rPr>
        <w:t>)</w:t>
      </w:r>
      <w:r>
        <w:rPr>
          <w:lang w:val="fr-FR"/>
        </w:rPr>
        <w:t xml:space="preserve"> dans le </w:t>
      </w:r>
      <w:r w:rsidRPr="002E2D03">
        <w:rPr>
          <w:lang w:val="fr-FR"/>
        </w:rPr>
        <w:t>document</w:t>
      </w:r>
      <w:r w:rsidR="00DA3060">
        <w:rPr>
          <w:lang w:val="fr-FR"/>
        </w:rPr>
        <w:t> </w:t>
      </w:r>
      <w:r w:rsidRPr="002E2D03">
        <w:rPr>
          <w:lang w:val="fr-FR"/>
        </w:rPr>
        <w:t xml:space="preserve">H/DC/4, </w:t>
      </w:r>
      <w:r w:rsidRPr="00AE3238">
        <w:rPr>
          <w:lang w:val="fr-FR"/>
        </w:rPr>
        <w:t>Proposition de base pour le règlement d</w:t>
      </w:r>
      <w:r w:rsidR="005F5E71">
        <w:rPr>
          <w:lang w:val="fr-FR"/>
        </w:rPr>
        <w:t>’</w:t>
      </w:r>
      <w:r w:rsidRPr="00AE3238">
        <w:rPr>
          <w:lang w:val="fr-FR"/>
        </w:rPr>
        <w:t>exécution relatif au nouvel Acte de l</w:t>
      </w:r>
      <w:r w:rsidR="005F5E71">
        <w:rPr>
          <w:lang w:val="fr-FR"/>
        </w:rPr>
        <w:t>’</w:t>
      </w:r>
      <w:r w:rsidRPr="00AE3238">
        <w:rPr>
          <w:lang w:val="fr-FR"/>
        </w:rPr>
        <w:t xml:space="preserve">Arrangement de </w:t>
      </w:r>
      <w:r w:rsidR="005F5E71">
        <w:rPr>
          <w:lang w:val="fr-FR"/>
        </w:rPr>
        <w:t>La Haye</w:t>
      </w:r>
      <w:r w:rsidRPr="002E2D03">
        <w:rPr>
          <w:lang w:val="fr-FR"/>
        </w:rPr>
        <w:t xml:space="preserve">.  </w:t>
      </w:r>
      <w:r>
        <w:rPr>
          <w:lang w:val="fr-FR"/>
        </w:rPr>
        <w:t>Le r</w:t>
      </w:r>
      <w:r w:rsidRPr="008823CD">
        <w:rPr>
          <w:lang w:val="fr-FR"/>
        </w:rPr>
        <w:t>èglement d</w:t>
      </w:r>
      <w:r w:rsidR="005F5E71">
        <w:rPr>
          <w:lang w:val="fr-FR"/>
        </w:rPr>
        <w:t>’</w:t>
      </w:r>
      <w:r w:rsidRPr="008823CD">
        <w:rPr>
          <w:lang w:val="fr-FR"/>
        </w:rPr>
        <w:t>exécution de l</w:t>
      </w:r>
      <w:r w:rsidR="005F5E71">
        <w:rPr>
          <w:lang w:val="fr-FR"/>
        </w:rPr>
        <w:t>’</w:t>
      </w:r>
      <w:r w:rsidRPr="008823CD">
        <w:rPr>
          <w:lang w:val="fr-FR"/>
        </w:rPr>
        <w:t xml:space="preserve">Arrangement de </w:t>
      </w:r>
      <w:r w:rsidR="005F5E71">
        <w:rPr>
          <w:lang w:val="fr-FR"/>
        </w:rPr>
        <w:t>La Haye</w:t>
      </w:r>
      <w:r>
        <w:rPr>
          <w:lang w:val="fr-FR"/>
        </w:rPr>
        <w:t xml:space="preserve"> concernant le dépôt international des dessins et modèles industriels</w:t>
      </w:r>
      <w:r w:rsidRPr="002E2D03">
        <w:rPr>
          <w:lang w:val="fr-FR"/>
        </w:rPr>
        <w:t xml:space="preserve">, </w:t>
      </w:r>
      <w:r>
        <w:rPr>
          <w:lang w:val="fr-FR"/>
        </w:rPr>
        <w:t>en vigueur le</w:t>
      </w:r>
      <w:r w:rsidR="005F5E71">
        <w:rPr>
          <w:lang w:val="fr-FR"/>
        </w:rPr>
        <w:t xml:space="preserve"> 1</w:t>
      </w:r>
      <w:r w:rsidR="005F5E71" w:rsidRPr="005F5E71">
        <w:rPr>
          <w:vertAlign w:val="superscript"/>
          <w:lang w:val="fr-FR"/>
        </w:rPr>
        <w:t>er</w:t>
      </w:r>
      <w:r w:rsidR="005F5E71">
        <w:rPr>
          <w:lang w:val="fr-FR"/>
        </w:rPr>
        <w:t> </w:t>
      </w:r>
      <w:r>
        <w:rPr>
          <w:lang w:val="fr-FR"/>
        </w:rPr>
        <w:t>janvier </w:t>
      </w:r>
      <w:r w:rsidRPr="002E2D03">
        <w:rPr>
          <w:lang w:val="fr-FR"/>
        </w:rPr>
        <w:t>2002</w:t>
      </w:r>
      <w:r>
        <w:rPr>
          <w:lang w:val="fr-FR"/>
        </w:rPr>
        <w:t xml:space="preserve">, ne contient pas les termes en </w:t>
      </w:r>
      <w:r w:rsidRPr="002E2D03">
        <w:rPr>
          <w:lang w:val="fr-FR"/>
        </w:rPr>
        <w:t xml:space="preserve">question </w:t>
      </w:r>
      <w:r>
        <w:rPr>
          <w:lang w:val="fr-FR"/>
        </w:rPr>
        <w:t xml:space="preserve">en rapport avec la </w:t>
      </w:r>
      <w:r w:rsidRPr="002E2D03">
        <w:rPr>
          <w:lang w:val="fr-FR"/>
        </w:rPr>
        <w:t xml:space="preserve">publication </w:t>
      </w:r>
      <w:r>
        <w:rPr>
          <w:lang w:val="fr-FR"/>
        </w:rPr>
        <w:t>d</w:t>
      </w:r>
      <w:r w:rsidR="005F5E71">
        <w:rPr>
          <w:lang w:val="fr-FR"/>
        </w:rPr>
        <w:t>’</w:t>
      </w:r>
      <w:r>
        <w:rPr>
          <w:lang w:val="fr-FR"/>
        </w:rPr>
        <w:t>une notification de refus</w:t>
      </w:r>
      <w:r w:rsidRPr="002E2D03">
        <w:rPr>
          <w:lang w:val="fr-FR"/>
        </w:rPr>
        <w:t>.</w:t>
      </w:r>
    </w:p>
  </w:footnote>
  <w:footnote w:id="10">
    <w:p w:rsidR="00B1296B" w:rsidRPr="002E2D03" w:rsidRDefault="00B1296B">
      <w:pPr>
        <w:pStyle w:val="FootnoteText"/>
        <w:rPr>
          <w:lang w:val="fr-FR"/>
        </w:rPr>
      </w:pPr>
      <w:r w:rsidRPr="002E2D03">
        <w:rPr>
          <w:rStyle w:val="FootnoteReference"/>
          <w:lang w:val="fr-FR"/>
        </w:rPr>
        <w:footnoteRef/>
      </w:r>
      <w:r w:rsidRPr="002E2D03">
        <w:rPr>
          <w:lang w:val="fr-FR"/>
        </w:rPr>
        <w:tab/>
      </w:r>
      <w:r>
        <w:rPr>
          <w:lang w:val="fr-FR"/>
        </w:rPr>
        <w:t>Ces mêmes termes figurent également à la règle </w:t>
      </w:r>
      <w:r w:rsidRPr="002E2D03">
        <w:rPr>
          <w:lang w:val="fr-FR"/>
        </w:rPr>
        <w:t>31</w:t>
      </w:r>
      <w:r>
        <w:rPr>
          <w:lang w:val="fr-FR"/>
        </w:rPr>
        <w:t>.</w:t>
      </w:r>
      <w:r w:rsidRPr="002E2D03">
        <w:rPr>
          <w:lang w:val="fr-FR"/>
        </w:rPr>
        <w:t xml:space="preserve">1) </w:t>
      </w:r>
      <w:r>
        <w:rPr>
          <w:lang w:val="fr-FR"/>
        </w:rPr>
        <w:t>du règlement d</w:t>
      </w:r>
      <w:r w:rsidR="005F5E71">
        <w:rPr>
          <w:lang w:val="fr-FR"/>
        </w:rPr>
        <w:t>’</w:t>
      </w:r>
      <w:r>
        <w:rPr>
          <w:lang w:val="fr-FR"/>
        </w:rPr>
        <w:t>exécution de l</w:t>
      </w:r>
      <w:r w:rsidR="005F5E71">
        <w:rPr>
          <w:lang w:val="fr-FR"/>
        </w:rPr>
        <w:t>’</w:t>
      </w:r>
      <w:r>
        <w:rPr>
          <w:lang w:val="fr-FR"/>
        </w:rPr>
        <w:t>Arrangement</w:t>
      </w:r>
      <w:r w:rsidR="00BE4C2A">
        <w:rPr>
          <w:lang w:val="fr-FR"/>
        </w:rPr>
        <w:t xml:space="preserve"> </w:t>
      </w:r>
      <w:r>
        <w:rPr>
          <w:lang w:val="fr-FR"/>
        </w:rPr>
        <w:t xml:space="preserve">de </w:t>
      </w:r>
      <w:r w:rsidRPr="002E2D03">
        <w:rPr>
          <w:lang w:val="fr-FR"/>
        </w:rPr>
        <w:t xml:space="preserve">Madrid </w:t>
      </w:r>
      <w:r>
        <w:rPr>
          <w:lang w:val="fr-FR"/>
        </w:rPr>
        <w:t>en vigueur le</w:t>
      </w:r>
      <w:r w:rsidR="005F5E71">
        <w:rPr>
          <w:lang w:val="fr-FR"/>
        </w:rPr>
        <w:t xml:space="preserve"> 1</w:t>
      </w:r>
      <w:r w:rsidR="005F5E71" w:rsidRPr="005F5E71">
        <w:rPr>
          <w:vertAlign w:val="superscript"/>
          <w:lang w:val="fr-FR"/>
        </w:rPr>
        <w:t>er</w:t>
      </w:r>
      <w:r w:rsidR="005F5E71">
        <w:rPr>
          <w:lang w:val="fr-FR"/>
        </w:rPr>
        <w:t> </w:t>
      </w:r>
      <w:r>
        <w:rPr>
          <w:lang w:val="fr-FR"/>
        </w:rPr>
        <w:t xml:space="preserve">avril 1994, </w:t>
      </w:r>
      <w:r w:rsidR="005F5E71">
        <w:rPr>
          <w:lang w:val="fr-FR"/>
        </w:rPr>
        <w:t>à savoir</w:t>
      </w:r>
      <w:r>
        <w:rPr>
          <w:lang w:val="fr-FR"/>
        </w:rPr>
        <w:t xml:space="preserve"> avant l</w:t>
      </w:r>
      <w:r w:rsidR="005F5E71">
        <w:rPr>
          <w:lang w:val="fr-FR"/>
        </w:rPr>
        <w:t>’</w:t>
      </w:r>
      <w:r>
        <w:rPr>
          <w:lang w:val="fr-FR"/>
        </w:rPr>
        <w:t xml:space="preserve">entrée en vigueur du Protocole de </w:t>
      </w:r>
      <w:r w:rsidRPr="002E2D03">
        <w:rPr>
          <w:lang w:val="fr-FR"/>
        </w:rPr>
        <w:t>Madrid.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96B" w:rsidRDefault="00B1296B" w:rsidP="00477D6B">
    <w:pPr>
      <w:jc w:val="right"/>
    </w:pPr>
    <w:bookmarkStart w:id="6" w:name="Code2"/>
    <w:bookmarkEnd w:id="6"/>
    <w:r>
      <w:t>H/LD/WG/7/4</w:t>
    </w:r>
  </w:p>
  <w:p w:rsidR="00B1296B" w:rsidRDefault="00B1296B" w:rsidP="00477D6B">
    <w:pPr>
      <w:jc w:val="right"/>
      <w:rPr>
        <w:noProof/>
      </w:rPr>
    </w:pPr>
    <w:proofErr w:type="gramStart"/>
    <w:r>
      <w:t>page</w:t>
    </w:r>
    <w:proofErr w:type="gramEnd"/>
    <w:r w:rsidR="00DA3060">
      <w:t> </w:t>
    </w:r>
    <w:r>
      <w:fldChar w:fldCharType="begin"/>
    </w:r>
    <w:r>
      <w:instrText xml:space="preserve"> PAGE   \* MERGEFORMAT </w:instrText>
    </w:r>
    <w:r>
      <w:fldChar w:fldCharType="separate"/>
    </w:r>
    <w:r w:rsidR="00D86FD0">
      <w:rPr>
        <w:noProof/>
      </w:rPr>
      <w:t>6</w:t>
    </w:r>
    <w:r>
      <w:rPr>
        <w:noProof/>
      </w:rPr>
      <w:fldChar w:fldCharType="end"/>
    </w:r>
  </w:p>
  <w:p w:rsidR="00B1296B" w:rsidRDefault="00B1296B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96B" w:rsidRDefault="00B1296B" w:rsidP="0043279F">
    <w:pPr>
      <w:pStyle w:val="Header"/>
      <w:jc w:val="right"/>
    </w:pPr>
    <w:r>
      <w:t>H/LD/WG/7/4</w:t>
    </w:r>
  </w:p>
  <w:p w:rsidR="00B1296B" w:rsidRDefault="00B1296B" w:rsidP="0043279F">
    <w:pPr>
      <w:pStyle w:val="Header"/>
      <w:jc w:val="right"/>
    </w:pPr>
    <w:r>
      <w:t>ANNEX</w:t>
    </w:r>
    <w:r w:rsidR="005F3FF3">
      <w:t>E</w:t>
    </w:r>
  </w:p>
  <w:p w:rsidR="00B1296B" w:rsidRPr="00E67B98" w:rsidRDefault="00B1296B" w:rsidP="0043279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91F83FC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64333C5"/>
    <w:multiLevelType w:val="hybridMultilevel"/>
    <w:tmpl w:val="B40C9FBC"/>
    <w:lvl w:ilvl="0" w:tplc="8DB86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659C6E90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letus Awasum">
    <w15:presenceInfo w15:providerId="Windows Live" w15:userId="3b98720a1dbb1d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DE3"/>
    <w:rsid w:val="00001D8E"/>
    <w:rsid w:val="00002930"/>
    <w:rsid w:val="000043A1"/>
    <w:rsid w:val="000074A7"/>
    <w:rsid w:val="00007602"/>
    <w:rsid w:val="00013A10"/>
    <w:rsid w:val="00022060"/>
    <w:rsid w:val="00024B28"/>
    <w:rsid w:val="00024E28"/>
    <w:rsid w:val="00032674"/>
    <w:rsid w:val="000378A9"/>
    <w:rsid w:val="0004308B"/>
    <w:rsid w:val="00043CAA"/>
    <w:rsid w:val="000440FB"/>
    <w:rsid w:val="0004659B"/>
    <w:rsid w:val="00047554"/>
    <w:rsid w:val="0005040A"/>
    <w:rsid w:val="00053221"/>
    <w:rsid w:val="000534CD"/>
    <w:rsid w:val="00053AF8"/>
    <w:rsid w:val="0005497D"/>
    <w:rsid w:val="000552F2"/>
    <w:rsid w:val="0006018D"/>
    <w:rsid w:val="0006020C"/>
    <w:rsid w:val="000622BC"/>
    <w:rsid w:val="0006416E"/>
    <w:rsid w:val="00065FF9"/>
    <w:rsid w:val="00070E8E"/>
    <w:rsid w:val="00074EEF"/>
    <w:rsid w:val="00075432"/>
    <w:rsid w:val="00082036"/>
    <w:rsid w:val="000900E7"/>
    <w:rsid w:val="00090353"/>
    <w:rsid w:val="00092C11"/>
    <w:rsid w:val="00094EEE"/>
    <w:rsid w:val="0009503B"/>
    <w:rsid w:val="000968ED"/>
    <w:rsid w:val="000A0E4E"/>
    <w:rsid w:val="000A4AEA"/>
    <w:rsid w:val="000A7C3B"/>
    <w:rsid w:val="000B2622"/>
    <w:rsid w:val="000B2A6E"/>
    <w:rsid w:val="000B735D"/>
    <w:rsid w:val="000C4046"/>
    <w:rsid w:val="000C516D"/>
    <w:rsid w:val="000D10F8"/>
    <w:rsid w:val="000D318A"/>
    <w:rsid w:val="000D429E"/>
    <w:rsid w:val="000D4A56"/>
    <w:rsid w:val="000D670A"/>
    <w:rsid w:val="000E072D"/>
    <w:rsid w:val="000E539A"/>
    <w:rsid w:val="000F245A"/>
    <w:rsid w:val="000F5C63"/>
    <w:rsid w:val="000F5E56"/>
    <w:rsid w:val="000F6BF4"/>
    <w:rsid w:val="001002B6"/>
    <w:rsid w:val="0010675F"/>
    <w:rsid w:val="00111502"/>
    <w:rsid w:val="00112398"/>
    <w:rsid w:val="001127B3"/>
    <w:rsid w:val="001144DD"/>
    <w:rsid w:val="00114F1F"/>
    <w:rsid w:val="00126F66"/>
    <w:rsid w:val="00133FA2"/>
    <w:rsid w:val="001343F5"/>
    <w:rsid w:val="00136019"/>
    <w:rsid w:val="001362EE"/>
    <w:rsid w:val="00137D6D"/>
    <w:rsid w:val="001400B1"/>
    <w:rsid w:val="00140C99"/>
    <w:rsid w:val="00145391"/>
    <w:rsid w:val="0015260A"/>
    <w:rsid w:val="001701BC"/>
    <w:rsid w:val="00175421"/>
    <w:rsid w:val="001832A6"/>
    <w:rsid w:val="00187D4F"/>
    <w:rsid w:val="001A3DCD"/>
    <w:rsid w:val="001A7410"/>
    <w:rsid w:val="001B4956"/>
    <w:rsid w:val="001B50D5"/>
    <w:rsid w:val="001B5891"/>
    <w:rsid w:val="001B6DB4"/>
    <w:rsid w:val="001C2B3B"/>
    <w:rsid w:val="001C3E5B"/>
    <w:rsid w:val="001C3E88"/>
    <w:rsid w:val="001C4B54"/>
    <w:rsid w:val="001C4E61"/>
    <w:rsid w:val="001D27BC"/>
    <w:rsid w:val="001D6189"/>
    <w:rsid w:val="001E16EA"/>
    <w:rsid w:val="001E7331"/>
    <w:rsid w:val="001E7D55"/>
    <w:rsid w:val="001F7058"/>
    <w:rsid w:val="001F7384"/>
    <w:rsid w:val="001F7934"/>
    <w:rsid w:val="00216598"/>
    <w:rsid w:val="002166E6"/>
    <w:rsid w:val="00226D48"/>
    <w:rsid w:val="00226E07"/>
    <w:rsid w:val="00235C23"/>
    <w:rsid w:val="002362D2"/>
    <w:rsid w:val="002419A2"/>
    <w:rsid w:val="00244999"/>
    <w:rsid w:val="00245067"/>
    <w:rsid w:val="002455F6"/>
    <w:rsid w:val="0024628C"/>
    <w:rsid w:val="00247306"/>
    <w:rsid w:val="0025292D"/>
    <w:rsid w:val="00254230"/>
    <w:rsid w:val="0025429E"/>
    <w:rsid w:val="00256FCC"/>
    <w:rsid w:val="002634C4"/>
    <w:rsid w:val="00266C80"/>
    <w:rsid w:val="00267B07"/>
    <w:rsid w:val="00271407"/>
    <w:rsid w:val="00273D23"/>
    <w:rsid w:val="00274543"/>
    <w:rsid w:val="00274658"/>
    <w:rsid w:val="0027723B"/>
    <w:rsid w:val="00282248"/>
    <w:rsid w:val="002841DE"/>
    <w:rsid w:val="00287F7D"/>
    <w:rsid w:val="00291205"/>
    <w:rsid w:val="002928D3"/>
    <w:rsid w:val="002A25D0"/>
    <w:rsid w:val="002A2A01"/>
    <w:rsid w:val="002A5573"/>
    <w:rsid w:val="002A574B"/>
    <w:rsid w:val="002B0482"/>
    <w:rsid w:val="002B60BF"/>
    <w:rsid w:val="002C13EB"/>
    <w:rsid w:val="002C579B"/>
    <w:rsid w:val="002C5B4E"/>
    <w:rsid w:val="002C7D24"/>
    <w:rsid w:val="002D4BDB"/>
    <w:rsid w:val="002D7D5F"/>
    <w:rsid w:val="002E2D03"/>
    <w:rsid w:val="002E4981"/>
    <w:rsid w:val="002E7FD5"/>
    <w:rsid w:val="002F1FE6"/>
    <w:rsid w:val="002F4E68"/>
    <w:rsid w:val="00301B9D"/>
    <w:rsid w:val="003025D2"/>
    <w:rsid w:val="00303DDD"/>
    <w:rsid w:val="0030678E"/>
    <w:rsid w:val="00311A89"/>
    <w:rsid w:val="00312F7F"/>
    <w:rsid w:val="00315DEB"/>
    <w:rsid w:val="00320205"/>
    <w:rsid w:val="00320C24"/>
    <w:rsid w:val="00331E22"/>
    <w:rsid w:val="00332497"/>
    <w:rsid w:val="00335A25"/>
    <w:rsid w:val="0033731E"/>
    <w:rsid w:val="003435EA"/>
    <w:rsid w:val="0034706C"/>
    <w:rsid w:val="00347329"/>
    <w:rsid w:val="003540F5"/>
    <w:rsid w:val="00354760"/>
    <w:rsid w:val="00357719"/>
    <w:rsid w:val="00360F92"/>
    <w:rsid w:val="00361450"/>
    <w:rsid w:val="00361F1B"/>
    <w:rsid w:val="00363284"/>
    <w:rsid w:val="003673CF"/>
    <w:rsid w:val="003676B2"/>
    <w:rsid w:val="00371436"/>
    <w:rsid w:val="00372078"/>
    <w:rsid w:val="00375A92"/>
    <w:rsid w:val="0038354D"/>
    <w:rsid w:val="00383A7D"/>
    <w:rsid w:val="00383F26"/>
    <w:rsid w:val="003845C1"/>
    <w:rsid w:val="003856A5"/>
    <w:rsid w:val="00385C6D"/>
    <w:rsid w:val="0039194F"/>
    <w:rsid w:val="003941E4"/>
    <w:rsid w:val="00396E35"/>
    <w:rsid w:val="003974B2"/>
    <w:rsid w:val="003A00C9"/>
    <w:rsid w:val="003A4CC7"/>
    <w:rsid w:val="003A6831"/>
    <w:rsid w:val="003A6F89"/>
    <w:rsid w:val="003A76D8"/>
    <w:rsid w:val="003B38C1"/>
    <w:rsid w:val="003B4A15"/>
    <w:rsid w:val="003B5804"/>
    <w:rsid w:val="003B5AB0"/>
    <w:rsid w:val="003C0369"/>
    <w:rsid w:val="003C2BB4"/>
    <w:rsid w:val="003C3657"/>
    <w:rsid w:val="003D0BCD"/>
    <w:rsid w:val="003D407E"/>
    <w:rsid w:val="003D4329"/>
    <w:rsid w:val="003D6820"/>
    <w:rsid w:val="003E08D8"/>
    <w:rsid w:val="003E321E"/>
    <w:rsid w:val="003F1355"/>
    <w:rsid w:val="0040594C"/>
    <w:rsid w:val="00414153"/>
    <w:rsid w:val="00415508"/>
    <w:rsid w:val="004174BA"/>
    <w:rsid w:val="004210D8"/>
    <w:rsid w:val="00421E3B"/>
    <w:rsid w:val="0042316C"/>
    <w:rsid w:val="00423E3E"/>
    <w:rsid w:val="00427AF4"/>
    <w:rsid w:val="0043279F"/>
    <w:rsid w:val="004332F2"/>
    <w:rsid w:val="00437741"/>
    <w:rsid w:val="004402F3"/>
    <w:rsid w:val="00440838"/>
    <w:rsid w:val="00441E10"/>
    <w:rsid w:val="00447548"/>
    <w:rsid w:val="004514D4"/>
    <w:rsid w:val="00451A50"/>
    <w:rsid w:val="004571E0"/>
    <w:rsid w:val="004611DB"/>
    <w:rsid w:val="00461407"/>
    <w:rsid w:val="004647DA"/>
    <w:rsid w:val="00472869"/>
    <w:rsid w:val="00474062"/>
    <w:rsid w:val="00477D6B"/>
    <w:rsid w:val="00490AFA"/>
    <w:rsid w:val="0049528C"/>
    <w:rsid w:val="00495C7F"/>
    <w:rsid w:val="00496163"/>
    <w:rsid w:val="004A19DF"/>
    <w:rsid w:val="004A2BF1"/>
    <w:rsid w:val="004A2C90"/>
    <w:rsid w:val="004B147D"/>
    <w:rsid w:val="004B1C11"/>
    <w:rsid w:val="004B3132"/>
    <w:rsid w:val="004C6A78"/>
    <w:rsid w:val="004C6F57"/>
    <w:rsid w:val="004C76B4"/>
    <w:rsid w:val="004D179E"/>
    <w:rsid w:val="004E5263"/>
    <w:rsid w:val="004F6947"/>
    <w:rsid w:val="0050077C"/>
    <w:rsid w:val="00501652"/>
    <w:rsid w:val="005019FF"/>
    <w:rsid w:val="00510815"/>
    <w:rsid w:val="00514791"/>
    <w:rsid w:val="00517C2F"/>
    <w:rsid w:val="00524A91"/>
    <w:rsid w:val="00525042"/>
    <w:rsid w:val="0053057A"/>
    <w:rsid w:val="005305EA"/>
    <w:rsid w:val="00530FC2"/>
    <w:rsid w:val="00535E1A"/>
    <w:rsid w:val="005406A1"/>
    <w:rsid w:val="0054177F"/>
    <w:rsid w:val="00544D04"/>
    <w:rsid w:val="00546283"/>
    <w:rsid w:val="00547318"/>
    <w:rsid w:val="00547FBB"/>
    <w:rsid w:val="00550CBA"/>
    <w:rsid w:val="005539A6"/>
    <w:rsid w:val="00560A29"/>
    <w:rsid w:val="005707A6"/>
    <w:rsid w:val="0057192F"/>
    <w:rsid w:val="0057286C"/>
    <w:rsid w:val="00581BEB"/>
    <w:rsid w:val="005844D2"/>
    <w:rsid w:val="005935A8"/>
    <w:rsid w:val="005A1FC7"/>
    <w:rsid w:val="005A3673"/>
    <w:rsid w:val="005B1DF2"/>
    <w:rsid w:val="005B7270"/>
    <w:rsid w:val="005C5218"/>
    <w:rsid w:val="005C5EA8"/>
    <w:rsid w:val="005C6649"/>
    <w:rsid w:val="005D3773"/>
    <w:rsid w:val="005D5CD6"/>
    <w:rsid w:val="005D69C7"/>
    <w:rsid w:val="005E1B91"/>
    <w:rsid w:val="005E3031"/>
    <w:rsid w:val="005E338C"/>
    <w:rsid w:val="005F0343"/>
    <w:rsid w:val="005F1073"/>
    <w:rsid w:val="005F1A64"/>
    <w:rsid w:val="005F1B1E"/>
    <w:rsid w:val="005F3FF3"/>
    <w:rsid w:val="005F5E71"/>
    <w:rsid w:val="005F6675"/>
    <w:rsid w:val="0060017F"/>
    <w:rsid w:val="00605827"/>
    <w:rsid w:val="00607CE6"/>
    <w:rsid w:val="00621664"/>
    <w:rsid w:val="006225AC"/>
    <w:rsid w:val="006279B9"/>
    <w:rsid w:val="0063196A"/>
    <w:rsid w:val="006346CC"/>
    <w:rsid w:val="00634FB8"/>
    <w:rsid w:val="00635123"/>
    <w:rsid w:val="00636EC4"/>
    <w:rsid w:val="00644838"/>
    <w:rsid w:val="00645A88"/>
    <w:rsid w:val="00645E67"/>
    <w:rsid w:val="00646050"/>
    <w:rsid w:val="00652CEB"/>
    <w:rsid w:val="00652D74"/>
    <w:rsid w:val="006544D2"/>
    <w:rsid w:val="006552EF"/>
    <w:rsid w:val="00655B02"/>
    <w:rsid w:val="00656656"/>
    <w:rsid w:val="0066092C"/>
    <w:rsid w:val="0066456B"/>
    <w:rsid w:val="0066467B"/>
    <w:rsid w:val="0066517E"/>
    <w:rsid w:val="00665220"/>
    <w:rsid w:val="00667055"/>
    <w:rsid w:val="00670A46"/>
    <w:rsid w:val="00670E09"/>
    <w:rsid w:val="006713CA"/>
    <w:rsid w:val="0067256C"/>
    <w:rsid w:val="00672F70"/>
    <w:rsid w:val="006752F0"/>
    <w:rsid w:val="006763D5"/>
    <w:rsid w:val="006764EC"/>
    <w:rsid w:val="00676B91"/>
    <w:rsid w:val="00676C5C"/>
    <w:rsid w:val="0067796F"/>
    <w:rsid w:val="00680507"/>
    <w:rsid w:val="00692888"/>
    <w:rsid w:val="006A0625"/>
    <w:rsid w:val="006A2EC6"/>
    <w:rsid w:val="006B04CB"/>
    <w:rsid w:val="006B0918"/>
    <w:rsid w:val="006B3F74"/>
    <w:rsid w:val="006B7C72"/>
    <w:rsid w:val="006B7F6E"/>
    <w:rsid w:val="006C0441"/>
    <w:rsid w:val="006C11A3"/>
    <w:rsid w:val="006C22F9"/>
    <w:rsid w:val="006C2553"/>
    <w:rsid w:val="006C2AA6"/>
    <w:rsid w:val="006C4154"/>
    <w:rsid w:val="006C468A"/>
    <w:rsid w:val="006D3F7B"/>
    <w:rsid w:val="006D4F5D"/>
    <w:rsid w:val="006D6B9D"/>
    <w:rsid w:val="006E4644"/>
    <w:rsid w:val="006E5097"/>
    <w:rsid w:val="006E7B5F"/>
    <w:rsid w:val="006F5224"/>
    <w:rsid w:val="00702B3B"/>
    <w:rsid w:val="0070328C"/>
    <w:rsid w:val="00707A06"/>
    <w:rsid w:val="0071012E"/>
    <w:rsid w:val="007117AF"/>
    <w:rsid w:val="00717FBF"/>
    <w:rsid w:val="00724E58"/>
    <w:rsid w:val="0072716B"/>
    <w:rsid w:val="0073333B"/>
    <w:rsid w:val="00735236"/>
    <w:rsid w:val="007450C5"/>
    <w:rsid w:val="00751101"/>
    <w:rsid w:val="00754F99"/>
    <w:rsid w:val="007641B3"/>
    <w:rsid w:val="00764BC3"/>
    <w:rsid w:val="00765C14"/>
    <w:rsid w:val="0076670F"/>
    <w:rsid w:val="0076758D"/>
    <w:rsid w:val="007731FD"/>
    <w:rsid w:val="00785CB0"/>
    <w:rsid w:val="00791339"/>
    <w:rsid w:val="007917E2"/>
    <w:rsid w:val="00792048"/>
    <w:rsid w:val="007A03F9"/>
    <w:rsid w:val="007A15F9"/>
    <w:rsid w:val="007A310A"/>
    <w:rsid w:val="007A747E"/>
    <w:rsid w:val="007B0D27"/>
    <w:rsid w:val="007C5F23"/>
    <w:rsid w:val="007C7EF3"/>
    <w:rsid w:val="007D0E89"/>
    <w:rsid w:val="007D1613"/>
    <w:rsid w:val="007D5ADF"/>
    <w:rsid w:val="007D7738"/>
    <w:rsid w:val="007E3D16"/>
    <w:rsid w:val="007E3F96"/>
    <w:rsid w:val="007F1F8F"/>
    <w:rsid w:val="007F34F2"/>
    <w:rsid w:val="007F4EE1"/>
    <w:rsid w:val="007F530A"/>
    <w:rsid w:val="008060C8"/>
    <w:rsid w:val="00806245"/>
    <w:rsid w:val="00806D74"/>
    <w:rsid w:val="00821095"/>
    <w:rsid w:val="008220D6"/>
    <w:rsid w:val="0082238B"/>
    <w:rsid w:val="008243CF"/>
    <w:rsid w:val="008253A7"/>
    <w:rsid w:val="00827506"/>
    <w:rsid w:val="00835F02"/>
    <w:rsid w:val="00841AAE"/>
    <w:rsid w:val="008503AE"/>
    <w:rsid w:val="008566A9"/>
    <w:rsid w:val="008607AD"/>
    <w:rsid w:val="00860F80"/>
    <w:rsid w:val="00864142"/>
    <w:rsid w:val="008670BD"/>
    <w:rsid w:val="00867C60"/>
    <w:rsid w:val="00871A87"/>
    <w:rsid w:val="008750C9"/>
    <w:rsid w:val="0087602B"/>
    <w:rsid w:val="00880B0B"/>
    <w:rsid w:val="008823CD"/>
    <w:rsid w:val="00885749"/>
    <w:rsid w:val="00896269"/>
    <w:rsid w:val="008A25C8"/>
    <w:rsid w:val="008A426E"/>
    <w:rsid w:val="008A6ECC"/>
    <w:rsid w:val="008B2CC1"/>
    <w:rsid w:val="008B60B2"/>
    <w:rsid w:val="008B6B36"/>
    <w:rsid w:val="008C2A5D"/>
    <w:rsid w:val="008C4BE7"/>
    <w:rsid w:val="008C6D0F"/>
    <w:rsid w:val="008D26E3"/>
    <w:rsid w:val="008D5769"/>
    <w:rsid w:val="008E11C3"/>
    <w:rsid w:val="008E172A"/>
    <w:rsid w:val="008E3B72"/>
    <w:rsid w:val="008E7FA2"/>
    <w:rsid w:val="008F0553"/>
    <w:rsid w:val="008F2593"/>
    <w:rsid w:val="008F3F65"/>
    <w:rsid w:val="008F5DCA"/>
    <w:rsid w:val="00903EBF"/>
    <w:rsid w:val="00906AF5"/>
    <w:rsid w:val="0090731E"/>
    <w:rsid w:val="00910A69"/>
    <w:rsid w:val="00912505"/>
    <w:rsid w:val="0091369C"/>
    <w:rsid w:val="00916EE2"/>
    <w:rsid w:val="00921EBA"/>
    <w:rsid w:val="00924BFA"/>
    <w:rsid w:val="00926CD7"/>
    <w:rsid w:val="00937A91"/>
    <w:rsid w:val="00942E02"/>
    <w:rsid w:val="009436AE"/>
    <w:rsid w:val="0095211B"/>
    <w:rsid w:val="00955BAC"/>
    <w:rsid w:val="009622B1"/>
    <w:rsid w:val="009638E6"/>
    <w:rsid w:val="00966A22"/>
    <w:rsid w:val="0096722F"/>
    <w:rsid w:val="00971530"/>
    <w:rsid w:val="00974255"/>
    <w:rsid w:val="00977A72"/>
    <w:rsid w:val="00980843"/>
    <w:rsid w:val="00985D06"/>
    <w:rsid w:val="0098663B"/>
    <w:rsid w:val="009944A3"/>
    <w:rsid w:val="00994AA7"/>
    <w:rsid w:val="009A15B1"/>
    <w:rsid w:val="009A51D8"/>
    <w:rsid w:val="009A5C78"/>
    <w:rsid w:val="009C27DC"/>
    <w:rsid w:val="009C6CCE"/>
    <w:rsid w:val="009C77AC"/>
    <w:rsid w:val="009D3094"/>
    <w:rsid w:val="009E2791"/>
    <w:rsid w:val="009E2863"/>
    <w:rsid w:val="009E2A81"/>
    <w:rsid w:val="009E2E83"/>
    <w:rsid w:val="009E3F6F"/>
    <w:rsid w:val="009E4DE6"/>
    <w:rsid w:val="009F412F"/>
    <w:rsid w:val="009F499F"/>
    <w:rsid w:val="00A03438"/>
    <w:rsid w:val="00A116CE"/>
    <w:rsid w:val="00A13DD3"/>
    <w:rsid w:val="00A15C4F"/>
    <w:rsid w:val="00A17737"/>
    <w:rsid w:val="00A17943"/>
    <w:rsid w:val="00A202C3"/>
    <w:rsid w:val="00A25C2E"/>
    <w:rsid w:val="00A267FC"/>
    <w:rsid w:val="00A2720D"/>
    <w:rsid w:val="00A275B6"/>
    <w:rsid w:val="00A32CFE"/>
    <w:rsid w:val="00A34917"/>
    <w:rsid w:val="00A37828"/>
    <w:rsid w:val="00A37843"/>
    <w:rsid w:val="00A423B2"/>
    <w:rsid w:val="00A42DAF"/>
    <w:rsid w:val="00A45BD8"/>
    <w:rsid w:val="00A4728D"/>
    <w:rsid w:val="00A6071F"/>
    <w:rsid w:val="00A609F8"/>
    <w:rsid w:val="00A72090"/>
    <w:rsid w:val="00A74C82"/>
    <w:rsid w:val="00A7596B"/>
    <w:rsid w:val="00A76F5A"/>
    <w:rsid w:val="00A80BAF"/>
    <w:rsid w:val="00A869B7"/>
    <w:rsid w:val="00A877BC"/>
    <w:rsid w:val="00A9347A"/>
    <w:rsid w:val="00AA0168"/>
    <w:rsid w:val="00AA01C8"/>
    <w:rsid w:val="00AA7031"/>
    <w:rsid w:val="00AA78DA"/>
    <w:rsid w:val="00AB3422"/>
    <w:rsid w:val="00AB4630"/>
    <w:rsid w:val="00AC1327"/>
    <w:rsid w:val="00AC205C"/>
    <w:rsid w:val="00AC5236"/>
    <w:rsid w:val="00AC7AC6"/>
    <w:rsid w:val="00AD2013"/>
    <w:rsid w:val="00AE1F11"/>
    <w:rsid w:val="00AE3238"/>
    <w:rsid w:val="00AE5275"/>
    <w:rsid w:val="00AF0A6B"/>
    <w:rsid w:val="00AF4287"/>
    <w:rsid w:val="00AF47AD"/>
    <w:rsid w:val="00AF4CA1"/>
    <w:rsid w:val="00B05A69"/>
    <w:rsid w:val="00B1296B"/>
    <w:rsid w:val="00B27ACA"/>
    <w:rsid w:val="00B3380E"/>
    <w:rsid w:val="00B34DA2"/>
    <w:rsid w:val="00B44230"/>
    <w:rsid w:val="00B44236"/>
    <w:rsid w:val="00B54389"/>
    <w:rsid w:val="00B6324B"/>
    <w:rsid w:val="00B72104"/>
    <w:rsid w:val="00B742CC"/>
    <w:rsid w:val="00B764FD"/>
    <w:rsid w:val="00B82E87"/>
    <w:rsid w:val="00B83A8C"/>
    <w:rsid w:val="00B84E4F"/>
    <w:rsid w:val="00B851C0"/>
    <w:rsid w:val="00B87CD1"/>
    <w:rsid w:val="00B92173"/>
    <w:rsid w:val="00B925E8"/>
    <w:rsid w:val="00B96F61"/>
    <w:rsid w:val="00B9734B"/>
    <w:rsid w:val="00BA1D35"/>
    <w:rsid w:val="00BA416F"/>
    <w:rsid w:val="00BA7123"/>
    <w:rsid w:val="00BB097F"/>
    <w:rsid w:val="00BB0AE1"/>
    <w:rsid w:val="00BB4E1A"/>
    <w:rsid w:val="00BC184A"/>
    <w:rsid w:val="00BC1E65"/>
    <w:rsid w:val="00BC28B6"/>
    <w:rsid w:val="00BC2F28"/>
    <w:rsid w:val="00BD1A62"/>
    <w:rsid w:val="00BD261D"/>
    <w:rsid w:val="00BD34E9"/>
    <w:rsid w:val="00BD56F3"/>
    <w:rsid w:val="00BD6D0D"/>
    <w:rsid w:val="00BE4C2A"/>
    <w:rsid w:val="00BF4F4E"/>
    <w:rsid w:val="00BF6A52"/>
    <w:rsid w:val="00BF7BF5"/>
    <w:rsid w:val="00C017AA"/>
    <w:rsid w:val="00C02E18"/>
    <w:rsid w:val="00C03EDB"/>
    <w:rsid w:val="00C04200"/>
    <w:rsid w:val="00C04D3F"/>
    <w:rsid w:val="00C0519E"/>
    <w:rsid w:val="00C1070F"/>
    <w:rsid w:val="00C11BFE"/>
    <w:rsid w:val="00C1734F"/>
    <w:rsid w:val="00C17539"/>
    <w:rsid w:val="00C21136"/>
    <w:rsid w:val="00C31EA9"/>
    <w:rsid w:val="00C33A66"/>
    <w:rsid w:val="00C347A3"/>
    <w:rsid w:val="00C36976"/>
    <w:rsid w:val="00C413B8"/>
    <w:rsid w:val="00C419CD"/>
    <w:rsid w:val="00C5130E"/>
    <w:rsid w:val="00C633AA"/>
    <w:rsid w:val="00C6721A"/>
    <w:rsid w:val="00C675AD"/>
    <w:rsid w:val="00C73096"/>
    <w:rsid w:val="00C7547A"/>
    <w:rsid w:val="00C77696"/>
    <w:rsid w:val="00C829FA"/>
    <w:rsid w:val="00C84EEE"/>
    <w:rsid w:val="00C86A13"/>
    <w:rsid w:val="00C86DF4"/>
    <w:rsid w:val="00C87EF9"/>
    <w:rsid w:val="00C9168A"/>
    <w:rsid w:val="00C92255"/>
    <w:rsid w:val="00C94337"/>
    <w:rsid w:val="00C95D3F"/>
    <w:rsid w:val="00C9668C"/>
    <w:rsid w:val="00CA1D6E"/>
    <w:rsid w:val="00CA5BE1"/>
    <w:rsid w:val="00CB036F"/>
    <w:rsid w:val="00CB41D0"/>
    <w:rsid w:val="00CB5B2E"/>
    <w:rsid w:val="00CC020E"/>
    <w:rsid w:val="00CC081B"/>
    <w:rsid w:val="00CC183F"/>
    <w:rsid w:val="00CC30C7"/>
    <w:rsid w:val="00CC3215"/>
    <w:rsid w:val="00CD224D"/>
    <w:rsid w:val="00CD3867"/>
    <w:rsid w:val="00CE2559"/>
    <w:rsid w:val="00CE2D0F"/>
    <w:rsid w:val="00CE336E"/>
    <w:rsid w:val="00CE6C8E"/>
    <w:rsid w:val="00CF3515"/>
    <w:rsid w:val="00CF5A48"/>
    <w:rsid w:val="00CF72B4"/>
    <w:rsid w:val="00D00356"/>
    <w:rsid w:val="00D03460"/>
    <w:rsid w:val="00D03B0B"/>
    <w:rsid w:val="00D06F62"/>
    <w:rsid w:val="00D0727D"/>
    <w:rsid w:val="00D121F3"/>
    <w:rsid w:val="00D12E44"/>
    <w:rsid w:val="00D13313"/>
    <w:rsid w:val="00D14C71"/>
    <w:rsid w:val="00D24A51"/>
    <w:rsid w:val="00D25552"/>
    <w:rsid w:val="00D277B4"/>
    <w:rsid w:val="00D30A0E"/>
    <w:rsid w:val="00D36685"/>
    <w:rsid w:val="00D42090"/>
    <w:rsid w:val="00D43372"/>
    <w:rsid w:val="00D45252"/>
    <w:rsid w:val="00D476A5"/>
    <w:rsid w:val="00D55F71"/>
    <w:rsid w:val="00D61527"/>
    <w:rsid w:val="00D63977"/>
    <w:rsid w:val="00D63CD4"/>
    <w:rsid w:val="00D6668C"/>
    <w:rsid w:val="00D67996"/>
    <w:rsid w:val="00D71B4D"/>
    <w:rsid w:val="00D73B5D"/>
    <w:rsid w:val="00D86FD0"/>
    <w:rsid w:val="00D93060"/>
    <w:rsid w:val="00D93D55"/>
    <w:rsid w:val="00D94873"/>
    <w:rsid w:val="00D97770"/>
    <w:rsid w:val="00DA22CF"/>
    <w:rsid w:val="00DA3060"/>
    <w:rsid w:val="00DB1613"/>
    <w:rsid w:val="00DB1E74"/>
    <w:rsid w:val="00DB213B"/>
    <w:rsid w:val="00DB6BE1"/>
    <w:rsid w:val="00DC2458"/>
    <w:rsid w:val="00DD362B"/>
    <w:rsid w:val="00DD54A8"/>
    <w:rsid w:val="00DE09B9"/>
    <w:rsid w:val="00DE1B79"/>
    <w:rsid w:val="00DE1E62"/>
    <w:rsid w:val="00DE36DF"/>
    <w:rsid w:val="00DE73A4"/>
    <w:rsid w:val="00E01432"/>
    <w:rsid w:val="00E12354"/>
    <w:rsid w:val="00E16167"/>
    <w:rsid w:val="00E16171"/>
    <w:rsid w:val="00E167A1"/>
    <w:rsid w:val="00E178A7"/>
    <w:rsid w:val="00E2026F"/>
    <w:rsid w:val="00E2734A"/>
    <w:rsid w:val="00E300FD"/>
    <w:rsid w:val="00E3025C"/>
    <w:rsid w:val="00E31716"/>
    <w:rsid w:val="00E335FE"/>
    <w:rsid w:val="00E35E2F"/>
    <w:rsid w:val="00E42E0E"/>
    <w:rsid w:val="00E46540"/>
    <w:rsid w:val="00E54A8F"/>
    <w:rsid w:val="00E5563E"/>
    <w:rsid w:val="00E6068A"/>
    <w:rsid w:val="00E611E3"/>
    <w:rsid w:val="00E64A17"/>
    <w:rsid w:val="00E66886"/>
    <w:rsid w:val="00E668FC"/>
    <w:rsid w:val="00E6784A"/>
    <w:rsid w:val="00E67B98"/>
    <w:rsid w:val="00E7120B"/>
    <w:rsid w:val="00E734E9"/>
    <w:rsid w:val="00E771EC"/>
    <w:rsid w:val="00E8017C"/>
    <w:rsid w:val="00E86C1F"/>
    <w:rsid w:val="00E8753F"/>
    <w:rsid w:val="00E91000"/>
    <w:rsid w:val="00EA3A9B"/>
    <w:rsid w:val="00EA55F4"/>
    <w:rsid w:val="00EA5764"/>
    <w:rsid w:val="00EA7D5B"/>
    <w:rsid w:val="00EB04AD"/>
    <w:rsid w:val="00EB51A3"/>
    <w:rsid w:val="00EC0598"/>
    <w:rsid w:val="00EC39AF"/>
    <w:rsid w:val="00EC4E49"/>
    <w:rsid w:val="00EC701F"/>
    <w:rsid w:val="00ED03ED"/>
    <w:rsid w:val="00ED079E"/>
    <w:rsid w:val="00ED77FB"/>
    <w:rsid w:val="00EE3593"/>
    <w:rsid w:val="00EE45FA"/>
    <w:rsid w:val="00EF1238"/>
    <w:rsid w:val="00EF1BC8"/>
    <w:rsid w:val="00EF353E"/>
    <w:rsid w:val="00EF454B"/>
    <w:rsid w:val="00EF61BB"/>
    <w:rsid w:val="00EF7B47"/>
    <w:rsid w:val="00F00817"/>
    <w:rsid w:val="00F023D5"/>
    <w:rsid w:val="00F07211"/>
    <w:rsid w:val="00F07527"/>
    <w:rsid w:val="00F079AD"/>
    <w:rsid w:val="00F15CBF"/>
    <w:rsid w:val="00F16433"/>
    <w:rsid w:val="00F169D3"/>
    <w:rsid w:val="00F20015"/>
    <w:rsid w:val="00F22813"/>
    <w:rsid w:val="00F23DE3"/>
    <w:rsid w:val="00F25812"/>
    <w:rsid w:val="00F30D03"/>
    <w:rsid w:val="00F441D6"/>
    <w:rsid w:val="00F52B8B"/>
    <w:rsid w:val="00F54AA0"/>
    <w:rsid w:val="00F551D9"/>
    <w:rsid w:val="00F563C1"/>
    <w:rsid w:val="00F5699B"/>
    <w:rsid w:val="00F601C6"/>
    <w:rsid w:val="00F6392B"/>
    <w:rsid w:val="00F66152"/>
    <w:rsid w:val="00F66435"/>
    <w:rsid w:val="00F66B5E"/>
    <w:rsid w:val="00F67DCD"/>
    <w:rsid w:val="00F74F57"/>
    <w:rsid w:val="00F773B2"/>
    <w:rsid w:val="00F91E61"/>
    <w:rsid w:val="00FA0854"/>
    <w:rsid w:val="00FA61F4"/>
    <w:rsid w:val="00FB4B0D"/>
    <w:rsid w:val="00FD2B3C"/>
    <w:rsid w:val="00FD3145"/>
    <w:rsid w:val="00FD458F"/>
    <w:rsid w:val="00FD7925"/>
    <w:rsid w:val="00FD7AC4"/>
    <w:rsid w:val="00FE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0E072D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3D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3333B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uiPriority w:val="99"/>
    <w:rsid w:val="00F23DE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DE3"/>
    <w:rPr>
      <w:rFonts w:ascii="Arial" w:eastAsia="SimSun" w:hAnsi="Arial" w:cs="Arial"/>
      <w:sz w:val="18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F23DE3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customStyle="1" w:styleId="indent1">
    <w:name w:val="indent_1"/>
    <w:basedOn w:val="Normal"/>
    <w:rsid w:val="00F23DE3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F23DE3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F23DE3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F23DE3"/>
    <w:rPr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F23DE3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F23DE3"/>
    <w:rPr>
      <w:b/>
      <w:sz w:val="40"/>
      <w:szCs w:val="40"/>
      <w:lang w:val="en-GB" w:eastAsia="ja-JP"/>
    </w:rPr>
  </w:style>
  <w:style w:type="paragraph" w:styleId="BodyText3">
    <w:name w:val="Body Text 3"/>
    <w:basedOn w:val="Normal"/>
    <w:link w:val="BodyText3Char"/>
    <w:rsid w:val="00F23DE3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F23DE3"/>
    <w:rPr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F23DE3"/>
    <w:pPr>
      <w:tabs>
        <w:tab w:val="right" w:pos="8363"/>
      </w:tabs>
      <w:ind w:left="567" w:right="1985" w:hanging="567"/>
      <w:jc w:val="both"/>
    </w:pPr>
    <w:rPr>
      <w:rFonts w:eastAsia="Times New Roman"/>
      <w:szCs w:val="22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F23DE3"/>
    <w:rPr>
      <w:rFonts w:ascii="Arial" w:hAnsi="Arial" w:cs="Arial"/>
      <w:sz w:val="22"/>
      <w:szCs w:val="22"/>
      <w:lang w:val="en-GB" w:eastAsia="ja-JP"/>
    </w:rPr>
  </w:style>
  <w:style w:type="character" w:styleId="CommentReference">
    <w:name w:val="annotation reference"/>
    <w:basedOn w:val="DefaultParagraphFont"/>
    <w:rsid w:val="00F23DE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F23DE3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E7FD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2E7FD5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B1C1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E86C1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109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0E072D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3D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3333B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uiPriority w:val="99"/>
    <w:rsid w:val="00F23DE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DE3"/>
    <w:rPr>
      <w:rFonts w:ascii="Arial" w:eastAsia="SimSun" w:hAnsi="Arial" w:cs="Arial"/>
      <w:sz w:val="18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F23DE3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customStyle="1" w:styleId="indent1">
    <w:name w:val="indent_1"/>
    <w:basedOn w:val="Normal"/>
    <w:rsid w:val="00F23DE3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F23DE3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F23DE3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F23DE3"/>
    <w:rPr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F23DE3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F23DE3"/>
    <w:rPr>
      <w:b/>
      <w:sz w:val="40"/>
      <w:szCs w:val="40"/>
      <w:lang w:val="en-GB" w:eastAsia="ja-JP"/>
    </w:rPr>
  </w:style>
  <w:style w:type="paragraph" w:styleId="BodyText3">
    <w:name w:val="Body Text 3"/>
    <w:basedOn w:val="Normal"/>
    <w:link w:val="BodyText3Char"/>
    <w:rsid w:val="00F23DE3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F23DE3"/>
    <w:rPr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F23DE3"/>
    <w:pPr>
      <w:tabs>
        <w:tab w:val="right" w:pos="8363"/>
      </w:tabs>
      <w:ind w:left="567" w:right="1985" w:hanging="567"/>
      <w:jc w:val="both"/>
    </w:pPr>
    <w:rPr>
      <w:rFonts w:eastAsia="Times New Roman"/>
      <w:szCs w:val="22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F23DE3"/>
    <w:rPr>
      <w:rFonts w:ascii="Arial" w:hAnsi="Arial" w:cs="Arial"/>
      <w:sz w:val="22"/>
      <w:szCs w:val="22"/>
      <w:lang w:val="en-GB" w:eastAsia="ja-JP"/>
    </w:rPr>
  </w:style>
  <w:style w:type="character" w:styleId="CommentReference">
    <w:name w:val="annotation reference"/>
    <w:basedOn w:val="DefaultParagraphFont"/>
    <w:rsid w:val="00F23DE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F23DE3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E7FD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2E7FD5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B1C1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E86C1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109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6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po.int/export/sites/www/hague/fr/how_to/pdf/guidance.pdf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wipogvafs01\MARKS\OrgHague\Shared\_LEGAL%20AFFAIRS\Meetings_HAGUE\WG%202018%20(7)\Documents\Drafts\H-LD-WG-7-4_publication\French\h_ld_wg_7_4_graph_44213_FR_as%20in%20final%20version%20of%20documen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r>
              <a:rPr lang="en-US" sz="1600">
                <a:solidFill>
                  <a:srgbClr val="002060"/>
                </a:solidFill>
              </a:rPr>
              <a:t>USPTO,</a:t>
            </a:r>
            <a:r>
              <a:rPr lang="en-US" sz="1600" baseline="0">
                <a:solidFill>
                  <a:srgbClr val="002060"/>
                </a:solidFill>
              </a:rPr>
              <a:t> </a:t>
            </a:r>
            <a:r>
              <a:rPr lang="en-US" sz="1600">
                <a:solidFill>
                  <a:srgbClr val="002060"/>
                </a:solidFill>
              </a:rPr>
              <a:t>JPO et KIPO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r>
              <a:rPr lang="en-US" sz="1600">
                <a:solidFill>
                  <a:srgbClr val="002060"/>
                </a:solidFill>
              </a:rPr>
              <a:t>Ratios des motifs de refus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r>
              <a:rPr lang="en-US" sz="1600">
                <a:solidFill>
                  <a:srgbClr val="002060"/>
                </a:solidFill>
              </a:rPr>
              <a:t>(pour 100 dessins ou modèles refusés) 
jusqu’au 31 décembre 2017</a:t>
            </a:r>
            <a:r>
              <a:rPr lang="en-US">
                <a:solidFill>
                  <a:srgbClr val="002060"/>
                </a:solidFill>
              </a:rPr>
              <a:t>
</a:t>
            </a:r>
          </a:p>
        </c:rich>
      </c:tx>
      <c:layout>
        <c:manualLayout>
          <c:xMode val="edge"/>
          <c:yMode val="edge"/>
          <c:x val="0.29175444932797256"/>
          <c:y val="3.8407294263365815E-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8009760740959578E-2"/>
          <c:y val="0.19408360756935839"/>
          <c:w val="0.89268808406994649"/>
          <c:h val="0.478058186889075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Sheet2!$C$40</c:f>
              <c:strCache>
                <c:ptCount val="1"/>
                <c:pt idx="0">
                  <c:v>USPTO</c:v>
                </c:pt>
              </c:strCache>
            </c:strRef>
          </c:tx>
          <c:invertIfNegative val="0"/>
          <c:dLbls>
            <c:delete val="1"/>
          </c:dLbls>
          <c:cat>
            <c:strRef>
              <c:f>Sheet2!$D$39:$I$39</c:f>
              <c:strCache>
                <c:ptCount val="6"/>
                <c:pt idx="0">
                  <c:v>Divulgation insuffisante </c:v>
                </c:pt>
                <c:pt idx="1">
                  <c:v>Unité du dessin ou modèle</c:v>
                </c:pt>
                <c:pt idx="2">
                  <c:v>Demande ou enregistrements conflictuels</c:v>
                </c:pt>
                <c:pt idx="3">
                  <c:v>Défaut de nouveauté</c:v>
                </c:pt>
                <c:pt idx="4">
                  <c:v>Désignation ambiguë du produit</c:v>
                </c:pt>
                <c:pt idx="5">
                  <c:v>Définition du dessin ou modèle </c:v>
                </c:pt>
              </c:strCache>
            </c:strRef>
          </c:cat>
          <c:val>
            <c:numRef>
              <c:f>Sheet2!$D$40:$I$40</c:f>
              <c:numCache>
                <c:formatCode>0.00%</c:formatCode>
                <c:ptCount val="6"/>
                <c:pt idx="0">
                  <c:v>0.27834816335843032</c:v>
                </c:pt>
                <c:pt idx="1">
                  <c:v>0.75929728496463611</c:v>
                </c:pt>
                <c:pt idx="2">
                  <c:v>8.2135523613963042E-3</c:v>
                </c:pt>
                <c:pt idx="3">
                  <c:v>1.0038786219484371E-2</c:v>
                </c:pt>
                <c:pt idx="4">
                  <c:v>4.4946383755418665E-2</c:v>
                </c:pt>
                <c:pt idx="5">
                  <c:v>4.3880837359098229E-2</c:v>
                </c:pt>
              </c:numCache>
            </c:numRef>
          </c:val>
        </c:ser>
        <c:ser>
          <c:idx val="1"/>
          <c:order val="1"/>
          <c:tx>
            <c:strRef>
              <c:f>Sheet2!$C$41</c:f>
              <c:strCache>
                <c:ptCount val="1"/>
                <c:pt idx="0">
                  <c:v>JPO</c:v>
                </c:pt>
              </c:strCache>
            </c:strRef>
          </c:tx>
          <c:invertIfNegative val="0"/>
          <c:dLbls>
            <c:delete val="1"/>
          </c:dLbls>
          <c:cat>
            <c:strRef>
              <c:f>Sheet2!$D$39:$I$39</c:f>
              <c:strCache>
                <c:ptCount val="6"/>
                <c:pt idx="0">
                  <c:v>Divulgation insuffisante </c:v>
                </c:pt>
                <c:pt idx="1">
                  <c:v>Unité du dessin ou modèle</c:v>
                </c:pt>
                <c:pt idx="2">
                  <c:v>Demande ou enregistrements conflictuels</c:v>
                </c:pt>
                <c:pt idx="3">
                  <c:v>Défaut de nouveauté</c:v>
                </c:pt>
                <c:pt idx="4">
                  <c:v>Désignation ambiguë du produit</c:v>
                </c:pt>
                <c:pt idx="5">
                  <c:v>Définition du dessin ou modèle </c:v>
                </c:pt>
              </c:strCache>
            </c:strRef>
          </c:cat>
          <c:val>
            <c:numRef>
              <c:f>Sheet2!$D$41:$I$41</c:f>
              <c:numCache>
                <c:formatCode>0.00%</c:formatCode>
                <c:ptCount val="6"/>
                <c:pt idx="0">
                  <c:v>0.59782608695652173</c:v>
                </c:pt>
                <c:pt idx="1">
                  <c:v>2.6972624798711754E-2</c:v>
                </c:pt>
                <c:pt idx="2">
                  <c:v>0.21497584541062803</c:v>
                </c:pt>
                <c:pt idx="3">
                  <c:v>0.19847020933977455</c:v>
                </c:pt>
                <c:pt idx="4">
                  <c:v>0.13647342995169082</c:v>
                </c:pt>
                <c:pt idx="5">
                  <c:v>9.9033816425120769E-2</c:v>
                </c:pt>
              </c:numCache>
            </c:numRef>
          </c:val>
        </c:ser>
        <c:ser>
          <c:idx val="2"/>
          <c:order val="2"/>
          <c:tx>
            <c:strRef>
              <c:f>Sheet2!$C$42</c:f>
              <c:strCache>
                <c:ptCount val="1"/>
                <c:pt idx="0">
                  <c:v>KIPO</c:v>
                </c:pt>
              </c:strCache>
            </c:strRef>
          </c:tx>
          <c:invertIfNegative val="0"/>
          <c:dLbls>
            <c:delete val="1"/>
          </c:dLbls>
          <c:cat>
            <c:strRef>
              <c:f>Sheet2!$D$39:$I$39</c:f>
              <c:strCache>
                <c:ptCount val="6"/>
                <c:pt idx="0">
                  <c:v>Divulgation insuffisante </c:v>
                </c:pt>
                <c:pt idx="1">
                  <c:v>Unité du dessin ou modèle</c:v>
                </c:pt>
                <c:pt idx="2">
                  <c:v>Demande ou enregistrements conflictuels</c:v>
                </c:pt>
                <c:pt idx="3">
                  <c:v>Défaut de nouveauté</c:v>
                </c:pt>
                <c:pt idx="4">
                  <c:v>Désignation ambiguë du produit</c:v>
                </c:pt>
                <c:pt idx="5">
                  <c:v>Définition du dessin ou modèle </c:v>
                </c:pt>
              </c:strCache>
            </c:strRef>
          </c:cat>
          <c:val>
            <c:numRef>
              <c:f>Sheet2!$D$42:$I$42</c:f>
              <c:numCache>
                <c:formatCode>0.00%</c:formatCode>
                <c:ptCount val="6"/>
                <c:pt idx="0">
                  <c:v>0.67143282692880546</c:v>
                </c:pt>
                <c:pt idx="1">
                  <c:v>0</c:v>
                </c:pt>
                <c:pt idx="2">
                  <c:v>0.24158474828716114</c:v>
                </c:pt>
                <c:pt idx="3">
                  <c:v>0.14030384271671134</c:v>
                </c:pt>
                <c:pt idx="4">
                  <c:v>9.5025320226392609E-2</c:v>
                </c:pt>
                <c:pt idx="5">
                  <c:v>3.4554661900506406E-2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9338752"/>
        <c:axId val="39340288"/>
      </c:barChart>
      <c:catAx>
        <c:axId val="39338752"/>
        <c:scaling>
          <c:orientation val="minMax"/>
        </c:scaling>
        <c:delete val="0"/>
        <c:axPos val="b"/>
        <c:majorTickMark val="out"/>
        <c:minorTickMark val="none"/>
        <c:tickLblPos val="nextTo"/>
        <c:crossAx val="39340288"/>
        <c:crossesAt val="0"/>
        <c:auto val="1"/>
        <c:lblAlgn val="ctr"/>
        <c:lblOffset val="100"/>
        <c:noMultiLvlLbl val="0"/>
      </c:catAx>
      <c:valAx>
        <c:axId val="3934028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>
                    <a:solidFill>
                      <a:srgbClr val="002060"/>
                    </a:solidFill>
                  </a:defRPr>
                </a:pPr>
                <a:r>
                  <a:rPr lang="en-US" sz="1100" b="1">
                    <a:solidFill>
                      <a:srgbClr val="002060"/>
                    </a:solidFill>
                    <a:effectLst/>
                  </a:rPr>
                  <a:t>% de dessins ou modèles refusés</a:t>
                </a:r>
                <a:endParaRPr lang="en-US" sz="1100">
                  <a:solidFill>
                    <a:srgbClr val="002060"/>
                  </a:solidFill>
                  <a:effectLst/>
                </a:endParaRPr>
              </a:p>
            </c:rich>
          </c:tx>
          <c:layout>
            <c:manualLayout>
              <c:xMode val="edge"/>
              <c:yMode val="edge"/>
              <c:x val="8.3722951992816E-3"/>
              <c:y val="0.25872517217399105"/>
            </c:manualLayout>
          </c:layout>
          <c:overlay val="0"/>
        </c:title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rgbClr val="002060"/>
                </a:solidFill>
              </a:defRPr>
            </a:pPr>
            <a:endParaRPr lang="en-US"/>
          </a:p>
        </c:txPr>
        <c:crossAx val="3933875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>
                <a:solidFill>
                  <a:srgbClr val="002060"/>
                </a:solidFill>
              </a:defRPr>
            </a:pPr>
            <a:endParaRPr lang="en-US"/>
          </a:p>
        </c:txPr>
      </c:dTable>
    </c:plotArea>
    <c:plotVisOnly val="1"/>
    <c:dispBlanksAs val="gap"/>
    <c:showDLblsOverMax val="0"/>
  </c:chart>
  <c:txPr>
    <a:bodyPr/>
    <a:lstStyle/>
    <a:p>
      <a:pPr>
        <a:defRPr b="1"/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0.77778</cdr:x>
      <cdr:y>0.42495</cdr:y>
    </cdr:from>
    <cdr:to>
      <cdr:x>0.88552</cdr:x>
      <cdr:y>0.55304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6600825" y="3033713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0.01571</cdr:x>
      <cdr:y>0.94797</cdr:y>
    </cdr:from>
    <cdr:to>
      <cdr:x>0.42514</cdr:x>
      <cdr:y>1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161925" y="6767512"/>
          <a:ext cx="4219575" cy="3714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0.86777</cdr:x>
      <cdr:y>0.87089</cdr:y>
    </cdr:from>
    <cdr:to>
      <cdr:x>1</cdr:x>
      <cdr:y>0.99241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6867525" y="65532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0.06682</cdr:x>
      <cdr:y>0.83756</cdr:y>
    </cdr:from>
    <cdr:to>
      <cdr:x>0.17372</cdr:x>
      <cdr:y>1</cdr:y>
    </cdr:to>
    <cdr:sp macro="" textlink="">
      <cdr:nvSpPr>
        <cdr:cNvPr id="9" name="TextBox 8"/>
        <cdr:cNvSpPr txBox="1"/>
      </cdr:nvSpPr>
      <cdr:spPr>
        <a:xfrm xmlns:a="http://schemas.openxmlformats.org/drawingml/2006/main">
          <a:off x="571500" y="49911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0.32573</cdr:x>
      <cdr:y>0.75023</cdr:y>
    </cdr:from>
    <cdr:to>
      <cdr:x>0.35094</cdr:x>
      <cdr:y>0.78387</cdr:y>
    </cdr:to>
    <cdr:sp macro="" textlink="">
      <cdr:nvSpPr>
        <cdr:cNvPr id="11" name="TextBox 10"/>
        <cdr:cNvSpPr txBox="1"/>
      </cdr:nvSpPr>
      <cdr:spPr>
        <a:xfrm xmlns:a="http://schemas.openxmlformats.org/drawingml/2006/main">
          <a:off x="2866180" y="4324708"/>
          <a:ext cx="221826" cy="1939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>
              <a:solidFill>
                <a:srgbClr val="002060"/>
              </a:solidFill>
            </a:rPr>
            <a:t>*</a:t>
          </a:r>
        </a:p>
      </cdr:txBody>
    </cdr:sp>
  </cdr:relSizeAnchor>
  <cdr:relSizeAnchor xmlns:cdr="http://schemas.openxmlformats.org/drawingml/2006/chartDrawing">
    <cdr:from>
      <cdr:x>0.71341</cdr:x>
      <cdr:y>0.92815</cdr:y>
    </cdr:from>
    <cdr:to>
      <cdr:x>0.97439</cdr:x>
      <cdr:y>0.97514</cdr:y>
    </cdr:to>
    <cdr:sp macro="" textlink="">
      <cdr:nvSpPr>
        <cdr:cNvPr id="12" name="TextBox 5"/>
        <cdr:cNvSpPr txBox="1"/>
      </cdr:nvSpPr>
      <cdr:spPr>
        <a:xfrm xmlns:a="http://schemas.openxmlformats.org/drawingml/2006/main">
          <a:off x="6102966" y="5133090"/>
          <a:ext cx="2232590" cy="259876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spAutoFit/>
        </a:bodyPr>
        <a:lstStyle xmlns:a="http://schemas.openxmlformats.org/drawingml/2006/main">
          <a:defPPr>
            <a:defRPr lang="en-US"/>
          </a:defPPr>
          <a:lvl1pPr marL="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100" b="1" dirty="0">
              <a:solidFill>
                <a:schemeClr val="tx2"/>
              </a:solidFill>
            </a:rPr>
            <a:t>Source : statistiques de l’OMPI</a:t>
          </a:r>
        </a:p>
      </cdr:txBody>
    </cdr:sp>
  </cdr:relSizeAnchor>
  <cdr:relSizeAnchor xmlns:cdr="http://schemas.openxmlformats.org/drawingml/2006/chartDrawing">
    <cdr:from>
      <cdr:x>0.01503</cdr:x>
      <cdr:y>0.91647</cdr:y>
    </cdr:from>
    <cdr:to>
      <cdr:x>0.68309</cdr:x>
      <cdr:y>0.98751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8588" y="5068490"/>
          <a:ext cx="5715000" cy="3929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900" b="1">
              <a:solidFill>
                <a:srgbClr val="1F497D"/>
              </a:solidFill>
              <a:effectLst/>
              <a:latin typeface="+mn-lt"/>
              <a:ea typeface="+mn-ea"/>
              <a:cs typeface="+mn-cs"/>
            </a:rPr>
            <a:t>* </a:t>
          </a:r>
          <a:r>
            <a:rPr lang="fr-FR" sz="900" b="1">
              <a:solidFill>
                <a:srgbClr val="1F497D"/>
              </a:solidFill>
              <a:effectLst/>
              <a:latin typeface="+mn-lt"/>
              <a:ea typeface="+mn-ea"/>
              <a:cs typeface="+mn-cs"/>
            </a:rPr>
            <a:t>Refus émis par l’USPTO pour absence de conformité à l’exigence selon laquelle l’enregistrement </a:t>
          </a:r>
          <a:br>
            <a:rPr lang="fr-FR" sz="900" b="1">
              <a:solidFill>
                <a:srgbClr val="1F497D"/>
              </a:solidFill>
              <a:effectLst/>
              <a:latin typeface="+mn-lt"/>
              <a:ea typeface="+mn-ea"/>
              <a:cs typeface="+mn-cs"/>
            </a:rPr>
          </a:br>
          <a:r>
            <a:rPr lang="fr-FR" sz="900" b="1">
              <a:solidFill>
                <a:srgbClr val="1F497D"/>
              </a:solidFill>
              <a:effectLst/>
              <a:latin typeface="+mn-lt"/>
              <a:ea typeface="+mn-ea"/>
              <a:cs typeface="+mn-cs"/>
            </a:rPr>
            <a:t>ne doit contenir qu’un seul dessin : 41 % des enregistrements internationaux refusés</a:t>
          </a:r>
          <a:endParaRPr lang="fr-FR" sz="900">
            <a:solidFill>
              <a:srgbClr val="1F497D"/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070F1-C2C8-4678-885F-9670DF40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2463</Words>
  <Characters>13187</Characters>
  <Application>Microsoft Office Word</Application>
  <DocSecurity>0</DocSecurity>
  <Lines>109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H/LD/WG/7/4 - Issues Surrounding the Public Availability of Notifications of Refusal</vt:lpstr>
    </vt:vector>
  </TitlesOfParts>
  <Company>WIPO</Company>
  <LinksUpToDate>false</LinksUpToDate>
  <CharactersWithSpaces>15619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H/LD/WG/7/4 - Issues Surrounding the Public Availability of Notifications of Refusal</dc:title>
  <dc:creator>WIPO</dc:creator>
  <cp:lastModifiedBy>MAILLARD Amber</cp:lastModifiedBy>
  <cp:revision>8</cp:revision>
  <cp:lastPrinted>2018-05-18T14:06:00Z</cp:lastPrinted>
  <dcterms:created xsi:type="dcterms:W3CDTF">2018-05-16T11:30:00Z</dcterms:created>
  <dcterms:modified xsi:type="dcterms:W3CDTF">2018-05-18T14:06:00Z</dcterms:modified>
</cp:coreProperties>
</file>