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24279" w:rsidRPr="008B2CC1" w:rsidTr="007701C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24279" w:rsidRPr="008B2CC1" w:rsidRDefault="00E24279" w:rsidP="007701C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4279" w:rsidRPr="008B2CC1" w:rsidRDefault="00E24279" w:rsidP="007701CD">
            <w:r>
              <w:rPr>
                <w:noProof/>
                <w:lang w:val="en-US" w:eastAsia="en-US"/>
              </w:rPr>
              <w:drawing>
                <wp:inline distT="0" distB="0" distL="0" distR="0" wp14:anchorId="2364A258" wp14:editId="66B4BE5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24279" w:rsidRPr="008B2CC1" w:rsidRDefault="00E24279" w:rsidP="007701C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24279" w:rsidRPr="001832A6" w:rsidTr="007701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24279" w:rsidRPr="0090731E" w:rsidRDefault="00E24279" w:rsidP="00A96B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H/LD/WG/7/</w:t>
            </w:r>
            <w:bookmarkStart w:id="0" w:name="Code"/>
            <w:bookmarkEnd w:id="0"/>
            <w:r w:rsidR="00A96B9C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24279" w:rsidRPr="001832A6" w:rsidTr="007701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24279" w:rsidRPr="0090731E" w:rsidRDefault="00E24279" w:rsidP="009C5C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C2A4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C5C40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24279" w:rsidRPr="001832A6" w:rsidTr="007701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24279" w:rsidRPr="0090731E" w:rsidRDefault="00E24279" w:rsidP="00E908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C2A4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9080C">
              <w:rPr>
                <w:rFonts w:ascii="Arial Black" w:hAnsi="Arial Black"/>
                <w:caps/>
                <w:sz w:val="15"/>
              </w:rPr>
              <w:t xml:space="preserve">8 </w:t>
            </w:r>
            <w:r w:rsidR="006C2A43">
              <w:rPr>
                <w:rFonts w:ascii="Arial Black" w:hAnsi="Arial Black"/>
                <w:caps/>
                <w:sz w:val="15"/>
              </w:rPr>
              <w:t>mai 20</w:t>
            </w:r>
            <w:r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E24279" w:rsidRPr="00BB6E30" w:rsidRDefault="00E24279" w:rsidP="00E24279">
      <w:pPr>
        <w:rPr>
          <w:color w:val="auto"/>
          <w:sz w:val="20"/>
        </w:rPr>
      </w:pP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C4B84" w:rsidRDefault="00E24279" w:rsidP="00E24279">
      <w:pPr>
        <w:rPr>
          <w:color w:val="auto"/>
        </w:rPr>
      </w:pPr>
      <w:r w:rsidRPr="00BC4B84">
        <w:rPr>
          <w:b/>
          <w:color w:val="auto"/>
          <w:sz w:val="28"/>
          <w:szCs w:val="28"/>
        </w:rPr>
        <w:t xml:space="preserve">Groupe de travail sur le développement juridique du système de </w:t>
      </w:r>
      <w:r w:rsidR="006C2A43" w:rsidRPr="00BC4B84">
        <w:rPr>
          <w:b/>
          <w:color w:val="auto"/>
          <w:sz w:val="28"/>
          <w:szCs w:val="28"/>
        </w:rPr>
        <w:t>La Haye</w:t>
      </w:r>
      <w:r w:rsidRPr="00BC4B84">
        <w:rPr>
          <w:b/>
          <w:color w:val="auto"/>
          <w:sz w:val="28"/>
          <w:szCs w:val="28"/>
        </w:rPr>
        <w:t xml:space="preserve"> concernant l</w:t>
      </w:r>
      <w:r w:rsidR="006C2A43" w:rsidRPr="00BC4B84">
        <w:rPr>
          <w:b/>
          <w:color w:val="auto"/>
          <w:sz w:val="28"/>
          <w:szCs w:val="28"/>
        </w:rPr>
        <w:t>’</w:t>
      </w:r>
      <w:r w:rsidRPr="00BC4B84">
        <w:rPr>
          <w:b/>
          <w:color w:val="auto"/>
          <w:sz w:val="28"/>
          <w:szCs w:val="28"/>
        </w:rPr>
        <w:t>enregistrement international des dessins et modèles industriels</w:t>
      </w: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B6E30" w:rsidRDefault="00E24279" w:rsidP="00E24279">
      <w:pPr>
        <w:rPr>
          <w:color w:val="auto"/>
          <w:sz w:val="20"/>
        </w:rPr>
      </w:pPr>
    </w:p>
    <w:p w:rsidR="00E24279" w:rsidRPr="00BC4B84" w:rsidRDefault="007D52D7" w:rsidP="00E24279">
      <w:pPr>
        <w:rPr>
          <w:b/>
          <w:color w:val="auto"/>
          <w:sz w:val="24"/>
          <w:szCs w:val="24"/>
        </w:rPr>
      </w:pPr>
      <w:r w:rsidRPr="00BC4B84">
        <w:rPr>
          <w:b/>
          <w:color w:val="auto"/>
          <w:sz w:val="24"/>
          <w:szCs w:val="24"/>
        </w:rPr>
        <w:t>Septième</w:t>
      </w:r>
      <w:r w:rsidR="006C2A43" w:rsidRPr="00BC4B84">
        <w:rPr>
          <w:b/>
          <w:color w:val="auto"/>
          <w:sz w:val="24"/>
          <w:szCs w:val="24"/>
        </w:rPr>
        <w:t> session</w:t>
      </w:r>
    </w:p>
    <w:p w:rsidR="00E24279" w:rsidRPr="00BC4B84" w:rsidRDefault="00E24279" w:rsidP="00E24279">
      <w:pPr>
        <w:rPr>
          <w:color w:val="auto"/>
        </w:rPr>
      </w:pPr>
      <w:r w:rsidRPr="00BC4B84">
        <w:rPr>
          <w:b/>
          <w:color w:val="auto"/>
          <w:sz w:val="24"/>
          <w:szCs w:val="24"/>
        </w:rPr>
        <w:t>Genève, 16 – 1</w:t>
      </w:r>
      <w:r w:rsidR="006C2A43" w:rsidRPr="00BC4B84">
        <w:rPr>
          <w:b/>
          <w:color w:val="auto"/>
          <w:sz w:val="24"/>
          <w:szCs w:val="24"/>
        </w:rPr>
        <w:t>8 juillet 20</w:t>
      </w:r>
      <w:r w:rsidRPr="00BC4B84">
        <w:rPr>
          <w:b/>
          <w:color w:val="auto"/>
          <w:sz w:val="24"/>
          <w:szCs w:val="24"/>
        </w:rPr>
        <w:t>18</w:t>
      </w:r>
    </w:p>
    <w:p w:rsidR="00383239" w:rsidRPr="00BC4B84" w:rsidRDefault="00B706B7" w:rsidP="00B706B7">
      <w:pPr>
        <w:spacing w:before="720"/>
        <w:rPr>
          <w:color w:val="auto"/>
          <w:sz w:val="24"/>
          <w:szCs w:val="24"/>
        </w:rPr>
      </w:pPr>
      <w:r w:rsidRPr="00BC4B84">
        <w:rPr>
          <w:color w:val="auto"/>
          <w:sz w:val="24"/>
          <w:szCs w:val="24"/>
        </w:rPr>
        <w:t xml:space="preserve">RAPPORT SUR </w:t>
      </w:r>
      <w:r w:rsidR="005368C6" w:rsidRPr="00E9080C">
        <w:rPr>
          <w:color w:val="auto"/>
          <w:sz w:val="24"/>
          <w:szCs w:val="24"/>
        </w:rPr>
        <w:t>LES PROGRÈS ACCOMPLIS DANS LE CADRE DE</w:t>
      </w:r>
      <w:r w:rsidRPr="00E9080C">
        <w:rPr>
          <w:color w:val="auto"/>
          <w:sz w:val="24"/>
          <w:szCs w:val="24"/>
        </w:rPr>
        <w:t xml:space="preserve"> </w:t>
      </w:r>
      <w:r w:rsidRPr="00BC4B84">
        <w:rPr>
          <w:color w:val="auto"/>
          <w:sz w:val="24"/>
          <w:szCs w:val="24"/>
        </w:rPr>
        <w:t>L</w:t>
      </w:r>
      <w:r w:rsidR="006C2A43" w:rsidRPr="00BC4B84">
        <w:rPr>
          <w:color w:val="auto"/>
          <w:sz w:val="24"/>
          <w:szCs w:val="24"/>
        </w:rPr>
        <w:t>’</w:t>
      </w:r>
      <w:r w:rsidRPr="00BC4B84">
        <w:rPr>
          <w:color w:val="auto"/>
          <w:sz w:val="24"/>
          <w:szCs w:val="24"/>
        </w:rPr>
        <w:t>AMÉLIORATION DE LA PRÉCISION DES DONNÉES INSCRITES AU REGISTRE INTERNATIONAL</w:t>
      </w:r>
    </w:p>
    <w:p w:rsidR="00383239" w:rsidRPr="00BC4B84" w:rsidRDefault="00B706B7" w:rsidP="00B706B7">
      <w:pPr>
        <w:spacing w:before="240" w:after="960"/>
        <w:rPr>
          <w:i/>
          <w:color w:val="auto"/>
        </w:rPr>
      </w:pPr>
      <w:bookmarkStart w:id="3" w:name="Prepared"/>
      <w:bookmarkEnd w:id="3"/>
      <w:r w:rsidRPr="00BC4B84">
        <w:rPr>
          <w:i/>
          <w:color w:val="auto"/>
        </w:rPr>
        <w:t>Document établi par le Bureau international</w:t>
      </w:r>
    </w:p>
    <w:p w:rsidR="00383239" w:rsidRDefault="00B706B7" w:rsidP="00B706B7">
      <w:pPr>
        <w:pStyle w:val="Heading1"/>
        <w:rPr>
          <w:color w:val="auto"/>
        </w:rPr>
      </w:pPr>
      <w:r w:rsidRPr="00BC4B84">
        <w:rPr>
          <w:color w:val="auto"/>
        </w:rPr>
        <w:t>I.</w:t>
      </w:r>
      <w:r w:rsidRPr="00BC4B84">
        <w:rPr>
          <w:color w:val="auto"/>
        </w:rPr>
        <w:tab/>
        <w:t>RAPPEL</w:t>
      </w:r>
    </w:p>
    <w:p w:rsidR="00383239" w:rsidRPr="00BC4B84" w:rsidRDefault="0027100C" w:rsidP="00BC4B84">
      <w:pPr>
        <w:pStyle w:val="ONUMFS"/>
        <w:numPr>
          <w:ilvl w:val="0"/>
          <w:numId w:val="14"/>
        </w:numPr>
      </w:pPr>
      <w:r w:rsidRPr="00BC4B84">
        <w:t>À sa six</w:t>
      </w:r>
      <w:r w:rsidR="006C2A43" w:rsidRPr="00BC4B84">
        <w:t>ième session</w:t>
      </w:r>
      <w:r w:rsidRPr="00BC4B84">
        <w:t xml:space="preserve"> tenue en </w:t>
      </w:r>
      <w:r w:rsidR="006C2A43" w:rsidRPr="00BC4B84">
        <w:t>juin 20</w:t>
      </w:r>
      <w:r w:rsidRPr="00BC4B84">
        <w:t xml:space="preserve">16, le Groupe de travail sur le développement juridique du système de </w:t>
      </w:r>
      <w:r w:rsidR="006C2A43" w:rsidRPr="00BC4B84">
        <w:t>La Haye</w:t>
      </w:r>
      <w:r w:rsidRPr="00BC4B84">
        <w:t xml:space="preserve"> concernant l</w:t>
      </w:r>
      <w:r w:rsidR="006C2A43" w:rsidRPr="00BC4B84">
        <w:t>’</w:t>
      </w:r>
      <w:r w:rsidRPr="00BC4B84">
        <w:t>enregistrement international des dessins et modèles industriels (ci</w:t>
      </w:r>
      <w:r w:rsidR="00516832" w:rsidRPr="00BC4B84">
        <w:noBreakHyphen/>
      </w:r>
      <w:r w:rsidRPr="00BC4B84">
        <w:t xml:space="preserve">après dénommé </w:t>
      </w:r>
      <w:r w:rsidR="006C2A43" w:rsidRPr="00BC4B84">
        <w:t>“g</w:t>
      </w:r>
      <w:r w:rsidRPr="00BC4B84">
        <w:t>roupe de travai</w:t>
      </w:r>
      <w:r w:rsidR="006C2A43" w:rsidRPr="00BC4B84">
        <w:t>l”</w:t>
      </w:r>
      <w:r w:rsidRPr="00BC4B84">
        <w:t xml:space="preserve">) a examiné une éventuelle nouvelle structure des données pour le registre international </w:t>
      </w:r>
      <w:r w:rsidR="004873C2" w:rsidRPr="00BC4B84">
        <w:t xml:space="preserve">destinée à </w:t>
      </w:r>
      <w:r w:rsidRPr="00BC4B84">
        <w:t>améliorer la structure actuellement en vigueur</w:t>
      </w:r>
      <w:r w:rsidRPr="00D4100B">
        <w:rPr>
          <w:vertAlign w:val="superscript"/>
        </w:rPr>
        <w:footnoteReference w:id="2"/>
      </w:r>
      <w:r w:rsidRPr="00BC4B84">
        <w:t>.</w:t>
      </w:r>
    </w:p>
    <w:p w:rsidR="00383239" w:rsidRPr="00BC4B84" w:rsidRDefault="00500B45" w:rsidP="00BC4B84">
      <w:pPr>
        <w:pStyle w:val="ONUMFS"/>
        <w:numPr>
          <w:ilvl w:val="0"/>
          <w:numId w:val="14"/>
        </w:numPr>
      </w:pPr>
      <w:r w:rsidRPr="00BC4B84">
        <w:t xml:space="preserve">Le groupe de travail a examiné </w:t>
      </w:r>
      <w:r w:rsidR="00A14BDC" w:rsidRPr="00BC4B84">
        <w:t>une série</w:t>
      </w:r>
      <w:r w:rsidRPr="00BC4B84">
        <w:t xml:space="preserve"> de contraintes techniques liées à la st</w:t>
      </w:r>
      <w:r w:rsidR="00A14BDC" w:rsidRPr="00BC4B84">
        <w:t>r</w:t>
      </w:r>
      <w:r w:rsidRPr="00BC4B84">
        <w:t>ucture des données actuellement en vigue</w:t>
      </w:r>
      <w:r w:rsidR="009C5C40" w:rsidRPr="00BC4B84">
        <w:t>ur.  Le</w:t>
      </w:r>
      <w:r w:rsidRPr="00BC4B84">
        <w:t>s contraintes signalées par les offices de certaines parties contractantes concernaient principalement la sous</w:t>
      </w:r>
      <w:r w:rsidR="00516832" w:rsidRPr="00BC4B84">
        <w:noBreakHyphen/>
      </w:r>
      <w:r w:rsidRPr="00BC4B84">
        <w:t>classe de la classification de</w:t>
      </w:r>
      <w:r w:rsidR="00616471">
        <w:t> </w:t>
      </w:r>
      <w:r w:rsidRPr="00BC4B84">
        <w:t>Locarno, l</w:t>
      </w:r>
      <w:r w:rsidR="006C2A43" w:rsidRPr="00BC4B84">
        <w:t>’</w:t>
      </w:r>
      <w:r w:rsidRPr="00BC4B84">
        <w:t>indication du produit ou encore le nom et l</w:t>
      </w:r>
      <w:r w:rsidR="006C2A43" w:rsidRPr="00BC4B84">
        <w:t>’</w:t>
      </w:r>
      <w:r w:rsidRPr="00BC4B84">
        <w:t>adresse du créateur, notamment lors</w:t>
      </w:r>
      <w:r w:rsidR="00A14BDC" w:rsidRPr="00BC4B84">
        <w:t>que ces données devaient être importées dans les systèmes des offices</w:t>
      </w:r>
      <w:r w:rsidRPr="00BC4B84">
        <w:t>.</w:t>
      </w:r>
    </w:p>
    <w:p w:rsidR="00383239" w:rsidRPr="00BC4B84" w:rsidRDefault="00AF1292" w:rsidP="00BC4B84">
      <w:pPr>
        <w:pStyle w:val="ONUMFS"/>
        <w:numPr>
          <w:ilvl w:val="0"/>
          <w:numId w:val="14"/>
        </w:numPr>
      </w:pPr>
      <w:r w:rsidRPr="00BC4B84">
        <w:t>Afin d</w:t>
      </w:r>
      <w:r w:rsidR="006C2A43" w:rsidRPr="00BC4B84">
        <w:t>’</w:t>
      </w:r>
      <w:r w:rsidRPr="00BC4B84">
        <w:t>améliorer la précision des données</w:t>
      </w:r>
      <w:r w:rsidR="00A14BDC" w:rsidRPr="00BC4B84">
        <w:t xml:space="preserve"> et </w:t>
      </w:r>
      <w:r w:rsidR="0095329F" w:rsidRPr="00BC4B84">
        <w:t xml:space="preserve">de </w:t>
      </w:r>
      <w:r w:rsidRPr="00BC4B84">
        <w:t xml:space="preserve">faciliter </w:t>
      </w:r>
      <w:r w:rsidR="00A14BDC" w:rsidRPr="00BC4B84">
        <w:t xml:space="preserve">ainsi </w:t>
      </w:r>
      <w:r w:rsidRPr="00BC4B84">
        <w:t>l</w:t>
      </w:r>
      <w:r w:rsidR="006C2A43" w:rsidRPr="00BC4B84">
        <w:t>’</w:t>
      </w:r>
      <w:r w:rsidRPr="00BC4B84">
        <w:t>importation des données</w:t>
      </w:r>
      <w:r w:rsidR="00A14BDC" w:rsidRPr="00BC4B84">
        <w:t>, tout en ouvrant</w:t>
      </w:r>
      <w:r w:rsidRPr="00BC4B84">
        <w:t xml:space="preserve"> de nouvelles </w:t>
      </w:r>
      <w:r w:rsidR="00AA2658">
        <w:t>possibilités</w:t>
      </w:r>
      <w:r w:rsidRPr="00BC4B84">
        <w:t xml:space="preserve"> </w:t>
      </w:r>
      <w:r w:rsidR="0095329F" w:rsidRPr="00BC4B84">
        <w:t xml:space="preserve">en </w:t>
      </w:r>
      <w:r w:rsidR="00010F94" w:rsidRPr="00BC4B84">
        <w:t>matière</w:t>
      </w:r>
      <w:r w:rsidR="0095329F" w:rsidRPr="00BC4B84">
        <w:t xml:space="preserve"> de</w:t>
      </w:r>
      <w:r w:rsidRPr="00BC4B84">
        <w:t xml:space="preserve"> développement juridique du système de </w:t>
      </w:r>
      <w:r w:rsidR="006C2A43" w:rsidRPr="00BC4B84">
        <w:t>La Haye</w:t>
      </w:r>
      <w:r w:rsidRPr="00BC4B84">
        <w:t xml:space="preserve">, le groupe de travail a </w:t>
      </w:r>
      <w:r w:rsidR="0095329F" w:rsidRPr="00BC4B84">
        <w:t>soutenu</w:t>
      </w:r>
      <w:r w:rsidRPr="00BC4B84">
        <w:t xml:space="preserve"> la nouvelle structure des données proposée</w:t>
      </w:r>
      <w:r w:rsidR="0095329F" w:rsidRPr="00BC4B84">
        <w:t xml:space="preserve"> </w:t>
      </w:r>
      <w:r w:rsidRPr="00BC4B84">
        <w:t xml:space="preserve">qui </w:t>
      </w:r>
      <w:r w:rsidR="0095329F" w:rsidRPr="00BC4B84">
        <w:t xml:space="preserve">permettrait </w:t>
      </w:r>
      <w:r w:rsidR="00886CEA">
        <w:t xml:space="preserve">de </w:t>
      </w:r>
      <w:r w:rsidR="00970E66">
        <w:t>conserver</w:t>
      </w:r>
      <w:r w:rsidR="00886CEA">
        <w:t xml:space="preserve"> </w:t>
      </w:r>
      <w:r w:rsidRPr="00BC4B84">
        <w:t>au registre international de</w:t>
      </w:r>
      <w:r w:rsidR="0095329F" w:rsidRPr="00BC4B84">
        <w:t>s</w:t>
      </w:r>
      <w:r w:rsidRPr="00BC4B84">
        <w:t xml:space="preserve"> données se rapportant expressément aux </w:t>
      </w:r>
      <w:r w:rsidR="00D92870">
        <w:br/>
      </w:r>
      <w:r w:rsidR="00D92870">
        <w:br/>
      </w:r>
      <w:r w:rsidRPr="00BC4B84">
        <w:lastRenderedPageBreak/>
        <w:t xml:space="preserve">dessins </w:t>
      </w:r>
      <w:r w:rsidR="0095329F" w:rsidRPr="00BC4B84">
        <w:t>ou</w:t>
      </w:r>
      <w:r w:rsidRPr="00BC4B84">
        <w:t xml:space="preserve"> modèl</w:t>
      </w:r>
      <w:r w:rsidR="009C5C40" w:rsidRPr="00BC4B84">
        <w:t>es.  Il</w:t>
      </w:r>
      <w:r w:rsidRPr="00BC4B84">
        <w:t xml:space="preserve"> a aussi invité le Bureau international à présenter une analyse des</w:t>
      </w:r>
      <w:r w:rsidR="00616471">
        <w:t> </w:t>
      </w:r>
      <w:r w:rsidRPr="00BC4B84">
        <w:t>incidences pratiques, techniques et juridiques de la structure des données propos</w:t>
      </w:r>
      <w:r w:rsidR="009C5C40" w:rsidRPr="00BC4B84">
        <w:t>ée.  Ce</w:t>
      </w:r>
      <w:r w:rsidRPr="00BC4B84">
        <w:t>s</w:t>
      </w:r>
      <w:r w:rsidR="00D4100B">
        <w:t> </w:t>
      </w:r>
      <w:r w:rsidRPr="00BC4B84">
        <w:t>données sont présentées ci</w:t>
      </w:r>
      <w:r w:rsidR="00516832" w:rsidRPr="00BC4B84">
        <w:noBreakHyphen/>
      </w:r>
      <w:r w:rsidRPr="00BC4B84">
        <w:t>après.</w:t>
      </w:r>
    </w:p>
    <w:p w:rsidR="00383239" w:rsidRPr="00BC4B84" w:rsidRDefault="00216792" w:rsidP="00BC4B84">
      <w:pPr>
        <w:pStyle w:val="ONUMFS"/>
        <w:numPr>
          <w:ilvl w:val="0"/>
          <w:numId w:val="14"/>
        </w:numPr>
      </w:pPr>
      <w:r w:rsidRPr="00BC4B84">
        <w:t xml:space="preserve">En outre, </w:t>
      </w:r>
      <w:r w:rsidR="00E278A0">
        <w:t>par</w:t>
      </w:r>
      <w:r w:rsidR="00E278A0" w:rsidRPr="00BC4B84">
        <w:t xml:space="preserve"> </w:t>
      </w:r>
      <w:r w:rsidRPr="00BC4B84">
        <w:t>une communication du 1</w:t>
      </w:r>
      <w:r w:rsidR="006C2A43" w:rsidRPr="00BC4B84">
        <w:t>9 avril 20</w:t>
      </w:r>
      <w:r w:rsidR="0092229E">
        <w:t>17</w:t>
      </w:r>
      <w:r w:rsidR="008A69F7">
        <w:t>,</w:t>
      </w:r>
      <w:r w:rsidRPr="00BC4B84">
        <w:t xml:space="preserve"> </w:t>
      </w:r>
      <w:r w:rsidR="00E278A0">
        <w:t>invitant</w:t>
      </w:r>
      <w:r w:rsidR="00E278A0" w:rsidRPr="00BC4B84">
        <w:t xml:space="preserve"> </w:t>
      </w:r>
      <w:r w:rsidRPr="00BC4B84">
        <w:t>les membres du</w:t>
      </w:r>
      <w:r w:rsidR="00616471">
        <w:t> </w:t>
      </w:r>
      <w:r w:rsidRPr="00BC4B84">
        <w:t>groupe de travail à formuler d</w:t>
      </w:r>
      <w:r w:rsidR="00014432" w:rsidRPr="00BC4B84">
        <w:t xml:space="preserve">es </w:t>
      </w:r>
      <w:r w:rsidRPr="00BC4B84">
        <w:t>observations sur le projet de rapport de la six</w:t>
      </w:r>
      <w:r w:rsidR="006C2A43" w:rsidRPr="00BC4B84">
        <w:t>ième session</w:t>
      </w:r>
      <w:r w:rsidRPr="00BC4B84">
        <w:t xml:space="preserve"> du groupe de travail</w:t>
      </w:r>
      <w:r w:rsidRPr="00D4100B">
        <w:rPr>
          <w:vertAlign w:val="superscript"/>
        </w:rPr>
        <w:footnoteReference w:id="3"/>
      </w:r>
      <w:r w:rsidRPr="00BC4B84">
        <w:t>, le Secrétariat a informé les memb</w:t>
      </w:r>
      <w:r w:rsidR="001F38A4" w:rsidRPr="00BC4B84">
        <w:t>res du groupe de travail que</w:t>
      </w:r>
      <w:r w:rsidR="00A479D3" w:rsidRPr="00BC4B84">
        <w:t xml:space="preserve"> des progrès </w:t>
      </w:r>
      <w:r w:rsidR="00410971" w:rsidRPr="00BC4B84">
        <w:t xml:space="preserve">techniques </w:t>
      </w:r>
      <w:r w:rsidR="00A479D3" w:rsidRPr="00BC4B84">
        <w:t xml:space="preserve">importants </w:t>
      </w:r>
      <w:r w:rsidR="00410971" w:rsidRPr="00BC4B84">
        <w:t>concernant la structure des données du registre international avaient été accomplis dans le cadre des travaux de l</w:t>
      </w:r>
      <w:r w:rsidR="006C2A43" w:rsidRPr="00BC4B84">
        <w:t>’</w:t>
      </w:r>
      <w:r w:rsidR="00410971" w:rsidRPr="00BC4B84">
        <w:t>équipe d</w:t>
      </w:r>
      <w:r w:rsidR="006C2A43" w:rsidRPr="00BC4B84">
        <w:t>’</w:t>
      </w:r>
      <w:r w:rsidR="00410971" w:rsidRPr="00BC4B84">
        <w:t>experts chargée de la norme</w:t>
      </w:r>
      <w:r w:rsidR="005E5A91" w:rsidRPr="00BC4B84">
        <w:t> </w:t>
      </w:r>
      <w:r w:rsidR="00410971" w:rsidRPr="00BC4B84">
        <w:t>XML4IP du Comité des normes de l</w:t>
      </w:r>
      <w:r w:rsidR="006C2A43" w:rsidRPr="00BC4B84">
        <w:t>’</w:t>
      </w:r>
      <w:r w:rsidR="00410971" w:rsidRPr="00BC4B84">
        <w:t>OMPI (CWS)</w:t>
      </w:r>
      <w:r w:rsidRPr="00BC4B84">
        <w:t>.</w:t>
      </w:r>
      <w:r w:rsidR="00C31B16" w:rsidRPr="00BC4B84">
        <w:t xml:space="preserve"> </w:t>
      </w:r>
      <w:r w:rsidR="00D6040A" w:rsidRPr="00BC4B84">
        <w:t xml:space="preserve"> </w:t>
      </w:r>
      <w:r w:rsidRPr="00BC4B84">
        <w:t>Cette équipe d</w:t>
      </w:r>
      <w:r w:rsidR="006C2A43" w:rsidRPr="00BC4B84">
        <w:t>’</w:t>
      </w:r>
      <w:r w:rsidRPr="00BC4B84">
        <w:t>experts est chargée de la révision de la norme</w:t>
      </w:r>
      <w:r w:rsidR="005E5A91" w:rsidRPr="00BC4B84">
        <w:t> </w:t>
      </w:r>
      <w:r w:rsidRPr="00BC4B84">
        <w:t>ST.96 de l</w:t>
      </w:r>
      <w:r w:rsidR="006C2A43" w:rsidRPr="00BC4B84">
        <w:t>’</w:t>
      </w:r>
      <w:r w:rsidRPr="00BC4B84">
        <w:t>OMPI</w:t>
      </w:r>
      <w:r w:rsidR="00410971" w:rsidRPr="00BC4B84">
        <w:t xml:space="preserve"> </w:t>
      </w:r>
      <w:r w:rsidRPr="00BC4B84">
        <w:t>“Recommandation relative à l</w:t>
      </w:r>
      <w:r w:rsidR="006C2A43" w:rsidRPr="00BC4B84">
        <w:t>’</w:t>
      </w:r>
      <w:r w:rsidRPr="00BC4B84">
        <w:t>utilisation</w:t>
      </w:r>
      <w:r w:rsidR="006C2A43" w:rsidRPr="00BC4B84">
        <w:t xml:space="preserve"> du XML</w:t>
      </w:r>
      <w:r w:rsidRPr="00BC4B84">
        <w:t xml:space="preserve"> (</w:t>
      </w:r>
      <w:proofErr w:type="spellStart"/>
      <w:r w:rsidRPr="00BC4B84">
        <w:t>eXtensible</w:t>
      </w:r>
      <w:proofErr w:type="spellEnd"/>
      <w:r w:rsidRPr="00BC4B84">
        <w:t xml:space="preserve"> </w:t>
      </w:r>
      <w:proofErr w:type="spellStart"/>
      <w:r w:rsidRPr="00BC4B84">
        <w:t>Markup</w:t>
      </w:r>
      <w:proofErr w:type="spellEnd"/>
      <w:r w:rsidRPr="00BC4B84">
        <w:t xml:space="preserve"> </w:t>
      </w:r>
      <w:proofErr w:type="spellStart"/>
      <w:r w:rsidRPr="00BC4B84">
        <w:t>Language</w:t>
      </w:r>
      <w:proofErr w:type="spellEnd"/>
      <w:r w:rsidRPr="00BC4B84">
        <w:t>) dans le traitement de l</w:t>
      </w:r>
      <w:r w:rsidR="006C2A43" w:rsidRPr="00BC4B84">
        <w:t>’</w:t>
      </w:r>
      <w:r w:rsidRPr="00BC4B84">
        <w:t>information en matière de propriété industrielle”</w:t>
      </w:r>
      <w:r w:rsidR="00410971" w:rsidRPr="00BC4B84">
        <w:t xml:space="preserve">, </w:t>
      </w:r>
      <w:r w:rsidR="00886CEA">
        <w:t>(</w:t>
      </w:r>
      <w:r w:rsidRPr="00BC4B84">
        <w:t>ci</w:t>
      </w:r>
      <w:r w:rsidR="00516832" w:rsidRPr="00BC4B84">
        <w:noBreakHyphen/>
      </w:r>
      <w:r w:rsidRPr="00BC4B84">
        <w:t xml:space="preserve">après dénommée </w:t>
      </w:r>
      <w:r w:rsidR="006C2A43" w:rsidRPr="00BC4B84">
        <w:t>“n</w:t>
      </w:r>
      <w:r w:rsidRPr="00BC4B84">
        <w:t>orme</w:t>
      </w:r>
      <w:r w:rsidR="005E5A91" w:rsidRPr="00BC4B84">
        <w:t> </w:t>
      </w:r>
      <w:r w:rsidRPr="00BC4B84">
        <w:t>ST.9</w:t>
      </w:r>
      <w:r w:rsidR="006C2A43" w:rsidRPr="00BC4B84">
        <w:t>6”</w:t>
      </w:r>
      <w:r w:rsidRPr="00BC4B84">
        <w:t>).</w:t>
      </w:r>
    </w:p>
    <w:p w:rsidR="00383239" w:rsidRPr="00BC4B84" w:rsidRDefault="00216792" w:rsidP="00BC4B84">
      <w:pPr>
        <w:pStyle w:val="ONUMFS"/>
        <w:numPr>
          <w:ilvl w:val="0"/>
          <w:numId w:val="14"/>
        </w:numPr>
      </w:pPr>
      <w:r w:rsidRPr="00BC4B84">
        <w:t>Le présent document présente un rapport sur l</w:t>
      </w:r>
      <w:r w:rsidR="006C2A43" w:rsidRPr="00BC4B84">
        <w:t>’</w:t>
      </w:r>
      <w:r w:rsidRPr="00BC4B84">
        <w:t>état d</w:t>
      </w:r>
      <w:r w:rsidR="006C2A43" w:rsidRPr="00BC4B84">
        <w:t>’</w:t>
      </w:r>
      <w:r w:rsidRPr="00BC4B84">
        <w:t>avancement du projet susmentionné.</w:t>
      </w:r>
    </w:p>
    <w:p w:rsidR="00383239" w:rsidRPr="00BC4B84" w:rsidRDefault="00216792" w:rsidP="00216792">
      <w:pPr>
        <w:pStyle w:val="Heading1"/>
        <w:spacing w:before="480"/>
        <w:rPr>
          <w:color w:val="auto"/>
        </w:rPr>
      </w:pPr>
      <w:r w:rsidRPr="00BC4B84">
        <w:rPr>
          <w:color w:val="auto"/>
        </w:rPr>
        <w:t>II.</w:t>
      </w:r>
      <w:r w:rsidRPr="00BC4B84">
        <w:rPr>
          <w:color w:val="auto"/>
        </w:rPr>
        <w:tab/>
        <w:t>ÉTAT D</w:t>
      </w:r>
      <w:r w:rsidR="006C2A43" w:rsidRPr="00BC4B84">
        <w:rPr>
          <w:color w:val="auto"/>
        </w:rPr>
        <w:t>’</w:t>
      </w:r>
      <w:r w:rsidR="00E9080C">
        <w:rPr>
          <w:color w:val="auto"/>
        </w:rPr>
        <w:t>AVANCEMENT</w:t>
      </w:r>
    </w:p>
    <w:p w:rsidR="00383239" w:rsidRPr="00BC4B84" w:rsidRDefault="00216792" w:rsidP="00BC4B84">
      <w:pPr>
        <w:pStyle w:val="ONUMFS"/>
        <w:numPr>
          <w:ilvl w:val="0"/>
          <w:numId w:val="14"/>
        </w:numPr>
      </w:pPr>
      <w:r w:rsidRPr="00BC4B84">
        <w:t xml:space="preserve">Le Bureau international travaille sur un nouveau système informatique </w:t>
      </w:r>
      <w:r w:rsidR="00BA53E9" w:rsidRPr="00BC4B84">
        <w:t xml:space="preserve">destiné à </w:t>
      </w:r>
      <w:r w:rsidR="004E0C9A" w:rsidRPr="00BC4B84">
        <w:t>soutenir</w:t>
      </w:r>
      <w:r w:rsidR="00BA53E9" w:rsidRPr="00BC4B84">
        <w:t xml:space="preserve"> ses</w:t>
      </w:r>
      <w:r w:rsidRPr="00BC4B84">
        <w:t xml:space="preserve"> fonctions essentielles, notamment </w:t>
      </w:r>
      <w:r w:rsidR="00BA53E9" w:rsidRPr="00BC4B84">
        <w:t xml:space="preserve">en ce qui concerne </w:t>
      </w:r>
      <w:r w:rsidRPr="00BC4B84">
        <w:t>l</w:t>
      </w:r>
      <w:r w:rsidR="006C2A43" w:rsidRPr="00BC4B84">
        <w:t>’</w:t>
      </w:r>
      <w:r w:rsidRPr="00BC4B84">
        <w:t>administration du registre international et l</w:t>
      </w:r>
      <w:r w:rsidR="006C2A43" w:rsidRPr="00BC4B84">
        <w:t>’</w:t>
      </w:r>
      <w:r w:rsidRPr="00BC4B84">
        <w:t>exam</w:t>
      </w:r>
      <w:r w:rsidR="009C5C40" w:rsidRPr="00BC4B84">
        <w:t>en.  Du</w:t>
      </w:r>
      <w:r w:rsidR="00A74A92" w:rsidRPr="00BC4B84">
        <w:t xml:space="preserve">rant </w:t>
      </w:r>
      <w:r w:rsidR="00B174C9" w:rsidRPr="00BC4B84">
        <w:t>sa</w:t>
      </w:r>
      <w:r w:rsidR="00A74A92" w:rsidRPr="00BC4B84">
        <w:t xml:space="preserve"> phase de développement, la base de données du nouveau système a été repensée </w:t>
      </w:r>
      <w:r w:rsidR="002A35AF">
        <w:t xml:space="preserve">afin de la doter </w:t>
      </w:r>
      <w:r w:rsidR="003909AF" w:rsidRPr="00BC4B84">
        <w:t>de fonctions de</w:t>
      </w:r>
      <w:r w:rsidR="00B174C9" w:rsidRPr="00BC4B84">
        <w:t xml:space="preserve"> recherche </w:t>
      </w:r>
      <w:r w:rsidR="003909AF" w:rsidRPr="00BC4B84">
        <w:t xml:space="preserve">et de stockage </w:t>
      </w:r>
      <w:r w:rsidR="00B174C9" w:rsidRPr="00BC4B84">
        <w:t>de</w:t>
      </w:r>
      <w:r w:rsidR="003909AF" w:rsidRPr="00BC4B84">
        <w:t>s</w:t>
      </w:r>
      <w:r w:rsidR="00B174C9" w:rsidRPr="00BC4B84">
        <w:t xml:space="preserve"> données </w:t>
      </w:r>
      <w:r w:rsidR="002A35AF">
        <w:t xml:space="preserve">qui </w:t>
      </w:r>
      <w:r w:rsidR="003909AF" w:rsidRPr="00BC4B84">
        <w:t>soient</w:t>
      </w:r>
      <w:r w:rsidR="00B174C9" w:rsidRPr="00BC4B84">
        <w:t xml:space="preserve"> </w:t>
      </w:r>
      <w:r w:rsidR="00970E66">
        <w:t>flexibles</w:t>
      </w:r>
      <w:r w:rsidR="00970E66" w:rsidRPr="00BC4B84">
        <w:t xml:space="preserve"> </w:t>
      </w:r>
      <w:r w:rsidR="00970E66">
        <w:t xml:space="preserve">et </w:t>
      </w:r>
      <w:r w:rsidR="00A74A92" w:rsidRPr="00BC4B84">
        <w:t>en adéquation avec le niveau de détail propo</w:t>
      </w:r>
      <w:r w:rsidR="009C5C40" w:rsidRPr="00BC4B84">
        <w:t>sé.  Ce</w:t>
      </w:r>
      <w:r w:rsidR="00A62631" w:rsidRPr="00BC4B84">
        <w:t xml:space="preserve"> nouveau système sera mis en service </w:t>
      </w:r>
      <w:r w:rsidR="006C2A43" w:rsidRPr="00BC4B84">
        <w:t>en 2018</w:t>
      </w:r>
      <w:r w:rsidR="00A62631" w:rsidRPr="00BC4B84">
        <w:t xml:space="preserve"> et </w:t>
      </w:r>
      <w:r w:rsidR="00B174C9" w:rsidRPr="00BC4B84">
        <w:t>ses avantages seront palpables</w:t>
      </w:r>
      <w:r w:rsidR="00A62631" w:rsidRPr="00BC4B84">
        <w:t xml:space="preserve"> </w:t>
      </w:r>
      <w:r w:rsidR="00B174C9" w:rsidRPr="00BC4B84">
        <w:t xml:space="preserve">au début </w:t>
      </w:r>
      <w:r w:rsidR="006C2A43" w:rsidRPr="00BC4B84">
        <w:t>de 2019</w:t>
      </w:r>
      <w:r w:rsidR="00A62631" w:rsidRPr="00BC4B84">
        <w:t>.</w:t>
      </w:r>
      <w:r w:rsidR="007B6808" w:rsidRPr="00BC4B84">
        <w:t xml:space="preserve"> </w:t>
      </w:r>
      <w:r w:rsidR="002D239C" w:rsidRPr="00BC4B84">
        <w:t xml:space="preserve"> </w:t>
      </w:r>
      <w:r w:rsidR="00A62631" w:rsidRPr="00BC4B84">
        <w:t>La plupart des modifications présentées dans l</w:t>
      </w:r>
      <w:r w:rsidR="006C2A43" w:rsidRPr="00BC4B84">
        <w:t>’</w:t>
      </w:r>
      <w:r w:rsidR="00A62631" w:rsidRPr="00BC4B84">
        <w:t>analyse ci</w:t>
      </w:r>
      <w:r w:rsidR="00516832" w:rsidRPr="00BC4B84">
        <w:noBreakHyphen/>
      </w:r>
      <w:r w:rsidR="00A62631" w:rsidRPr="00BC4B84">
        <w:t>dessous seront visibles uniquement après que le nouveau système aura été lancé.</w:t>
      </w:r>
    </w:p>
    <w:p w:rsidR="00383239" w:rsidRPr="00BC4B84" w:rsidRDefault="00A62631" w:rsidP="00BC4B84">
      <w:pPr>
        <w:pStyle w:val="ONUMFS"/>
        <w:numPr>
          <w:ilvl w:val="0"/>
          <w:numId w:val="14"/>
        </w:numPr>
      </w:pPr>
      <w:r w:rsidRPr="00BC4B84">
        <w:t>En ce qui concerne l</w:t>
      </w:r>
      <w:r w:rsidR="006C2A43" w:rsidRPr="00BC4B84">
        <w:t>’</w:t>
      </w:r>
      <w:r w:rsidRPr="00BC4B84">
        <w:t xml:space="preserve">échange de données </w:t>
      </w:r>
      <w:r w:rsidR="001F38A4" w:rsidRPr="00BC4B84">
        <w:t xml:space="preserve">électroniques </w:t>
      </w:r>
      <w:r w:rsidRPr="00BC4B84">
        <w:t>avec les différents offices, la structure d</w:t>
      </w:r>
      <w:r w:rsidR="001F38A4" w:rsidRPr="00BC4B84">
        <w:t xml:space="preserve">es données a été </w:t>
      </w:r>
      <w:proofErr w:type="gramStart"/>
      <w:r w:rsidR="001F38A4" w:rsidRPr="00BC4B84">
        <w:t>définie</w:t>
      </w:r>
      <w:proofErr w:type="gramEnd"/>
      <w:r w:rsidR="001F38A4" w:rsidRPr="00BC4B84">
        <w:t xml:space="preserve"> par l</w:t>
      </w:r>
      <w:r w:rsidR="006C2A43" w:rsidRPr="00BC4B84">
        <w:t>’</w:t>
      </w:r>
      <w:r w:rsidR="001F38A4" w:rsidRPr="00BC4B84">
        <w:t>é</w:t>
      </w:r>
      <w:r w:rsidRPr="00BC4B84">
        <w:t>quipe d</w:t>
      </w:r>
      <w:r w:rsidR="006C2A43" w:rsidRPr="00BC4B84">
        <w:t>’</w:t>
      </w:r>
      <w:r w:rsidRPr="00BC4B84">
        <w:t>experts chargée de la norme</w:t>
      </w:r>
      <w:r w:rsidR="005E5A91" w:rsidRPr="00BC4B84">
        <w:t> </w:t>
      </w:r>
      <w:r w:rsidRPr="00BC4B84">
        <w:t>XML4IP.</w:t>
      </w:r>
      <w:r w:rsidR="007B6808" w:rsidRPr="00BC4B84">
        <w:t xml:space="preserve"> </w:t>
      </w:r>
      <w:r w:rsidR="002D239C" w:rsidRPr="00BC4B84">
        <w:t xml:space="preserve"> </w:t>
      </w:r>
      <w:r w:rsidR="0069588D" w:rsidRPr="00BC4B84">
        <w:t>L</w:t>
      </w:r>
      <w:r w:rsidRPr="00BC4B84">
        <w:t>es</w:t>
      </w:r>
      <w:r w:rsidR="00B20471" w:rsidRPr="00BC4B84">
        <w:t> </w:t>
      </w:r>
      <w:r w:rsidRPr="00BC4B84">
        <w:t xml:space="preserve">composantes XML en lien avec le système de </w:t>
      </w:r>
      <w:r w:rsidR="006C2A43" w:rsidRPr="00BC4B84">
        <w:t>La Haye</w:t>
      </w:r>
      <w:r w:rsidRPr="00BC4B84">
        <w:t xml:space="preserve"> ont </w:t>
      </w:r>
      <w:r w:rsidR="0069588D" w:rsidRPr="00BC4B84">
        <w:t xml:space="preserve">ainsi </w:t>
      </w:r>
      <w:r w:rsidRPr="00BC4B84">
        <w:t xml:space="preserve">été </w:t>
      </w:r>
      <w:proofErr w:type="gramStart"/>
      <w:r w:rsidRPr="00BC4B84">
        <w:t>intégrées</w:t>
      </w:r>
      <w:proofErr w:type="gramEnd"/>
      <w:r w:rsidRPr="00BC4B84">
        <w:t xml:space="preserve"> dans la version</w:t>
      </w:r>
      <w:r w:rsidR="00516832" w:rsidRPr="00BC4B84">
        <w:t> </w:t>
      </w:r>
      <w:r w:rsidRPr="00BC4B84">
        <w:t>3.0 de la norme</w:t>
      </w:r>
      <w:r w:rsidR="005E5A91" w:rsidRPr="00BC4B84">
        <w:t> </w:t>
      </w:r>
      <w:r w:rsidRPr="00BC4B84">
        <w:t>ST.96.  Plus de 10</w:t>
      </w:r>
      <w:r w:rsidR="00516832" w:rsidRPr="00BC4B84">
        <w:t> </w:t>
      </w:r>
      <w:r w:rsidRPr="00BC4B84">
        <w:t>offices ont contribué activement à l</w:t>
      </w:r>
      <w:r w:rsidR="006C2A43" w:rsidRPr="00BC4B84">
        <w:t>’</w:t>
      </w:r>
      <w:r w:rsidRPr="00BC4B84">
        <w:t>élaboration de cette versi</w:t>
      </w:r>
      <w:r w:rsidR="009C5C40" w:rsidRPr="00BC4B84">
        <w:t>on.  S’a</w:t>
      </w:r>
      <w:r w:rsidRPr="00BC4B84">
        <w:t>gissant du passage du système en vigueur à la norme</w:t>
      </w:r>
      <w:r w:rsidR="005E5A91" w:rsidRPr="00BC4B84">
        <w:t> </w:t>
      </w:r>
      <w:r w:rsidRPr="00BC4B84">
        <w:t>ST.96, une feuille de route a été présentée</w:t>
      </w:r>
      <w:r w:rsidR="006C2A43" w:rsidRPr="00BC4B84">
        <w:t xml:space="preserve"> au </w:t>
      </w:r>
      <w:r w:rsidR="009C5C40" w:rsidRPr="00BC4B84">
        <w:t>CWS.  Un</w:t>
      </w:r>
      <w:r w:rsidRPr="00BC4B84">
        <w:t>e version actualisée de cette feuille de route figure à l</w:t>
      </w:r>
      <w:r w:rsidR="006C2A43" w:rsidRPr="00BC4B84">
        <w:t>’</w:t>
      </w:r>
      <w:r w:rsidRPr="00BC4B84">
        <w:t>annexe du présent document.</w:t>
      </w:r>
    </w:p>
    <w:p w:rsidR="00383239" w:rsidRPr="00BC4B84" w:rsidRDefault="00A62631" w:rsidP="00A62631">
      <w:pPr>
        <w:pStyle w:val="Heading1"/>
        <w:spacing w:before="480"/>
        <w:rPr>
          <w:color w:val="auto"/>
        </w:rPr>
      </w:pPr>
      <w:r w:rsidRPr="00BC4B84">
        <w:rPr>
          <w:color w:val="auto"/>
        </w:rPr>
        <w:t>III.</w:t>
      </w:r>
      <w:r w:rsidRPr="00BC4B84">
        <w:rPr>
          <w:color w:val="auto"/>
        </w:rPr>
        <w:tab/>
        <w:t>ANALYSE</w:t>
      </w:r>
    </w:p>
    <w:p w:rsidR="00383239" w:rsidRPr="00BC4B84" w:rsidRDefault="00A62631" w:rsidP="00A62631">
      <w:pPr>
        <w:pStyle w:val="Heading2"/>
        <w:rPr>
          <w:color w:val="auto"/>
        </w:rPr>
      </w:pPr>
      <w:r w:rsidRPr="00BC4B84">
        <w:rPr>
          <w:color w:val="auto"/>
        </w:rPr>
        <w:t>INCIDENCES TECHNIQUES</w:t>
      </w:r>
    </w:p>
    <w:p w:rsidR="00383239" w:rsidRPr="00BC4B84" w:rsidRDefault="008B28A0" w:rsidP="00BC4B84">
      <w:pPr>
        <w:pStyle w:val="ONUMFS"/>
        <w:numPr>
          <w:ilvl w:val="0"/>
          <w:numId w:val="14"/>
        </w:numPr>
      </w:pPr>
      <w:r w:rsidRPr="00BC4B84">
        <w:t>La modélisation des données pour l</w:t>
      </w:r>
      <w:r w:rsidR="006C2A43" w:rsidRPr="00BC4B84">
        <w:t>’</w:t>
      </w:r>
      <w:r w:rsidRPr="00BC4B84">
        <w:t xml:space="preserve">échange de données </w:t>
      </w:r>
      <w:r w:rsidR="003909AF" w:rsidRPr="00BC4B84">
        <w:t xml:space="preserve">électroniques </w:t>
      </w:r>
      <w:r w:rsidRPr="00BC4B84">
        <w:t>avec les offices a été réalisée dans le cadre de l</w:t>
      </w:r>
      <w:r w:rsidR="006C2A43" w:rsidRPr="00BC4B84">
        <w:t>’</w:t>
      </w:r>
      <w:r w:rsidRPr="00BC4B84">
        <w:t>élaboration de la norme</w:t>
      </w:r>
      <w:r w:rsidR="005E5A91" w:rsidRPr="00BC4B84">
        <w:t> </w:t>
      </w:r>
      <w:r w:rsidRPr="00BC4B84">
        <w:t>ST.96</w:t>
      </w:r>
      <w:r w:rsidR="007B6808" w:rsidRPr="00BC4B84">
        <w:t xml:space="preserve">. </w:t>
      </w:r>
      <w:r w:rsidR="002D239C" w:rsidRPr="00BC4B84">
        <w:t xml:space="preserve"> </w:t>
      </w:r>
      <w:r w:rsidRPr="00BC4B84">
        <w:t>Ce travail a permis d</w:t>
      </w:r>
      <w:r w:rsidR="006C2A43" w:rsidRPr="00BC4B84">
        <w:t>’</w:t>
      </w:r>
      <w:r w:rsidRPr="00BC4B84">
        <w:t xml:space="preserve">intégrer les composantes XML liées au système de </w:t>
      </w:r>
      <w:r w:rsidR="006C2A43" w:rsidRPr="00BC4B84">
        <w:t>La Haye</w:t>
      </w:r>
      <w:r w:rsidRPr="00BC4B84">
        <w:t xml:space="preserve"> dans la version</w:t>
      </w:r>
      <w:r w:rsidR="00516832" w:rsidRPr="00BC4B84">
        <w:t> </w:t>
      </w:r>
      <w:r w:rsidR="005378C9" w:rsidRPr="00BC4B84">
        <w:t>3.0 de la norme</w:t>
      </w:r>
      <w:r w:rsidRPr="00BC4B84">
        <w:t xml:space="preserve"> publiée en février</w:t>
      </w:r>
      <w:r w:rsidR="00D6040A" w:rsidRPr="00BC4B84">
        <w:t> </w:t>
      </w:r>
      <w:r w:rsidR="007B6808" w:rsidRPr="00BC4B84">
        <w:t>2018</w:t>
      </w:r>
      <w:r w:rsidR="0092257B" w:rsidRPr="00D4100B">
        <w:rPr>
          <w:vertAlign w:val="superscript"/>
        </w:rPr>
        <w:footnoteReference w:id="4"/>
      </w:r>
      <w:r w:rsidR="007B6808" w:rsidRPr="00BC4B84">
        <w:t>.</w:t>
      </w:r>
      <w:r w:rsidR="002D239C" w:rsidRPr="00BC4B84">
        <w:t xml:space="preserve"> </w:t>
      </w:r>
      <w:r w:rsidR="007B6808" w:rsidRPr="00BC4B84">
        <w:t xml:space="preserve"> </w:t>
      </w:r>
      <w:r w:rsidRPr="00BC4B84">
        <w:t xml:space="preserve">La définition du schéma XML (XSD) </w:t>
      </w:r>
      <w:r w:rsidR="003909AF" w:rsidRPr="00BC4B84">
        <w:t xml:space="preserve">résultante </w:t>
      </w:r>
      <w:r w:rsidRPr="00BC4B84">
        <w:t xml:space="preserve">est abondamment documentée, comme demandé par la délégation du Japon </w:t>
      </w:r>
      <w:r w:rsidR="003909AF" w:rsidRPr="00BC4B84">
        <w:t>au cours de</w:t>
      </w:r>
      <w:r w:rsidRPr="00BC4B84">
        <w:t xml:space="preserve"> la dernière session du groupe de travail</w:t>
      </w:r>
      <w:r w:rsidR="0092257B" w:rsidRPr="00D4100B">
        <w:rPr>
          <w:vertAlign w:val="superscript"/>
        </w:rPr>
        <w:footnoteReference w:id="5"/>
      </w:r>
      <w:r w:rsidR="007B6808" w:rsidRPr="00BC4B84">
        <w:t>.</w:t>
      </w:r>
    </w:p>
    <w:p w:rsidR="00383239" w:rsidRPr="00BC4B84" w:rsidRDefault="008B28A0" w:rsidP="00BC4B84">
      <w:pPr>
        <w:pStyle w:val="ONUMFS"/>
        <w:numPr>
          <w:ilvl w:val="0"/>
          <w:numId w:val="14"/>
        </w:numPr>
      </w:pPr>
      <w:r w:rsidRPr="00BC4B84">
        <w:t xml:space="preserve">La modélisation des données du registre international pour le nouveau </w:t>
      </w:r>
      <w:r w:rsidR="00AE7D0E" w:rsidRPr="00BC4B84">
        <w:t>système informatique</w:t>
      </w:r>
      <w:r w:rsidRPr="00BC4B84">
        <w:t xml:space="preserve"> </w:t>
      </w:r>
      <w:r w:rsidR="003909AF" w:rsidRPr="00BC4B84">
        <w:t>de base</w:t>
      </w:r>
      <w:r w:rsidRPr="00BC4B84">
        <w:t xml:space="preserve"> du Bureau international a été achevée </w:t>
      </w:r>
      <w:r w:rsidR="006C2A43" w:rsidRPr="00BC4B84">
        <w:t>en 2017</w:t>
      </w:r>
      <w:r w:rsidR="007B6808" w:rsidRPr="00BC4B84">
        <w:t>.</w:t>
      </w:r>
    </w:p>
    <w:p w:rsidR="00383239" w:rsidRPr="00BC4B84" w:rsidRDefault="00A62631" w:rsidP="000655FD">
      <w:pPr>
        <w:pStyle w:val="Heading2"/>
        <w:keepLines/>
        <w:spacing w:before="480"/>
        <w:rPr>
          <w:color w:val="auto"/>
        </w:rPr>
      </w:pPr>
      <w:r w:rsidRPr="00BC4B84">
        <w:rPr>
          <w:color w:val="auto"/>
        </w:rPr>
        <w:lastRenderedPageBreak/>
        <w:t>incidences pratiques</w:t>
      </w:r>
    </w:p>
    <w:p w:rsidR="00383239" w:rsidRPr="00BC4B84" w:rsidRDefault="00BA0A4F" w:rsidP="000655FD">
      <w:pPr>
        <w:pStyle w:val="ONUMFS"/>
        <w:keepNext/>
        <w:keepLines/>
        <w:numPr>
          <w:ilvl w:val="0"/>
          <w:numId w:val="14"/>
        </w:numPr>
      </w:pPr>
      <w:r w:rsidRPr="00D4100B">
        <w:rPr>
          <w:u w:val="single"/>
        </w:rPr>
        <w:t xml:space="preserve">Description </w:t>
      </w:r>
      <w:r w:rsidR="00B930E2" w:rsidRPr="00D4100B">
        <w:rPr>
          <w:u w:val="single"/>
        </w:rPr>
        <w:t>se rapportant à chaque dessin ou modèle</w:t>
      </w:r>
      <w:r w:rsidR="007B6808" w:rsidRPr="00BC4B84">
        <w:t xml:space="preserve"> – </w:t>
      </w:r>
      <w:r w:rsidRPr="00BC4B84">
        <w:t>Dans le modèle de données révisé du registre international, la base de données sous</w:t>
      </w:r>
      <w:r w:rsidR="00516832" w:rsidRPr="00BC4B84">
        <w:noBreakHyphen/>
      </w:r>
      <w:r w:rsidRPr="00BC4B84">
        <w:t>jacente permet d</w:t>
      </w:r>
      <w:r w:rsidR="006C2A43" w:rsidRPr="00BC4B84">
        <w:t>’</w:t>
      </w:r>
      <w:r w:rsidRPr="00BC4B84">
        <w:t>établir de nombreux lie</w:t>
      </w:r>
      <w:r w:rsidR="009C5C40" w:rsidRPr="00BC4B84">
        <w:t>ns.  En</w:t>
      </w:r>
      <w:r w:rsidRPr="00BC4B84">
        <w:t xml:space="preserve"> effet, une description peut être reliée à un ou plusieurs dessins </w:t>
      </w:r>
      <w:r w:rsidR="003909AF" w:rsidRPr="00BC4B84">
        <w:t>ou</w:t>
      </w:r>
      <w:r w:rsidRPr="00BC4B84">
        <w:t xml:space="preserve"> modèles, sans qu</w:t>
      </w:r>
      <w:r w:rsidR="006C2A43" w:rsidRPr="00BC4B84">
        <w:t>’</w:t>
      </w:r>
      <w:r w:rsidRPr="00BC4B84">
        <w:t>il faille la recopier pour chaque dessin ou modè</w:t>
      </w:r>
      <w:r w:rsidR="009C5C40" w:rsidRPr="00BC4B84">
        <w:t>le.  Ce</w:t>
      </w:r>
      <w:r w:rsidRPr="00BC4B84">
        <w:t>tte solution permet</w:t>
      </w:r>
      <w:r w:rsidR="008D0948" w:rsidRPr="00BC4B84">
        <w:t>trait</w:t>
      </w:r>
      <w:r w:rsidRPr="00BC4B84">
        <w:t xml:space="preserve"> d</w:t>
      </w:r>
      <w:r w:rsidR="006C2A43" w:rsidRPr="00BC4B84">
        <w:t>’</w:t>
      </w:r>
      <w:r w:rsidRPr="00BC4B84">
        <w:t xml:space="preserve">éviter </w:t>
      </w:r>
      <w:r w:rsidR="00886CEA">
        <w:t>aux</w:t>
      </w:r>
      <w:r w:rsidRPr="00BC4B84">
        <w:t xml:space="preserve"> utilisateurs </w:t>
      </w:r>
      <w:r w:rsidR="00886CEA">
        <w:t>de</w:t>
      </w:r>
      <w:r w:rsidR="00886CEA" w:rsidRPr="00BC4B84">
        <w:t xml:space="preserve"> </w:t>
      </w:r>
      <w:r w:rsidRPr="00BC4B84">
        <w:t>copier et coller les descriptions</w:t>
      </w:r>
      <w:r w:rsidR="007B6808" w:rsidRPr="00D4100B">
        <w:rPr>
          <w:vertAlign w:val="superscript"/>
        </w:rPr>
        <w:footnoteReference w:id="6"/>
      </w:r>
      <w:r w:rsidR="00DE0D30" w:rsidRPr="00BC4B84">
        <w:t>.</w:t>
      </w:r>
      <w:r w:rsidR="007B6808" w:rsidRPr="00BC4B84">
        <w:t xml:space="preserve"> </w:t>
      </w:r>
      <w:r w:rsidR="0047410D" w:rsidRPr="00BC4B84">
        <w:t xml:space="preserve"> </w:t>
      </w:r>
      <w:r w:rsidRPr="00BC4B84">
        <w:t>Qui plus est</w:t>
      </w:r>
      <w:r w:rsidR="007B6808" w:rsidRPr="00BC4B84">
        <w:t xml:space="preserve">, </w:t>
      </w:r>
      <w:r w:rsidRPr="00BC4B84">
        <w:t>le</w:t>
      </w:r>
      <w:r w:rsidR="007B6808" w:rsidRPr="00BC4B84">
        <w:t xml:space="preserve"> </w:t>
      </w:r>
      <w:r w:rsidR="0047410D" w:rsidRPr="00BC4B84">
        <w:t>“</w:t>
      </w:r>
      <w:r w:rsidRPr="00BC4B84">
        <w:t>même texte</w:t>
      </w:r>
      <w:r w:rsidR="0047410D" w:rsidRPr="00BC4B84">
        <w:t>”</w:t>
      </w:r>
      <w:r w:rsidR="007B6808" w:rsidRPr="00BC4B84">
        <w:t xml:space="preserve"> </w:t>
      </w:r>
      <w:r w:rsidRPr="00BC4B84">
        <w:t xml:space="preserve">associé à plusieurs dessins et modèles ne serait pas comptabilisé plusieurs fois </w:t>
      </w:r>
      <w:r w:rsidR="003909AF" w:rsidRPr="00BC4B84">
        <w:t>lors du</w:t>
      </w:r>
      <w:r w:rsidRPr="00BC4B84">
        <w:t xml:space="preserve"> calcul </w:t>
      </w:r>
      <w:r w:rsidR="003909AF" w:rsidRPr="00BC4B84">
        <w:t>du nombre de</w:t>
      </w:r>
      <w:r w:rsidRPr="00BC4B84">
        <w:t xml:space="preserve"> mots pour déterminer le montant </w:t>
      </w:r>
      <w:r w:rsidR="00B930E2" w:rsidRPr="00BC4B84">
        <w:t xml:space="preserve">des </w:t>
      </w:r>
      <w:r w:rsidR="005368C6">
        <w:t>taxes supplémentaires</w:t>
      </w:r>
      <w:r w:rsidR="007B6808" w:rsidRPr="00D4100B">
        <w:rPr>
          <w:vertAlign w:val="superscript"/>
        </w:rPr>
        <w:footnoteReference w:id="7"/>
      </w:r>
      <w:r w:rsidR="00DE0D30" w:rsidRPr="00BC4B84">
        <w:t>.</w:t>
      </w:r>
    </w:p>
    <w:p w:rsidR="00383239" w:rsidRPr="00BC4B84" w:rsidRDefault="007B6808" w:rsidP="00BC4B84">
      <w:pPr>
        <w:pStyle w:val="ONUMFS"/>
        <w:numPr>
          <w:ilvl w:val="0"/>
          <w:numId w:val="14"/>
        </w:numPr>
      </w:pPr>
      <w:r w:rsidRPr="00D4100B">
        <w:rPr>
          <w:u w:val="single"/>
        </w:rPr>
        <w:t>D</w:t>
      </w:r>
      <w:r w:rsidR="00B930E2" w:rsidRPr="00D4100B">
        <w:rPr>
          <w:u w:val="single"/>
        </w:rPr>
        <w:t>ésignation se rapportant à chaque dessin ou modèle</w:t>
      </w:r>
      <w:r w:rsidRPr="00BC4B84">
        <w:t xml:space="preserve"> </w:t>
      </w:r>
      <w:r w:rsidR="00E40685" w:rsidRPr="00BC4B84">
        <w:t>–</w:t>
      </w:r>
      <w:r w:rsidR="00686610" w:rsidRPr="00BC4B84">
        <w:t xml:space="preserve"> </w:t>
      </w:r>
      <w:r w:rsidR="00B930E2" w:rsidRPr="00BC4B84">
        <w:t xml:space="preserve">Dans son nouveau système informatique </w:t>
      </w:r>
      <w:r w:rsidR="003909AF" w:rsidRPr="00BC4B84">
        <w:t>de base</w:t>
      </w:r>
      <w:r w:rsidR="00B930E2" w:rsidRPr="00BC4B84">
        <w:t xml:space="preserve">, le Bureau international stockera les données </w:t>
      </w:r>
      <w:r w:rsidR="0092631E" w:rsidRPr="00BC4B84">
        <w:t xml:space="preserve">selon une organisation matricielle, de sorte </w:t>
      </w:r>
      <w:r w:rsidR="00B930E2" w:rsidRPr="00BC4B84">
        <w:t xml:space="preserve">chaque dessin ou modèle </w:t>
      </w:r>
      <w:r w:rsidR="0092631E" w:rsidRPr="00BC4B84">
        <w:t>sera</w:t>
      </w:r>
      <w:r w:rsidR="00B930E2" w:rsidRPr="00BC4B84">
        <w:t xml:space="preserve"> associé à la désignation d</w:t>
      </w:r>
      <w:r w:rsidR="006C2A43" w:rsidRPr="00BC4B84">
        <w:t>’</w:t>
      </w:r>
      <w:r w:rsidR="00B930E2" w:rsidRPr="00BC4B84">
        <w:t>une partie contractan</w:t>
      </w:r>
      <w:r w:rsidR="009C5C40" w:rsidRPr="00BC4B84">
        <w:t>te.  Ce</w:t>
      </w:r>
      <w:r w:rsidR="00B930E2" w:rsidRPr="00BC4B84">
        <w:t xml:space="preserve">tte </w:t>
      </w:r>
      <w:r w:rsidR="00601372" w:rsidRPr="00BC4B84">
        <w:t>approche</w:t>
      </w:r>
      <w:r w:rsidR="00B930E2" w:rsidRPr="00BC4B84">
        <w:t xml:space="preserve"> </w:t>
      </w:r>
      <w:r w:rsidR="00601372" w:rsidRPr="00BC4B84">
        <w:t xml:space="preserve">plus souple aidera </w:t>
      </w:r>
      <w:r w:rsidR="00B930E2" w:rsidRPr="00BC4B84">
        <w:t xml:space="preserve">à </w:t>
      </w:r>
      <w:r w:rsidR="0092631E" w:rsidRPr="00BC4B84">
        <w:t>accélérer les suites juridiques</w:t>
      </w:r>
      <w:r w:rsidR="00601372" w:rsidRPr="00BC4B84">
        <w:t xml:space="preserve"> et</w:t>
      </w:r>
      <w:r w:rsidR="00B930E2" w:rsidRPr="00BC4B84">
        <w:t xml:space="preserve"> </w:t>
      </w:r>
      <w:r w:rsidR="006A2AD8" w:rsidRPr="00BC4B84">
        <w:t>permet d</w:t>
      </w:r>
      <w:r w:rsidR="006C2A43" w:rsidRPr="00BC4B84">
        <w:t>’</w:t>
      </w:r>
      <w:r w:rsidR="006A2AD8" w:rsidRPr="00BC4B84">
        <w:t>éviter</w:t>
      </w:r>
      <w:r w:rsidR="00601372" w:rsidRPr="00BC4B84">
        <w:t xml:space="preserve"> de devoir envoyer</w:t>
      </w:r>
      <w:r w:rsidR="000507A1" w:rsidRPr="00BC4B84">
        <w:t xml:space="preserve"> la liste des désignations se rapportant à chaque dessin ou modèle aux offices des parties contractantes désignées, </w:t>
      </w:r>
      <w:r w:rsidR="006A2AD8" w:rsidRPr="00BC4B84">
        <w:t>car cela ne ferait que compliquer la tâche des offices en ce qui concerne</w:t>
      </w:r>
      <w:r w:rsidR="000507A1" w:rsidRPr="00BC4B84">
        <w:t xml:space="preserve"> l</w:t>
      </w:r>
      <w:r w:rsidR="006C2A43" w:rsidRPr="00BC4B84">
        <w:t>’</w:t>
      </w:r>
      <w:r w:rsidR="000507A1" w:rsidRPr="00BC4B84">
        <w:t xml:space="preserve">exploitation et la gestion des données relatives au système de </w:t>
      </w:r>
      <w:r w:rsidR="006C2A43" w:rsidRPr="00BC4B84">
        <w:t>La Haye</w:t>
      </w:r>
      <w:r w:rsidR="000507A1" w:rsidRPr="00BC4B84">
        <w:t xml:space="preserve"> et présenterait peu </w:t>
      </w:r>
      <w:r w:rsidR="006A2AD8" w:rsidRPr="00BC4B84">
        <w:t>d</w:t>
      </w:r>
      <w:r w:rsidR="006C2A43" w:rsidRPr="00BC4B84">
        <w:t>’</w:t>
      </w:r>
      <w:r w:rsidR="006A2AD8" w:rsidRPr="00BC4B84">
        <w:t>intérêt</w:t>
      </w:r>
      <w:r w:rsidRPr="00BC4B84">
        <w:t>.</w:t>
      </w:r>
    </w:p>
    <w:p w:rsidR="00383239" w:rsidRPr="00BC4B84" w:rsidRDefault="001E7E94" w:rsidP="00BC4B84">
      <w:pPr>
        <w:pStyle w:val="ONUMFS"/>
        <w:numPr>
          <w:ilvl w:val="0"/>
          <w:numId w:val="14"/>
        </w:numPr>
      </w:pPr>
      <w:r w:rsidRPr="00D4100B">
        <w:rPr>
          <w:u w:val="single"/>
        </w:rPr>
        <w:t>Données existantes</w:t>
      </w:r>
      <w:r w:rsidRPr="00BC4B84">
        <w:t xml:space="preserve"> – Les enregistrements inscrits avant </w:t>
      </w:r>
      <w:r w:rsidR="00886CEA">
        <w:t>le déploiement</w:t>
      </w:r>
      <w:r w:rsidRPr="00BC4B84">
        <w:t xml:space="preserve"> du nouveau système </w:t>
      </w:r>
      <w:r w:rsidR="003909AF" w:rsidRPr="00BC4B84">
        <w:t>de base</w:t>
      </w:r>
      <w:r w:rsidRPr="00BC4B84">
        <w:t xml:space="preserve"> ne subiront aucune modification</w:t>
      </w:r>
      <w:r w:rsidR="007B6808" w:rsidRPr="00D4100B">
        <w:rPr>
          <w:vertAlign w:val="superscript"/>
        </w:rPr>
        <w:footnoteReference w:id="8"/>
      </w:r>
      <w:r w:rsidR="00E40685" w:rsidRPr="00BC4B84">
        <w:t>.</w:t>
      </w:r>
      <w:r w:rsidR="007B6808" w:rsidRPr="00BC4B84">
        <w:t xml:space="preserve"> </w:t>
      </w:r>
      <w:r w:rsidR="00CB4448" w:rsidRPr="00BC4B84">
        <w:t xml:space="preserve"> </w:t>
      </w:r>
      <w:r w:rsidRPr="00BC4B84">
        <w:t xml:space="preserve">Cependant, il se pourrait que </w:t>
      </w:r>
      <w:r w:rsidR="00043957" w:rsidRPr="00BC4B84">
        <w:t>des</w:t>
      </w:r>
      <w:r w:rsidRPr="00BC4B84">
        <w:t xml:space="preserve"> </w:t>
      </w:r>
      <w:r w:rsidR="00043957" w:rsidRPr="00BC4B84">
        <w:t xml:space="preserve">modifications doivent être apportées à </w:t>
      </w:r>
      <w:r w:rsidR="0065609A" w:rsidRPr="00BC4B84">
        <w:t>certains</w:t>
      </w:r>
      <w:r w:rsidR="00043957" w:rsidRPr="00BC4B84">
        <w:t xml:space="preserve"> </w:t>
      </w:r>
      <w:r w:rsidRPr="00BC4B84">
        <w:t xml:space="preserve">enregistrements </w:t>
      </w:r>
      <w:r w:rsidR="006C2A43" w:rsidRPr="00BC4B84">
        <w:t>à l’égard</w:t>
      </w:r>
      <w:r w:rsidRPr="00BC4B84">
        <w:t xml:space="preserve"> desquels un</w:t>
      </w:r>
      <w:r w:rsidR="00361A0A" w:rsidRPr="00BC4B84">
        <w:t xml:space="preserve">e demande </w:t>
      </w:r>
      <w:r w:rsidR="00043957" w:rsidRPr="00BC4B84">
        <w:t>d</w:t>
      </w:r>
      <w:r w:rsidR="006C2A43" w:rsidRPr="00BC4B84">
        <w:t>’</w:t>
      </w:r>
      <w:r w:rsidR="00043957" w:rsidRPr="00BC4B84">
        <w:t>inscription d</w:t>
      </w:r>
      <w:r w:rsidR="006C2A43" w:rsidRPr="00BC4B84">
        <w:t>’</w:t>
      </w:r>
      <w:r w:rsidR="00043957" w:rsidRPr="00BC4B84">
        <w:t>un</w:t>
      </w:r>
      <w:r w:rsidRPr="00BC4B84">
        <w:t xml:space="preserve"> changement partiel de titulaire a été </w:t>
      </w:r>
      <w:r w:rsidR="00361A0A" w:rsidRPr="00BC4B84">
        <w:t>dépos</w:t>
      </w:r>
      <w:r w:rsidR="009C5C40" w:rsidRPr="00BC4B84">
        <w:t>ée.  Da</w:t>
      </w:r>
      <w:r w:rsidR="00361A0A" w:rsidRPr="00BC4B84">
        <w:t xml:space="preserve">ns pareil cas et uniquement si cela </w:t>
      </w:r>
      <w:r w:rsidR="00043957" w:rsidRPr="00BC4B84">
        <w:t>est</w:t>
      </w:r>
      <w:r w:rsidR="00361A0A" w:rsidRPr="00BC4B84">
        <w:t xml:space="preserve"> nécessaire, le Bureau international </w:t>
      </w:r>
      <w:r w:rsidR="00150AA9" w:rsidRPr="00BC4B84">
        <w:t>pourrait modifier</w:t>
      </w:r>
      <w:r w:rsidR="00043957" w:rsidRPr="00BC4B84">
        <w:t xml:space="preserve"> l</w:t>
      </w:r>
      <w:r w:rsidR="00361A0A" w:rsidRPr="00BC4B84">
        <w:t>e registre avant d</w:t>
      </w:r>
      <w:r w:rsidR="006C2A43" w:rsidRPr="00BC4B84">
        <w:t>’</w:t>
      </w:r>
      <w:r w:rsidR="00361A0A" w:rsidRPr="00BC4B84">
        <w:t>inscrire le changement partiel</w:t>
      </w:r>
      <w:r w:rsidR="009C5C40" w:rsidRPr="00BC4B84">
        <w:t>.  Ce</w:t>
      </w:r>
      <w:r w:rsidR="00361A0A" w:rsidRPr="00BC4B84">
        <w:t xml:space="preserve">s modifications </w:t>
      </w:r>
      <w:r w:rsidR="0039582E" w:rsidRPr="00BC4B84">
        <w:t>seraient</w:t>
      </w:r>
      <w:r w:rsidR="00361A0A" w:rsidRPr="00BC4B84">
        <w:t xml:space="preserve"> documentées </w:t>
      </w:r>
      <w:r w:rsidR="00886CEA">
        <w:t>de telle sorte que</w:t>
      </w:r>
      <w:r w:rsidR="00043957" w:rsidRPr="00BC4B84">
        <w:t xml:space="preserve"> </w:t>
      </w:r>
      <w:r w:rsidR="00361A0A" w:rsidRPr="00BC4B84">
        <w:t xml:space="preserve">le dossier original </w:t>
      </w:r>
      <w:r w:rsidR="0039582E" w:rsidRPr="00BC4B84">
        <w:t>demeurerait</w:t>
      </w:r>
      <w:r w:rsidR="00361A0A" w:rsidRPr="00BC4B84">
        <w:t xml:space="preserve"> accessible</w:t>
      </w:r>
      <w:r w:rsidR="007B6808" w:rsidRPr="00BC4B84">
        <w:t>.</w:t>
      </w:r>
    </w:p>
    <w:p w:rsidR="00383239" w:rsidRPr="00BC4B84" w:rsidRDefault="00A62631" w:rsidP="00E40685">
      <w:pPr>
        <w:pStyle w:val="Heading2"/>
        <w:spacing w:before="480"/>
        <w:rPr>
          <w:color w:val="auto"/>
        </w:rPr>
      </w:pPr>
      <w:r w:rsidRPr="00BC4B84">
        <w:rPr>
          <w:color w:val="auto"/>
        </w:rPr>
        <w:t>incidences juridiques</w:t>
      </w:r>
    </w:p>
    <w:p w:rsidR="00383239" w:rsidRPr="00BC4B84" w:rsidRDefault="007951A4" w:rsidP="00BC4B84">
      <w:pPr>
        <w:pStyle w:val="ONUMFS"/>
        <w:numPr>
          <w:ilvl w:val="0"/>
          <w:numId w:val="14"/>
        </w:numPr>
      </w:pPr>
      <w:r w:rsidRPr="00BC4B84">
        <w:t>L</w:t>
      </w:r>
      <w:r w:rsidR="006C2A43" w:rsidRPr="00BC4B84">
        <w:t>’</w:t>
      </w:r>
      <w:r w:rsidRPr="00BC4B84">
        <w:t xml:space="preserve">amélioration de la précision des données figurant dans le registre international ouvre de nouvelles perspectives en termes de fonctionnement du système de </w:t>
      </w:r>
      <w:r w:rsidR="006C2A43" w:rsidRPr="00BC4B84">
        <w:t>La Haye</w:t>
      </w:r>
      <w:r w:rsidRPr="00BC4B84">
        <w:t>, notamment en ce qu</w:t>
      </w:r>
      <w:r w:rsidR="00A34D26" w:rsidRPr="00BC4B84">
        <w:t xml:space="preserve">i concerne la possibilité </w:t>
      </w:r>
      <w:r w:rsidR="00AB707D" w:rsidRPr="00BC4B84">
        <w:t xml:space="preserve">de prévoir </w:t>
      </w:r>
      <w:r w:rsidR="00A34D26" w:rsidRPr="00BC4B84">
        <w:t xml:space="preserve">une </w:t>
      </w:r>
      <w:r w:rsidRPr="00BC4B84">
        <w:t xml:space="preserve">publication </w:t>
      </w:r>
      <w:r w:rsidR="00A34D26" w:rsidRPr="00BC4B84">
        <w:t>se rapportant expressément à</w:t>
      </w:r>
      <w:r w:rsidRPr="00BC4B84">
        <w:t xml:space="preserve"> chaque dessin ou modèle</w:t>
      </w:r>
      <w:r w:rsidR="006B2C08" w:rsidRPr="00BC4B84">
        <w:t>.</w:t>
      </w:r>
    </w:p>
    <w:p w:rsidR="00383239" w:rsidRPr="00BC4B84" w:rsidRDefault="007951A4" w:rsidP="00BC4B84">
      <w:pPr>
        <w:pStyle w:val="ONUMFS"/>
        <w:numPr>
          <w:ilvl w:val="0"/>
          <w:numId w:val="14"/>
        </w:numPr>
      </w:pPr>
      <w:r w:rsidRPr="00BC4B84">
        <w:t>À cet égard, durant la six</w:t>
      </w:r>
      <w:r w:rsidR="006C2A43" w:rsidRPr="00BC4B84">
        <w:t>ième session</w:t>
      </w:r>
      <w:r w:rsidRPr="00BC4B84">
        <w:t xml:space="preserve"> du groupe de travail, la délégation des États</w:t>
      </w:r>
      <w:r w:rsidR="00516832" w:rsidRPr="00BC4B84">
        <w:noBreakHyphen/>
      </w:r>
      <w:r w:rsidRPr="00BC4B84">
        <w:t>Unis d</w:t>
      </w:r>
      <w:r w:rsidR="006C2A43" w:rsidRPr="00BC4B84">
        <w:t>’</w:t>
      </w:r>
      <w:r w:rsidRPr="00BC4B84">
        <w:t xml:space="preserve">Amérique </w:t>
      </w:r>
      <w:r w:rsidR="00A34D26" w:rsidRPr="00BC4B84">
        <w:t xml:space="preserve">a souhaité connaître les incidences </w:t>
      </w:r>
      <w:r w:rsidR="00A07E09" w:rsidRPr="00BC4B84">
        <w:t xml:space="preserve">juridiques </w:t>
      </w:r>
      <w:r w:rsidR="00AB707D" w:rsidRPr="00BC4B84">
        <w:t xml:space="preserve">éventuelles </w:t>
      </w:r>
      <w:r w:rsidR="00A34D26" w:rsidRPr="00BC4B84">
        <w:t>de l</w:t>
      </w:r>
      <w:r w:rsidR="006C2A43" w:rsidRPr="00BC4B84">
        <w:t>’</w:t>
      </w:r>
      <w:r w:rsidR="00A34D26" w:rsidRPr="00BC4B84">
        <w:t>introduction de la notion de publication se rapportant expressément à chaque dessin ou modèle</w:t>
      </w:r>
      <w:r w:rsidR="00FB3368" w:rsidRPr="00D4100B">
        <w:rPr>
          <w:vertAlign w:val="superscript"/>
        </w:rPr>
        <w:footnoteReference w:id="9"/>
      </w:r>
      <w:r w:rsidR="00E40685" w:rsidRPr="00BC4B84">
        <w:t>.</w:t>
      </w:r>
    </w:p>
    <w:p w:rsidR="00383239" w:rsidRPr="00BC4B84" w:rsidRDefault="00A34D26" w:rsidP="00BC4B84">
      <w:pPr>
        <w:pStyle w:val="ONUMFS"/>
        <w:numPr>
          <w:ilvl w:val="0"/>
          <w:numId w:val="14"/>
        </w:numPr>
      </w:pPr>
      <w:r w:rsidRPr="00BC4B84">
        <w:t>Conformément aux règles</w:t>
      </w:r>
      <w:r w:rsidR="00E40685" w:rsidRPr="00BC4B84">
        <w:t> </w:t>
      </w:r>
      <w:r w:rsidR="00DF4B2D" w:rsidRPr="00BC4B84">
        <w:t>18</w:t>
      </w:r>
      <w:r w:rsidRPr="00BC4B84">
        <w:t>.</w:t>
      </w:r>
      <w:r w:rsidR="00DF4B2D" w:rsidRPr="00BC4B84">
        <w:t xml:space="preserve">1)a) </w:t>
      </w:r>
      <w:r w:rsidRPr="00BC4B84">
        <w:t>et</w:t>
      </w:r>
      <w:r w:rsidR="00E40685" w:rsidRPr="00BC4B84">
        <w:t> </w:t>
      </w:r>
      <w:r w:rsidRPr="00BC4B84">
        <w:t>26.</w:t>
      </w:r>
      <w:r w:rsidR="00DF4B2D" w:rsidRPr="00BC4B84">
        <w:t xml:space="preserve">3) </w:t>
      </w:r>
      <w:r w:rsidRPr="00BC4B84">
        <w:t>du règlement d</w:t>
      </w:r>
      <w:r w:rsidR="006C2A43" w:rsidRPr="00BC4B84">
        <w:t>’</w:t>
      </w:r>
      <w:r w:rsidRPr="00BC4B84">
        <w:t>exécution commun à l</w:t>
      </w:r>
      <w:r w:rsidR="006C2A43" w:rsidRPr="00BC4B84">
        <w:t>’</w:t>
      </w:r>
      <w:r w:rsidRPr="00BC4B84">
        <w:t xml:space="preserve">Acte </w:t>
      </w:r>
      <w:r w:rsidR="006C2A43" w:rsidRPr="00BC4B84">
        <w:t>de 1999</w:t>
      </w:r>
      <w:r w:rsidRPr="00BC4B84">
        <w:t xml:space="preserve"> et l</w:t>
      </w:r>
      <w:r w:rsidR="006C2A43" w:rsidRPr="00BC4B84">
        <w:t>’</w:t>
      </w:r>
      <w:r w:rsidRPr="00BC4B84">
        <w:t xml:space="preserve">Acte </w:t>
      </w:r>
      <w:r w:rsidR="006C2A43" w:rsidRPr="00BC4B84">
        <w:t>de 1960</w:t>
      </w:r>
      <w:r w:rsidRPr="00BC4B84">
        <w:t xml:space="preserve"> de l</w:t>
      </w:r>
      <w:r w:rsidR="006C2A43" w:rsidRPr="00BC4B84">
        <w:t>’</w:t>
      </w:r>
      <w:r w:rsidRPr="00BC4B84">
        <w:t xml:space="preserve">Arrangement de </w:t>
      </w:r>
      <w:r w:rsidR="006C2A43" w:rsidRPr="00BC4B84">
        <w:t>La Haye</w:t>
      </w:r>
      <w:r w:rsidRPr="00BC4B84">
        <w:t>, le délai prescrit pour la notification d</w:t>
      </w:r>
      <w:r w:rsidR="006C2A43" w:rsidRPr="00BC4B84">
        <w:t>’</w:t>
      </w:r>
      <w:r w:rsidRPr="00BC4B84">
        <w:t>un refus commence à courir à compter de la date de la publication de l</w:t>
      </w:r>
      <w:r w:rsidR="006C2A43" w:rsidRPr="00BC4B84">
        <w:t>’</w:t>
      </w:r>
      <w:r w:rsidRPr="00BC4B84">
        <w:t>enregistrement international</w:t>
      </w:r>
      <w:r w:rsidR="00E40685" w:rsidRPr="00BC4B84">
        <w:t>.</w:t>
      </w:r>
    </w:p>
    <w:p w:rsidR="00383239" w:rsidRPr="00BC4B84" w:rsidRDefault="009F30E2" w:rsidP="00BC4B84">
      <w:pPr>
        <w:pStyle w:val="ONUMFS"/>
        <w:numPr>
          <w:ilvl w:val="0"/>
          <w:numId w:val="14"/>
        </w:numPr>
      </w:pPr>
      <w:r w:rsidRPr="00BC4B84">
        <w:t>Avec plusieurs dates de publication pour un même enregistrement international, il y aurait différents délais pour la notification d</w:t>
      </w:r>
      <w:r w:rsidR="006C2A43" w:rsidRPr="00BC4B84">
        <w:t>’</w:t>
      </w:r>
      <w:r w:rsidRPr="00BC4B84">
        <w:t>un refus</w:t>
      </w:r>
      <w:r w:rsidR="00AB707D" w:rsidRPr="00BC4B84">
        <w:t xml:space="preserve"> et il faudrait</w:t>
      </w:r>
      <w:r w:rsidRPr="00BC4B84">
        <w:t xml:space="preserve"> fixer différents délais et </w:t>
      </w:r>
      <w:r w:rsidR="00AB707D" w:rsidRPr="00BC4B84">
        <w:t>contrôler</w:t>
      </w:r>
      <w:r w:rsidRPr="00BC4B84">
        <w:t xml:space="preserve"> ces délais pour un seul et même enregistrement internation</w:t>
      </w:r>
      <w:r w:rsidR="009C5C40" w:rsidRPr="00BC4B84">
        <w:t xml:space="preserve">al.  </w:t>
      </w:r>
      <w:r w:rsidR="00A0392C">
        <w:t>S</w:t>
      </w:r>
      <w:r w:rsidR="00A0392C" w:rsidRPr="00BC4B84">
        <w:t>elon la façon dont elle est introduite</w:t>
      </w:r>
      <w:r w:rsidR="00A0392C">
        <w:t>,</w:t>
      </w:r>
      <w:r w:rsidR="00A0392C" w:rsidRPr="00BC4B84">
        <w:t xml:space="preserve"> </w:t>
      </w:r>
      <w:r w:rsidR="00A0392C">
        <w:t>c</w:t>
      </w:r>
      <w:r w:rsidR="009C5C40" w:rsidRPr="00BC4B84">
        <w:t>e</w:t>
      </w:r>
      <w:r w:rsidR="00AB707D" w:rsidRPr="00BC4B84">
        <w:t>tte</w:t>
      </w:r>
      <w:r w:rsidRPr="00BC4B84">
        <w:t xml:space="preserve"> notion de publication se rapportant expressément à chaque dessin ou modèle pourrait</w:t>
      </w:r>
      <w:r w:rsidR="00AB707D" w:rsidRPr="00BC4B84">
        <w:t xml:space="preserve"> risquer de compliquer le processus et d</w:t>
      </w:r>
      <w:r w:rsidR="006C2A43" w:rsidRPr="00BC4B84">
        <w:t>’</w:t>
      </w:r>
      <w:r w:rsidRPr="00BC4B84">
        <w:t xml:space="preserve">accroître </w:t>
      </w:r>
      <w:r w:rsidR="00AB707D" w:rsidRPr="00BC4B84">
        <w:t>la charge</w:t>
      </w:r>
      <w:r w:rsidRPr="00BC4B84">
        <w:t xml:space="preserve"> </w:t>
      </w:r>
      <w:r w:rsidR="00AB707D" w:rsidRPr="00BC4B84">
        <w:t xml:space="preserve">de </w:t>
      </w:r>
      <w:r w:rsidRPr="00BC4B84">
        <w:t>travail des offices des parties contractantes désignées</w:t>
      </w:r>
      <w:r w:rsidR="00E40685" w:rsidRPr="00BC4B84">
        <w:t>.</w:t>
      </w:r>
    </w:p>
    <w:p w:rsidR="00383239" w:rsidRPr="00BC4B84" w:rsidRDefault="009F30E2" w:rsidP="00BC4B84">
      <w:pPr>
        <w:pStyle w:val="ONUMFS"/>
        <w:numPr>
          <w:ilvl w:val="0"/>
          <w:numId w:val="14"/>
        </w:numPr>
      </w:pPr>
      <w:r w:rsidRPr="00BC4B84">
        <w:lastRenderedPageBreak/>
        <w:t>En outre, lorsqu</w:t>
      </w:r>
      <w:r w:rsidR="006C2A43" w:rsidRPr="00BC4B84">
        <w:t>’</w:t>
      </w:r>
      <w:r w:rsidRPr="00BC4B84">
        <w:t xml:space="preserve">une partie contractante </w:t>
      </w:r>
      <w:r w:rsidR="00886CEA">
        <w:t xml:space="preserve">a </w:t>
      </w:r>
      <w:r w:rsidRPr="00BC4B84">
        <w:t xml:space="preserve">fait </w:t>
      </w:r>
      <w:r w:rsidR="00886CEA">
        <w:t>une</w:t>
      </w:r>
      <w:r w:rsidR="00886CEA" w:rsidRPr="00BC4B84">
        <w:t xml:space="preserve"> </w:t>
      </w:r>
      <w:r w:rsidRPr="00BC4B84">
        <w:t>déclaration visée à l</w:t>
      </w:r>
      <w:r w:rsidR="006C2A43" w:rsidRPr="00BC4B84">
        <w:t>’article 1</w:t>
      </w:r>
      <w:r w:rsidRPr="00BC4B84">
        <w:t>3.1) de l</w:t>
      </w:r>
      <w:r w:rsidR="006C2A43" w:rsidRPr="00BC4B84">
        <w:t>’</w:t>
      </w:r>
      <w:r w:rsidRPr="00BC4B84">
        <w:t>Acte</w:t>
      </w:r>
      <w:r w:rsidR="00C63423">
        <w:t> </w:t>
      </w:r>
      <w:r w:rsidR="006C2A43" w:rsidRPr="00BC4B84">
        <w:t>de 1999</w:t>
      </w:r>
      <w:r w:rsidRPr="00BC4B84">
        <w:t xml:space="preserve">, la question se pose de savoir si les exigences notifiées dans cette déclaration </w:t>
      </w:r>
      <w:r w:rsidR="00DF12D7" w:rsidRPr="00BC4B84">
        <w:t>devraient s</w:t>
      </w:r>
      <w:r w:rsidR="006C2A43" w:rsidRPr="00BC4B84">
        <w:t>’</w:t>
      </w:r>
      <w:r w:rsidR="00DF12D7" w:rsidRPr="00BC4B84">
        <w:t>appliquer</w:t>
      </w:r>
      <w:r w:rsidRPr="00BC4B84">
        <w:t xml:space="preserve"> à chacune des parties de l</w:t>
      </w:r>
      <w:r w:rsidR="006C2A43" w:rsidRPr="00BC4B84">
        <w:t>’</w:t>
      </w:r>
      <w:r w:rsidRPr="00BC4B84">
        <w:t>enregistrement international tel que publié ou à</w:t>
      </w:r>
      <w:r w:rsidR="00B20471" w:rsidRPr="00BC4B84">
        <w:t> </w:t>
      </w:r>
      <w:r w:rsidRPr="00BC4B84">
        <w:t>l</w:t>
      </w:r>
      <w:r w:rsidR="006C2A43" w:rsidRPr="00BC4B84">
        <w:t>’</w:t>
      </w:r>
      <w:r w:rsidRPr="00BC4B84">
        <w:t>ensemble de l</w:t>
      </w:r>
      <w:r w:rsidR="006C2A43" w:rsidRPr="00BC4B84">
        <w:t>’</w:t>
      </w:r>
      <w:r w:rsidRPr="00BC4B84">
        <w:t>enregistrement international</w:t>
      </w:r>
      <w:r w:rsidR="00142045" w:rsidRPr="00BC4B84">
        <w:t>.</w:t>
      </w:r>
    </w:p>
    <w:p w:rsidR="006C2A43" w:rsidRPr="00BC4B84" w:rsidRDefault="009F30E2" w:rsidP="00BC4B84">
      <w:pPr>
        <w:pStyle w:val="ONUMFS"/>
        <w:numPr>
          <w:ilvl w:val="0"/>
          <w:numId w:val="14"/>
        </w:numPr>
      </w:pPr>
      <w:r w:rsidRPr="00BC4B84">
        <w:t xml:space="preserve">Cette question mérite </w:t>
      </w:r>
      <w:r w:rsidR="00324BBF" w:rsidRPr="00BC4B84">
        <w:t>une analyse approfond</w:t>
      </w:r>
      <w:r w:rsidR="009C5C40" w:rsidRPr="00BC4B84">
        <w:t>ie.  En</w:t>
      </w:r>
      <w:r w:rsidRPr="00BC4B84">
        <w:t xml:space="preserve"> conséquence, l</w:t>
      </w:r>
      <w:r w:rsidR="006C2A43" w:rsidRPr="00BC4B84">
        <w:t>’</w:t>
      </w:r>
      <w:r w:rsidRPr="00BC4B84">
        <w:t xml:space="preserve">introduction de la notion de publication se rapportant expressément à chaque dessin ou modèle devrait </w:t>
      </w:r>
      <w:r w:rsidR="0078186D" w:rsidRPr="00BC4B84">
        <w:t>être exclue du présent projet, qui devrait porter sur les avancées techniques relatives à la structure des données, jusqu</w:t>
      </w:r>
      <w:r w:rsidR="006C2A43" w:rsidRPr="00BC4B84">
        <w:t>’</w:t>
      </w:r>
      <w:r w:rsidR="0078186D" w:rsidRPr="00BC4B84">
        <w:t>à ce qu</w:t>
      </w:r>
      <w:r w:rsidR="006C2A43" w:rsidRPr="00BC4B84">
        <w:t>’</w:t>
      </w:r>
      <w:r w:rsidR="0078186D" w:rsidRPr="00BC4B84">
        <w:t xml:space="preserve">il puisse être démontré </w:t>
      </w:r>
      <w:r w:rsidR="00C12B0E" w:rsidRPr="00BC4B84">
        <w:t>qu</w:t>
      </w:r>
      <w:r w:rsidR="006C2A43" w:rsidRPr="00BC4B84">
        <w:t>’</w:t>
      </w:r>
      <w:r w:rsidR="00C12B0E" w:rsidRPr="00BC4B84">
        <w:t>elle présente</w:t>
      </w:r>
      <w:r w:rsidR="00324BBF" w:rsidRPr="00BC4B84">
        <w:t xml:space="preserve"> plus d</w:t>
      </w:r>
      <w:r w:rsidR="006C2A43" w:rsidRPr="00BC4B84">
        <w:t>’</w:t>
      </w:r>
      <w:r w:rsidR="00324BBF" w:rsidRPr="00BC4B84">
        <w:t>avantages que d</w:t>
      </w:r>
      <w:r w:rsidR="006C2A43" w:rsidRPr="00BC4B84">
        <w:t>’</w:t>
      </w:r>
      <w:r w:rsidR="00324BBF" w:rsidRPr="00BC4B84">
        <w:t>inconvénients.</w:t>
      </w:r>
    </w:p>
    <w:p w:rsidR="00383239" w:rsidRPr="00BC4B84" w:rsidRDefault="00D637C0" w:rsidP="00E40685">
      <w:pPr>
        <w:pStyle w:val="Heading1"/>
        <w:spacing w:before="480"/>
        <w:rPr>
          <w:color w:val="auto"/>
        </w:rPr>
      </w:pPr>
      <w:r w:rsidRPr="00BC4B84">
        <w:rPr>
          <w:color w:val="auto"/>
        </w:rPr>
        <w:t>I</w:t>
      </w:r>
      <w:r w:rsidR="007B6808" w:rsidRPr="00BC4B84">
        <w:rPr>
          <w:color w:val="auto"/>
        </w:rPr>
        <w:t>V.</w:t>
      </w:r>
      <w:r w:rsidR="007B6808" w:rsidRPr="00BC4B84">
        <w:rPr>
          <w:color w:val="auto"/>
        </w:rPr>
        <w:tab/>
        <w:t xml:space="preserve">Conclusion </w:t>
      </w:r>
      <w:r w:rsidR="0078186D" w:rsidRPr="00BC4B84">
        <w:rPr>
          <w:color w:val="auto"/>
        </w:rPr>
        <w:t>et prochaines étapes</w:t>
      </w:r>
    </w:p>
    <w:p w:rsidR="00383239" w:rsidRPr="00BC4B84" w:rsidRDefault="0078186D" w:rsidP="00BC4B84">
      <w:pPr>
        <w:pStyle w:val="ONUMFS"/>
        <w:numPr>
          <w:ilvl w:val="0"/>
          <w:numId w:val="14"/>
        </w:numPr>
      </w:pPr>
      <w:r w:rsidRPr="00BC4B84">
        <w:t>Cette initiative</w:t>
      </w:r>
      <w:r w:rsidR="008132C0" w:rsidRPr="00BC4B84">
        <w:t xml:space="preserve"> représente une avancée majeure </w:t>
      </w:r>
      <w:r w:rsidR="00550D05" w:rsidRPr="00BC4B84">
        <w:t>dans</w:t>
      </w:r>
      <w:r w:rsidR="00673FBF" w:rsidRPr="00BC4B84">
        <w:t xml:space="preserve"> </w:t>
      </w:r>
      <w:r w:rsidR="00550D05" w:rsidRPr="00BC4B84">
        <w:t>la préparation du</w:t>
      </w:r>
      <w:r w:rsidRPr="00BC4B84">
        <w:t xml:space="preserve"> système </w:t>
      </w:r>
      <w:r w:rsidR="00550D05" w:rsidRPr="00BC4B84">
        <w:t>à l</w:t>
      </w:r>
      <w:r w:rsidR="006C2A43" w:rsidRPr="00BC4B84">
        <w:t>’</w:t>
      </w:r>
      <w:r w:rsidRPr="00BC4B84">
        <w:t>évolution future du cadre juridique</w:t>
      </w:r>
      <w:r w:rsidR="00550D05" w:rsidRPr="00BC4B84">
        <w:t>,</w:t>
      </w:r>
      <w:r w:rsidRPr="00BC4B84">
        <w:t xml:space="preserve"> </w:t>
      </w:r>
      <w:r w:rsidR="00550D05" w:rsidRPr="00BC4B84">
        <w:t>qui</w:t>
      </w:r>
      <w:r w:rsidRPr="00BC4B84">
        <w:t xml:space="preserve"> devrait </w:t>
      </w:r>
      <w:r w:rsidR="00ED285B" w:rsidRPr="00BC4B84">
        <w:t>permettre</w:t>
      </w:r>
      <w:r w:rsidR="00673FBF" w:rsidRPr="00BC4B84">
        <w:t xml:space="preserve"> au</w:t>
      </w:r>
      <w:r w:rsidRPr="00BC4B84">
        <w:t xml:space="preserve">x offices des parties contractantes </w:t>
      </w:r>
      <w:r w:rsidR="008132C0" w:rsidRPr="00BC4B84">
        <w:t>d</w:t>
      </w:r>
      <w:r w:rsidR="006C2A43" w:rsidRPr="00BC4B84">
        <w:t>’</w:t>
      </w:r>
      <w:r w:rsidR="008132C0" w:rsidRPr="00BC4B84">
        <w:t>accéder à</w:t>
      </w:r>
      <w:r w:rsidRPr="00BC4B84">
        <w:t xml:space="preserve"> des données plus utiles et plus intéressantes lorsqu</w:t>
      </w:r>
      <w:r w:rsidR="006C2A43" w:rsidRPr="00BC4B84">
        <w:t>’</w:t>
      </w:r>
      <w:r w:rsidRPr="00BC4B84">
        <w:t>ils communiquent par voie électronique avec le Bureau international</w:t>
      </w:r>
      <w:r w:rsidR="007B6808" w:rsidRPr="00BC4B84">
        <w:t>.</w:t>
      </w:r>
    </w:p>
    <w:p w:rsidR="00383239" w:rsidRPr="00BC4B84" w:rsidRDefault="0078186D" w:rsidP="00BC4B84">
      <w:pPr>
        <w:pStyle w:val="ONUMFS"/>
        <w:numPr>
          <w:ilvl w:val="0"/>
          <w:numId w:val="14"/>
        </w:numPr>
      </w:pPr>
      <w:r w:rsidRPr="00BC4B84">
        <w:t xml:space="preserve">En ce qui concerne les prochaines étapes, le Bureau international va poursuivre ses efforts afin de garantir la </w:t>
      </w:r>
      <w:r w:rsidR="00886CEA">
        <w:t>réussite du déploiement</w:t>
      </w:r>
      <w:r w:rsidRPr="00BC4B84">
        <w:t xml:space="preserve"> de son nouveau système </w:t>
      </w:r>
      <w:r w:rsidR="003909AF" w:rsidRPr="00BC4B84">
        <w:t>de base</w:t>
      </w:r>
      <w:r w:rsidRPr="00BC4B84">
        <w:t xml:space="preserve">, tout en mettant à jour le formulaire de demande </w:t>
      </w:r>
      <w:r w:rsidR="00CE0DBC">
        <w:t>afin de permettre aux</w:t>
      </w:r>
      <w:r w:rsidRPr="00BC4B84">
        <w:t xml:space="preserve"> utilisateurs </w:t>
      </w:r>
      <w:r w:rsidR="00CE0DBC">
        <w:t>de</w:t>
      </w:r>
      <w:r w:rsidR="00CE0DBC" w:rsidRPr="00BC4B84">
        <w:t xml:space="preserve"> </w:t>
      </w:r>
      <w:r w:rsidRPr="00BC4B84">
        <w:t>tirer parti de la nouvelle structure des donné</w:t>
      </w:r>
      <w:r w:rsidR="009C5C40" w:rsidRPr="00BC4B84">
        <w:t>es.  Il</w:t>
      </w:r>
      <w:r w:rsidRPr="00BC4B84">
        <w:t xml:space="preserve"> va également continuer à collaborer efficacement avec les offices pour que la nouvelle version de la norme</w:t>
      </w:r>
      <w:r w:rsidR="005E5A91" w:rsidRPr="00BC4B84">
        <w:t> </w:t>
      </w:r>
      <w:r w:rsidRPr="00BC4B84">
        <w:t>ST.96 soit adoptée par le plus grand nombre</w:t>
      </w:r>
      <w:r w:rsidR="007B6808" w:rsidRPr="00BC4B84">
        <w:t>.</w:t>
      </w:r>
    </w:p>
    <w:p w:rsidR="00383239" w:rsidRPr="00BC4B84" w:rsidRDefault="0078186D" w:rsidP="00BC4B84">
      <w:pPr>
        <w:pStyle w:val="ONUMFS"/>
        <w:numPr>
          <w:ilvl w:val="0"/>
          <w:numId w:val="14"/>
        </w:numPr>
      </w:pPr>
      <w:r w:rsidRPr="00BC4B84">
        <w:t xml:space="preserve">En outre, le groupe de travail </w:t>
      </w:r>
      <w:r w:rsidR="00886CEA" w:rsidRPr="00BC4B84">
        <w:t xml:space="preserve">est prié d’indiquer </w:t>
      </w:r>
      <w:r w:rsidR="00886CEA">
        <w:t xml:space="preserve">s’il </w:t>
      </w:r>
      <w:r w:rsidRPr="00BC4B84">
        <w:t xml:space="preserve">estime que le Bureau international devrait </w:t>
      </w:r>
      <w:r w:rsidR="005F76F6" w:rsidRPr="00BC4B84">
        <w:t>présenter</w:t>
      </w:r>
      <w:r w:rsidR="008132C0" w:rsidRPr="00BC4B84">
        <w:t>,</w:t>
      </w:r>
      <w:r w:rsidR="005F76F6" w:rsidRPr="00BC4B84">
        <w:t xml:space="preserve"> </w:t>
      </w:r>
      <w:r w:rsidR="008132C0" w:rsidRPr="00BC4B84">
        <w:t xml:space="preserve">pour examen à une future session du groupe de travail, </w:t>
      </w:r>
      <w:r w:rsidR="005F76F6" w:rsidRPr="00BC4B84">
        <w:t>une analyse des incidences pratiques et juridiques résultant de l</w:t>
      </w:r>
      <w:r w:rsidR="006C2A43" w:rsidRPr="00BC4B84">
        <w:t>’</w:t>
      </w:r>
      <w:r w:rsidR="005F76F6" w:rsidRPr="00BC4B84">
        <w:t xml:space="preserve">introduction éventuelle de la notion de publication se rapportant expressément à chaque dessin ou modèle, comme indiqué au </w:t>
      </w:r>
      <w:r w:rsidR="006C2A43" w:rsidRPr="00BC4B84">
        <w:t>paragraphe </w:t>
      </w:r>
      <w:r w:rsidR="00886CEA" w:rsidRPr="00BC4B84">
        <w:t>1</w:t>
      </w:r>
      <w:r w:rsidR="00886CEA">
        <w:t>8</w:t>
      </w:r>
      <w:r w:rsidR="00FB4C77" w:rsidRPr="00BC4B84">
        <w:t>.</w:t>
      </w:r>
    </w:p>
    <w:p w:rsidR="00383239" w:rsidRPr="00BC4B84" w:rsidRDefault="005F76F6" w:rsidP="00BC4B84">
      <w:pPr>
        <w:pStyle w:val="ONUMFS"/>
        <w:numPr>
          <w:ilvl w:val="0"/>
          <w:numId w:val="14"/>
        </w:numPr>
        <w:ind w:left="5534"/>
      </w:pPr>
      <w:r w:rsidRPr="00BC4B84">
        <w:t>Le groupe de travail est invité</w:t>
      </w:r>
      <w:r w:rsidR="00E9080C">
        <w:t xml:space="preserve"> à :</w:t>
      </w:r>
    </w:p>
    <w:p w:rsidR="00383239" w:rsidRPr="00BC4B84" w:rsidRDefault="00FB4C77" w:rsidP="00AD1C2D">
      <w:pPr>
        <w:pStyle w:val="indenti"/>
        <w:numPr>
          <w:ilvl w:val="0"/>
          <w:numId w:val="0"/>
        </w:numPr>
        <w:ind w:left="6237"/>
        <w:rPr>
          <w:i/>
          <w:color w:val="auto"/>
        </w:rPr>
      </w:pPr>
      <w:r w:rsidRPr="00BC4B84">
        <w:rPr>
          <w:i/>
          <w:color w:val="auto"/>
        </w:rPr>
        <w:t>i)</w:t>
      </w:r>
      <w:r w:rsidRPr="00BC4B84">
        <w:rPr>
          <w:i/>
          <w:color w:val="auto"/>
        </w:rPr>
        <w:tab/>
      </w:r>
      <w:r w:rsidR="005F76F6" w:rsidRPr="00BC4B84">
        <w:rPr>
          <w:i/>
          <w:color w:val="auto"/>
        </w:rPr>
        <w:t>prendre note du contenu du présent document et</w:t>
      </w:r>
    </w:p>
    <w:p w:rsidR="00383239" w:rsidRPr="00BC4B84" w:rsidRDefault="00383239" w:rsidP="00AD1C2D">
      <w:pPr>
        <w:pStyle w:val="indenti"/>
        <w:numPr>
          <w:ilvl w:val="0"/>
          <w:numId w:val="0"/>
        </w:numPr>
        <w:ind w:left="6237"/>
        <w:rPr>
          <w:i/>
          <w:color w:val="auto"/>
        </w:rPr>
      </w:pPr>
    </w:p>
    <w:p w:rsidR="00383239" w:rsidRDefault="00FB4C77" w:rsidP="00AD1C2D">
      <w:pPr>
        <w:pStyle w:val="indenti"/>
        <w:numPr>
          <w:ilvl w:val="0"/>
          <w:numId w:val="0"/>
        </w:numPr>
        <w:ind w:left="6237"/>
        <w:rPr>
          <w:i/>
          <w:color w:val="auto"/>
        </w:rPr>
      </w:pPr>
      <w:r w:rsidRPr="00BC4B84">
        <w:rPr>
          <w:i/>
          <w:color w:val="auto"/>
        </w:rPr>
        <w:t>ii)</w:t>
      </w:r>
      <w:r w:rsidRPr="00BC4B84">
        <w:rPr>
          <w:i/>
          <w:color w:val="auto"/>
        </w:rPr>
        <w:tab/>
      </w:r>
      <w:r w:rsidR="005F76F6" w:rsidRPr="00BC4B84">
        <w:rPr>
          <w:i/>
          <w:color w:val="auto"/>
        </w:rPr>
        <w:t>faire part de ses observations sur les prochaines étapes proposées aux paragraphes</w:t>
      </w:r>
      <w:r w:rsidRPr="00BC4B84">
        <w:rPr>
          <w:i/>
          <w:color w:val="auto"/>
        </w:rPr>
        <w:t xml:space="preserve"> 20 </w:t>
      </w:r>
      <w:r w:rsidR="005F76F6" w:rsidRPr="00BC4B84">
        <w:rPr>
          <w:i/>
          <w:color w:val="auto"/>
        </w:rPr>
        <w:t>et</w:t>
      </w:r>
      <w:r w:rsidRPr="00BC4B84">
        <w:rPr>
          <w:i/>
          <w:color w:val="auto"/>
        </w:rPr>
        <w:t> 21</w:t>
      </w:r>
      <w:r w:rsidR="00886CEA">
        <w:rPr>
          <w:i/>
          <w:color w:val="auto"/>
        </w:rPr>
        <w:t>, ci</w:t>
      </w:r>
      <w:r w:rsidR="00E9080C">
        <w:rPr>
          <w:i/>
          <w:color w:val="auto"/>
        </w:rPr>
        <w:noBreakHyphen/>
      </w:r>
      <w:r w:rsidR="00886CEA">
        <w:rPr>
          <w:i/>
          <w:color w:val="auto"/>
        </w:rPr>
        <w:t>dessus</w:t>
      </w:r>
      <w:r w:rsidRPr="00BC4B84">
        <w:rPr>
          <w:i/>
          <w:color w:val="auto"/>
        </w:rPr>
        <w:t>.</w:t>
      </w:r>
    </w:p>
    <w:p w:rsidR="00CB0AC0" w:rsidRPr="00BC4B84" w:rsidRDefault="007B6808" w:rsidP="00CB0AC0">
      <w:pPr>
        <w:pStyle w:val="Endofdocument-Annex"/>
        <w:spacing w:before="720"/>
        <w:rPr>
          <w:color w:val="auto"/>
          <w:lang w:eastAsia="en-US"/>
        </w:rPr>
        <w:sectPr w:rsidR="00CB0AC0" w:rsidRPr="00BC4B84" w:rsidSect="00957B0F">
          <w:headerReference w:type="default" r:id="rId10"/>
          <w:headerReference w:type="first" r:id="rId11"/>
          <w:pgSz w:w="11906" w:h="16838" w:code="9"/>
          <w:pgMar w:top="567" w:right="1134" w:bottom="1276" w:left="1418" w:header="510" w:footer="0" w:gutter="0"/>
          <w:cols w:space="720"/>
          <w:formProt w:val="0"/>
          <w:titlePg/>
          <w:docGrid w:linePitch="299"/>
        </w:sectPr>
      </w:pPr>
      <w:r w:rsidRPr="00BC4B84">
        <w:rPr>
          <w:color w:val="auto"/>
          <w:lang w:eastAsia="en-US"/>
        </w:rPr>
        <w:t>[</w:t>
      </w:r>
      <w:r w:rsidR="008132C0" w:rsidRPr="00BC4B84">
        <w:rPr>
          <w:color w:val="auto"/>
          <w:lang w:eastAsia="en-US"/>
        </w:rPr>
        <w:t>L</w:t>
      </w:r>
      <w:r w:rsidR="006C2A43" w:rsidRPr="00BC4B84">
        <w:rPr>
          <w:color w:val="auto"/>
          <w:lang w:eastAsia="en-US"/>
        </w:rPr>
        <w:t>’</w:t>
      </w:r>
      <w:r w:rsidR="002E4B33" w:rsidRPr="00BC4B84">
        <w:rPr>
          <w:color w:val="auto"/>
          <w:lang w:eastAsia="en-US"/>
        </w:rPr>
        <w:t>annexe sui</w:t>
      </w:r>
      <w:r w:rsidR="008132C0" w:rsidRPr="00BC4B84">
        <w:rPr>
          <w:color w:val="auto"/>
          <w:lang w:eastAsia="en-US"/>
        </w:rPr>
        <w:t>t</w:t>
      </w:r>
      <w:r w:rsidRPr="00BC4B84">
        <w:rPr>
          <w:color w:val="auto"/>
          <w:lang w:eastAsia="en-US"/>
        </w:rPr>
        <w:t>]</w:t>
      </w:r>
    </w:p>
    <w:bookmarkStart w:id="5" w:name="_MON_1588592864"/>
    <w:bookmarkEnd w:id="5"/>
    <w:p w:rsidR="00C43E4B" w:rsidRDefault="00A5596A" w:rsidP="00EE4B90">
      <w:r>
        <w:object w:dxaOrig="21786" w:dyaOrig="9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48.15pt;height:323.1pt" o:ole="">
            <v:imagedata r:id="rId12" o:title=""/>
          </v:shape>
          <o:OLEObject Type="Embed" ProgID="Excel.Sheet.12" ShapeID="_x0000_i1036" DrawAspect="Content" ObjectID="_1588592948" r:id="rId13"/>
        </w:object>
      </w:r>
    </w:p>
    <w:p w:rsidR="00383239" w:rsidRDefault="005A3C6C" w:rsidP="00E9080C">
      <w:pPr>
        <w:spacing w:before="720"/>
        <w:ind w:left="9639"/>
      </w:pPr>
      <w:bookmarkStart w:id="6" w:name="_GoBack"/>
      <w:bookmarkEnd w:id="6"/>
      <w:r w:rsidRPr="00B706B7">
        <w:t>[</w:t>
      </w:r>
      <w:r w:rsidR="001C70DD">
        <w:t>Fin de l</w:t>
      </w:r>
      <w:r w:rsidR="006C2A43">
        <w:t>’</w:t>
      </w:r>
      <w:r w:rsidR="001C70DD">
        <w:t>annexe et du document</w:t>
      </w:r>
      <w:r w:rsidRPr="00B706B7">
        <w:t>]</w:t>
      </w:r>
    </w:p>
    <w:sectPr w:rsidR="00383239" w:rsidSect="00A5596A">
      <w:headerReference w:type="first" r:id="rId14"/>
      <w:pgSz w:w="16838" w:h="11906" w:orient="landscape" w:code="9"/>
      <w:pgMar w:top="1418" w:right="567" w:bottom="1134" w:left="1276" w:header="51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1E" w:rsidRDefault="00CF351E">
      <w:r>
        <w:separator/>
      </w:r>
    </w:p>
  </w:endnote>
  <w:endnote w:type="continuationSeparator" w:id="0">
    <w:p w:rsidR="00CF351E" w:rsidRDefault="00CF351E">
      <w:r>
        <w:continuationSeparator/>
      </w:r>
    </w:p>
  </w:endnote>
  <w:endnote w:type="continuationNotice" w:id="1">
    <w:p w:rsidR="00CF351E" w:rsidRDefault="00CF3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1E" w:rsidRDefault="00CF351E">
      <w:r>
        <w:separator/>
      </w:r>
    </w:p>
  </w:footnote>
  <w:footnote w:type="continuationSeparator" w:id="0">
    <w:p w:rsidR="00CF351E" w:rsidRDefault="00CF351E">
      <w:r>
        <w:continuationSeparator/>
      </w:r>
    </w:p>
  </w:footnote>
  <w:footnote w:type="continuationNotice" w:id="1">
    <w:p w:rsidR="00CF351E" w:rsidRDefault="00CF351E"/>
  </w:footnote>
  <w:footnote w:id="2">
    <w:p w:rsidR="0027100C" w:rsidRPr="00BC4B84" w:rsidRDefault="0027100C" w:rsidP="003909AF">
      <w:pPr>
        <w:pStyle w:val="FootnoteText"/>
        <w:ind w:left="567" w:hanging="567"/>
        <w:rPr>
          <w:color w:val="auto"/>
          <w:sz w:val="18"/>
          <w:szCs w:val="18"/>
          <w:lang w:val="fr-CH"/>
        </w:rPr>
      </w:pPr>
      <w:r w:rsidRPr="00BC4B84">
        <w:rPr>
          <w:rStyle w:val="FootnoteReference"/>
          <w:color w:val="auto"/>
          <w:sz w:val="18"/>
          <w:szCs w:val="18"/>
        </w:rPr>
        <w:footnoteRef/>
      </w:r>
      <w:r w:rsidRPr="00BC4B84">
        <w:rPr>
          <w:color w:val="auto"/>
          <w:sz w:val="18"/>
          <w:szCs w:val="18"/>
          <w:lang w:val="fr-CH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Pr="00BC4B84">
        <w:rPr>
          <w:color w:val="auto"/>
          <w:sz w:val="18"/>
          <w:szCs w:val="18"/>
          <w:lang w:val="fr-CH"/>
        </w:rPr>
        <w:t xml:space="preserve"> document</w:t>
      </w:r>
      <w:r w:rsidR="00516832" w:rsidRPr="00BC4B84">
        <w:rPr>
          <w:color w:val="auto"/>
          <w:sz w:val="18"/>
          <w:szCs w:val="18"/>
          <w:lang w:val="fr-CH"/>
        </w:rPr>
        <w:t> </w:t>
      </w:r>
      <w:r w:rsidRPr="00BC4B84">
        <w:rPr>
          <w:color w:val="auto"/>
          <w:sz w:val="18"/>
          <w:szCs w:val="18"/>
          <w:lang w:val="fr-CH"/>
        </w:rPr>
        <w:t>H/LD/WG/6/4.</w:t>
      </w:r>
    </w:p>
  </w:footnote>
  <w:footnote w:id="3">
    <w:p w:rsidR="00216792" w:rsidRPr="003909AF" w:rsidRDefault="00216792" w:rsidP="003909AF">
      <w:pPr>
        <w:pStyle w:val="FootnoteText"/>
        <w:ind w:left="567" w:hanging="567"/>
        <w:rPr>
          <w:sz w:val="18"/>
          <w:szCs w:val="18"/>
          <w:lang w:val="fr-CH"/>
        </w:rPr>
      </w:pPr>
      <w:r w:rsidRPr="003909AF">
        <w:rPr>
          <w:rStyle w:val="FootnoteReference"/>
          <w:sz w:val="18"/>
          <w:szCs w:val="18"/>
        </w:rPr>
        <w:footnoteRef/>
      </w:r>
      <w:r w:rsidRPr="003909AF">
        <w:rPr>
          <w:sz w:val="18"/>
          <w:szCs w:val="18"/>
        </w:rPr>
        <w:t xml:space="preserve"> </w:t>
      </w:r>
      <w:r w:rsidRPr="003909AF">
        <w:rPr>
          <w:sz w:val="18"/>
          <w:szCs w:val="18"/>
          <w:lang w:val="fr-CH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Pr="003909AF">
        <w:rPr>
          <w:color w:val="000000"/>
          <w:sz w:val="18"/>
          <w:szCs w:val="18"/>
          <w:lang w:val="fr-CH"/>
        </w:rPr>
        <w:t xml:space="preserve"> document</w:t>
      </w:r>
      <w:r w:rsidR="00516832">
        <w:rPr>
          <w:color w:val="000000"/>
          <w:sz w:val="18"/>
          <w:szCs w:val="18"/>
          <w:lang w:val="fr-CH"/>
        </w:rPr>
        <w:t> </w:t>
      </w:r>
      <w:r w:rsidRPr="003909AF">
        <w:rPr>
          <w:color w:val="000000"/>
          <w:sz w:val="18"/>
          <w:szCs w:val="18"/>
          <w:lang w:val="fr-CH"/>
        </w:rPr>
        <w:t>H/LD/WG/6/7</w:t>
      </w:r>
      <w:r w:rsidR="005E5A91">
        <w:rPr>
          <w:color w:val="000000"/>
          <w:sz w:val="18"/>
          <w:szCs w:val="18"/>
          <w:lang w:val="fr-CH"/>
        </w:rPr>
        <w:t> </w:t>
      </w:r>
      <w:proofErr w:type="spellStart"/>
      <w:r w:rsidRPr="003909AF">
        <w:rPr>
          <w:color w:val="000000"/>
          <w:sz w:val="18"/>
          <w:szCs w:val="18"/>
          <w:lang w:val="fr-CH"/>
        </w:rPr>
        <w:t>Prov</w:t>
      </w:r>
      <w:proofErr w:type="spellEnd"/>
      <w:r w:rsidRPr="003909AF">
        <w:rPr>
          <w:color w:val="000000"/>
          <w:sz w:val="18"/>
          <w:szCs w:val="18"/>
          <w:lang w:val="fr-CH"/>
        </w:rPr>
        <w:t>.</w:t>
      </w:r>
    </w:p>
  </w:footnote>
  <w:footnote w:id="4">
    <w:p w:rsidR="0092257B" w:rsidRPr="006B2C08" w:rsidRDefault="0092257B" w:rsidP="00370DD7">
      <w:pPr>
        <w:pStyle w:val="FootnoteText"/>
        <w:ind w:left="567" w:hanging="567"/>
        <w:rPr>
          <w:sz w:val="18"/>
          <w:szCs w:val="18"/>
        </w:rPr>
      </w:pPr>
      <w:r w:rsidRPr="006B2C08">
        <w:rPr>
          <w:rStyle w:val="FootnoteReference"/>
          <w:sz w:val="18"/>
          <w:szCs w:val="18"/>
        </w:rPr>
        <w:footnoteRef/>
      </w:r>
      <w:r w:rsidRPr="006B2C08">
        <w:rPr>
          <w:sz w:val="18"/>
          <w:szCs w:val="18"/>
        </w:rPr>
        <w:tab/>
      </w:r>
      <w:r w:rsidR="00BA0A4F">
        <w:rPr>
          <w:sz w:val="18"/>
          <w:szCs w:val="18"/>
        </w:rPr>
        <w:t>Disponible à l</w:t>
      </w:r>
      <w:r w:rsidR="000F0043">
        <w:rPr>
          <w:sz w:val="18"/>
          <w:szCs w:val="18"/>
        </w:rPr>
        <w:t>’</w:t>
      </w:r>
      <w:r w:rsidR="00BA0A4F">
        <w:rPr>
          <w:sz w:val="18"/>
          <w:szCs w:val="18"/>
        </w:rPr>
        <w:t>adresse</w:t>
      </w:r>
      <w:r w:rsidR="00516832">
        <w:rPr>
          <w:sz w:val="18"/>
          <w:szCs w:val="18"/>
        </w:rPr>
        <w:t> </w:t>
      </w:r>
      <w:r w:rsidRPr="006B2C08">
        <w:rPr>
          <w:sz w:val="18"/>
          <w:szCs w:val="18"/>
        </w:rPr>
        <w:t>http://www.wipo.int/standards/</w:t>
      </w:r>
      <w:r w:rsidR="00BA0A4F">
        <w:rPr>
          <w:sz w:val="18"/>
          <w:szCs w:val="18"/>
        </w:rPr>
        <w:t>fr</w:t>
      </w:r>
      <w:r w:rsidRPr="006B2C08">
        <w:rPr>
          <w:sz w:val="18"/>
          <w:szCs w:val="18"/>
        </w:rPr>
        <w:t>/part_03_standards.html.</w:t>
      </w:r>
    </w:p>
  </w:footnote>
  <w:footnote w:id="5">
    <w:p w:rsidR="0092257B" w:rsidRPr="006B2C08" w:rsidRDefault="0092257B" w:rsidP="00370DD7">
      <w:pPr>
        <w:pStyle w:val="FootnoteText"/>
        <w:ind w:left="567" w:hanging="567"/>
        <w:rPr>
          <w:sz w:val="18"/>
          <w:szCs w:val="18"/>
        </w:rPr>
      </w:pPr>
      <w:r w:rsidRPr="006B2C08">
        <w:rPr>
          <w:rStyle w:val="FootnoteReference"/>
          <w:sz w:val="18"/>
          <w:szCs w:val="18"/>
        </w:rPr>
        <w:footnoteRef/>
      </w:r>
      <w:r w:rsidRPr="006B2C08">
        <w:rPr>
          <w:sz w:val="18"/>
          <w:szCs w:val="18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="001C70DD">
        <w:rPr>
          <w:sz w:val="18"/>
          <w:szCs w:val="18"/>
        </w:rPr>
        <w:t xml:space="preserve"> </w:t>
      </w:r>
      <w:r w:rsidR="000F0043">
        <w:rPr>
          <w:sz w:val="18"/>
          <w:szCs w:val="18"/>
        </w:rPr>
        <w:t>paragraphe 9</w:t>
      </w:r>
      <w:r w:rsidR="001C70DD">
        <w:rPr>
          <w:sz w:val="18"/>
          <w:szCs w:val="18"/>
        </w:rPr>
        <w:t xml:space="preserve">4 du </w:t>
      </w:r>
      <w:r w:rsidR="001C70DD" w:rsidRPr="006B2C08">
        <w:rPr>
          <w:sz w:val="18"/>
          <w:szCs w:val="18"/>
        </w:rPr>
        <w:t>document</w:t>
      </w:r>
      <w:r w:rsidR="00516832">
        <w:rPr>
          <w:sz w:val="18"/>
          <w:szCs w:val="18"/>
        </w:rPr>
        <w:t> </w:t>
      </w:r>
      <w:r w:rsidR="001C70DD" w:rsidRPr="006B2C08">
        <w:rPr>
          <w:sz w:val="18"/>
          <w:szCs w:val="18"/>
        </w:rPr>
        <w:t>H/LD/WG/6/7</w:t>
      </w:r>
      <w:r w:rsidR="005E5A91">
        <w:rPr>
          <w:sz w:val="18"/>
          <w:szCs w:val="18"/>
        </w:rPr>
        <w:t> </w:t>
      </w:r>
      <w:proofErr w:type="spellStart"/>
      <w:r w:rsidR="001C70DD" w:rsidRPr="006B2C08">
        <w:rPr>
          <w:sz w:val="18"/>
          <w:szCs w:val="18"/>
        </w:rPr>
        <w:t>Prov</w:t>
      </w:r>
      <w:proofErr w:type="spellEnd"/>
      <w:r w:rsidR="001C70DD" w:rsidRPr="006B2C08">
        <w:rPr>
          <w:sz w:val="18"/>
          <w:szCs w:val="18"/>
        </w:rPr>
        <w:t>.</w:t>
      </w:r>
    </w:p>
  </w:footnote>
  <w:footnote w:id="6">
    <w:p w:rsidR="00DE23FE" w:rsidRPr="006B2C08" w:rsidRDefault="00DE23FE" w:rsidP="00E80F0E">
      <w:pPr>
        <w:pStyle w:val="FootnoteText"/>
        <w:ind w:left="567" w:hanging="567"/>
        <w:rPr>
          <w:sz w:val="18"/>
          <w:szCs w:val="18"/>
        </w:rPr>
      </w:pPr>
      <w:r w:rsidRPr="006B2C08">
        <w:rPr>
          <w:sz w:val="18"/>
          <w:szCs w:val="18"/>
          <w:vertAlign w:val="superscript"/>
        </w:rPr>
        <w:footnoteRef/>
      </w:r>
      <w:r w:rsidRPr="006B2C08">
        <w:rPr>
          <w:sz w:val="18"/>
          <w:szCs w:val="18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="009B6ED7">
        <w:rPr>
          <w:sz w:val="18"/>
          <w:szCs w:val="18"/>
        </w:rPr>
        <w:t xml:space="preserve"> </w:t>
      </w:r>
      <w:r w:rsidR="000F0043">
        <w:rPr>
          <w:sz w:val="18"/>
          <w:szCs w:val="18"/>
        </w:rPr>
        <w:t>paragraphe 9</w:t>
      </w:r>
      <w:r w:rsidR="009B6ED7">
        <w:rPr>
          <w:sz w:val="18"/>
          <w:szCs w:val="18"/>
        </w:rPr>
        <w:t>0 du</w:t>
      </w:r>
      <w:r w:rsidRPr="006B2C08">
        <w:rPr>
          <w:sz w:val="18"/>
          <w:szCs w:val="18"/>
        </w:rPr>
        <w:t xml:space="preserve"> document</w:t>
      </w:r>
      <w:r w:rsidR="00516832">
        <w:rPr>
          <w:sz w:val="18"/>
          <w:szCs w:val="18"/>
        </w:rPr>
        <w:t> </w:t>
      </w:r>
      <w:r w:rsidRPr="006B2C08">
        <w:rPr>
          <w:sz w:val="18"/>
          <w:szCs w:val="18"/>
        </w:rPr>
        <w:t>H/LD/WG/6/7</w:t>
      </w:r>
      <w:r w:rsidR="005E5A91">
        <w:rPr>
          <w:sz w:val="18"/>
          <w:szCs w:val="18"/>
        </w:rPr>
        <w:t> </w:t>
      </w:r>
      <w:proofErr w:type="spellStart"/>
      <w:r w:rsidRPr="006B2C08">
        <w:rPr>
          <w:sz w:val="18"/>
          <w:szCs w:val="18"/>
        </w:rPr>
        <w:t>Prov</w:t>
      </w:r>
      <w:proofErr w:type="spellEnd"/>
      <w:r w:rsidRPr="006B2C08">
        <w:rPr>
          <w:sz w:val="18"/>
          <w:szCs w:val="18"/>
        </w:rPr>
        <w:t>.</w:t>
      </w:r>
    </w:p>
  </w:footnote>
  <w:footnote w:id="7">
    <w:p w:rsidR="00DE23FE" w:rsidRPr="006B2C08" w:rsidRDefault="00DE23FE" w:rsidP="00E80F0E">
      <w:pPr>
        <w:pStyle w:val="FootnoteText"/>
        <w:ind w:left="567" w:hanging="567"/>
        <w:rPr>
          <w:sz w:val="18"/>
          <w:szCs w:val="18"/>
        </w:rPr>
      </w:pPr>
      <w:r w:rsidRPr="006B2C08">
        <w:rPr>
          <w:sz w:val="18"/>
          <w:szCs w:val="18"/>
          <w:vertAlign w:val="superscript"/>
        </w:rPr>
        <w:footnoteRef/>
      </w:r>
      <w:r w:rsidRPr="006B2C08">
        <w:rPr>
          <w:sz w:val="18"/>
          <w:szCs w:val="18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="00B21A4F">
        <w:rPr>
          <w:color w:val="auto"/>
          <w:sz w:val="18"/>
          <w:szCs w:val="18"/>
          <w:lang w:val="fr-CH"/>
        </w:rPr>
        <w:t>x</w:t>
      </w:r>
      <w:r w:rsidR="009B6ED7">
        <w:rPr>
          <w:sz w:val="18"/>
          <w:szCs w:val="18"/>
        </w:rPr>
        <w:t xml:space="preserve"> </w:t>
      </w:r>
      <w:r w:rsidR="000F0043">
        <w:rPr>
          <w:sz w:val="18"/>
          <w:szCs w:val="18"/>
        </w:rPr>
        <w:t>paragraphes 8</w:t>
      </w:r>
      <w:r w:rsidR="009B6ED7">
        <w:rPr>
          <w:sz w:val="18"/>
          <w:szCs w:val="18"/>
        </w:rPr>
        <w:t>8, 91 et 93 du</w:t>
      </w:r>
      <w:r w:rsidRPr="006B2C08">
        <w:rPr>
          <w:sz w:val="18"/>
          <w:szCs w:val="18"/>
        </w:rPr>
        <w:t xml:space="preserve"> document</w:t>
      </w:r>
      <w:r w:rsidR="00516832">
        <w:rPr>
          <w:sz w:val="18"/>
          <w:szCs w:val="18"/>
        </w:rPr>
        <w:t> </w:t>
      </w:r>
      <w:r w:rsidRPr="006B2C08">
        <w:rPr>
          <w:sz w:val="18"/>
          <w:szCs w:val="18"/>
        </w:rPr>
        <w:t>H/LD/WG/6/7</w:t>
      </w:r>
      <w:r w:rsidR="005E5A91">
        <w:rPr>
          <w:sz w:val="18"/>
          <w:szCs w:val="18"/>
        </w:rPr>
        <w:t> </w:t>
      </w:r>
      <w:proofErr w:type="spellStart"/>
      <w:r w:rsidRPr="006B2C08">
        <w:rPr>
          <w:sz w:val="18"/>
          <w:szCs w:val="18"/>
        </w:rPr>
        <w:t>Prov</w:t>
      </w:r>
      <w:proofErr w:type="spellEnd"/>
      <w:r w:rsidRPr="006B2C08">
        <w:rPr>
          <w:sz w:val="18"/>
          <w:szCs w:val="18"/>
        </w:rPr>
        <w:t>.</w:t>
      </w:r>
    </w:p>
  </w:footnote>
  <w:footnote w:id="8">
    <w:p w:rsidR="00DE23FE" w:rsidRPr="00CB4448" w:rsidRDefault="00DE23FE" w:rsidP="00E80F0E">
      <w:pPr>
        <w:pStyle w:val="FootnoteText"/>
        <w:ind w:left="567" w:hanging="567"/>
        <w:rPr>
          <w:sz w:val="18"/>
          <w:szCs w:val="18"/>
        </w:rPr>
      </w:pPr>
      <w:r w:rsidRPr="00E40685">
        <w:rPr>
          <w:sz w:val="18"/>
          <w:szCs w:val="18"/>
          <w:vertAlign w:val="superscript"/>
        </w:rPr>
        <w:footnoteRef/>
      </w:r>
      <w:r w:rsidRPr="00CB4448">
        <w:rPr>
          <w:sz w:val="18"/>
          <w:szCs w:val="18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="009B6ED7">
        <w:rPr>
          <w:sz w:val="18"/>
          <w:szCs w:val="18"/>
        </w:rPr>
        <w:t xml:space="preserve"> </w:t>
      </w:r>
      <w:r w:rsidR="000F0043">
        <w:rPr>
          <w:sz w:val="18"/>
          <w:szCs w:val="18"/>
        </w:rPr>
        <w:t>paragraphe 8</w:t>
      </w:r>
      <w:r w:rsidR="009B6ED7">
        <w:rPr>
          <w:sz w:val="18"/>
          <w:szCs w:val="18"/>
        </w:rPr>
        <w:t>7 du</w:t>
      </w:r>
      <w:r w:rsidRPr="00CB4448">
        <w:rPr>
          <w:sz w:val="18"/>
          <w:szCs w:val="18"/>
        </w:rPr>
        <w:t xml:space="preserve"> document</w:t>
      </w:r>
      <w:r w:rsidR="00516832">
        <w:rPr>
          <w:sz w:val="18"/>
          <w:szCs w:val="18"/>
        </w:rPr>
        <w:t> </w:t>
      </w:r>
      <w:r w:rsidRPr="00CB4448">
        <w:rPr>
          <w:sz w:val="18"/>
          <w:szCs w:val="18"/>
        </w:rPr>
        <w:t>H/LD/WG/6/7</w:t>
      </w:r>
      <w:r w:rsidR="005E5A91">
        <w:rPr>
          <w:sz w:val="18"/>
          <w:szCs w:val="18"/>
        </w:rPr>
        <w:t> </w:t>
      </w:r>
      <w:proofErr w:type="spellStart"/>
      <w:r w:rsidRPr="00CB4448">
        <w:rPr>
          <w:sz w:val="18"/>
          <w:szCs w:val="18"/>
        </w:rPr>
        <w:t>P</w:t>
      </w:r>
      <w:r>
        <w:rPr>
          <w:sz w:val="18"/>
          <w:szCs w:val="18"/>
        </w:rPr>
        <w:t>rov</w:t>
      </w:r>
      <w:proofErr w:type="spellEnd"/>
      <w:r w:rsidRPr="00CB4448">
        <w:rPr>
          <w:sz w:val="18"/>
          <w:szCs w:val="18"/>
        </w:rPr>
        <w:t>.</w:t>
      </w:r>
    </w:p>
  </w:footnote>
  <w:footnote w:id="9">
    <w:p w:rsidR="00DE23FE" w:rsidRPr="006E4AE7" w:rsidRDefault="00DE23FE" w:rsidP="00E80F0E">
      <w:pPr>
        <w:pStyle w:val="FootnoteText"/>
        <w:ind w:left="567" w:hanging="567"/>
        <w:rPr>
          <w:sz w:val="18"/>
          <w:szCs w:val="18"/>
        </w:rPr>
      </w:pPr>
      <w:r w:rsidRPr="00E40685">
        <w:rPr>
          <w:sz w:val="18"/>
          <w:szCs w:val="18"/>
          <w:vertAlign w:val="superscript"/>
        </w:rPr>
        <w:footnoteRef/>
      </w:r>
      <w:r w:rsidRPr="006E4AE7">
        <w:rPr>
          <w:sz w:val="18"/>
          <w:szCs w:val="18"/>
        </w:rPr>
        <w:tab/>
      </w:r>
      <w:r w:rsidR="007B6738">
        <w:rPr>
          <w:color w:val="auto"/>
          <w:sz w:val="18"/>
          <w:szCs w:val="18"/>
          <w:lang w:val="fr-CH"/>
        </w:rPr>
        <w:t>Se référer au</w:t>
      </w:r>
      <w:r w:rsidR="009B6ED7">
        <w:rPr>
          <w:sz w:val="18"/>
          <w:szCs w:val="18"/>
        </w:rPr>
        <w:t xml:space="preserve"> </w:t>
      </w:r>
      <w:r w:rsidR="000F0043">
        <w:rPr>
          <w:sz w:val="18"/>
          <w:szCs w:val="18"/>
        </w:rPr>
        <w:t>paragraphe 9</w:t>
      </w:r>
      <w:r w:rsidR="009B6ED7">
        <w:rPr>
          <w:sz w:val="18"/>
          <w:szCs w:val="18"/>
        </w:rPr>
        <w:t>0 du</w:t>
      </w:r>
      <w:r w:rsidRPr="00CB4448">
        <w:rPr>
          <w:sz w:val="18"/>
          <w:szCs w:val="18"/>
        </w:rPr>
        <w:t xml:space="preserve"> docume</w:t>
      </w:r>
      <w:r w:rsidR="002C7D78">
        <w:rPr>
          <w:sz w:val="18"/>
          <w:szCs w:val="18"/>
        </w:rPr>
        <w:t>n</w:t>
      </w:r>
      <w:r w:rsidRPr="00CB4448">
        <w:rPr>
          <w:sz w:val="18"/>
          <w:szCs w:val="18"/>
        </w:rPr>
        <w:t>t</w:t>
      </w:r>
      <w:r w:rsidR="00516832">
        <w:rPr>
          <w:sz w:val="18"/>
          <w:szCs w:val="18"/>
        </w:rPr>
        <w:t> </w:t>
      </w:r>
      <w:r w:rsidRPr="006E4AE7">
        <w:rPr>
          <w:sz w:val="18"/>
          <w:szCs w:val="18"/>
        </w:rPr>
        <w:t>H/LD/WG/6/7</w:t>
      </w:r>
      <w:r w:rsidR="005E5A91">
        <w:rPr>
          <w:sz w:val="18"/>
          <w:szCs w:val="18"/>
        </w:rPr>
        <w:t> </w:t>
      </w:r>
      <w:proofErr w:type="spellStart"/>
      <w:r w:rsidRPr="00CB4448">
        <w:rPr>
          <w:sz w:val="18"/>
          <w:szCs w:val="18"/>
        </w:rPr>
        <w:t>P</w:t>
      </w:r>
      <w:r>
        <w:rPr>
          <w:sz w:val="18"/>
          <w:szCs w:val="18"/>
        </w:rPr>
        <w:t>rov</w:t>
      </w:r>
      <w:proofErr w:type="spellEnd"/>
      <w:r w:rsidRPr="006E4A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FE" w:rsidRDefault="00DE23FE">
    <w:pPr>
      <w:jc w:val="right"/>
    </w:pPr>
    <w:bookmarkStart w:id="4" w:name="Code2"/>
    <w:bookmarkEnd w:id="4"/>
    <w:r>
      <w:t>H/LD/WG/7/8</w:t>
    </w:r>
  </w:p>
  <w:p w:rsidR="00DE23FE" w:rsidRDefault="00DE23FE">
    <w:pPr>
      <w:jc w:val="right"/>
    </w:pPr>
    <w:proofErr w:type="gramStart"/>
    <w:r>
      <w:t>page</w:t>
    </w:r>
    <w:proofErr w:type="gramEnd"/>
    <w:r w:rsidR="00516832">
      <w:t> </w:t>
    </w:r>
    <w:r>
      <w:fldChar w:fldCharType="begin"/>
    </w:r>
    <w:r>
      <w:instrText>PAGE</w:instrText>
    </w:r>
    <w:r>
      <w:fldChar w:fldCharType="separate"/>
    </w:r>
    <w:r w:rsidR="008D4D39">
      <w:rPr>
        <w:noProof/>
      </w:rPr>
      <w:t>4</w:t>
    </w:r>
    <w:r>
      <w:fldChar w:fldCharType="end"/>
    </w:r>
  </w:p>
  <w:p w:rsidR="00DE23FE" w:rsidRDefault="00DE23FE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FE" w:rsidRDefault="00DE23FE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FE" w:rsidRDefault="00DE23FE">
    <w:pPr>
      <w:pStyle w:val="Header"/>
      <w:jc w:val="right"/>
    </w:pPr>
    <w:r>
      <w:t>H/LD/WG/7/8</w:t>
    </w:r>
  </w:p>
  <w:p w:rsidR="00DE23FE" w:rsidRDefault="00DE23FE">
    <w:pPr>
      <w:pStyle w:val="Header"/>
      <w:jc w:val="right"/>
    </w:pPr>
    <w:r>
      <w:t>ANNEX</w:t>
    </w:r>
    <w:r w:rsidR="001C70DD">
      <w:t>E</w:t>
    </w:r>
  </w:p>
  <w:p w:rsidR="00DE23FE" w:rsidRDefault="00DE23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A868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6A53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C0A7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3E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845F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27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E846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F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E98AE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747159"/>
    <w:multiLevelType w:val="multilevel"/>
    <w:tmpl w:val="4B58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6FE87713"/>
    <w:multiLevelType w:val="hybridMultilevel"/>
    <w:tmpl w:val="1E46CBEE"/>
    <w:lvl w:ilvl="0" w:tplc="89F29998">
      <w:start w:val="1"/>
      <w:numFmt w:val="decimal"/>
      <w:pStyle w:val="ONUM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7E75FC">
      <w:start w:val="1"/>
      <w:numFmt w:val="lowerRoman"/>
      <w:pStyle w:val="indenti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51191"/>
    <w:multiLevelType w:val="multilevel"/>
    <w:tmpl w:val="44921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7EB24D03"/>
    <w:multiLevelType w:val="multilevel"/>
    <w:tmpl w:val="642A1AA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04226"/>
    <w:rsid w:val="000072C2"/>
    <w:rsid w:val="00010F94"/>
    <w:rsid w:val="00014432"/>
    <w:rsid w:val="00024D1B"/>
    <w:rsid w:val="000318A1"/>
    <w:rsid w:val="00042743"/>
    <w:rsid w:val="00043957"/>
    <w:rsid w:val="000507A1"/>
    <w:rsid w:val="000655FD"/>
    <w:rsid w:val="00074A2E"/>
    <w:rsid w:val="000B22E7"/>
    <w:rsid w:val="000C23AF"/>
    <w:rsid w:val="000F0043"/>
    <w:rsid w:val="001002A4"/>
    <w:rsid w:val="00121B07"/>
    <w:rsid w:val="00142045"/>
    <w:rsid w:val="001450DB"/>
    <w:rsid w:val="00150AA9"/>
    <w:rsid w:val="001613FB"/>
    <w:rsid w:val="00162B86"/>
    <w:rsid w:val="0018062C"/>
    <w:rsid w:val="001B229A"/>
    <w:rsid w:val="001C70DD"/>
    <w:rsid w:val="001D2AB7"/>
    <w:rsid w:val="001D54AC"/>
    <w:rsid w:val="001D788F"/>
    <w:rsid w:val="001E4336"/>
    <w:rsid w:val="001E7E94"/>
    <w:rsid w:val="001F38A4"/>
    <w:rsid w:val="002133B6"/>
    <w:rsid w:val="00216792"/>
    <w:rsid w:val="00267B96"/>
    <w:rsid w:val="0027100C"/>
    <w:rsid w:val="002863A4"/>
    <w:rsid w:val="00292892"/>
    <w:rsid w:val="002A35AF"/>
    <w:rsid w:val="002B7E45"/>
    <w:rsid w:val="002C7D78"/>
    <w:rsid w:val="002D239C"/>
    <w:rsid w:val="002D79BD"/>
    <w:rsid w:val="002E4B33"/>
    <w:rsid w:val="00311638"/>
    <w:rsid w:val="00316547"/>
    <w:rsid w:val="00324BBF"/>
    <w:rsid w:val="00332D9F"/>
    <w:rsid w:val="003453EC"/>
    <w:rsid w:val="00361A0A"/>
    <w:rsid w:val="0036357D"/>
    <w:rsid w:val="00370DD7"/>
    <w:rsid w:val="003822BF"/>
    <w:rsid w:val="00383239"/>
    <w:rsid w:val="003909AF"/>
    <w:rsid w:val="0039582E"/>
    <w:rsid w:val="003A20BD"/>
    <w:rsid w:val="003B0531"/>
    <w:rsid w:val="003E22FD"/>
    <w:rsid w:val="003E40A3"/>
    <w:rsid w:val="003F2DA9"/>
    <w:rsid w:val="00410971"/>
    <w:rsid w:val="00435C67"/>
    <w:rsid w:val="004668CF"/>
    <w:rsid w:val="0047410D"/>
    <w:rsid w:val="0047565E"/>
    <w:rsid w:val="004836F9"/>
    <w:rsid w:val="004873C2"/>
    <w:rsid w:val="004C1A15"/>
    <w:rsid w:val="004E0C9A"/>
    <w:rsid w:val="004E5D03"/>
    <w:rsid w:val="004F2294"/>
    <w:rsid w:val="00500B45"/>
    <w:rsid w:val="00513FF2"/>
    <w:rsid w:val="00516832"/>
    <w:rsid w:val="00526656"/>
    <w:rsid w:val="005368C6"/>
    <w:rsid w:val="005378C9"/>
    <w:rsid w:val="00550D05"/>
    <w:rsid w:val="005700D3"/>
    <w:rsid w:val="0057632C"/>
    <w:rsid w:val="00584F40"/>
    <w:rsid w:val="00597B54"/>
    <w:rsid w:val="005A31DA"/>
    <w:rsid w:val="005A3C6C"/>
    <w:rsid w:val="005B293A"/>
    <w:rsid w:val="005C2F01"/>
    <w:rsid w:val="005D0A91"/>
    <w:rsid w:val="005E5A91"/>
    <w:rsid w:val="005F76F6"/>
    <w:rsid w:val="00601372"/>
    <w:rsid w:val="00602661"/>
    <w:rsid w:val="00613892"/>
    <w:rsid w:val="00616471"/>
    <w:rsid w:val="00621555"/>
    <w:rsid w:val="00635884"/>
    <w:rsid w:val="0065609A"/>
    <w:rsid w:val="00664BB1"/>
    <w:rsid w:val="00673FBF"/>
    <w:rsid w:val="00674586"/>
    <w:rsid w:val="00686610"/>
    <w:rsid w:val="00690972"/>
    <w:rsid w:val="0069588D"/>
    <w:rsid w:val="006A2AD8"/>
    <w:rsid w:val="006B1CB0"/>
    <w:rsid w:val="006B2C08"/>
    <w:rsid w:val="006B5D25"/>
    <w:rsid w:val="006C2A43"/>
    <w:rsid w:val="006D7E5D"/>
    <w:rsid w:val="006E4AE7"/>
    <w:rsid w:val="00754993"/>
    <w:rsid w:val="00756E11"/>
    <w:rsid w:val="00772B38"/>
    <w:rsid w:val="0078186D"/>
    <w:rsid w:val="00790916"/>
    <w:rsid w:val="007951A4"/>
    <w:rsid w:val="007B6738"/>
    <w:rsid w:val="007B6808"/>
    <w:rsid w:val="007C2D19"/>
    <w:rsid w:val="007C33B4"/>
    <w:rsid w:val="007D217E"/>
    <w:rsid w:val="007D52D7"/>
    <w:rsid w:val="007F2203"/>
    <w:rsid w:val="007F7D0B"/>
    <w:rsid w:val="008132C0"/>
    <w:rsid w:val="008168FA"/>
    <w:rsid w:val="00817A33"/>
    <w:rsid w:val="008265B9"/>
    <w:rsid w:val="0086778F"/>
    <w:rsid w:val="00870440"/>
    <w:rsid w:val="00871DE5"/>
    <w:rsid w:val="0087200F"/>
    <w:rsid w:val="00886CEA"/>
    <w:rsid w:val="008A1168"/>
    <w:rsid w:val="008A69F7"/>
    <w:rsid w:val="008B28A0"/>
    <w:rsid w:val="008C0F6C"/>
    <w:rsid w:val="008C340B"/>
    <w:rsid w:val="008D0948"/>
    <w:rsid w:val="008D4D39"/>
    <w:rsid w:val="008F35A7"/>
    <w:rsid w:val="0092229E"/>
    <w:rsid w:val="0092257B"/>
    <w:rsid w:val="0092631E"/>
    <w:rsid w:val="0095106E"/>
    <w:rsid w:val="0095329F"/>
    <w:rsid w:val="00955081"/>
    <w:rsid w:val="00957B0F"/>
    <w:rsid w:val="00961940"/>
    <w:rsid w:val="00970E66"/>
    <w:rsid w:val="00975608"/>
    <w:rsid w:val="00991D57"/>
    <w:rsid w:val="009B4CEF"/>
    <w:rsid w:val="009B6ED7"/>
    <w:rsid w:val="009C0191"/>
    <w:rsid w:val="009C5C40"/>
    <w:rsid w:val="009D3C92"/>
    <w:rsid w:val="009F2001"/>
    <w:rsid w:val="009F30E2"/>
    <w:rsid w:val="00A0392C"/>
    <w:rsid w:val="00A04226"/>
    <w:rsid w:val="00A07E09"/>
    <w:rsid w:val="00A14B19"/>
    <w:rsid w:val="00A14BDC"/>
    <w:rsid w:val="00A34D26"/>
    <w:rsid w:val="00A479D3"/>
    <w:rsid w:val="00A52C37"/>
    <w:rsid w:val="00A5596A"/>
    <w:rsid w:val="00A62631"/>
    <w:rsid w:val="00A74A92"/>
    <w:rsid w:val="00A75C6A"/>
    <w:rsid w:val="00A8023C"/>
    <w:rsid w:val="00A96B9C"/>
    <w:rsid w:val="00AA2658"/>
    <w:rsid w:val="00AB47E5"/>
    <w:rsid w:val="00AB707D"/>
    <w:rsid w:val="00AC0FBC"/>
    <w:rsid w:val="00AD1C2D"/>
    <w:rsid w:val="00AE390A"/>
    <w:rsid w:val="00AE7D0E"/>
    <w:rsid w:val="00AF1292"/>
    <w:rsid w:val="00B057F8"/>
    <w:rsid w:val="00B174C9"/>
    <w:rsid w:val="00B17D3E"/>
    <w:rsid w:val="00B20471"/>
    <w:rsid w:val="00B21A4F"/>
    <w:rsid w:val="00B376ED"/>
    <w:rsid w:val="00B706B7"/>
    <w:rsid w:val="00B930E2"/>
    <w:rsid w:val="00BA0145"/>
    <w:rsid w:val="00BA0A4F"/>
    <w:rsid w:val="00BA115A"/>
    <w:rsid w:val="00BA53E9"/>
    <w:rsid w:val="00BB6E30"/>
    <w:rsid w:val="00BC4B84"/>
    <w:rsid w:val="00BE4238"/>
    <w:rsid w:val="00BF4928"/>
    <w:rsid w:val="00C10718"/>
    <w:rsid w:val="00C11B19"/>
    <w:rsid w:val="00C12B0E"/>
    <w:rsid w:val="00C2499B"/>
    <w:rsid w:val="00C31B16"/>
    <w:rsid w:val="00C347B8"/>
    <w:rsid w:val="00C43E4B"/>
    <w:rsid w:val="00C63423"/>
    <w:rsid w:val="00C92F66"/>
    <w:rsid w:val="00CB0AC0"/>
    <w:rsid w:val="00CB4448"/>
    <w:rsid w:val="00CE0DBC"/>
    <w:rsid w:val="00CF351E"/>
    <w:rsid w:val="00CF55C6"/>
    <w:rsid w:val="00D006F4"/>
    <w:rsid w:val="00D17C76"/>
    <w:rsid w:val="00D376A3"/>
    <w:rsid w:val="00D4100B"/>
    <w:rsid w:val="00D4379D"/>
    <w:rsid w:val="00D55486"/>
    <w:rsid w:val="00D6040A"/>
    <w:rsid w:val="00D637C0"/>
    <w:rsid w:val="00D867CF"/>
    <w:rsid w:val="00D92870"/>
    <w:rsid w:val="00D9472D"/>
    <w:rsid w:val="00D96470"/>
    <w:rsid w:val="00DB3F59"/>
    <w:rsid w:val="00DD0BA4"/>
    <w:rsid w:val="00DE00C8"/>
    <w:rsid w:val="00DE0D30"/>
    <w:rsid w:val="00DE23FE"/>
    <w:rsid w:val="00DF12D7"/>
    <w:rsid w:val="00DF4B2D"/>
    <w:rsid w:val="00E122FE"/>
    <w:rsid w:val="00E20C68"/>
    <w:rsid w:val="00E24279"/>
    <w:rsid w:val="00E278A0"/>
    <w:rsid w:val="00E32F8A"/>
    <w:rsid w:val="00E40685"/>
    <w:rsid w:val="00E549B6"/>
    <w:rsid w:val="00E769EF"/>
    <w:rsid w:val="00E80F0E"/>
    <w:rsid w:val="00E9080C"/>
    <w:rsid w:val="00EB3872"/>
    <w:rsid w:val="00EB7D1B"/>
    <w:rsid w:val="00EC79D1"/>
    <w:rsid w:val="00ED285B"/>
    <w:rsid w:val="00ED4EB9"/>
    <w:rsid w:val="00EE4B90"/>
    <w:rsid w:val="00F2684B"/>
    <w:rsid w:val="00F32BAD"/>
    <w:rsid w:val="00F57B84"/>
    <w:rsid w:val="00F62E68"/>
    <w:rsid w:val="00F72AAD"/>
    <w:rsid w:val="00F81175"/>
    <w:rsid w:val="00F86C2A"/>
    <w:rsid w:val="00F960E5"/>
    <w:rsid w:val="00FB3368"/>
    <w:rsid w:val="00FB4C77"/>
    <w:rsid w:val="00FD6642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footnote reference" w:uiPriority="99" w:qFormat="1"/>
    <w:lsdException w:name="endnote text" w:qFormat="1"/>
    <w:lsdException w:name="macro" w:semiHidden="0" w:unhideWhenUsed="0"/>
    <w:lsdException w:name="List Bullet" w:semiHidden="0" w:unhideWhenUsed="0"/>
    <w:lsdException w:name="List Number" w:semiHidden="0" w:unhideWhenUsed="0" w:qFormat="1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  <w:pPr>
      <w:numPr>
        <w:numId w:val="13"/>
      </w:numPr>
      <w:ind w:left="0" w:firstLine="0"/>
    </w:pPr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footnote reference" w:uiPriority="99" w:qFormat="1"/>
    <w:lsdException w:name="endnote text" w:qFormat="1"/>
    <w:lsdException w:name="macro" w:semiHidden="0" w:unhideWhenUsed="0"/>
    <w:lsdException w:name="List Bullet" w:semiHidden="0" w:unhideWhenUsed="0"/>
    <w:lsdException w:name="List Number" w:semiHidden="0" w:unhideWhenUsed="0" w:qFormat="1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color w:val="00000A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D6040A"/>
    <w:pPr>
      <w:keepNext/>
      <w:spacing w:before="240" w:after="240"/>
      <w:outlineLvl w:val="0"/>
    </w:pPr>
    <w:rPr>
      <w:b/>
      <w:bCs/>
      <w:caps/>
      <w:kern w:val="2"/>
      <w:szCs w:val="32"/>
      <w:lang w:eastAsia="en-US"/>
    </w:rPr>
  </w:style>
  <w:style w:type="paragraph" w:styleId="Heading2">
    <w:name w:val="heading 2"/>
    <w:basedOn w:val="Normal"/>
    <w:next w:val="Normal"/>
    <w:qFormat/>
    <w:rsid w:val="00D6040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qFormat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qFormat/>
    <w:rsid w:val="001F550A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F550A"/>
    <w:rPr>
      <w:rFonts w:ascii="Arial" w:eastAsia="SimSun" w:hAnsi="Arial" w:cs="Arial"/>
      <w:sz w:val="18"/>
      <w:lang w:eastAsia="zh-C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EndnoteCharacters">
    <w:name w:val="Endnote Characters"/>
    <w:qFormat/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Endofdocument-Annex">
    <w:name w:val="[End of document - Annex]"/>
    <w:basedOn w:val="Normal"/>
    <w:qFormat/>
    <w:rsid w:val="0053057A"/>
    <w:pPr>
      <w:ind w:left="5534"/>
    </w:pPr>
  </w:style>
  <w:style w:type="paragraph" w:styleId="CommentText">
    <w:name w:val="annotation text"/>
    <w:basedOn w:val="Normal"/>
    <w:link w:val="CommentTextChar"/>
    <w:semiHidden/>
    <w:qFormat/>
    <w:rsid w:val="00676C5C"/>
    <w:rPr>
      <w:sz w:val="18"/>
    </w:rPr>
  </w:style>
  <w:style w:type="paragraph" w:styleId="EndnoteText">
    <w:name w:val="endnote text"/>
    <w:basedOn w:val="Normal"/>
    <w:semiHidden/>
    <w:qFormat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pPr>
      <w:suppressLineNumbers/>
      <w:ind w:left="339" w:hanging="339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qFormat/>
    <w:rsid w:val="00676C5C"/>
  </w:style>
  <w:style w:type="paragraph" w:customStyle="1" w:styleId="ONUME">
    <w:name w:val="ONUM E"/>
    <w:basedOn w:val="BodyText"/>
    <w:qFormat/>
    <w:rsid w:val="00D6040A"/>
    <w:pPr>
      <w:numPr>
        <w:numId w:val="13"/>
      </w:numPr>
      <w:ind w:left="0" w:firstLine="0"/>
    </w:pPr>
  </w:style>
  <w:style w:type="paragraph" w:customStyle="1" w:styleId="ONUMFS">
    <w:name w:val="ONUM FS"/>
    <w:basedOn w:val="BodyText"/>
    <w:qFormat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6F58"/>
    <w:pPr>
      <w:spacing w:line="276" w:lineRule="auto"/>
      <w:ind w:left="720"/>
      <w:contextualSpacing/>
    </w:pPr>
    <w:rPr>
      <w:rFonts w:eastAsia="Arial"/>
      <w:color w:val="000000"/>
      <w:szCs w:val="22"/>
      <w:lang w:eastAsia="en-US"/>
    </w:rPr>
  </w:style>
  <w:style w:type="character" w:styleId="CommentReference">
    <w:name w:val="annotation reference"/>
    <w:basedOn w:val="DefaultParagraphFont"/>
    <w:rsid w:val="00024D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24D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D1B"/>
    <w:rPr>
      <w:rFonts w:ascii="Arial" w:eastAsia="SimSun" w:hAnsi="Arial" w:cs="Arial"/>
      <w:color w:val="00000A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24D1B"/>
    <w:rPr>
      <w:rFonts w:ascii="Arial" w:eastAsia="SimSun" w:hAnsi="Arial" w:cs="Arial"/>
      <w:b/>
      <w:bCs/>
      <w:color w:val="00000A"/>
      <w:sz w:val="18"/>
      <w:lang w:eastAsia="zh-CN"/>
    </w:rPr>
  </w:style>
  <w:style w:type="character" w:styleId="Hyperlink">
    <w:name w:val="Hyperlink"/>
    <w:basedOn w:val="DefaultParagraphFont"/>
    <w:rsid w:val="009C01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6040A"/>
    <w:rPr>
      <w:rFonts w:ascii="Arial" w:eastAsia="SimSun" w:hAnsi="Arial" w:cs="Arial"/>
      <w:color w:val="00000A"/>
      <w:sz w:val="22"/>
      <w:lang w:eastAsia="zh-CN"/>
    </w:rPr>
  </w:style>
  <w:style w:type="paragraph" w:styleId="Revision">
    <w:name w:val="Revision"/>
    <w:hidden/>
    <w:uiPriority w:val="99"/>
    <w:semiHidden/>
    <w:rsid w:val="00316547"/>
    <w:rPr>
      <w:rFonts w:ascii="Arial" w:eastAsia="SimSun" w:hAnsi="Arial" w:cs="Arial"/>
      <w:color w:val="00000A"/>
      <w:sz w:val="22"/>
      <w:lang w:eastAsia="zh-CN"/>
    </w:rPr>
  </w:style>
  <w:style w:type="paragraph" w:customStyle="1" w:styleId="indenti">
    <w:name w:val="indent_i"/>
    <w:basedOn w:val="Normal"/>
    <w:rsid w:val="00FB4C77"/>
    <w:pPr>
      <w:numPr>
        <w:ilvl w:val="2"/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0522-CB51-4F90-8114-7A91CFC1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10</cp:revision>
  <cp:lastPrinted>2018-05-23T13:02:00Z</cp:lastPrinted>
  <dcterms:created xsi:type="dcterms:W3CDTF">2018-05-23T09:12:00Z</dcterms:created>
  <dcterms:modified xsi:type="dcterms:W3CDTF">2018-05-23T13:03:00Z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