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87"/>
        <w:gridCol w:w="4337"/>
        <w:gridCol w:w="506"/>
      </w:tblGrid>
      <w:tr w:rsidR="009E0904" w:rsidRPr="0068133B" w14:paraId="6B0CABD5" w14:textId="77777777" w:rsidTr="00017390">
        <w:tc>
          <w:tcPr>
            <w:tcW w:w="4287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E3B8239" w14:textId="77777777" w:rsidR="009E0904" w:rsidRPr="003B7609" w:rsidRDefault="009E0904" w:rsidP="00813F49">
            <w:pPr>
              <w:rPr>
                <w:rFonts w:eastAsiaTheme="minorEastAsia"/>
                <w:lang w:val="ru-RU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FF8D64" w14:textId="5BF86038" w:rsidR="009E0904" w:rsidRPr="0068133B" w:rsidRDefault="00B83681" w:rsidP="00813F49">
            <w:r w:rsidRPr="0068133B">
              <w:rPr>
                <w:noProof/>
                <w:lang w:eastAsia="en-US"/>
              </w:rPr>
              <w:drawing>
                <wp:inline distT="0" distB="0" distL="0" distR="0" wp14:anchorId="500637C4" wp14:editId="49F9DDE2">
                  <wp:extent cx="3035935" cy="14020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935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DFF026" w14:textId="37754618" w:rsidR="009E0904" w:rsidRPr="0068133B" w:rsidRDefault="00B83681" w:rsidP="00B83681">
            <w:pPr>
              <w:jc w:val="right"/>
            </w:pPr>
            <w:r w:rsidRPr="0068133B">
              <w:rPr>
                <w:b/>
                <w:sz w:val="40"/>
                <w:szCs w:val="40"/>
              </w:rPr>
              <w:t>R</w:t>
            </w:r>
          </w:p>
        </w:tc>
      </w:tr>
      <w:tr w:rsidR="009E0904" w:rsidRPr="0068133B" w14:paraId="1E6E6B92" w14:textId="77777777" w:rsidTr="00017390">
        <w:trPr>
          <w:trHeight w:hRule="exact" w:val="369"/>
        </w:trPr>
        <w:tc>
          <w:tcPr>
            <w:tcW w:w="913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28F5E6" w14:textId="1E2CF5FB" w:rsidR="009E0904" w:rsidRPr="0068133B" w:rsidRDefault="00820D5E" w:rsidP="00AF12D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8133B">
              <w:rPr>
                <w:rFonts w:ascii="Arial Black" w:hAnsi="Arial Black"/>
                <w:caps/>
                <w:sz w:val="15"/>
              </w:rPr>
              <w:t>H</w:t>
            </w:r>
            <w:r w:rsidR="009E0904" w:rsidRPr="0068133B">
              <w:rPr>
                <w:rFonts w:ascii="Arial Black" w:hAnsi="Arial Black"/>
                <w:caps/>
                <w:sz w:val="15"/>
              </w:rPr>
              <w:t>/LD/WG/</w:t>
            </w:r>
            <w:r w:rsidR="00C70F7C" w:rsidRPr="0068133B">
              <w:rPr>
                <w:rFonts w:ascii="Arial Black" w:hAnsi="Arial Black"/>
                <w:caps/>
                <w:sz w:val="15"/>
              </w:rPr>
              <w:t>9</w:t>
            </w:r>
            <w:r w:rsidR="009E0904" w:rsidRPr="0068133B">
              <w:rPr>
                <w:rFonts w:ascii="Arial Black" w:hAnsi="Arial Black"/>
                <w:caps/>
                <w:sz w:val="15"/>
              </w:rPr>
              <w:t>/</w:t>
            </w:r>
            <w:r w:rsidR="00F33BB0" w:rsidRPr="0068133B">
              <w:rPr>
                <w:rFonts w:ascii="Arial Black" w:hAnsi="Arial Black"/>
                <w:caps/>
                <w:sz w:val="15"/>
              </w:rPr>
              <w:t>INF/</w:t>
            </w:r>
            <w:r w:rsidR="00AF12DD" w:rsidRPr="0068133B">
              <w:rPr>
                <w:rFonts w:ascii="Arial Black" w:hAnsi="Arial Black"/>
                <w:caps/>
                <w:sz w:val="15"/>
              </w:rPr>
              <w:t>1</w:t>
            </w:r>
            <w:r w:rsidR="009E0904" w:rsidRPr="0068133B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9E0904" w:rsidRPr="0068133B" w14:paraId="5C0DCA70" w14:textId="77777777" w:rsidTr="00017390">
        <w:trPr>
          <w:trHeight w:hRule="exact" w:val="170"/>
        </w:trPr>
        <w:tc>
          <w:tcPr>
            <w:tcW w:w="913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D2192EA" w14:textId="251AF7A1" w:rsidR="009E0904" w:rsidRPr="0068133B" w:rsidRDefault="00B83681" w:rsidP="00B836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8133B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E0904" w:rsidRPr="0068133B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 w:rsidRPr="0068133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E0904" w:rsidRPr="0068133B" w14:paraId="05C6E224" w14:textId="77777777" w:rsidTr="00017390">
        <w:trPr>
          <w:trHeight w:hRule="exact" w:val="198"/>
        </w:trPr>
        <w:tc>
          <w:tcPr>
            <w:tcW w:w="9130" w:type="dxa"/>
            <w:gridSpan w:val="3"/>
            <w:tcMar>
              <w:left w:w="0" w:type="dxa"/>
              <w:right w:w="0" w:type="dxa"/>
            </w:tcMar>
            <w:vAlign w:val="bottom"/>
          </w:tcPr>
          <w:p w14:paraId="181C03B4" w14:textId="5B379EC6" w:rsidR="009E0904" w:rsidRPr="0068133B" w:rsidRDefault="00B83681" w:rsidP="00B836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8133B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36D8F" w:rsidRPr="0068133B">
              <w:rPr>
                <w:rFonts w:ascii="Arial Black" w:hAnsi="Arial Black"/>
                <w:caps/>
                <w:sz w:val="15"/>
              </w:rPr>
              <w:t xml:space="preserve">: </w:t>
            </w:r>
            <w:r w:rsidR="0068133B" w:rsidRPr="0068133B">
              <w:rPr>
                <w:rFonts w:ascii="Arial Black" w:hAnsi="Arial Black"/>
                <w:caps/>
                <w:sz w:val="15"/>
              </w:rPr>
              <w:t>14</w:t>
            </w:r>
            <w:r w:rsidRPr="0068133B">
              <w:rPr>
                <w:rFonts w:ascii="Arial Black" w:hAnsi="Arial Black"/>
                <w:caps/>
                <w:sz w:val="15"/>
              </w:rPr>
              <w:t xml:space="preserve"> </w:t>
            </w:r>
            <w:r w:rsidRPr="0068133B">
              <w:rPr>
                <w:rFonts w:ascii="Arial Black" w:hAnsi="Arial Black"/>
                <w:caps/>
                <w:sz w:val="15"/>
                <w:lang w:val="ru-RU"/>
              </w:rPr>
              <w:t>октября</w:t>
            </w:r>
            <w:r w:rsidR="00C834A3" w:rsidRPr="0068133B">
              <w:rPr>
                <w:rFonts w:ascii="Arial Black" w:hAnsi="Arial Black"/>
                <w:caps/>
                <w:sz w:val="15"/>
              </w:rPr>
              <w:t xml:space="preserve"> 202</w:t>
            </w:r>
            <w:r w:rsidRPr="0068133B"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  <w:r w:rsidR="009E0904" w:rsidRPr="0068133B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DC046F" w:rsidRPr="0068133B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</w:tbl>
    <w:p w14:paraId="2275C754" w14:textId="433FDCB3" w:rsidR="009E0904" w:rsidRPr="0068133B" w:rsidRDefault="00B83681" w:rsidP="006D0173">
      <w:pPr>
        <w:spacing w:before="1200"/>
        <w:rPr>
          <w:b/>
          <w:sz w:val="28"/>
          <w:szCs w:val="28"/>
          <w:lang w:val="ru-RU"/>
        </w:rPr>
      </w:pPr>
      <w:r w:rsidRPr="0068133B"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образцов</w:t>
      </w:r>
    </w:p>
    <w:p w14:paraId="1F029532" w14:textId="57E08063" w:rsidR="009E0904" w:rsidRPr="0068133B" w:rsidRDefault="00B83681" w:rsidP="006D0173">
      <w:pPr>
        <w:spacing w:before="480"/>
        <w:rPr>
          <w:b/>
          <w:sz w:val="24"/>
          <w:szCs w:val="24"/>
          <w:lang w:val="ru-RU"/>
        </w:rPr>
      </w:pPr>
      <w:r w:rsidRPr="0068133B">
        <w:rPr>
          <w:b/>
          <w:sz w:val="24"/>
          <w:szCs w:val="24"/>
          <w:lang w:val="ru-RU"/>
        </w:rPr>
        <w:t>Девятая сессия</w:t>
      </w:r>
    </w:p>
    <w:p w14:paraId="412260CD" w14:textId="694BE88A" w:rsidR="009E0904" w:rsidRPr="0068133B" w:rsidRDefault="00B83681" w:rsidP="009E0904">
      <w:pPr>
        <w:rPr>
          <w:b/>
          <w:sz w:val="24"/>
          <w:szCs w:val="24"/>
          <w:lang w:val="ru-RU"/>
        </w:rPr>
      </w:pPr>
      <w:r w:rsidRPr="0068133B">
        <w:rPr>
          <w:b/>
          <w:sz w:val="24"/>
          <w:szCs w:val="24"/>
          <w:lang w:val="ru-RU"/>
        </w:rPr>
        <w:t>Женева</w:t>
      </w:r>
      <w:r w:rsidR="009E0904" w:rsidRPr="0068133B">
        <w:rPr>
          <w:b/>
          <w:sz w:val="24"/>
          <w:szCs w:val="24"/>
          <w:lang w:val="ru-RU"/>
        </w:rPr>
        <w:t xml:space="preserve">, </w:t>
      </w:r>
      <w:r w:rsidR="00DC046F" w:rsidRPr="0068133B">
        <w:rPr>
          <w:b/>
          <w:sz w:val="24"/>
          <w:szCs w:val="24"/>
          <w:lang w:val="ru-RU"/>
        </w:rPr>
        <w:t>14</w:t>
      </w:r>
      <w:r w:rsidRPr="0068133B">
        <w:rPr>
          <w:b/>
          <w:sz w:val="24"/>
          <w:szCs w:val="24"/>
          <w:lang w:val="ru-RU"/>
        </w:rPr>
        <w:t>–</w:t>
      </w:r>
      <w:r w:rsidR="00DC046F" w:rsidRPr="0068133B">
        <w:rPr>
          <w:b/>
          <w:sz w:val="24"/>
          <w:szCs w:val="24"/>
          <w:lang w:val="ru-RU"/>
        </w:rPr>
        <w:t>16</w:t>
      </w:r>
      <w:r w:rsidRPr="0068133B">
        <w:rPr>
          <w:b/>
          <w:sz w:val="24"/>
          <w:szCs w:val="24"/>
          <w:lang w:val="ru-RU"/>
        </w:rPr>
        <w:t xml:space="preserve"> декабря</w:t>
      </w:r>
      <w:r w:rsidR="00DC046F" w:rsidRPr="0068133B">
        <w:rPr>
          <w:b/>
          <w:sz w:val="24"/>
          <w:szCs w:val="24"/>
          <w:lang w:val="ru-RU"/>
        </w:rPr>
        <w:t xml:space="preserve"> 2020</w:t>
      </w:r>
      <w:r w:rsidRPr="0068133B">
        <w:rPr>
          <w:b/>
          <w:sz w:val="24"/>
          <w:szCs w:val="24"/>
        </w:rPr>
        <w:t> </w:t>
      </w:r>
      <w:r w:rsidRPr="0068133B">
        <w:rPr>
          <w:b/>
          <w:sz w:val="24"/>
          <w:szCs w:val="24"/>
          <w:lang w:val="ru-RU"/>
        </w:rPr>
        <w:t>г.</w:t>
      </w:r>
    </w:p>
    <w:p w14:paraId="07D8C355" w14:textId="0B06F09D" w:rsidR="009E0904" w:rsidRPr="0068133B" w:rsidRDefault="00B450A5" w:rsidP="006D0173">
      <w:pPr>
        <w:spacing w:before="720"/>
        <w:rPr>
          <w:caps/>
          <w:sz w:val="24"/>
          <w:lang w:val="ru-RU"/>
        </w:rPr>
      </w:pPr>
      <w:bookmarkStart w:id="3" w:name="TitleOfDoc"/>
      <w:bookmarkEnd w:id="3"/>
      <w:r w:rsidRPr="0068133B">
        <w:rPr>
          <w:caps/>
          <w:sz w:val="24"/>
          <w:lang w:val="ru-RU"/>
        </w:rPr>
        <w:t>АНАЛИЗ размеров пошлин ЗА ПРОДЛЕНИЕ в национальных или региональных системах, допускающих подачу заявок на регистрацию нескольких образцов</w:t>
      </w:r>
    </w:p>
    <w:p w14:paraId="635187FD" w14:textId="317081FC" w:rsidR="00A53CA0" w:rsidRPr="0068133B" w:rsidRDefault="006855DC" w:rsidP="005D6720">
      <w:pPr>
        <w:spacing w:before="240" w:after="960"/>
        <w:rPr>
          <w:i/>
          <w:lang w:val="ru-RU"/>
        </w:rPr>
      </w:pPr>
      <w:bookmarkStart w:id="4" w:name="Prepared"/>
      <w:bookmarkEnd w:id="4"/>
      <w:r w:rsidRPr="0068133B">
        <w:rPr>
          <w:i/>
          <w:lang w:val="ru-RU"/>
        </w:rPr>
        <w:t>подготовлен Международным бюро</w:t>
      </w:r>
    </w:p>
    <w:p w14:paraId="5A711E54" w14:textId="4AE25FDB" w:rsidR="00306FC3" w:rsidRPr="0068133B" w:rsidRDefault="00306FC3" w:rsidP="00D85552">
      <w:pPr>
        <w:pStyle w:val="Heading1"/>
        <w:spacing w:before="220" w:after="220"/>
        <w:rPr>
          <w:lang w:val="ru-RU"/>
        </w:rPr>
      </w:pPr>
      <w:r w:rsidRPr="0068133B">
        <w:t>I</w:t>
      </w:r>
      <w:r w:rsidRPr="0068133B">
        <w:rPr>
          <w:lang w:val="ru-RU"/>
        </w:rPr>
        <w:t>.</w:t>
      </w:r>
      <w:r w:rsidRPr="0068133B">
        <w:rPr>
          <w:lang w:val="ru-RU"/>
        </w:rPr>
        <w:tab/>
      </w:r>
      <w:r w:rsidR="00AE1731" w:rsidRPr="0068133B">
        <w:rPr>
          <w:lang w:val="ru-RU"/>
        </w:rPr>
        <w:t>ВВЕДЕНИЕ</w:t>
      </w:r>
    </w:p>
    <w:p w14:paraId="252EB008" w14:textId="6065EC39" w:rsidR="000D57B7" w:rsidRPr="0068133B" w:rsidRDefault="00741FF2" w:rsidP="00BE26B3">
      <w:pPr>
        <w:pStyle w:val="ONUME"/>
        <w:tabs>
          <w:tab w:val="clear" w:pos="837"/>
        </w:tabs>
        <w:spacing w:before="220"/>
        <w:ind w:left="0"/>
        <w:rPr>
          <w:lang w:val="ru-RU" w:eastAsia="en-US"/>
        </w:rPr>
      </w:pPr>
      <w:r w:rsidRPr="0068133B">
        <w:rPr>
          <w:lang w:val="ru-RU"/>
        </w:rPr>
        <w:t>Рабочая группа по правовому развитию Гаагской системы международной регистрации промышленных образцов (далее – «Рабочая группа» и «Гаагская система») на своей восьмой сессии, состоявшейся 30 октября – 1 ноября 2019</w:t>
      </w:r>
      <w:r w:rsidRPr="0068133B">
        <w:t> </w:t>
      </w:r>
      <w:r w:rsidRPr="0068133B">
        <w:rPr>
          <w:lang w:val="ru-RU"/>
        </w:rPr>
        <w:t>г., обсудила документ</w:t>
      </w:r>
      <w:r w:rsidR="000D57B7" w:rsidRPr="0068133B">
        <w:t> H</w:t>
      </w:r>
      <w:r w:rsidR="000D57B7" w:rsidRPr="0068133B">
        <w:rPr>
          <w:lang w:val="ru-RU"/>
        </w:rPr>
        <w:t>/</w:t>
      </w:r>
      <w:r w:rsidR="000D57B7" w:rsidRPr="0068133B">
        <w:t>LD</w:t>
      </w:r>
      <w:r w:rsidR="000D57B7" w:rsidRPr="0068133B">
        <w:rPr>
          <w:lang w:val="ru-RU"/>
        </w:rPr>
        <w:t>/</w:t>
      </w:r>
      <w:r w:rsidR="000D57B7" w:rsidRPr="0068133B">
        <w:t>WG</w:t>
      </w:r>
      <w:r w:rsidR="000D57B7" w:rsidRPr="0068133B">
        <w:rPr>
          <w:lang w:val="ru-RU"/>
        </w:rPr>
        <w:t>/8/4</w:t>
      </w:r>
      <w:r w:rsidRPr="0068133B">
        <w:rPr>
          <w:lang w:val="ru-RU"/>
        </w:rPr>
        <w:t xml:space="preserve"> «Финансовая устойчивость Гаагской системы; возможный пересмотр Перечня пошлин и сборов»</w:t>
      </w:r>
      <w:r w:rsidR="000D57B7" w:rsidRPr="0068133B">
        <w:rPr>
          <w:lang w:val="ru-RU"/>
        </w:rPr>
        <w:t>.</w:t>
      </w:r>
    </w:p>
    <w:p w14:paraId="1BAE8E1D" w14:textId="7B021E1A" w:rsidR="00F178EB" w:rsidRPr="0068133B" w:rsidRDefault="00295C48" w:rsidP="00BE26B3">
      <w:pPr>
        <w:pStyle w:val="ONUME"/>
        <w:tabs>
          <w:tab w:val="clear" w:pos="837"/>
        </w:tabs>
        <w:ind w:left="0"/>
        <w:rPr>
          <w:lang w:val="ru-RU" w:eastAsia="en-US"/>
        </w:rPr>
      </w:pPr>
      <w:r w:rsidRPr="0068133B">
        <w:rPr>
          <w:lang w:val="ru-RU"/>
        </w:rPr>
        <w:t>Рабочая группа положительно оценила возможность представления</w:t>
      </w:r>
      <w:r w:rsidR="00621928" w:rsidRPr="0068133B">
        <w:rPr>
          <w:lang w:val="ru-RU"/>
        </w:rPr>
        <w:t xml:space="preserve"> </w:t>
      </w:r>
      <w:r w:rsidR="008C40AE" w:rsidRPr="0068133B">
        <w:rPr>
          <w:lang w:val="ru-RU"/>
        </w:rPr>
        <w:t xml:space="preserve">предложения, </w:t>
      </w:r>
      <w:r w:rsidR="00621928" w:rsidRPr="0068133B">
        <w:rPr>
          <w:lang w:val="ru-RU"/>
        </w:rPr>
        <w:t>сформулированного в указанном документе</w:t>
      </w:r>
      <w:r w:rsidR="008C40AE" w:rsidRPr="0068133B">
        <w:rPr>
          <w:lang w:val="ru-RU"/>
        </w:rPr>
        <w:t xml:space="preserve">, </w:t>
      </w:r>
      <w:r w:rsidRPr="0068133B">
        <w:rPr>
          <w:lang w:val="ru-RU"/>
        </w:rPr>
        <w:t xml:space="preserve">об изменении размера </w:t>
      </w:r>
      <w:r w:rsidR="00F61C0B" w:rsidRPr="0068133B">
        <w:rPr>
          <w:lang w:val="ru-RU"/>
        </w:rPr>
        <w:t xml:space="preserve">основной </w:t>
      </w:r>
      <w:r w:rsidRPr="0068133B">
        <w:rPr>
          <w:lang w:val="ru-RU"/>
        </w:rPr>
        <w:t>пошлины за каждый дополнительный образец,</w:t>
      </w:r>
      <w:r w:rsidR="00CE10D4" w:rsidRPr="0068133B">
        <w:rPr>
          <w:lang w:val="ru-RU"/>
        </w:rPr>
        <w:t xml:space="preserve"> включенный в одну международную заявку</w:t>
      </w:r>
      <w:r w:rsidR="002A5260" w:rsidRPr="0068133B">
        <w:rPr>
          <w:lang w:val="ru-RU"/>
        </w:rPr>
        <w:t xml:space="preserve">. </w:t>
      </w:r>
      <w:r w:rsidRPr="0068133B">
        <w:rPr>
          <w:lang w:val="ru-RU"/>
        </w:rPr>
        <w:t xml:space="preserve"> </w:t>
      </w:r>
      <w:r w:rsidR="002A5260" w:rsidRPr="0068133B">
        <w:rPr>
          <w:lang w:val="ru-RU"/>
        </w:rPr>
        <w:t>Более того, принимая во внимание существенное различие в размер</w:t>
      </w:r>
      <w:r w:rsidR="00F61C0B" w:rsidRPr="0068133B">
        <w:rPr>
          <w:lang w:val="ru-RU"/>
        </w:rPr>
        <w:t>е</w:t>
      </w:r>
      <w:r w:rsidR="002A5260" w:rsidRPr="0068133B">
        <w:rPr>
          <w:lang w:val="ru-RU"/>
        </w:rPr>
        <w:t xml:space="preserve"> пошлин</w:t>
      </w:r>
      <w:r w:rsidR="00F61C0B" w:rsidRPr="0068133B">
        <w:rPr>
          <w:lang w:val="ru-RU"/>
        </w:rPr>
        <w:t>ы</w:t>
      </w:r>
      <w:r w:rsidR="002A5260" w:rsidRPr="0068133B">
        <w:rPr>
          <w:lang w:val="ru-RU"/>
        </w:rPr>
        <w:t xml:space="preserve"> за продление</w:t>
      </w:r>
      <w:r w:rsidR="00F61C0B" w:rsidRPr="0068133B">
        <w:rPr>
          <w:lang w:val="ru-RU"/>
        </w:rPr>
        <w:t>, уплачиваемой за первый образец</w:t>
      </w:r>
      <w:r w:rsidR="00E676EA" w:rsidRPr="0068133B">
        <w:rPr>
          <w:lang w:val="ru-RU"/>
        </w:rPr>
        <w:t xml:space="preserve"> и </w:t>
      </w:r>
      <w:r w:rsidR="00F61C0B" w:rsidRPr="0068133B">
        <w:rPr>
          <w:lang w:val="ru-RU"/>
        </w:rPr>
        <w:t xml:space="preserve">за каждый дополнительный образец, она предложила Международному бюро подготовить </w:t>
      </w:r>
      <w:r w:rsidR="00E26BE2" w:rsidRPr="0068133B">
        <w:rPr>
          <w:lang w:val="ru-RU"/>
        </w:rPr>
        <w:t xml:space="preserve">для обсуждения на следующей сессии </w:t>
      </w:r>
      <w:r w:rsidR="00F61C0B" w:rsidRPr="0068133B">
        <w:rPr>
          <w:lang w:val="ru-RU"/>
        </w:rPr>
        <w:t>исследование о возможном увеличении размера основной пошлины за продление в отношении каждого дополнительного образца</w:t>
      </w:r>
      <w:r w:rsidR="0089020D" w:rsidRPr="0068133B">
        <w:rPr>
          <w:rStyle w:val="FootnoteReference"/>
          <w:lang w:eastAsia="en-US"/>
        </w:rPr>
        <w:footnoteReference w:id="2"/>
      </w:r>
      <w:r w:rsidR="00C25398" w:rsidRPr="0068133B">
        <w:rPr>
          <w:lang w:val="ru-RU" w:eastAsia="en-US"/>
        </w:rPr>
        <w:t>.</w:t>
      </w:r>
    </w:p>
    <w:p w14:paraId="1B49D744" w14:textId="77777777" w:rsidR="00F178EB" w:rsidRPr="0068133B" w:rsidRDefault="00F178EB">
      <w:pPr>
        <w:rPr>
          <w:lang w:val="ru-RU" w:eastAsia="en-US"/>
        </w:rPr>
      </w:pPr>
      <w:r w:rsidRPr="0068133B">
        <w:rPr>
          <w:lang w:val="ru-RU" w:eastAsia="en-US"/>
        </w:rPr>
        <w:br w:type="page"/>
      </w:r>
    </w:p>
    <w:p w14:paraId="72EB524C" w14:textId="5ADD6904" w:rsidR="00A32C2A" w:rsidRPr="0068133B" w:rsidRDefault="002164FB" w:rsidP="00BE26B3">
      <w:pPr>
        <w:pStyle w:val="ONUME"/>
        <w:tabs>
          <w:tab w:val="clear" w:pos="837"/>
        </w:tabs>
        <w:ind w:left="0"/>
        <w:rPr>
          <w:lang w:val="ru-RU" w:eastAsia="en-US"/>
        </w:rPr>
      </w:pPr>
      <w:r w:rsidRPr="0068133B">
        <w:rPr>
          <w:lang w:val="ru-RU" w:eastAsia="en-US"/>
        </w:rPr>
        <w:lastRenderedPageBreak/>
        <w:t>Во исполнение это</w:t>
      </w:r>
      <w:r w:rsidR="00661CF6" w:rsidRPr="0068133B">
        <w:rPr>
          <w:lang w:val="ru-RU" w:eastAsia="en-US"/>
        </w:rPr>
        <w:t xml:space="preserve">го поручения </w:t>
      </w:r>
      <w:r w:rsidRPr="0068133B">
        <w:rPr>
          <w:lang w:val="ru-RU" w:eastAsia="en-US"/>
        </w:rPr>
        <w:t xml:space="preserve">Рабочей группы в настоящем документе </w:t>
      </w:r>
      <w:r w:rsidR="006B2D82" w:rsidRPr="0068133B">
        <w:rPr>
          <w:lang w:val="ru-RU" w:eastAsia="en-US"/>
        </w:rPr>
        <w:t xml:space="preserve">приводится сравнительный анализ структуры и размеров </w:t>
      </w:r>
      <w:r w:rsidR="000C1E39" w:rsidRPr="0068133B">
        <w:rPr>
          <w:lang w:val="ru-RU" w:eastAsia="en-US"/>
        </w:rPr>
        <w:t xml:space="preserve">пошлины за продление в национальных или региональных системах, допускающих подачу заявок на регистрацию нескольких образцов, </w:t>
      </w:r>
      <w:r w:rsidR="00CE3AA7" w:rsidRPr="0068133B">
        <w:rPr>
          <w:lang w:val="ru-RU" w:eastAsia="en-US"/>
        </w:rPr>
        <w:t xml:space="preserve">по аналогии с процедурой, </w:t>
      </w:r>
      <w:r w:rsidR="000C1E39" w:rsidRPr="0068133B">
        <w:rPr>
          <w:lang w:val="ru-RU" w:eastAsia="en-US"/>
        </w:rPr>
        <w:t>предусмотрен</w:t>
      </w:r>
      <w:r w:rsidR="00CE3AA7" w:rsidRPr="0068133B">
        <w:rPr>
          <w:lang w:val="ru-RU" w:eastAsia="en-US"/>
        </w:rPr>
        <w:t>ной в</w:t>
      </w:r>
      <w:r w:rsidR="00BD5F2A" w:rsidRPr="0068133B">
        <w:rPr>
          <w:lang w:val="ru-RU" w:eastAsia="en-US"/>
        </w:rPr>
        <w:t xml:space="preserve"> </w:t>
      </w:r>
      <w:r w:rsidR="000C1E39" w:rsidRPr="0068133B">
        <w:rPr>
          <w:lang w:val="ru-RU" w:eastAsia="en-US"/>
        </w:rPr>
        <w:t>Гаагской систем</w:t>
      </w:r>
      <w:r w:rsidR="00BD5F2A" w:rsidRPr="0068133B">
        <w:rPr>
          <w:lang w:val="ru-RU" w:eastAsia="en-US"/>
        </w:rPr>
        <w:t>е</w:t>
      </w:r>
      <w:r w:rsidR="000C1E39" w:rsidRPr="0068133B">
        <w:rPr>
          <w:lang w:val="ru-RU" w:eastAsia="en-US"/>
        </w:rPr>
        <w:t>.</w:t>
      </w:r>
      <w:r w:rsidR="00110E25" w:rsidRPr="0068133B">
        <w:rPr>
          <w:lang w:val="ru-RU" w:eastAsia="en-US"/>
        </w:rPr>
        <w:t xml:space="preserve">  </w:t>
      </w:r>
      <w:r w:rsidR="00E67876" w:rsidRPr="0068133B">
        <w:rPr>
          <w:lang w:val="ru-RU" w:eastAsia="en-US"/>
        </w:rPr>
        <w:t xml:space="preserve">Однако на данном этапе </w:t>
      </w:r>
      <w:r w:rsidR="00A128DF" w:rsidRPr="0068133B">
        <w:rPr>
          <w:lang w:val="ru-RU" w:eastAsia="en-US"/>
        </w:rPr>
        <w:t>не предпринимались попытки предлагать какие-либо поправки к Перечню пошлин и сборов.</w:t>
      </w:r>
    </w:p>
    <w:p w14:paraId="79867CA7" w14:textId="1912B934" w:rsidR="001A4488" w:rsidRPr="0068133B" w:rsidRDefault="008F7575" w:rsidP="00157CB8">
      <w:pPr>
        <w:pStyle w:val="Heading1"/>
        <w:spacing w:before="0"/>
        <w:rPr>
          <w:lang w:val="ru-RU"/>
        </w:rPr>
      </w:pPr>
      <w:r w:rsidRPr="0068133B">
        <w:rPr>
          <w:caps w:val="0"/>
        </w:rPr>
        <w:t>II</w:t>
      </w:r>
      <w:r w:rsidRPr="0068133B">
        <w:rPr>
          <w:caps w:val="0"/>
          <w:lang w:val="ru-RU"/>
        </w:rPr>
        <w:t>.</w:t>
      </w:r>
      <w:r w:rsidR="00637680" w:rsidRPr="0068133B">
        <w:rPr>
          <w:lang w:val="ru-RU"/>
        </w:rPr>
        <w:tab/>
      </w:r>
      <w:r w:rsidRPr="0068133B">
        <w:rPr>
          <w:lang w:val="ru-RU"/>
        </w:rPr>
        <w:t>ДЕЙСТВУЮЩАЯ СТРУКТУРА ПОШЛИН И ОСНОВНЫЕ ИСТОЧНИКИ ДОХОДА</w:t>
      </w:r>
    </w:p>
    <w:p w14:paraId="22F3B4F0" w14:textId="665E5D31" w:rsidR="006827C2" w:rsidRPr="0068133B" w:rsidRDefault="00C4178A" w:rsidP="00A10D89">
      <w:pPr>
        <w:pStyle w:val="BodyText"/>
        <w:tabs>
          <w:tab w:val="clear" w:pos="837"/>
        </w:tabs>
        <w:spacing w:before="240"/>
        <w:ind w:left="0"/>
        <w:rPr>
          <w:szCs w:val="22"/>
          <w:lang w:val="ru-RU"/>
        </w:rPr>
      </w:pPr>
      <w:r w:rsidRPr="0068133B">
        <w:rPr>
          <w:lang w:val="ru-RU"/>
        </w:rPr>
        <w:t xml:space="preserve">Перечень пошлин и сборов включает в себя несколько позиций: </w:t>
      </w:r>
      <w:r w:rsidR="00DE437B" w:rsidRPr="0068133B">
        <w:rPr>
          <w:lang w:val="ru-RU"/>
        </w:rPr>
        <w:t>так</w:t>
      </w:r>
      <w:r w:rsidRPr="0068133B">
        <w:rPr>
          <w:lang w:val="ru-RU"/>
        </w:rPr>
        <w:t>, Международному бюро перечисляются следующие виды пошлин:</w:t>
      </w:r>
    </w:p>
    <w:p w14:paraId="500986B7" w14:textId="3C33C3B8" w:rsidR="001A4488" w:rsidRPr="0068133B" w:rsidRDefault="00F31593" w:rsidP="00375320">
      <w:pPr>
        <w:pStyle w:val="BodyText"/>
        <w:numPr>
          <w:ilvl w:val="0"/>
          <w:numId w:val="43"/>
        </w:numPr>
        <w:ind w:left="993" w:hanging="426"/>
        <w:rPr>
          <w:szCs w:val="22"/>
          <w:lang w:val="ru-RU"/>
        </w:rPr>
      </w:pPr>
      <w:r w:rsidRPr="0068133B">
        <w:rPr>
          <w:lang w:val="ru-RU"/>
        </w:rPr>
        <w:t>основная пошлина за подачу международной заявки</w:t>
      </w:r>
      <w:r w:rsidR="001A4488" w:rsidRPr="0068133B">
        <w:rPr>
          <w:lang w:val="ru-RU"/>
        </w:rPr>
        <w:t xml:space="preserve"> (</w:t>
      </w:r>
      <w:r w:rsidR="0074605D" w:rsidRPr="0068133B">
        <w:rPr>
          <w:lang w:val="ru-RU"/>
        </w:rPr>
        <w:t>пункты</w:t>
      </w:r>
      <w:r w:rsidR="001A4488" w:rsidRPr="0068133B">
        <w:rPr>
          <w:szCs w:val="22"/>
          <w:lang w:val="ru-RU"/>
        </w:rPr>
        <w:t xml:space="preserve"> </w:t>
      </w:r>
      <w:r w:rsidR="001A4488" w:rsidRPr="0068133B">
        <w:rPr>
          <w:szCs w:val="22"/>
        </w:rPr>
        <w:t>I</w:t>
      </w:r>
      <w:r w:rsidR="001A4488" w:rsidRPr="0068133B">
        <w:rPr>
          <w:szCs w:val="22"/>
          <w:lang w:val="ru-RU"/>
        </w:rPr>
        <w:t>.1</w:t>
      </w:r>
      <w:r w:rsidR="0074605D" w:rsidRPr="0068133B">
        <w:rPr>
          <w:szCs w:val="22"/>
          <w:lang w:val="ru-RU"/>
        </w:rPr>
        <w:t>–</w:t>
      </w:r>
      <w:r w:rsidR="001A4488" w:rsidRPr="0068133B">
        <w:rPr>
          <w:szCs w:val="22"/>
        </w:rPr>
        <w:t>I</w:t>
      </w:r>
      <w:r w:rsidR="001A4488" w:rsidRPr="0068133B">
        <w:rPr>
          <w:szCs w:val="22"/>
          <w:lang w:val="ru-RU"/>
        </w:rPr>
        <w:t>.3);</w:t>
      </w:r>
    </w:p>
    <w:p w14:paraId="458E86BE" w14:textId="23CAF1D2" w:rsidR="001A4488" w:rsidRPr="0068133B" w:rsidRDefault="005D2E77" w:rsidP="00375320">
      <w:pPr>
        <w:pStyle w:val="BodyText"/>
        <w:numPr>
          <w:ilvl w:val="0"/>
          <w:numId w:val="43"/>
        </w:numPr>
        <w:ind w:left="993" w:hanging="426"/>
        <w:rPr>
          <w:bCs/>
          <w:szCs w:val="22"/>
          <w:u w:val="single"/>
          <w:lang w:val="ru-RU"/>
        </w:rPr>
      </w:pPr>
      <w:r w:rsidRPr="0068133B">
        <w:rPr>
          <w:bCs/>
          <w:szCs w:val="22"/>
          <w:lang w:val="ru-RU"/>
        </w:rPr>
        <w:t>основная пошлина за продление</w:t>
      </w:r>
      <w:r w:rsidR="001A4488" w:rsidRPr="0068133B">
        <w:rPr>
          <w:bCs/>
          <w:szCs w:val="22"/>
          <w:lang w:val="ru-RU"/>
        </w:rPr>
        <w:t xml:space="preserve"> (</w:t>
      </w:r>
      <w:r w:rsidRPr="0068133B">
        <w:rPr>
          <w:bCs/>
          <w:szCs w:val="22"/>
          <w:lang w:val="ru-RU"/>
        </w:rPr>
        <w:t>пункт</w:t>
      </w:r>
      <w:r w:rsidR="001A4488" w:rsidRPr="0068133B">
        <w:rPr>
          <w:bCs/>
          <w:szCs w:val="22"/>
          <w:lang w:val="ru-RU"/>
        </w:rPr>
        <w:t xml:space="preserve"> </w:t>
      </w:r>
      <w:r w:rsidR="001A4488" w:rsidRPr="0068133B">
        <w:rPr>
          <w:bCs/>
          <w:szCs w:val="22"/>
        </w:rPr>
        <w:t>III</w:t>
      </w:r>
      <w:r w:rsidR="001A4488" w:rsidRPr="0068133B">
        <w:rPr>
          <w:bCs/>
          <w:szCs w:val="22"/>
          <w:lang w:val="ru-RU"/>
        </w:rPr>
        <w:t xml:space="preserve">.7); </w:t>
      </w:r>
      <w:r w:rsidR="00854813" w:rsidRPr="0068133B">
        <w:rPr>
          <w:bCs/>
          <w:szCs w:val="22"/>
          <w:lang w:val="ru-RU"/>
        </w:rPr>
        <w:t xml:space="preserve"> </w:t>
      </w:r>
      <w:r w:rsidRPr="0068133B">
        <w:rPr>
          <w:bCs/>
          <w:szCs w:val="22"/>
          <w:lang w:val="ru-RU"/>
        </w:rPr>
        <w:t>и</w:t>
      </w:r>
    </w:p>
    <w:p w14:paraId="25666368" w14:textId="2E7E5EF0" w:rsidR="001A4488" w:rsidRPr="0068133B" w:rsidRDefault="00632DD4" w:rsidP="00375320">
      <w:pPr>
        <w:pStyle w:val="BodyText"/>
        <w:numPr>
          <w:ilvl w:val="0"/>
          <w:numId w:val="43"/>
        </w:numPr>
        <w:ind w:left="993" w:hanging="426"/>
        <w:rPr>
          <w:bCs/>
          <w:szCs w:val="22"/>
          <w:lang w:val="ru-RU"/>
        </w:rPr>
      </w:pPr>
      <w:r w:rsidRPr="0068133B">
        <w:rPr>
          <w:szCs w:val="22"/>
          <w:lang w:val="ru-RU"/>
        </w:rPr>
        <w:t>прочие пошлины</w:t>
      </w:r>
      <w:r w:rsidR="001A4488" w:rsidRPr="0068133B">
        <w:rPr>
          <w:bCs/>
          <w:szCs w:val="22"/>
          <w:lang w:val="ru-RU"/>
        </w:rPr>
        <w:t xml:space="preserve"> (</w:t>
      </w:r>
      <w:r w:rsidRPr="0068133B">
        <w:rPr>
          <w:bCs/>
          <w:szCs w:val="22"/>
          <w:lang w:val="ru-RU"/>
        </w:rPr>
        <w:t>пункты</w:t>
      </w:r>
      <w:r w:rsidR="001A4488" w:rsidRPr="0068133B">
        <w:rPr>
          <w:bCs/>
          <w:szCs w:val="22"/>
          <w:lang w:val="ru-RU"/>
        </w:rPr>
        <w:t xml:space="preserve"> </w:t>
      </w:r>
      <w:r w:rsidR="001A4488" w:rsidRPr="0068133B">
        <w:rPr>
          <w:bCs/>
          <w:szCs w:val="22"/>
        </w:rPr>
        <w:t>V</w:t>
      </w:r>
      <w:r w:rsidRPr="0068133B">
        <w:rPr>
          <w:bCs/>
          <w:szCs w:val="22"/>
          <w:lang w:val="ru-RU"/>
        </w:rPr>
        <w:t xml:space="preserve"> и</w:t>
      </w:r>
      <w:r w:rsidR="001A4488" w:rsidRPr="0068133B">
        <w:rPr>
          <w:bCs/>
          <w:szCs w:val="22"/>
          <w:lang w:val="ru-RU"/>
        </w:rPr>
        <w:t xml:space="preserve"> </w:t>
      </w:r>
      <w:r w:rsidR="001A4488" w:rsidRPr="0068133B">
        <w:rPr>
          <w:bCs/>
          <w:szCs w:val="22"/>
        </w:rPr>
        <w:t>VI</w:t>
      </w:r>
      <w:r w:rsidR="001A4488" w:rsidRPr="0068133B">
        <w:rPr>
          <w:bCs/>
          <w:szCs w:val="22"/>
          <w:lang w:val="ru-RU"/>
        </w:rPr>
        <w:t>).</w:t>
      </w:r>
    </w:p>
    <w:p w14:paraId="3F32E1FA" w14:textId="69B159A3" w:rsidR="006827C2" w:rsidRPr="0068133B" w:rsidRDefault="009D7579" w:rsidP="006827C2">
      <w:pPr>
        <w:pStyle w:val="BodyText"/>
        <w:tabs>
          <w:tab w:val="clear" w:pos="837"/>
        </w:tabs>
        <w:ind w:left="0"/>
        <w:rPr>
          <w:lang w:val="ru-RU"/>
        </w:rPr>
      </w:pPr>
      <w:r w:rsidRPr="0068133B">
        <w:rPr>
          <w:lang w:val="ru-RU"/>
        </w:rPr>
        <w:t>Основная пошлина за продление</w:t>
      </w:r>
      <w:r w:rsidR="00407B1F" w:rsidRPr="0068133B">
        <w:rPr>
          <w:lang w:val="ru-RU"/>
        </w:rPr>
        <w:t>, как и</w:t>
      </w:r>
      <w:r w:rsidRPr="0068133B">
        <w:rPr>
          <w:lang w:val="ru-RU"/>
        </w:rPr>
        <w:t xml:space="preserve"> основн</w:t>
      </w:r>
      <w:r w:rsidR="00407B1F" w:rsidRPr="0068133B">
        <w:rPr>
          <w:lang w:val="ru-RU"/>
        </w:rPr>
        <w:t>ая</w:t>
      </w:r>
      <w:r w:rsidRPr="0068133B">
        <w:rPr>
          <w:lang w:val="ru-RU"/>
        </w:rPr>
        <w:t xml:space="preserve"> пошлин</w:t>
      </w:r>
      <w:r w:rsidR="00407B1F" w:rsidRPr="0068133B">
        <w:rPr>
          <w:lang w:val="ru-RU"/>
        </w:rPr>
        <w:t>а</w:t>
      </w:r>
      <w:r w:rsidRPr="0068133B">
        <w:rPr>
          <w:lang w:val="ru-RU"/>
        </w:rPr>
        <w:t xml:space="preserve"> за подачу международной заявки</w:t>
      </w:r>
      <w:r w:rsidR="00407B1F" w:rsidRPr="0068133B">
        <w:rPr>
          <w:lang w:val="ru-RU"/>
        </w:rPr>
        <w:t>,</w:t>
      </w:r>
      <w:r w:rsidRPr="0068133B">
        <w:rPr>
          <w:lang w:val="ru-RU"/>
        </w:rPr>
        <w:t xml:space="preserve"> взимается за каждый образец</w:t>
      </w:r>
      <w:r w:rsidR="00407B1F" w:rsidRPr="0068133B">
        <w:rPr>
          <w:lang w:val="ru-RU"/>
        </w:rPr>
        <w:t>; аналогичная практика распространена и в национальных и региональных системах, в которых допускается подача нескольких образцов</w:t>
      </w:r>
      <w:r w:rsidR="002F6BA7" w:rsidRPr="0068133B">
        <w:rPr>
          <w:lang w:val="ru-RU"/>
        </w:rPr>
        <w:t xml:space="preserve"> в рамках одной заявки</w:t>
      </w:r>
      <w:r w:rsidR="006827C2" w:rsidRPr="0068133B">
        <w:rPr>
          <w:lang w:val="ru-RU"/>
        </w:rPr>
        <w:t xml:space="preserve">.  </w:t>
      </w:r>
      <w:r w:rsidR="007812B2" w:rsidRPr="0068133B">
        <w:rPr>
          <w:lang w:val="ru-RU"/>
        </w:rPr>
        <w:t xml:space="preserve">В настоящее время размер основной пошлины составляет 200 шв. франков за </w:t>
      </w:r>
      <w:r w:rsidR="00F621B7" w:rsidRPr="0068133B">
        <w:rPr>
          <w:lang w:val="ru-RU"/>
        </w:rPr>
        <w:t>один</w:t>
      </w:r>
      <w:r w:rsidR="007812B2" w:rsidRPr="0068133B">
        <w:rPr>
          <w:lang w:val="ru-RU"/>
        </w:rPr>
        <w:t xml:space="preserve"> образец и 17 шв. франков за каждый дополнительный образец</w:t>
      </w:r>
      <w:r w:rsidR="00B055CC" w:rsidRPr="0068133B">
        <w:rPr>
          <w:lang w:val="ru-RU"/>
        </w:rPr>
        <w:t>.</w:t>
      </w:r>
    </w:p>
    <w:p w14:paraId="0928D99B" w14:textId="6DCB786B" w:rsidR="006827C2" w:rsidRPr="0068133B" w:rsidRDefault="00F22C41" w:rsidP="006827C2">
      <w:pPr>
        <w:pStyle w:val="BodyText"/>
        <w:tabs>
          <w:tab w:val="clear" w:pos="837"/>
        </w:tabs>
        <w:ind w:left="0"/>
        <w:rPr>
          <w:lang w:val="ru-RU"/>
        </w:rPr>
      </w:pPr>
      <w:r w:rsidRPr="0068133B">
        <w:rPr>
          <w:lang w:val="ru-RU"/>
        </w:rPr>
        <w:t xml:space="preserve">Как указано в следующей таблице, </w:t>
      </w:r>
      <w:r w:rsidR="00397E91" w:rsidRPr="0068133B">
        <w:rPr>
          <w:lang w:val="ru-RU"/>
        </w:rPr>
        <w:t>доход, полученный в 2019</w:t>
      </w:r>
      <w:r w:rsidR="00397E91" w:rsidRPr="0068133B">
        <w:t> </w:t>
      </w:r>
      <w:r w:rsidR="00397E91" w:rsidRPr="0068133B">
        <w:rPr>
          <w:lang w:val="ru-RU"/>
        </w:rPr>
        <w:t xml:space="preserve">г. в виде основной пошлины за продление, </w:t>
      </w:r>
      <w:r w:rsidR="00035D6C" w:rsidRPr="0068133B">
        <w:rPr>
          <w:lang w:val="ru-RU"/>
        </w:rPr>
        <w:t xml:space="preserve">составил </w:t>
      </w:r>
      <w:r w:rsidR="00397E91" w:rsidRPr="0068133B">
        <w:rPr>
          <w:lang w:val="ru-RU"/>
        </w:rPr>
        <w:t xml:space="preserve">порядка </w:t>
      </w:r>
      <w:r w:rsidR="009A258D" w:rsidRPr="0068133B">
        <w:rPr>
          <w:lang w:val="ru-RU"/>
        </w:rPr>
        <w:t>939</w:t>
      </w:r>
      <w:r w:rsidR="00397E91" w:rsidRPr="0068133B">
        <w:rPr>
          <w:lang w:val="ru-RU"/>
        </w:rPr>
        <w:t> </w:t>
      </w:r>
      <w:r w:rsidR="009A258D" w:rsidRPr="0068133B">
        <w:rPr>
          <w:lang w:val="ru-RU"/>
        </w:rPr>
        <w:t xml:space="preserve">000 </w:t>
      </w:r>
      <w:r w:rsidR="00397E91" w:rsidRPr="0068133B">
        <w:rPr>
          <w:lang w:val="ru-RU"/>
        </w:rPr>
        <w:t xml:space="preserve">шв. фраков, </w:t>
      </w:r>
      <w:r w:rsidR="00035D6C" w:rsidRPr="0068133B">
        <w:rPr>
          <w:lang w:val="ru-RU"/>
        </w:rPr>
        <w:t>или</w:t>
      </w:r>
      <w:r w:rsidR="00397E91" w:rsidRPr="0068133B">
        <w:rPr>
          <w:lang w:val="ru-RU"/>
        </w:rPr>
        <w:t xml:space="preserve"> </w:t>
      </w:r>
      <w:r w:rsidR="009A258D" w:rsidRPr="0068133B">
        <w:rPr>
          <w:lang w:val="ru-RU"/>
        </w:rPr>
        <w:t>18</w:t>
      </w:r>
      <w:r w:rsidR="00397E91" w:rsidRPr="0068133B">
        <w:rPr>
          <w:lang w:val="ru-RU"/>
        </w:rPr>
        <w:t>,</w:t>
      </w:r>
      <w:r w:rsidR="009A258D" w:rsidRPr="0068133B">
        <w:rPr>
          <w:lang w:val="ru-RU"/>
        </w:rPr>
        <w:t>2</w:t>
      </w:r>
      <w:r w:rsidR="00397E91" w:rsidRPr="0068133B">
        <w:rPr>
          <w:lang w:val="ru-RU"/>
        </w:rPr>
        <w:t xml:space="preserve"> процента от общего размера дохода Гаагской системы</w:t>
      </w:r>
      <w:r w:rsidR="009A258D" w:rsidRPr="0068133B">
        <w:rPr>
          <w:lang w:val="ru-RU"/>
        </w:rPr>
        <w:t xml:space="preserve">.  </w:t>
      </w:r>
      <w:r w:rsidR="00BE2CC4" w:rsidRPr="0068133B">
        <w:rPr>
          <w:lang w:val="ru-RU"/>
        </w:rPr>
        <w:t>Основная пошлина за продление является вторым по значимости источником дохода после основной пошлины за подачу международной заявки</w:t>
      </w:r>
      <w:r w:rsidR="009A258D" w:rsidRPr="0068133B">
        <w:rPr>
          <w:lang w:val="ru-RU"/>
        </w:rPr>
        <w:t xml:space="preserve"> (</w:t>
      </w:r>
      <w:r w:rsidR="00BE2CC4" w:rsidRPr="0068133B">
        <w:rPr>
          <w:lang w:val="ru-RU"/>
        </w:rPr>
        <w:t xml:space="preserve">на ее долю приходится </w:t>
      </w:r>
      <w:r w:rsidR="00854813" w:rsidRPr="0068133B">
        <w:rPr>
          <w:lang w:val="ru-RU"/>
        </w:rPr>
        <w:t>77</w:t>
      </w:r>
      <w:r w:rsidR="00BE2CC4" w:rsidRPr="0068133B">
        <w:rPr>
          <w:lang w:val="ru-RU"/>
        </w:rPr>
        <w:t>,</w:t>
      </w:r>
      <w:r w:rsidR="00854813" w:rsidRPr="0068133B">
        <w:rPr>
          <w:lang w:val="ru-RU"/>
        </w:rPr>
        <w:t xml:space="preserve">2 </w:t>
      </w:r>
      <w:r w:rsidR="00BE2CC4" w:rsidRPr="0068133B">
        <w:rPr>
          <w:lang w:val="ru-RU"/>
        </w:rPr>
        <w:t>процента общего дохода</w:t>
      </w:r>
      <w:r w:rsidR="00125D34" w:rsidRPr="0068133B">
        <w:rPr>
          <w:lang w:val="ru-RU"/>
        </w:rPr>
        <w:t>)</w:t>
      </w:r>
      <w:r w:rsidR="004F0E54" w:rsidRPr="0068133B">
        <w:rPr>
          <w:lang w:val="ru-RU"/>
        </w:rPr>
        <w:t>.</w:t>
      </w:r>
    </w:p>
    <w:p w14:paraId="0DA45B00" w14:textId="6D12A91F" w:rsidR="00686A65" w:rsidRPr="0068133B" w:rsidRDefault="00686A65">
      <w:pPr>
        <w:rPr>
          <w:lang w:val="ru-RU"/>
        </w:rPr>
      </w:pPr>
      <w:r w:rsidRPr="0068133B">
        <w:rPr>
          <w:lang w:val="ru-RU"/>
        </w:rPr>
        <w:br w:type="page"/>
      </w:r>
    </w:p>
    <w:p w14:paraId="44C82306" w14:textId="76FF138A" w:rsidR="006827C2" w:rsidRPr="0068133B" w:rsidRDefault="0035023C" w:rsidP="00311310">
      <w:pPr>
        <w:pStyle w:val="ONUME"/>
        <w:keepNext/>
        <w:keepLines/>
        <w:numPr>
          <w:ilvl w:val="0"/>
          <w:numId w:val="0"/>
        </w:numPr>
        <w:spacing w:after="240"/>
        <w:jc w:val="center"/>
        <w:rPr>
          <w:lang w:val="ru-RU"/>
        </w:rPr>
      </w:pPr>
      <w:r w:rsidRPr="0068133B">
        <w:rPr>
          <w:lang w:val="ru-RU"/>
        </w:rPr>
        <w:lastRenderedPageBreak/>
        <w:t>Гаагская система: пошлины и доход от них в</w:t>
      </w:r>
      <w:r w:rsidR="00CB600E" w:rsidRPr="0068133B">
        <w:rPr>
          <w:lang w:val="ru-RU"/>
        </w:rPr>
        <w:t xml:space="preserve"> 201</w:t>
      </w:r>
      <w:r w:rsidRPr="0068133B">
        <w:rPr>
          <w:lang w:val="ru-RU"/>
        </w:rPr>
        <w:t>9 г.</w:t>
      </w:r>
      <w:r w:rsidR="004F0E54" w:rsidRPr="0068133B">
        <w:rPr>
          <w:vertAlign w:val="superscript"/>
        </w:rPr>
        <w:footnoteReference w:id="3"/>
      </w:r>
    </w:p>
    <w:tbl>
      <w:tblPr>
        <w:tblStyle w:val="TableGrid"/>
        <w:tblW w:w="9176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541"/>
        <w:gridCol w:w="4099"/>
        <w:gridCol w:w="2020"/>
        <w:gridCol w:w="1170"/>
        <w:gridCol w:w="1346"/>
      </w:tblGrid>
      <w:tr w:rsidR="006827C2" w:rsidRPr="0068133B" w14:paraId="5A33F72A" w14:textId="77777777" w:rsidTr="00C8323F">
        <w:tc>
          <w:tcPr>
            <w:tcW w:w="4640" w:type="dxa"/>
            <w:gridSpan w:val="2"/>
          </w:tcPr>
          <w:p w14:paraId="4CF4803C" w14:textId="69E3349F" w:rsidR="006827C2" w:rsidRPr="0068133B" w:rsidRDefault="00CD2F58" w:rsidP="00311310">
            <w:pPr>
              <w:keepNext/>
              <w:keepLines/>
              <w:rPr>
                <w:sz w:val="18"/>
              </w:rPr>
            </w:pPr>
            <w:r w:rsidRPr="0068133B">
              <w:rPr>
                <w:sz w:val="18"/>
                <w:lang w:val="ru-RU"/>
              </w:rPr>
              <w:t>Пошлины</w:t>
            </w:r>
            <w:r w:rsidRPr="0068133B">
              <w:rPr>
                <w:sz w:val="18"/>
              </w:rPr>
              <w:t xml:space="preserve">, </w:t>
            </w:r>
            <w:r w:rsidRPr="0068133B">
              <w:rPr>
                <w:sz w:val="18"/>
                <w:lang w:val="ru-RU"/>
              </w:rPr>
              <w:t>уплачиваемые</w:t>
            </w:r>
            <w:r w:rsidRPr="0068133B">
              <w:rPr>
                <w:sz w:val="18"/>
              </w:rPr>
              <w:t xml:space="preserve"> </w:t>
            </w:r>
            <w:r w:rsidRPr="0068133B">
              <w:rPr>
                <w:sz w:val="18"/>
                <w:lang w:val="ru-RU"/>
              </w:rPr>
              <w:t>Международному</w:t>
            </w:r>
            <w:r w:rsidRPr="0068133B">
              <w:rPr>
                <w:sz w:val="18"/>
              </w:rPr>
              <w:t xml:space="preserve"> </w:t>
            </w:r>
            <w:r w:rsidRPr="0068133B">
              <w:rPr>
                <w:sz w:val="18"/>
                <w:lang w:val="ru-RU"/>
              </w:rPr>
              <w:t>бюро</w:t>
            </w:r>
          </w:p>
        </w:tc>
        <w:tc>
          <w:tcPr>
            <w:tcW w:w="2020" w:type="dxa"/>
          </w:tcPr>
          <w:p w14:paraId="5AE85C94" w14:textId="698F1A0A" w:rsidR="006827C2" w:rsidRPr="0068133B" w:rsidRDefault="00975AC1" w:rsidP="00311310">
            <w:pPr>
              <w:keepNext/>
              <w:keepLines/>
              <w:jc w:val="center"/>
              <w:rPr>
                <w:sz w:val="18"/>
              </w:rPr>
            </w:pPr>
            <w:r w:rsidRPr="0068133B">
              <w:rPr>
                <w:sz w:val="18"/>
                <w:lang w:val="ru-RU"/>
              </w:rPr>
              <w:t>Численность</w:t>
            </w:r>
            <w:r w:rsidR="006827C2" w:rsidRPr="0068133B">
              <w:rPr>
                <w:rStyle w:val="FootnoteReference"/>
                <w:rFonts w:eastAsia="MS Mincho"/>
                <w:color w:val="000000"/>
                <w:lang w:eastAsia="en-US"/>
              </w:rPr>
              <w:footnoteReference w:id="4"/>
            </w:r>
          </w:p>
        </w:tc>
        <w:tc>
          <w:tcPr>
            <w:tcW w:w="1170" w:type="dxa"/>
          </w:tcPr>
          <w:p w14:paraId="1F34915A" w14:textId="063646F5" w:rsidR="006827C2" w:rsidRPr="0068133B" w:rsidRDefault="000C1F99" w:rsidP="00311310">
            <w:pPr>
              <w:keepNext/>
              <w:keepLines/>
              <w:jc w:val="center"/>
              <w:rPr>
                <w:sz w:val="18"/>
              </w:rPr>
            </w:pPr>
            <w:r w:rsidRPr="0068133B">
              <w:rPr>
                <w:sz w:val="18"/>
                <w:lang w:val="ru-RU"/>
              </w:rPr>
              <w:t>Сумма</w:t>
            </w:r>
            <w:r w:rsidR="006827C2" w:rsidRPr="0068133B">
              <w:rPr>
                <w:rStyle w:val="FootnoteReference"/>
                <w:rFonts w:eastAsia="MS Mincho"/>
                <w:color w:val="000000"/>
                <w:lang w:eastAsia="en-US"/>
              </w:rPr>
              <w:footnoteReference w:id="5"/>
            </w:r>
          </w:p>
        </w:tc>
        <w:tc>
          <w:tcPr>
            <w:tcW w:w="1346" w:type="dxa"/>
          </w:tcPr>
          <w:p w14:paraId="3EB8FFA3" w14:textId="48D1C934" w:rsidR="006827C2" w:rsidRPr="0068133B" w:rsidRDefault="000C1F99" w:rsidP="00311310">
            <w:pPr>
              <w:keepNext/>
              <w:keepLines/>
              <w:jc w:val="center"/>
              <w:rPr>
                <w:sz w:val="18"/>
              </w:rPr>
            </w:pPr>
            <w:r w:rsidRPr="0068133B">
              <w:rPr>
                <w:sz w:val="18"/>
                <w:lang w:val="ru-RU"/>
              </w:rPr>
              <w:t>Доля</w:t>
            </w:r>
          </w:p>
        </w:tc>
      </w:tr>
      <w:tr w:rsidR="006827C2" w:rsidRPr="0068133B" w14:paraId="20B9A8BF" w14:textId="77777777" w:rsidTr="00C8323F">
        <w:tc>
          <w:tcPr>
            <w:tcW w:w="4640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169DF621" w14:textId="31DA538E" w:rsidR="006827C2" w:rsidRPr="0068133B" w:rsidRDefault="00975AC1" w:rsidP="00975AC1">
            <w:pPr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Международные заявки</w:t>
            </w:r>
            <w:r w:rsidR="006827C2" w:rsidRPr="0068133B">
              <w:rPr>
                <w:sz w:val="18"/>
                <w:lang w:val="ru-RU"/>
              </w:rPr>
              <w:t xml:space="preserve"> (</w:t>
            </w:r>
            <w:r w:rsidRPr="0068133B">
              <w:rPr>
                <w:sz w:val="18"/>
                <w:lang w:val="ru-RU"/>
              </w:rPr>
              <w:t>пункты</w:t>
            </w:r>
            <w:r w:rsidR="006827C2" w:rsidRPr="0068133B">
              <w:rPr>
                <w:sz w:val="18"/>
                <w:lang w:val="ru-RU"/>
              </w:rPr>
              <w:t xml:space="preserve"> </w:t>
            </w:r>
            <w:r w:rsidR="006827C2" w:rsidRPr="0068133B">
              <w:rPr>
                <w:sz w:val="18"/>
              </w:rPr>
              <w:t>I</w:t>
            </w:r>
            <w:r w:rsidR="006827C2" w:rsidRPr="0068133B">
              <w:rPr>
                <w:sz w:val="18"/>
                <w:lang w:val="ru-RU"/>
              </w:rPr>
              <w:t>.1</w:t>
            </w:r>
            <w:r w:rsidRPr="0068133B">
              <w:rPr>
                <w:sz w:val="18"/>
                <w:lang w:val="ru-RU"/>
              </w:rPr>
              <w:t>–</w:t>
            </w:r>
            <w:r w:rsidR="006827C2" w:rsidRPr="0068133B">
              <w:rPr>
                <w:sz w:val="18"/>
                <w:lang w:val="ru-RU"/>
              </w:rPr>
              <w:t>3)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44F80ABB" w14:textId="7FE3CDEF" w:rsidR="006827C2" w:rsidRPr="0068133B" w:rsidRDefault="00447F7B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5</w:t>
            </w:r>
            <w:r w:rsidR="00975AC1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042</w:t>
            </w:r>
            <w:r w:rsidR="00975AC1" w:rsidRPr="0068133B">
              <w:rPr>
                <w:sz w:val="18"/>
                <w:lang w:val="ru-RU"/>
              </w:rPr>
              <w:t xml:space="preserve"> заявки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AC0915B" w14:textId="44C88E84" w:rsidR="006827C2" w:rsidRPr="0068133B" w:rsidRDefault="00447F7B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3</w:t>
            </w:r>
            <w:r w:rsidR="00975AC1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972</w:t>
            </w:r>
          </w:p>
        </w:tc>
        <w:tc>
          <w:tcPr>
            <w:tcW w:w="1346" w:type="dxa"/>
            <w:shd w:val="clear" w:color="auto" w:fill="C6D9F1" w:themeFill="text2" w:themeFillTint="33"/>
          </w:tcPr>
          <w:p w14:paraId="48953FB4" w14:textId="52251953" w:rsidR="006827C2" w:rsidRPr="0068133B" w:rsidRDefault="00BF05B4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77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2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6815A834" w14:textId="77777777" w:rsidTr="00C8323F">
        <w:tc>
          <w:tcPr>
            <w:tcW w:w="541" w:type="dxa"/>
            <w:vMerge w:val="restart"/>
            <w:tcBorders>
              <w:top w:val="nil"/>
            </w:tcBorders>
          </w:tcPr>
          <w:p w14:paraId="0D8B5E63" w14:textId="77777777" w:rsidR="006827C2" w:rsidRPr="0068133B" w:rsidRDefault="006827C2" w:rsidP="00910B78">
            <w:pPr>
              <w:rPr>
                <w:sz w:val="18"/>
              </w:rPr>
            </w:pPr>
          </w:p>
        </w:tc>
        <w:tc>
          <w:tcPr>
            <w:tcW w:w="4099" w:type="dxa"/>
          </w:tcPr>
          <w:p w14:paraId="36B0BBE1" w14:textId="6F262FAE" w:rsidR="006827C2" w:rsidRPr="0068133B" w:rsidRDefault="006549F1" w:rsidP="006549F1">
            <w:pPr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Основная пошлина за первый образец</w:t>
            </w:r>
          </w:p>
        </w:tc>
        <w:tc>
          <w:tcPr>
            <w:tcW w:w="2020" w:type="dxa"/>
          </w:tcPr>
          <w:p w14:paraId="35247E41" w14:textId="439B6BE1" w:rsidR="006827C2" w:rsidRPr="0068133B" w:rsidRDefault="00975AC1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5 </w:t>
            </w:r>
            <w:r w:rsidR="00447F7B" w:rsidRPr="0068133B">
              <w:rPr>
                <w:sz w:val="18"/>
              </w:rPr>
              <w:t>042</w:t>
            </w:r>
            <w:r w:rsidRPr="0068133B">
              <w:rPr>
                <w:sz w:val="18"/>
                <w:lang w:val="ru-RU"/>
              </w:rPr>
              <w:t xml:space="preserve"> образца</w:t>
            </w:r>
          </w:p>
        </w:tc>
        <w:tc>
          <w:tcPr>
            <w:tcW w:w="1170" w:type="dxa"/>
          </w:tcPr>
          <w:p w14:paraId="540C6372" w14:textId="26FC06A3" w:rsidR="006827C2" w:rsidRPr="0068133B" w:rsidRDefault="00447F7B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1</w:t>
            </w:r>
            <w:r w:rsidR="00975AC1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998</w:t>
            </w:r>
          </w:p>
        </w:tc>
        <w:tc>
          <w:tcPr>
            <w:tcW w:w="1346" w:type="dxa"/>
          </w:tcPr>
          <w:p w14:paraId="7A4FF277" w14:textId="3C4FB925" w:rsidR="006827C2" w:rsidRPr="0068133B" w:rsidRDefault="00D22D6F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38</w:t>
            </w:r>
            <w:r w:rsidR="00975AC1" w:rsidRPr="0068133B">
              <w:rPr>
                <w:sz w:val="18"/>
                <w:lang w:val="ru-RU"/>
              </w:rPr>
              <w:t>,</w:t>
            </w:r>
            <w:r w:rsidR="006827C2" w:rsidRPr="0068133B">
              <w:rPr>
                <w:sz w:val="18"/>
              </w:rPr>
              <w:t>4%</w:t>
            </w:r>
          </w:p>
        </w:tc>
      </w:tr>
      <w:tr w:rsidR="006827C2" w:rsidRPr="0068133B" w14:paraId="276D7D1D" w14:textId="77777777" w:rsidTr="00C8323F">
        <w:tc>
          <w:tcPr>
            <w:tcW w:w="541" w:type="dxa"/>
            <w:vMerge/>
          </w:tcPr>
          <w:p w14:paraId="21E2BF2A" w14:textId="77777777" w:rsidR="006827C2" w:rsidRPr="0068133B" w:rsidRDefault="006827C2" w:rsidP="00910B78">
            <w:pPr>
              <w:rPr>
                <w:sz w:val="18"/>
              </w:rPr>
            </w:pPr>
          </w:p>
        </w:tc>
        <w:tc>
          <w:tcPr>
            <w:tcW w:w="4099" w:type="dxa"/>
          </w:tcPr>
          <w:p w14:paraId="12CC73CB" w14:textId="4761F535" w:rsidR="006827C2" w:rsidRPr="0068133B" w:rsidRDefault="006549F1" w:rsidP="006549F1">
            <w:pPr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Основная пошлина за дополнительные образцы</w:t>
            </w:r>
          </w:p>
        </w:tc>
        <w:tc>
          <w:tcPr>
            <w:tcW w:w="2020" w:type="dxa"/>
          </w:tcPr>
          <w:p w14:paraId="4882FBCD" w14:textId="0429F9D7" w:rsidR="006827C2" w:rsidRPr="0068133B" w:rsidRDefault="00447F7B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13</w:t>
            </w:r>
            <w:r w:rsidR="00975AC1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493</w:t>
            </w:r>
            <w:r w:rsidR="00975AC1" w:rsidRPr="0068133B">
              <w:rPr>
                <w:sz w:val="18"/>
                <w:lang w:val="ru-RU"/>
              </w:rPr>
              <w:t xml:space="preserve"> образца</w:t>
            </w:r>
          </w:p>
        </w:tc>
        <w:tc>
          <w:tcPr>
            <w:tcW w:w="1170" w:type="dxa"/>
          </w:tcPr>
          <w:p w14:paraId="6402C522" w14:textId="2D0072E3" w:rsidR="006827C2" w:rsidRPr="0068133B" w:rsidRDefault="00447F7B" w:rsidP="00910B78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256</w:t>
            </w:r>
          </w:p>
        </w:tc>
        <w:tc>
          <w:tcPr>
            <w:tcW w:w="1346" w:type="dxa"/>
          </w:tcPr>
          <w:p w14:paraId="59518523" w14:textId="6A89BB76" w:rsidR="006827C2" w:rsidRPr="0068133B" w:rsidRDefault="00D22D6F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5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0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66339F6D" w14:textId="77777777" w:rsidTr="00C8323F">
        <w:tc>
          <w:tcPr>
            <w:tcW w:w="541" w:type="dxa"/>
            <w:vMerge/>
          </w:tcPr>
          <w:p w14:paraId="2E657C81" w14:textId="77777777" w:rsidR="006827C2" w:rsidRPr="0068133B" w:rsidRDefault="006827C2" w:rsidP="00910B78">
            <w:pPr>
              <w:rPr>
                <w:sz w:val="18"/>
              </w:rPr>
            </w:pPr>
          </w:p>
        </w:tc>
        <w:tc>
          <w:tcPr>
            <w:tcW w:w="4099" w:type="dxa"/>
          </w:tcPr>
          <w:p w14:paraId="066638D5" w14:textId="5897DD54" w:rsidR="006827C2" w:rsidRPr="0068133B" w:rsidRDefault="000A7797" w:rsidP="00BA7696">
            <w:pPr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 xml:space="preserve">Пошлина за публикацию </w:t>
            </w:r>
            <w:r w:rsidR="00BA7696" w:rsidRPr="0068133B">
              <w:rPr>
                <w:sz w:val="18"/>
                <w:lang w:val="ru-RU"/>
              </w:rPr>
              <w:t>за каждое изображение</w:t>
            </w:r>
          </w:p>
        </w:tc>
        <w:tc>
          <w:tcPr>
            <w:tcW w:w="2020" w:type="dxa"/>
          </w:tcPr>
          <w:p w14:paraId="1A9F004C" w14:textId="20465384" w:rsidR="006827C2" w:rsidRPr="0068133B" w:rsidRDefault="00447F7B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94</w:t>
            </w:r>
            <w:r w:rsidR="00975AC1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765</w:t>
            </w:r>
            <w:r w:rsidR="00975AC1" w:rsidRPr="0068133B">
              <w:rPr>
                <w:sz w:val="18"/>
                <w:lang w:val="ru-RU"/>
              </w:rPr>
              <w:t xml:space="preserve"> изображений</w:t>
            </w:r>
          </w:p>
        </w:tc>
        <w:tc>
          <w:tcPr>
            <w:tcW w:w="1170" w:type="dxa"/>
          </w:tcPr>
          <w:p w14:paraId="60DB30EF" w14:textId="2447A4B8" w:rsidR="006827C2" w:rsidRPr="0068133B" w:rsidRDefault="00447F7B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1</w:t>
            </w:r>
            <w:r w:rsidR="00975AC1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611</w:t>
            </w:r>
          </w:p>
        </w:tc>
        <w:tc>
          <w:tcPr>
            <w:tcW w:w="1346" w:type="dxa"/>
          </w:tcPr>
          <w:p w14:paraId="53F12C0C" w14:textId="5BDAFBCC" w:rsidR="006827C2" w:rsidRPr="0068133B" w:rsidRDefault="00D22D6F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31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3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39268983" w14:textId="77777777" w:rsidTr="00C8323F">
        <w:trPr>
          <w:trHeight w:val="285"/>
        </w:trPr>
        <w:tc>
          <w:tcPr>
            <w:tcW w:w="541" w:type="dxa"/>
            <w:vMerge/>
          </w:tcPr>
          <w:p w14:paraId="6577F4FB" w14:textId="77777777" w:rsidR="006827C2" w:rsidRPr="0068133B" w:rsidRDefault="006827C2" w:rsidP="00910B78">
            <w:pPr>
              <w:rPr>
                <w:sz w:val="18"/>
              </w:rPr>
            </w:pPr>
          </w:p>
        </w:tc>
        <w:tc>
          <w:tcPr>
            <w:tcW w:w="4099" w:type="dxa"/>
          </w:tcPr>
          <w:p w14:paraId="45FE3FF6" w14:textId="54ACFA30" w:rsidR="006827C2" w:rsidRPr="0068133B" w:rsidRDefault="00BA7696" w:rsidP="00BA7696">
            <w:pPr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Пошлина за публикацию за каждую страницу</w:t>
            </w:r>
            <w:r w:rsidR="006827C2" w:rsidRPr="0068133B">
              <w:rPr>
                <w:sz w:val="18"/>
                <w:lang w:val="ru-RU"/>
              </w:rPr>
              <w:t xml:space="preserve"> (</w:t>
            </w:r>
            <w:r w:rsidRPr="0068133B">
              <w:rPr>
                <w:sz w:val="18"/>
                <w:lang w:val="ru-RU"/>
              </w:rPr>
              <w:t>подача в бумажном виде</w:t>
            </w:r>
            <w:r w:rsidR="006827C2" w:rsidRPr="0068133B">
              <w:rPr>
                <w:sz w:val="18"/>
                <w:lang w:val="ru-RU"/>
              </w:rPr>
              <w:t>)</w:t>
            </w:r>
          </w:p>
        </w:tc>
        <w:tc>
          <w:tcPr>
            <w:tcW w:w="2020" w:type="dxa"/>
          </w:tcPr>
          <w:p w14:paraId="45E8A718" w14:textId="50B294AA" w:rsidR="006827C2" w:rsidRPr="0068133B" w:rsidRDefault="00447F7B" w:rsidP="008D691F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233</w:t>
            </w:r>
            <w:r w:rsidR="006827C2" w:rsidRPr="0068133B">
              <w:rPr>
                <w:sz w:val="18"/>
              </w:rPr>
              <w:t xml:space="preserve"> </w:t>
            </w:r>
            <w:r w:rsidR="008D691F" w:rsidRPr="0068133B">
              <w:rPr>
                <w:sz w:val="18"/>
                <w:lang w:val="ru-RU"/>
              </w:rPr>
              <w:t>страницы</w:t>
            </w:r>
          </w:p>
        </w:tc>
        <w:tc>
          <w:tcPr>
            <w:tcW w:w="1170" w:type="dxa"/>
          </w:tcPr>
          <w:p w14:paraId="095F1EAF" w14:textId="734C09BF" w:rsidR="006827C2" w:rsidRPr="0068133B" w:rsidRDefault="00447F7B" w:rsidP="00910B78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35</w:t>
            </w:r>
          </w:p>
        </w:tc>
        <w:tc>
          <w:tcPr>
            <w:tcW w:w="1346" w:type="dxa"/>
          </w:tcPr>
          <w:p w14:paraId="2128E6AF" w14:textId="7E86C65F" w:rsidR="006827C2" w:rsidRPr="0068133B" w:rsidRDefault="00D22D6F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0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7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18F57A54" w14:textId="77777777" w:rsidTr="00C8323F">
        <w:trPr>
          <w:trHeight w:val="221"/>
        </w:trPr>
        <w:tc>
          <w:tcPr>
            <w:tcW w:w="541" w:type="dxa"/>
            <w:vMerge/>
          </w:tcPr>
          <w:p w14:paraId="16763A70" w14:textId="77777777" w:rsidR="006827C2" w:rsidRPr="0068133B" w:rsidRDefault="006827C2" w:rsidP="00910B78">
            <w:pPr>
              <w:rPr>
                <w:sz w:val="18"/>
              </w:rPr>
            </w:pPr>
          </w:p>
        </w:tc>
        <w:tc>
          <w:tcPr>
            <w:tcW w:w="4099" w:type="dxa"/>
          </w:tcPr>
          <w:p w14:paraId="50AC97FA" w14:textId="7565C56D" w:rsidR="006827C2" w:rsidRPr="0068133B" w:rsidRDefault="00EA39FB" w:rsidP="00EA39FB">
            <w:pPr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 xml:space="preserve">Дополнительная пошлина за описание за каждое слово сверх </w:t>
            </w:r>
            <w:r w:rsidR="006827C2" w:rsidRPr="0068133B">
              <w:rPr>
                <w:sz w:val="18"/>
                <w:lang w:val="ru-RU"/>
              </w:rPr>
              <w:t>100</w:t>
            </w:r>
            <w:r w:rsidRPr="0068133B">
              <w:rPr>
                <w:sz w:val="18"/>
                <w:lang w:val="ru-RU"/>
              </w:rPr>
              <w:t xml:space="preserve"> слов</w:t>
            </w:r>
          </w:p>
        </w:tc>
        <w:tc>
          <w:tcPr>
            <w:tcW w:w="2020" w:type="dxa"/>
          </w:tcPr>
          <w:p w14:paraId="084F41FE" w14:textId="12815E6B" w:rsidR="006827C2" w:rsidRPr="0068133B" w:rsidRDefault="00447F7B" w:rsidP="008D691F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28</w:t>
            </w:r>
            <w:r w:rsidR="008D691F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500</w:t>
            </w:r>
            <w:r w:rsidR="008D691F" w:rsidRPr="0068133B">
              <w:rPr>
                <w:sz w:val="18"/>
                <w:lang w:val="ru-RU"/>
              </w:rPr>
              <w:t xml:space="preserve"> слов</w:t>
            </w:r>
          </w:p>
        </w:tc>
        <w:tc>
          <w:tcPr>
            <w:tcW w:w="1170" w:type="dxa"/>
          </w:tcPr>
          <w:p w14:paraId="63A35D87" w14:textId="03DBA134" w:rsidR="006827C2" w:rsidRPr="0068133B" w:rsidRDefault="00447F7B" w:rsidP="00910B78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57</w:t>
            </w:r>
          </w:p>
        </w:tc>
        <w:tc>
          <w:tcPr>
            <w:tcW w:w="1346" w:type="dxa"/>
          </w:tcPr>
          <w:p w14:paraId="0D47DCFC" w14:textId="11A0F879" w:rsidR="006827C2" w:rsidRPr="0068133B" w:rsidRDefault="00D82E6E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1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1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3C97C39C" w14:textId="77777777" w:rsidTr="00C8323F">
        <w:trPr>
          <w:trHeight w:val="208"/>
        </w:trPr>
        <w:tc>
          <w:tcPr>
            <w:tcW w:w="541" w:type="dxa"/>
            <w:vMerge/>
          </w:tcPr>
          <w:p w14:paraId="1C62A6A2" w14:textId="77777777" w:rsidR="006827C2" w:rsidRPr="0068133B" w:rsidRDefault="006827C2" w:rsidP="00910B78">
            <w:pPr>
              <w:rPr>
                <w:sz w:val="18"/>
              </w:rPr>
            </w:pPr>
          </w:p>
        </w:tc>
        <w:tc>
          <w:tcPr>
            <w:tcW w:w="4099" w:type="dxa"/>
          </w:tcPr>
          <w:p w14:paraId="0F9F5E96" w14:textId="46286578" w:rsidR="006827C2" w:rsidRPr="0068133B" w:rsidRDefault="004C458D" w:rsidP="004C458D">
            <w:pPr>
              <w:rPr>
                <w:sz w:val="18"/>
              </w:rPr>
            </w:pPr>
            <w:r w:rsidRPr="0068133B">
              <w:rPr>
                <w:sz w:val="18"/>
                <w:lang w:val="ru-RU"/>
              </w:rPr>
              <w:t>Отпавшие заявки</w:t>
            </w:r>
            <w:r w:rsidR="006827C2" w:rsidRPr="0068133B">
              <w:rPr>
                <w:sz w:val="18"/>
              </w:rPr>
              <w:t xml:space="preserve"> (</w:t>
            </w:r>
            <w:r w:rsidRPr="0068133B">
              <w:rPr>
                <w:sz w:val="18"/>
                <w:lang w:val="ru-RU"/>
              </w:rPr>
              <w:t>правило </w:t>
            </w:r>
            <w:r w:rsidR="006827C2" w:rsidRPr="0068133B">
              <w:rPr>
                <w:sz w:val="18"/>
              </w:rPr>
              <w:t>14(3))</w:t>
            </w:r>
          </w:p>
        </w:tc>
        <w:tc>
          <w:tcPr>
            <w:tcW w:w="2020" w:type="dxa"/>
          </w:tcPr>
          <w:p w14:paraId="6FFC49C6" w14:textId="4067CD97" w:rsidR="006827C2" w:rsidRPr="0068133B" w:rsidRDefault="00447F7B" w:rsidP="008D691F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70</w:t>
            </w:r>
            <w:r w:rsidR="008D691F" w:rsidRPr="0068133B">
              <w:rPr>
                <w:sz w:val="18"/>
                <w:lang w:val="ru-RU"/>
              </w:rPr>
              <w:t xml:space="preserve"> заявок</w:t>
            </w:r>
          </w:p>
        </w:tc>
        <w:tc>
          <w:tcPr>
            <w:tcW w:w="1170" w:type="dxa"/>
          </w:tcPr>
          <w:p w14:paraId="3CA7345B" w14:textId="23083C69" w:rsidR="006827C2" w:rsidRPr="0068133B" w:rsidRDefault="00447F7B" w:rsidP="00910B78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15</w:t>
            </w:r>
          </w:p>
        </w:tc>
        <w:tc>
          <w:tcPr>
            <w:tcW w:w="1346" w:type="dxa"/>
          </w:tcPr>
          <w:p w14:paraId="7590519C" w14:textId="3DD43F3B" w:rsidR="006827C2" w:rsidRPr="0068133B" w:rsidRDefault="00D82E6E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0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3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0DE0CDCF" w14:textId="77777777" w:rsidTr="00C8323F">
        <w:tc>
          <w:tcPr>
            <w:tcW w:w="4640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25380DEB" w14:textId="424ADD86" w:rsidR="006827C2" w:rsidRPr="0068133B" w:rsidRDefault="006C31EF" w:rsidP="006C31EF">
            <w:pPr>
              <w:rPr>
                <w:sz w:val="18"/>
              </w:rPr>
            </w:pPr>
            <w:r w:rsidRPr="0068133B">
              <w:rPr>
                <w:sz w:val="18"/>
                <w:lang w:val="ru-RU"/>
              </w:rPr>
              <w:t>Продление</w:t>
            </w:r>
            <w:r w:rsidR="006827C2" w:rsidRPr="0068133B">
              <w:rPr>
                <w:sz w:val="18"/>
              </w:rPr>
              <w:t xml:space="preserve"> (</w:t>
            </w:r>
            <w:r w:rsidRPr="0068133B">
              <w:rPr>
                <w:sz w:val="18"/>
                <w:lang w:val="ru-RU"/>
              </w:rPr>
              <w:t>пункт</w:t>
            </w:r>
            <w:r w:rsidR="006827C2" w:rsidRPr="0068133B">
              <w:rPr>
                <w:sz w:val="18"/>
              </w:rPr>
              <w:t xml:space="preserve"> III.7)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727AA677" w14:textId="70EA5B21" w:rsidR="006827C2" w:rsidRPr="0068133B" w:rsidRDefault="00447F7B" w:rsidP="008D691F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3</w:t>
            </w:r>
            <w:r w:rsidR="008D691F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547</w:t>
            </w:r>
            <w:r w:rsidR="008D691F" w:rsidRPr="0068133B">
              <w:rPr>
                <w:sz w:val="18"/>
                <w:lang w:val="ru-RU"/>
              </w:rPr>
              <w:t xml:space="preserve"> продлений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65128FA" w14:textId="2DDEE72C" w:rsidR="006827C2" w:rsidRPr="0068133B" w:rsidRDefault="00447F7B" w:rsidP="00910B78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939</w:t>
            </w:r>
          </w:p>
        </w:tc>
        <w:tc>
          <w:tcPr>
            <w:tcW w:w="1346" w:type="dxa"/>
            <w:shd w:val="clear" w:color="auto" w:fill="C6D9F1" w:themeFill="text2" w:themeFillTint="33"/>
          </w:tcPr>
          <w:p w14:paraId="529DE180" w14:textId="6A2D6A2D" w:rsidR="006827C2" w:rsidRPr="0068133B" w:rsidRDefault="00D82E6E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18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2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5578CF32" w14:textId="77777777" w:rsidTr="00C8323F">
        <w:tc>
          <w:tcPr>
            <w:tcW w:w="541" w:type="dxa"/>
            <w:vMerge w:val="restart"/>
            <w:tcBorders>
              <w:top w:val="nil"/>
            </w:tcBorders>
          </w:tcPr>
          <w:p w14:paraId="04443DAB" w14:textId="77777777" w:rsidR="006827C2" w:rsidRPr="0068133B" w:rsidRDefault="006827C2" w:rsidP="00910B78">
            <w:pPr>
              <w:rPr>
                <w:sz w:val="18"/>
              </w:rPr>
            </w:pPr>
          </w:p>
        </w:tc>
        <w:tc>
          <w:tcPr>
            <w:tcW w:w="4099" w:type="dxa"/>
          </w:tcPr>
          <w:p w14:paraId="48FE76D4" w14:textId="6646F40F" w:rsidR="006827C2" w:rsidRPr="0068133B" w:rsidRDefault="006C31EF" w:rsidP="006C31EF">
            <w:pPr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Основная пошлина за первый образец</w:t>
            </w:r>
          </w:p>
        </w:tc>
        <w:tc>
          <w:tcPr>
            <w:tcW w:w="2020" w:type="dxa"/>
          </w:tcPr>
          <w:p w14:paraId="65217536" w14:textId="0E4B7787" w:rsidR="006827C2" w:rsidRPr="0068133B" w:rsidRDefault="00447F7B" w:rsidP="00182B17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3</w:t>
            </w:r>
            <w:r w:rsidR="00182B17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547</w:t>
            </w:r>
            <w:r w:rsidR="00182B17" w:rsidRPr="0068133B">
              <w:rPr>
                <w:sz w:val="18"/>
                <w:lang w:val="ru-RU"/>
              </w:rPr>
              <w:t xml:space="preserve"> образцов</w:t>
            </w:r>
          </w:p>
        </w:tc>
        <w:tc>
          <w:tcPr>
            <w:tcW w:w="1170" w:type="dxa"/>
          </w:tcPr>
          <w:p w14:paraId="4F9A7C6C" w14:textId="412ED396" w:rsidR="006827C2" w:rsidRPr="0068133B" w:rsidRDefault="00447F7B" w:rsidP="0090509F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710</w:t>
            </w:r>
            <w:r w:rsidR="0090509F" w:rsidRPr="0068133B">
              <w:rPr>
                <w:rStyle w:val="FootnoteReference"/>
                <w:sz w:val="18"/>
              </w:rPr>
              <w:footnoteReference w:id="6"/>
            </w:r>
          </w:p>
        </w:tc>
        <w:tc>
          <w:tcPr>
            <w:tcW w:w="1346" w:type="dxa"/>
          </w:tcPr>
          <w:p w14:paraId="74A412F9" w14:textId="3BB94F20" w:rsidR="006827C2" w:rsidRPr="0068133B" w:rsidRDefault="00D82E6E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13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8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7D7C60ED" w14:textId="77777777" w:rsidTr="00C8323F">
        <w:trPr>
          <w:trHeight w:val="242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16B18B02" w14:textId="77777777" w:rsidR="006827C2" w:rsidRPr="0068133B" w:rsidRDefault="006827C2" w:rsidP="00910B78">
            <w:pPr>
              <w:rPr>
                <w:sz w:val="18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342E7709" w14:textId="4F99C307" w:rsidR="006827C2" w:rsidRPr="0068133B" w:rsidRDefault="003D0065" w:rsidP="001E1BED">
            <w:pPr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Основная пошлина за каждый доп</w:t>
            </w:r>
            <w:r w:rsidR="001E1BED" w:rsidRPr="0068133B">
              <w:rPr>
                <w:sz w:val="18"/>
                <w:lang w:val="ru-RU"/>
              </w:rPr>
              <w:t>олнительный образец</w:t>
            </w:r>
          </w:p>
        </w:tc>
        <w:tc>
          <w:tcPr>
            <w:tcW w:w="2020" w:type="dxa"/>
          </w:tcPr>
          <w:p w14:paraId="75996DA8" w14:textId="3E3A70EF" w:rsidR="006827C2" w:rsidRPr="0068133B" w:rsidRDefault="00447F7B" w:rsidP="00182B17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13</w:t>
            </w:r>
            <w:r w:rsidR="00182B17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703</w:t>
            </w:r>
            <w:r w:rsidR="00182B17" w:rsidRPr="0068133B">
              <w:rPr>
                <w:sz w:val="18"/>
                <w:lang w:val="ru-RU"/>
              </w:rPr>
              <w:t xml:space="preserve"> образца</w:t>
            </w:r>
          </w:p>
        </w:tc>
        <w:tc>
          <w:tcPr>
            <w:tcW w:w="1170" w:type="dxa"/>
          </w:tcPr>
          <w:p w14:paraId="1A10BA9F" w14:textId="08E7DBF5" w:rsidR="006827C2" w:rsidRPr="0068133B" w:rsidRDefault="00447F7B" w:rsidP="00910B78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229</w:t>
            </w:r>
          </w:p>
        </w:tc>
        <w:tc>
          <w:tcPr>
            <w:tcW w:w="1346" w:type="dxa"/>
          </w:tcPr>
          <w:p w14:paraId="0ED43184" w14:textId="33E31E63" w:rsidR="006827C2" w:rsidRPr="0068133B" w:rsidRDefault="00D82E6E" w:rsidP="00975AC1">
            <w:pPr>
              <w:jc w:val="right"/>
              <w:rPr>
                <w:sz w:val="18"/>
              </w:rPr>
            </w:pPr>
            <w:r w:rsidRPr="0068133B">
              <w:rPr>
                <w:sz w:val="18"/>
              </w:rPr>
              <w:t>4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4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754B9185" w14:textId="77777777" w:rsidTr="00C8323F"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279F6B58" w14:textId="6F90E286" w:rsidR="006827C2" w:rsidRPr="0068133B" w:rsidRDefault="00D74C02" w:rsidP="00D74C02">
            <w:pPr>
              <w:keepNext/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Прочие пошлины</w:t>
            </w:r>
            <w:r w:rsidR="006827C2" w:rsidRPr="0068133B">
              <w:rPr>
                <w:sz w:val="18"/>
                <w:lang w:val="ru-RU"/>
              </w:rPr>
              <w:t xml:space="preserve"> (</w:t>
            </w:r>
            <w:r w:rsidRPr="0068133B">
              <w:rPr>
                <w:sz w:val="18"/>
                <w:lang w:val="ru-RU"/>
              </w:rPr>
              <w:t>пункты</w:t>
            </w:r>
            <w:r w:rsidR="006827C2" w:rsidRPr="0068133B">
              <w:rPr>
                <w:sz w:val="18"/>
                <w:lang w:val="ru-RU"/>
              </w:rPr>
              <w:t xml:space="preserve"> </w:t>
            </w:r>
            <w:r w:rsidR="006827C2" w:rsidRPr="0068133B">
              <w:rPr>
                <w:sz w:val="18"/>
              </w:rPr>
              <w:t>V</w:t>
            </w:r>
            <w:r w:rsidR="006827C2" w:rsidRPr="0068133B">
              <w:rPr>
                <w:sz w:val="18"/>
                <w:lang w:val="ru-RU"/>
              </w:rPr>
              <w:t xml:space="preserve"> </w:t>
            </w:r>
            <w:r w:rsidRPr="0068133B">
              <w:rPr>
                <w:sz w:val="18"/>
                <w:lang w:val="ru-RU"/>
              </w:rPr>
              <w:t>и</w:t>
            </w:r>
            <w:r w:rsidR="006827C2" w:rsidRPr="0068133B">
              <w:rPr>
                <w:sz w:val="18"/>
                <w:lang w:val="ru-RU"/>
              </w:rPr>
              <w:t xml:space="preserve"> </w:t>
            </w:r>
            <w:r w:rsidR="006827C2" w:rsidRPr="0068133B">
              <w:rPr>
                <w:sz w:val="18"/>
              </w:rPr>
              <w:t>VI</w:t>
            </w:r>
            <w:r w:rsidR="006827C2" w:rsidRPr="0068133B">
              <w:rPr>
                <w:sz w:val="18"/>
                <w:lang w:val="ru-RU"/>
              </w:rPr>
              <w:t>)</w:t>
            </w:r>
          </w:p>
        </w:tc>
        <w:tc>
          <w:tcPr>
            <w:tcW w:w="2020" w:type="dxa"/>
            <w:tcBorders>
              <w:left w:val="nil"/>
            </w:tcBorders>
            <w:shd w:val="clear" w:color="auto" w:fill="C6D9F1" w:themeFill="text2" w:themeFillTint="33"/>
          </w:tcPr>
          <w:p w14:paraId="29E5E391" w14:textId="77777777" w:rsidR="006827C2" w:rsidRPr="0068133B" w:rsidRDefault="006827C2" w:rsidP="00910B78">
            <w:pPr>
              <w:keepNext/>
              <w:jc w:val="right"/>
              <w:rPr>
                <w:sz w:val="18"/>
                <w:lang w:val="ru-RU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14:paraId="7357E7EC" w14:textId="60C8C132" w:rsidR="006827C2" w:rsidRPr="0068133B" w:rsidRDefault="00375320" w:rsidP="00910B78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23</w:t>
            </w:r>
            <w:r w:rsidR="00375DFA" w:rsidRPr="0068133B">
              <w:rPr>
                <w:sz w:val="18"/>
              </w:rPr>
              <w:t>6</w:t>
            </w:r>
          </w:p>
        </w:tc>
        <w:tc>
          <w:tcPr>
            <w:tcW w:w="1346" w:type="dxa"/>
            <w:shd w:val="clear" w:color="auto" w:fill="C6D9F1" w:themeFill="text2" w:themeFillTint="33"/>
          </w:tcPr>
          <w:p w14:paraId="0E69360F" w14:textId="5A232EBC" w:rsidR="006827C2" w:rsidRPr="0068133B" w:rsidRDefault="00D82E6E" w:rsidP="00975AC1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4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6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04902976" w14:textId="77777777" w:rsidTr="00C8323F">
        <w:trPr>
          <w:trHeight w:val="242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AA4BB" w14:textId="77777777" w:rsidR="006827C2" w:rsidRPr="0068133B" w:rsidRDefault="006827C2" w:rsidP="00910B78">
            <w:pPr>
              <w:keepNext/>
              <w:rPr>
                <w:sz w:val="18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3CEC52FB" w14:textId="031F8A33" w:rsidR="00375320" w:rsidRPr="0068133B" w:rsidRDefault="003D1ABE" w:rsidP="00910B78">
            <w:pPr>
              <w:keepNext/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Изменение владельца</w:t>
            </w:r>
            <w:r w:rsidR="006827C2" w:rsidRPr="0068133B">
              <w:rPr>
                <w:sz w:val="18"/>
                <w:lang w:val="ru-RU"/>
              </w:rPr>
              <w:t>/</w:t>
            </w:r>
            <w:r w:rsidRPr="0068133B">
              <w:rPr>
                <w:sz w:val="18"/>
                <w:lang w:val="ru-RU"/>
              </w:rPr>
              <w:t>имени</w:t>
            </w:r>
            <w:r w:rsidR="006827C2" w:rsidRPr="0068133B">
              <w:rPr>
                <w:sz w:val="18"/>
                <w:lang w:val="ru-RU"/>
              </w:rPr>
              <w:t>/</w:t>
            </w:r>
            <w:r w:rsidRPr="0068133B">
              <w:rPr>
                <w:sz w:val="18"/>
                <w:lang w:val="ru-RU"/>
              </w:rPr>
              <w:t>адреса</w:t>
            </w:r>
          </w:p>
          <w:p w14:paraId="6C2E9F3B" w14:textId="28173C5D" w:rsidR="006827C2" w:rsidRPr="0068133B" w:rsidRDefault="006827C2" w:rsidP="003D1ABE">
            <w:pPr>
              <w:keepNext/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(</w:t>
            </w:r>
            <w:r w:rsidRPr="0068133B">
              <w:rPr>
                <w:sz w:val="18"/>
              </w:rPr>
              <w:t>V</w:t>
            </w:r>
            <w:r w:rsidRPr="0068133B">
              <w:rPr>
                <w:sz w:val="18"/>
                <w:lang w:val="ru-RU"/>
              </w:rPr>
              <w:t xml:space="preserve">. </w:t>
            </w:r>
            <w:r w:rsidR="003D1ABE" w:rsidRPr="0068133B">
              <w:rPr>
                <w:sz w:val="18"/>
                <w:lang w:val="ru-RU"/>
              </w:rPr>
              <w:t>пункты</w:t>
            </w:r>
            <w:r w:rsidRPr="0068133B">
              <w:rPr>
                <w:sz w:val="18"/>
                <w:lang w:val="ru-RU"/>
              </w:rPr>
              <w:t xml:space="preserve"> 13 </w:t>
            </w:r>
            <w:r w:rsidR="003D1ABE" w:rsidRPr="0068133B">
              <w:rPr>
                <w:sz w:val="18"/>
                <w:lang w:val="ru-RU"/>
              </w:rPr>
              <w:t>и</w:t>
            </w:r>
            <w:r w:rsidRPr="0068133B">
              <w:rPr>
                <w:sz w:val="18"/>
                <w:lang w:val="ru-RU"/>
              </w:rPr>
              <w:t xml:space="preserve"> 14)</w:t>
            </w:r>
          </w:p>
        </w:tc>
        <w:tc>
          <w:tcPr>
            <w:tcW w:w="2020" w:type="dxa"/>
          </w:tcPr>
          <w:p w14:paraId="539F79AB" w14:textId="45F279CF" w:rsidR="006827C2" w:rsidRPr="0068133B" w:rsidRDefault="00447F7B" w:rsidP="00182B17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169</w:t>
            </w:r>
            <w:r w:rsidR="00182B17" w:rsidRPr="0068133B">
              <w:rPr>
                <w:sz w:val="18"/>
                <w:lang w:val="ru-RU"/>
              </w:rPr>
              <w:t xml:space="preserve"> регистраций</w:t>
            </w:r>
          </w:p>
        </w:tc>
        <w:tc>
          <w:tcPr>
            <w:tcW w:w="1170" w:type="dxa"/>
          </w:tcPr>
          <w:p w14:paraId="280B69DE" w14:textId="0EF9544E" w:rsidR="006827C2" w:rsidRPr="0068133B" w:rsidRDefault="00447F7B" w:rsidP="00910B78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20</w:t>
            </w:r>
          </w:p>
        </w:tc>
        <w:tc>
          <w:tcPr>
            <w:tcW w:w="1346" w:type="dxa"/>
          </w:tcPr>
          <w:p w14:paraId="58E92DD5" w14:textId="21F94ACD" w:rsidR="006827C2" w:rsidRPr="0068133B" w:rsidRDefault="00D82E6E" w:rsidP="00975AC1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0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4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27B6F2C1" w14:textId="77777777" w:rsidTr="00C8323F">
        <w:trPr>
          <w:trHeight w:val="24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3489E" w14:textId="77777777" w:rsidR="006827C2" w:rsidRPr="0068133B" w:rsidRDefault="006827C2" w:rsidP="00910B78">
            <w:pPr>
              <w:keepNext/>
              <w:rPr>
                <w:sz w:val="18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1255AA72" w14:textId="73F5FED5" w:rsidR="006827C2" w:rsidRPr="0068133B" w:rsidRDefault="00310506" w:rsidP="00310506">
            <w:pPr>
              <w:keepNext/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Отказы</w:t>
            </w:r>
            <w:r w:rsidR="006827C2" w:rsidRPr="0068133B">
              <w:rPr>
                <w:sz w:val="18"/>
                <w:lang w:val="ru-RU"/>
              </w:rPr>
              <w:t>/</w:t>
            </w:r>
            <w:r w:rsidRPr="0068133B">
              <w:rPr>
                <w:sz w:val="18"/>
                <w:lang w:val="ru-RU"/>
              </w:rPr>
              <w:t>ограничения</w:t>
            </w:r>
            <w:r w:rsidR="006827C2" w:rsidRPr="0068133B">
              <w:rPr>
                <w:sz w:val="18"/>
                <w:lang w:val="ru-RU"/>
              </w:rPr>
              <w:t xml:space="preserve"> (</w:t>
            </w:r>
            <w:r w:rsidR="006827C2" w:rsidRPr="0068133B">
              <w:rPr>
                <w:sz w:val="18"/>
              </w:rPr>
              <w:t>V</w:t>
            </w:r>
            <w:r w:rsidR="006827C2" w:rsidRPr="0068133B">
              <w:rPr>
                <w:sz w:val="18"/>
                <w:lang w:val="ru-RU"/>
              </w:rPr>
              <w:t xml:space="preserve">. </w:t>
            </w:r>
            <w:r w:rsidRPr="0068133B">
              <w:rPr>
                <w:sz w:val="18"/>
                <w:lang w:val="ru-RU"/>
              </w:rPr>
              <w:t>пункты</w:t>
            </w:r>
            <w:r w:rsidR="006827C2" w:rsidRPr="0068133B">
              <w:rPr>
                <w:sz w:val="18"/>
                <w:lang w:val="ru-RU"/>
              </w:rPr>
              <w:t xml:space="preserve"> 15 </w:t>
            </w:r>
            <w:r w:rsidRPr="0068133B">
              <w:rPr>
                <w:sz w:val="18"/>
                <w:lang w:val="ru-RU"/>
              </w:rPr>
              <w:t>и</w:t>
            </w:r>
            <w:r w:rsidR="006827C2" w:rsidRPr="0068133B">
              <w:rPr>
                <w:sz w:val="18"/>
                <w:lang w:val="ru-RU"/>
              </w:rPr>
              <w:t xml:space="preserve"> 16)</w:t>
            </w:r>
          </w:p>
        </w:tc>
        <w:tc>
          <w:tcPr>
            <w:tcW w:w="2020" w:type="dxa"/>
          </w:tcPr>
          <w:p w14:paraId="7B78911B" w14:textId="32B19699" w:rsidR="006827C2" w:rsidRPr="0068133B" w:rsidRDefault="00447F7B" w:rsidP="00182B17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31</w:t>
            </w:r>
            <w:r w:rsidR="006827C2" w:rsidRPr="0068133B">
              <w:rPr>
                <w:sz w:val="18"/>
              </w:rPr>
              <w:t xml:space="preserve"> </w:t>
            </w:r>
            <w:r w:rsidR="00182B17" w:rsidRPr="0068133B">
              <w:rPr>
                <w:sz w:val="18"/>
                <w:lang w:val="ru-RU"/>
              </w:rPr>
              <w:t>регистрация</w:t>
            </w:r>
          </w:p>
        </w:tc>
        <w:tc>
          <w:tcPr>
            <w:tcW w:w="1170" w:type="dxa"/>
          </w:tcPr>
          <w:p w14:paraId="5B63B3C4" w14:textId="664932ED" w:rsidR="006827C2" w:rsidRPr="0068133B" w:rsidRDefault="00447F7B" w:rsidP="00910B78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4</w:t>
            </w:r>
          </w:p>
        </w:tc>
        <w:tc>
          <w:tcPr>
            <w:tcW w:w="1346" w:type="dxa"/>
          </w:tcPr>
          <w:p w14:paraId="1AF442E4" w14:textId="5C63DBDC" w:rsidR="006827C2" w:rsidRPr="0068133B" w:rsidRDefault="006827C2" w:rsidP="00975AC1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0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1%</w:t>
            </w:r>
          </w:p>
        </w:tc>
      </w:tr>
      <w:tr w:rsidR="006827C2" w:rsidRPr="0068133B" w14:paraId="4AD9C826" w14:textId="77777777" w:rsidTr="00C8323F">
        <w:trPr>
          <w:trHeight w:val="24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BAC5B" w14:textId="77777777" w:rsidR="006827C2" w:rsidRPr="0068133B" w:rsidRDefault="006827C2" w:rsidP="00910B78">
            <w:pPr>
              <w:keepNext/>
              <w:rPr>
                <w:sz w:val="18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14:paraId="795FFB84" w14:textId="03FFE2D6" w:rsidR="006827C2" w:rsidRPr="0068133B" w:rsidRDefault="00F35BFF" w:rsidP="00F35BFF">
            <w:pPr>
              <w:keepNext/>
              <w:rPr>
                <w:sz w:val="18"/>
                <w:lang w:val="ru-RU"/>
              </w:rPr>
            </w:pPr>
            <w:r w:rsidRPr="0068133B">
              <w:rPr>
                <w:sz w:val="18"/>
                <w:lang w:val="ru-RU"/>
              </w:rPr>
              <w:t>Заверенные копии</w:t>
            </w:r>
            <w:r w:rsidR="006827C2" w:rsidRPr="0068133B">
              <w:rPr>
                <w:sz w:val="18"/>
                <w:lang w:val="ru-RU"/>
              </w:rPr>
              <w:t xml:space="preserve">; </w:t>
            </w:r>
            <w:r w:rsidRPr="0068133B">
              <w:rPr>
                <w:sz w:val="18"/>
                <w:lang w:val="ru-RU"/>
              </w:rPr>
              <w:t>выписки и другая информация</w:t>
            </w:r>
            <w:r w:rsidR="006827C2" w:rsidRPr="0068133B">
              <w:rPr>
                <w:sz w:val="18"/>
                <w:lang w:val="ru-RU"/>
              </w:rPr>
              <w:t xml:space="preserve"> (</w:t>
            </w:r>
            <w:r w:rsidRPr="0068133B">
              <w:rPr>
                <w:sz w:val="18"/>
                <w:lang w:val="ru-RU"/>
              </w:rPr>
              <w:t>пункт</w:t>
            </w:r>
            <w:r w:rsidR="006827C2" w:rsidRPr="0068133B">
              <w:rPr>
                <w:sz w:val="18"/>
                <w:lang w:val="ru-RU"/>
              </w:rPr>
              <w:t xml:space="preserve"> </w:t>
            </w:r>
            <w:r w:rsidR="006827C2" w:rsidRPr="0068133B">
              <w:rPr>
                <w:sz w:val="18"/>
              </w:rPr>
              <w:t>VI</w:t>
            </w:r>
            <w:r w:rsidR="006827C2" w:rsidRPr="0068133B">
              <w:rPr>
                <w:sz w:val="18"/>
                <w:lang w:val="ru-RU"/>
              </w:rPr>
              <w:t>)</w:t>
            </w:r>
          </w:p>
        </w:tc>
        <w:tc>
          <w:tcPr>
            <w:tcW w:w="2020" w:type="dxa"/>
          </w:tcPr>
          <w:p w14:paraId="7240FCB3" w14:textId="570E1401" w:rsidR="006827C2" w:rsidRPr="0068133B" w:rsidRDefault="00447F7B" w:rsidP="00182B17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2</w:t>
            </w:r>
            <w:r w:rsidR="00182B17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284</w:t>
            </w:r>
            <w:r w:rsidR="00182B17" w:rsidRPr="0068133B">
              <w:rPr>
                <w:sz w:val="18"/>
                <w:lang w:val="ru-RU"/>
              </w:rPr>
              <w:t xml:space="preserve"> обращения</w:t>
            </w:r>
          </w:p>
        </w:tc>
        <w:tc>
          <w:tcPr>
            <w:tcW w:w="1170" w:type="dxa"/>
          </w:tcPr>
          <w:p w14:paraId="422B41B5" w14:textId="46A52FA0" w:rsidR="006827C2" w:rsidRPr="0068133B" w:rsidRDefault="00447F7B" w:rsidP="00910B78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212</w:t>
            </w:r>
          </w:p>
        </w:tc>
        <w:tc>
          <w:tcPr>
            <w:tcW w:w="1346" w:type="dxa"/>
          </w:tcPr>
          <w:p w14:paraId="10849F23" w14:textId="70C560AE" w:rsidR="006827C2" w:rsidRPr="0068133B" w:rsidRDefault="00D82E6E" w:rsidP="00975AC1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4</w:t>
            </w:r>
            <w:r w:rsidR="00975AC1" w:rsidRPr="0068133B">
              <w:rPr>
                <w:sz w:val="18"/>
                <w:lang w:val="ru-RU"/>
              </w:rPr>
              <w:t>,</w:t>
            </w:r>
            <w:r w:rsidRPr="0068133B">
              <w:rPr>
                <w:sz w:val="18"/>
              </w:rPr>
              <w:t>1</w:t>
            </w:r>
            <w:r w:rsidR="006827C2" w:rsidRPr="0068133B">
              <w:rPr>
                <w:sz w:val="18"/>
              </w:rPr>
              <w:t>%</w:t>
            </w:r>
          </w:p>
        </w:tc>
      </w:tr>
      <w:tr w:rsidR="006827C2" w:rsidRPr="0068133B" w14:paraId="2F59AE92" w14:textId="77777777" w:rsidTr="00C8323F">
        <w:trPr>
          <w:trHeight w:val="85"/>
        </w:trPr>
        <w:tc>
          <w:tcPr>
            <w:tcW w:w="4640" w:type="dxa"/>
            <w:gridSpan w:val="2"/>
            <w:shd w:val="clear" w:color="auto" w:fill="C6D9F1" w:themeFill="text2" w:themeFillTint="33"/>
          </w:tcPr>
          <w:p w14:paraId="1FE029C1" w14:textId="084CAA19" w:rsidR="006827C2" w:rsidRPr="0068133B" w:rsidRDefault="00D74C02" w:rsidP="00D74C02">
            <w:pPr>
              <w:keepNext/>
              <w:rPr>
                <w:sz w:val="18"/>
              </w:rPr>
            </w:pPr>
            <w:r w:rsidRPr="0068133B">
              <w:rPr>
                <w:sz w:val="18"/>
                <w:lang w:val="ru-RU"/>
              </w:rPr>
              <w:t>Итого</w:t>
            </w:r>
          </w:p>
        </w:tc>
        <w:tc>
          <w:tcPr>
            <w:tcW w:w="2020" w:type="dxa"/>
            <w:shd w:val="clear" w:color="auto" w:fill="C6D9F1" w:themeFill="text2" w:themeFillTint="33"/>
          </w:tcPr>
          <w:p w14:paraId="75AEA3AE" w14:textId="77777777" w:rsidR="006827C2" w:rsidRPr="0068133B" w:rsidRDefault="006827C2" w:rsidP="00910B78">
            <w:pPr>
              <w:keepNext/>
              <w:jc w:val="right"/>
              <w:rPr>
                <w:sz w:val="18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14:paraId="47CA50DB" w14:textId="3396FDBE" w:rsidR="006827C2" w:rsidRPr="0068133B" w:rsidRDefault="00444893" w:rsidP="00975AC1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5</w:t>
            </w:r>
            <w:r w:rsidR="00975AC1" w:rsidRPr="0068133B">
              <w:rPr>
                <w:sz w:val="18"/>
                <w:lang w:val="ru-RU"/>
              </w:rPr>
              <w:t> </w:t>
            </w:r>
            <w:r w:rsidRPr="0068133B">
              <w:rPr>
                <w:sz w:val="18"/>
              </w:rPr>
              <w:t>147</w:t>
            </w:r>
          </w:p>
        </w:tc>
        <w:tc>
          <w:tcPr>
            <w:tcW w:w="1346" w:type="dxa"/>
            <w:shd w:val="clear" w:color="auto" w:fill="C6D9F1" w:themeFill="text2" w:themeFillTint="33"/>
          </w:tcPr>
          <w:p w14:paraId="378CCB22" w14:textId="77777777" w:rsidR="006827C2" w:rsidRPr="0068133B" w:rsidRDefault="006827C2" w:rsidP="00910B78">
            <w:pPr>
              <w:keepNext/>
              <w:jc w:val="right"/>
              <w:rPr>
                <w:sz w:val="18"/>
              </w:rPr>
            </w:pPr>
            <w:r w:rsidRPr="0068133B">
              <w:rPr>
                <w:sz w:val="18"/>
              </w:rPr>
              <w:t>100%</w:t>
            </w:r>
          </w:p>
        </w:tc>
      </w:tr>
    </w:tbl>
    <w:p w14:paraId="5A3087FC" w14:textId="77777777" w:rsidR="00A24EF0" w:rsidRPr="0068133B" w:rsidRDefault="00A24EF0" w:rsidP="006827C2">
      <w:pPr>
        <w:pStyle w:val="ONUME"/>
        <w:numPr>
          <w:ilvl w:val="0"/>
          <w:numId w:val="0"/>
        </w:numPr>
        <w:spacing w:after="0"/>
        <w:rPr>
          <w:sz w:val="16"/>
          <w:szCs w:val="16"/>
        </w:rPr>
      </w:pPr>
    </w:p>
    <w:p w14:paraId="528049D1" w14:textId="3527BAA1" w:rsidR="00D03334" w:rsidRPr="0068133B" w:rsidRDefault="00730A0A" w:rsidP="00676AC6">
      <w:pPr>
        <w:pStyle w:val="ONUME"/>
        <w:numPr>
          <w:ilvl w:val="0"/>
          <w:numId w:val="0"/>
        </w:numPr>
        <w:spacing w:after="0"/>
        <w:ind w:left="270" w:firstLine="1006"/>
        <w:jc w:val="center"/>
      </w:pPr>
      <w:r w:rsidRPr="0068133B">
        <w:rPr>
          <w:noProof/>
          <w:lang w:eastAsia="en-US"/>
        </w:rPr>
        <w:drawing>
          <wp:inline distT="0" distB="0" distL="0" distR="0" wp14:anchorId="7DCF7C2A" wp14:editId="522BBC3C">
            <wp:extent cx="3200400" cy="2585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365" cy="259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F8F8C" w14:textId="77777777" w:rsidR="00D03334" w:rsidRPr="0068133B" w:rsidRDefault="00D03334">
      <w:r w:rsidRPr="0068133B">
        <w:br w:type="page"/>
      </w:r>
    </w:p>
    <w:p w14:paraId="431F5430" w14:textId="2C70E3DA" w:rsidR="00E94E94" w:rsidRPr="0068133B" w:rsidRDefault="008A5FAF" w:rsidP="00E94E94">
      <w:pPr>
        <w:pStyle w:val="Heading1"/>
        <w:spacing w:before="220" w:after="220"/>
        <w:rPr>
          <w:lang w:val="ru-RU"/>
        </w:rPr>
      </w:pPr>
      <w:r w:rsidRPr="0068133B">
        <w:rPr>
          <w:bCs w:val="0"/>
          <w:caps w:val="0"/>
        </w:rPr>
        <w:lastRenderedPageBreak/>
        <w:t>III</w:t>
      </w:r>
      <w:r w:rsidRPr="0068133B">
        <w:rPr>
          <w:bCs w:val="0"/>
          <w:caps w:val="0"/>
          <w:lang w:val="ru-RU"/>
        </w:rPr>
        <w:t>.</w:t>
      </w:r>
      <w:r w:rsidRPr="0068133B">
        <w:rPr>
          <w:bCs w:val="0"/>
          <w:caps w:val="0"/>
          <w:lang w:val="ru-RU"/>
        </w:rPr>
        <w:tab/>
      </w:r>
      <w:r w:rsidR="00A82DB6" w:rsidRPr="0068133B">
        <w:rPr>
          <w:lang w:val="ru-RU"/>
        </w:rPr>
        <w:t>СТРУКТУРА И РАЗМЕР ПОШЛИН ЗА ПРОДЛЕНИЕ В НАЦИОНАЛЬНЫХ И РЕГИОНАЛЬНЫХ СИСТЕМАХ, ДОПУСКАЮЩИХ ПОДАЧУ ЗАЯВОК НА РЕГИСТРАЦИЮ НЕСКОЛЬКИХ ОБРАЗЦОВ</w:t>
      </w:r>
    </w:p>
    <w:p w14:paraId="14985016" w14:textId="454065C1" w:rsidR="000F24F7" w:rsidRPr="0068133B" w:rsidRDefault="007522E5" w:rsidP="00D85552">
      <w:pPr>
        <w:pStyle w:val="BodyText"/>
        <w:tabs>
          <w:tab w:val="clear" w:pos="837"/>
        </w:tabs>
        <w:spacing w:before="240"/>
        <w:ind w:left="0"/>
        <w:rPr>
          <w:lang w:val="ru-RU" w:eastAsia="en-US"/>
        </w:rPr>
      </w:pPr>
      <w:r w:rsidRPr="0068133B">
        <w:rPr>
          <w:lang w:val="ru-RU" w:eastAsia="en-US"/>
        </w:rPr>
        <w:t>Структура пошлин за продление</w:t>
      </w:r>
      <w:r w:rsidR="0030287E" w:rsidRPr="0068133B">
        <w:rPr>
          <w:lang w:val="ru-RU" w:eastAsia="en-US"/>
        </w:rPr>
        <w:t>, применяемых к</w:t>
      </w:r>
      <w:r w:rsidR="00BD0DE3" w:rsidRPr="0068133B">
        <w:rPr>
          <w:lang w:val="ru-RU" w:eastAsia="en-US"/>
        </w:rPr>
        <w:t xml:space="preserve"> </w:t>
      </w:r>
      <w:r w:rsidRPr="0068133B">
        <w:rPr>
          <w:lang w:val="ru-RU" w:eastAsia="en-US"/>
        </w:rPr>
        <w:t>промышленным образцам, отличается в зависимости от страны.  В одних юрисдикциях размер такой пошлины постепенно увеличивается с каждым продлением</w:t>
      </w:r>
      <w:r w:rsidR="001B4DA4" w:rsidRPr="0068133B">
        <w:rPr>
          <w:rStyle w:val="FootnoteReference"/>
          <w:lang w:eastAsia="en-US"/>
        </w:rPr>
        <w:footnoteReference w:id="7"/>
      </w:r>
      <w:r w:rsidR="00486CBB" w:rsidRPr="0068133B">
        <w:rPr>
          <w:lang w:val="ru-RU" w:eastAsia="en-US"/>
        </w:rPr>
        <w:t xml:space="preserve">, </w:t>
      </w:r>
      <w:r w:rsidRPr="0068133B">
        <w:rPr>
          <w:lang w:val="ru-RU" w:eastAsia="en-US"/>
        </w:rPr>
        <w:t>в других остается на том же уровне при каждом продлении</w:t>
      </w:r>
      <w:r w:rsidR="001B4DA4" w:rsidRPr="0068133B">
        <w:rPr>
          <w:rStyle w:val="FootnoteReference"/>
          <w:lang w:eastAsia="en-US"/>
        </w:rPr>
        <w:footnoteReference w:id="8"/>
      </w:r>
      <w:r w:rsidR="00486CBB" w:rsidRPr="0068133B">
        <w:rPr>
          <w:lang w:val="ru-RU" w:eastAsia="en-US"/>
        </w:rPr>
        <w:t xml:space="preserve">.  </w:t>
      </w:r>
      <w:r w:rsidR="000E620B" w:rsidRPr="0068133B">
        <w:rPr>
          <w:lang w:val="ru-RU" w:eastAsia="en-US"/>
        </w:rPr>
        <w:t>Если речь идет о продлении нескольких образцов</w:t>
      </w:r>
      <w:r w:rsidR="000870DF" w:rsidRPr="0068133B">
        <w:rPr>
          <w:lang w:val="ru-RU" w:eastAsia="en-US"/>
        </w:rPr>
        <w:t>,</w:t>
      </w:r>
      <w:r w:rsidR="000E620B" w:rsidRPr="0068133B">
        <w:rPr>
          <w:lang w:val="ru-RU" w:eastAsia="en-US"/>
        </w:rPr>
        <w:t xml:space="preserve"> в отдельных юрисдикциях применяется </w:t>
      </w:r>
      <w:r w:rsidR="00E32798" w:rsidRPr="0068133B">
        <w:rPr>
          <w:lang w:val="ru-RU" w:eastAsia="en-US"/>
        </w:rPr>
        <w:t>фиксированная ставка пошлины независимо от числа образцов</w:t>
      </w:r>
      <w:r w:rsidR="007D4002" w:rsidRPr="0068133B">
        <w:rPr>
          <w:rStyle w:val="FootnoteReference"/>
          <w:lang w:eastAsia="en-US"/>
        </w:rPr>
        <w:footnoteReference w:id="9"/>
      </w:r>
      <w:r w:rsidR="00E32798" w:rsidRPr="0068133B">
        <w:rPr>
          <w:lang w:val="ru-RU" w:eastAsia="en-US"/>
        </w:rPr>
        <w:t xml:space="preserve"> или </w:t>
      </w:r>
      <w:r w:rsidR="00427DCA" w:rsidRPr="0068133B">
        <w:rPr>
          <w:lang w:val="ru-RU" w:eastAsia="en-US"/>
        </w:rPr>
        <w:t xml:space="preserve">до определенного числа образцов, сверх которого начинает действовать дополнительная пошлина </w:t>
      </w:r>
      <w:r w:rsidR="008B4AEB" w:rsidRPr="0068133B">
        <w:rPr>
          <w:lang w:val="ru-RU" w:eastAsia="en-US"/>
        </w:rPr>
        <w:t>(</w:t>
      </w:r>
      <w:r w:rsidR="00427DCA" w:rsidRPr="0068133B">
        <w:rPr>
          <w:lang w:val="ru-RU" w:eastAsia="en-US"/>
        </w:rPr>
        <w:t xml:space="preserve">например, фиксированная ставка за 10 образцов и менее и дополнительная пошлина за </w:t>
      </w:r>
      <w:r w:rsidR="00F178EB" w:rsidRPr="0068133B">
        <w:rPr>
          <w:lang w:val="ru-RU" w:eastAsia="en-US"/>
        </w:rPr>
        <w:t xml:space="preserve">не более чем </w:t>
      </w:r>
      <w:r w:rsidR="00427DCA" w:rsidRPr="0068133B">
        <w:rPr>
          <w:lang w:val="ru-RU" w:eastAsia="en-US"/>
        </w:rPr>
        <w:t>20 образцов и т.д.</w:t>
      </w:r>
      <w:r w:rsidR="008B4AEB" w:rsidRPr="0068133B">
        <w:rPr>
          <w:lang w:val="ru-RU" w:eastAsia="en-US"/>
        </w:rPr>
        <w:t>)</w:t>
      </w:r>
      <w:r w:rsidR="00D15332" w:rsidRPr="0068133B">
        <w:rPr>
          <w:rStyle w:val="FootnoteReference"/>
          <w:lang w:eastAsia="en-US"/>
        </w:rPr>
        <w:footnoteReference w:id="10"/>
      </w:r>
      <w:r w:rsidR="007A6B2A" w:rsidRPr="0068133B">
        <w:rPr>
          <w:lang w:val="ru-RU" w:eastAsia="en-US"/>
        </w:rPr>
        <w:t>.</w:t>
      </w:r>
      <w:r w:rsidR="000F24F7" w:rsidRPr="0068133B">
        <w:rPr>
          <w:lang w:val="ru-RU" w:eastAsia="en-US"/>
        </w:rPr>
        <w:t xml:space="preserve">  </w:t>
      </w:r>
      <w:r w:rsidR="00770252" w:rsidRPr="0068133B">
        <w:rPr>
          <w:lang w:val="ru-RU" w:eastAsia="en-US"/>
        </w:rPr>
        <w:t>Однако в ряде других юрисдикций, предусматривающих возможность подачи заявки с указанием нескольких образцов, пошлина за продление взимается за каждый образец, как и в самой Гаагской системе</w:t>
      </w:r>
      <w:r w:rsidR="005E1499" w:rsidRPr="0068133B">
        <w:rPr>
          <w:lang w:val="ru-RU" w:eastAsia="en-US"/>
        </w:rPr>
        <w:t>.</w:t>
      </w:r>
    </w:p>
    <w:p w14:paraId="3F259B39" w14:textId="1BAB3DBC" w:rsidR="0024453F" w:rsidRPr="0068133B" w:rsidRDefault="00802AD2" w:rsidP="0024453F">
      <w:pPr>
        <w:pStyle w:val="BodyText"/>
        <w:tabs>
          <w:tab w:val="clear" w:pos="837"/>
        </w:tabs>
        <w:ind w:left="0"/>
        <w:rPr>
          <w:lang w:val="ru-RU"/>
        </w:rPr>
      </w:pPr>
      <w:r w:rsidRPr="0068133B">
        <w:rPr>
          <w:lang w:val="ru-RU" w:eastAsia="en-US"/>
        </w:rPr>
        <w:t>Ввиду этого Секретариат провел сравнительный анализ структуры</w:t>
      </w:r>
      <w:r w:rsidR="00F178EB" w:rsidRPr="0068133B">
        <w:rPr>
          <w:lang w:val="ru-RU" w:eastAsia="en-US"/>
        </w:rPr>
        <w:br/>
      </w:r>
      <w:r w:rsidRPr="0068133B">
        <w:rPr>
          <w:lang w:val="ru-RU" w:eastAsia="en-US"/>
        </w:rPr>
        <w:t>пошлин в</w:t>
      </w:r>
      <w:r w:rsidR="00622CE7" w:rsidRPr="0068133B">
        <w:rPr>
          <w:lang w:val="ru-RU" w:eastAsia="en-US"/>
        </w:rPr>
        <w:t xml:space="preserve"> 3</w:t>
      </w:r>
      <w:r w:rsidR="00A32C19" w:rsidRPr="0068133B">
        <w:rPr>
          <w:lang w:val="ru-RU" w:eastAsia="en-US"/>
        </w:rPr>
        <w:t>3</w:t>
      </w:r>
      <w:r w:rsidRPr="0068133B">
        <w:rPr>
          <w:lang w:val="ru-RU" w:eastAsia="en-US"/>
        </w:rPr>
        <w:t> юрисдикциях</w:t>
      </w:r>
      <w:r w:rsidR="0024453F" w:rsidRPr="0068133B">
        <w:rPr>
          <w:lang w:val="ru-RU" w:eastAsia="en-US"/>
        </w:rPr>
        <w:t xml:space="preserve">.  </w:t>
      </w:r>
      <w:r w:rsidR="00A94A87" w:rsidRPr="0068133B">
        <w:rPr>
          <w:lang w:val="ru-RU" w:eastAsia="en-US"/>
        </w:rPr>
        <w:t>Эти юрисдикции были выбраны на основании трех следующих объективных критериев</w:t>
      </w:r>
      <w:r w:rsidR="0024453F" w:rsidRPr="0068133B">
        <w:rPr>
          <w:lang w:val="ru-RU"/>
        </w:rPr>
        <w:t xml:space="preserve"> (</w:t>
      </w:r>
      <w:r w:rsidR="00A94A87" w:rsidRPr="0068133B">
        <w:rPr>
          <w:lang w:val="ru-RU"/>
        </w:rPr>
        <w:t>по числу образцов</w:t>
      </w:r>
      <w:r w:rsidR="0024453F" w:rsidRPr="0068133B">
        <w:rPr>
          <w:lang w:val="ru-RU"/>
        </w:rPr>
        <w:t>):</w:t>
      </w:r>
    </w:p>
    <w:p w14:paraId="47233353" w14:textId="44451AC0" w:rsidR="00DC73BE" w:rsidRPr="0068133B" w:rsidRDefault="00A94A87" w:rsidP="00E93195">
      <w:pPr>
        <w:pStyle w:val="BodyText"/>
        <w:numPr>
          <w:ilvl w:val="0"/>
          <w:numId w:val="43"/>
        </w:numPr>
        <w:ind w:left="993" w:hanging="426"/>
        <w:rPr>
          <w:lang w:val="ru-RU"/>
        </w:rPr>
      </w:pPr>
      <w:r w:rsidRPr="0068133B">
        <w:rPr>
          <w:lang w:val="ru-RU"/>
        </w:rPr>
        <w:t>часто указываемые Договаривающиеся стороны</w:t>
      </w:r>
      <w:r w:rsidR="0024453F" w:rsidRPr="0068133B">
        <w:rPr>
          <w:lang w:val="ru-RU"/>
        </w:rPr>
        <w:t>:  20</w:t>
      </w:r>
      <w:r w:rsidR="004C65CF" w:rsidRPr="0068133B">
        <w:rPr>
          <w:lang w:val="ru-RU"/>
        </w:rPr>
        <w:t xml:space="preserve"> Договаривающихся сторон, которые наиболее часто указывались в международных заявках в </w:t>
      </w:r>
      <w:r w:rsidR="0024453F" w:rsidRPr="0068133B">
        <w:rPr>
          <w:lang w:val="ru-RU"/>
        </w:rPr>
        <w:t>2019</w:t>
      </w:r>
      <w:r w:rsidR="004C65CF" w:rsidRPr="0068133B">
        <w:rPr>
          <w:lang w:val="ru-RU"/>
        </w:rPr>
        <w:t> г.</w:t>
      </w:r>
      <w:r w:rsidR="005E453E" w:rsidRPr="0068133B">
        <w:rPr>
          <w:lang w:val="ru-RU"/>
        </w:rPr>
        <w:t>;</w:t>
      </w:r>
    </w:p>
    <w:p w14:paraId="1AB5D89A" w14:textId="1078A2B1" w:rsidR="00DC73BE" w:rsidRPr="0068133B" w:rsidRDefault="002F2E95" w:rsidP="00E93195">
      <w:pPr>
        <w:pStyle w:val="BodyText"/>
        <w:numPr>
          <w:ilvl w:val="0"/>
          <w:numId w:val="43"/>
        </w:numPr>
        <w:ind w:left="993" w:hanging="426"/>
        <w:rPr>
          <w:lang w:val="ru-RU"/>
        </w:rPr>
      </w:pPr>
      <w:r w:rsidRPr="0068133B">
        <w:rPr>
          <w:lang w:val="ru-RU"/>
        </w:rPr>
        <w:t>активные пользователи Гаагской системы</w:t>
      </w:r>
      <w:r w:rsidR="0024453F" w:rsidRPr="0068133B">
        <w:rPr>
          <w:lang w:val="ru-RU"/>
        </w:rPr>
        <w:t>:  20</w:t>
      </w:r>
      <w:r w:rsidR="0045418C" w:rsidRPr="0068133B">
        <w:rPr>
          <w:lang w:val="ru-RU"/>
        </w:rPr>
        <w:t xml:space="preserve"> стран, из которых поступило наибольшее число международных заявок в</w:t>
      </w:r>
      <w:r w:rsidR="0024453F" w:rsidRPr="0068133B">
        <w:rPr>
          <w:lang w:val="ru-RU"/>
        </w:rPr>
        <w:t xml:space="preserve"> 2019</w:t>
      </w:r>
      <w:r w:rsidR="0045418C" w:rsidRPr="0068133B">
        <w:rPr>
          <w:lang w:val="ru-RU"/>
        </w:rPr>
        <w:t> г.</w:t>
      </w:r>
      <w:r w:rsidR="00854813" w:rsidRPr="0068133B">
        <w:rPr>
          <w:lang w:val="ru-RU"/>
        </w:rPr>
        <w:t>;</w:t>
      </w:r>
      <w:r w:rsidR="0024453F" w:rsidRPr="0068133B">
        <w:rPr>
          <w:lang w:val="ru-RU"/>
        </w:rPr>
        <w:t xml:space="preserve"> </w:t>
      </w:r>
      <w:r w:rsidR="00854813" w:rsidRPr="0068133B">
        <w:rPr>
          <w:lang w:val="ru-RU"/>
        </w:rPr>
        <w:t xml:space="preserve"> </w:t>
      </w:r>
      <w:r w:rsidR="0045418C" w:rsidRPr="0068133B">
        <w:rPr>
          <w:lang w:val="ru-RU"/>
        </w:rPr>
        <w:t>и</w:t>
      </w:r>
    </w:p>
    <w:p w14:paraId="46DC9151" w14:textId="7FDAC544" w:rsidR="00D9170E" w:rsidRPr="0068133B" w:rsidRDefault="00F41F3C" w:rsidP="00E93195">
      <w:pPr>
        <w:pStyle w:val="BodyText"/>
        <w:numPr>
          <w:ilvl w:val="0"/>
          <w:numId w:val="43"/>
        </w:numPr>
        <w:ind w:left="993" w:hanging="426"/>
        <w:rPr>
          <w:lang w:val="ru-RU"/>
        </w:rPr>
      </w:pPr>
      <w:r w:rsidRPr="0068133B">
        <w:rPr>
          <w:lang w:val="ru-RU"/>
        </w:rPr>
        <w:t>юрисдикции с высокими темпами использования систем промышленных образцов</w:t>
      </w:r>
      <w:r w:rsidR="0024453F" w:rsidRPr="0068133B">
        <w:rPr>
          <w:lang w:val="ru-RU"/>
        </w:rPr>
        <w:t>:  20</w:t>
      </w:r>
      <w:r w:rsidR="000B2B02" w:rsidRPr="0068133B">
        <w:rPr>
          <w:lang w:val="ru-RU"/>
        </w:rPr>
        <w:t xml:space="preserve"> юрисдикций, получивших наибольшее число заявок на регистрацию образцов в 2</w:t>
      </w:r>
      <w:r w:rsidR="0024453F" w:rsidRPr="0068133B">
        <w:rPr>
          <w:lang w:val="ru-RU"/>
        </w:rPr>
        <w:t>018</w:t>
      </w:r>
      <w:r w:rsidR="000B2B02" w:rsidRPr="0068133B">
        <w:rPr>
          <w:lang w:val="ru-RU"/>
        </w:rPr>
        <w:t> г</w:t>
      </w:r>
      <w:r w:rsidR="0024453F" w:rsidRPr="0068133B">
        <w:rPr>
          <w:lang w:val="ru-RU"/>
        </w:rPr>
        <w:t>.</w:t>
      </w:r>
    </w:p>
    <w:p w14:paraId="0B278F7F" w14:textId="294A82E3" w:rsidR="00D9170E" w:rsidRPr="0068133B" w:rsidRDefault="001C218D" w:rsidP="00A10D89">
      <w:pPr>
        <w:pStyle w:val="BodyText"/>
        <w:tabs>
          <w:tab w:val="clear" w:pos="837"/>
        </w:tabs>
        <w:ind w:left="0"/>
      </w:pPr>
      <w:r w:rsidRPr="0068133B">
        <w:rPr>
          <w:lang w:val="ru-RU" w:eastAsia="en-US"/>
        </w:rPr>
        <w:t xml:space="preserve">Удалось установить, что </w:t>
      </w:r>
      <w:r w:rsidR="00815A39" w:rsidRPr="0068133B">
        <w:rPr>
          <w:lang w:val="ru-RU" w:eastAsia="en-US"/>
        </w:rPr>
        <w:t xml:space="preserve">в </w:t>
      </w:r>
      <w:r w:rsidR="00D9170E" w:rsidRPr="0068133B">
        <w:rPr>
          <w:rFonts w:eastAsiaTheme="minorEastAsia" w:hint="eastAsia"/>
          <w:lang w:val="ru-RU" w:eastAsia="ja-JP"/>
        </w:rPr>
        <w:t>18</w:t>
      </w:r>
      <w:r w:rsidR="00D9170E" w:rsidRPr="0068133B">
        <w:rPr>
          <w:rStyle w:val="FootnoteReference"/>
        </w:rPr>
        <w:footnoteReference w:id="11"/>
      </w:r>
      <w:r w:rsidRPr="0068133B">
        <w:rPr>
          <w:rStyle w:val="FootnoteReference"/>
          <w:lang w:val="ru-RU"/>
        </w:rPr>
        <w:t xml:space="preserve"> </w:t>
      </w:r>
      <w:r w:rsidRPr="0068133B">
        <w:rPr>
          <w:lang w:val="ru-RU" w:eastAsia="en-US"/>
        </w:rPr>
        <w:t>из 33 юрисдикций структур</w:t>
      </w:r>
      <w:r w:rsidR="00815A39" w:rsidRPr="0068133B">
        <w:rPr>
          <w:lang w:val="ru-RU" w:eastAsia="en-US"/>
        </w:rPr>
        <w:t>а</w:t>
      </w:r>
      <w:r w:rsidRPr="0068133B">
        <w:rPr>
          <w:lang w:val="ru-RU" w:eastAsia="en-US"/>
        </w:rPr>
        <w:t xml:space="preserve"> пошлин аналогичн</w:t>
      </w:r>
      <w:r w:rsidR="00815A39" w:rsidRPr="0068133B">
        <w:rPr>
          <w:lang w:val="ru-RU" w:eastAsia="en-US"/>
        </w:rPr>
        <w:t>а</w:t>
      </w:r>
      <w:r w:rsidRPr="0068133B">
        <w:rPr>
          <w:lang w:val="ru-RU" w:eastAsia="en-US"/>
        </w:rPr>
        <w:t xml:space="preserve"> принятой в Гаагской системе, т.е.</w:t>
      </w:r>
      <w:r w:rsidR="00EE6E0B" w:rsidRPr="0068133B">
        <w:rPr>
          <w:lang w:val="ru-RU" w:eastAsia="en-US"/>
        </w:rPr>
        <w:t>, если</w:t>
      </w:r>
      <w:r w:rsidR="001238F5" w:rsidRPr="0068133B">
        <w:rPr>
          <w:lang w:val="ru-RU" w:eastAsia="en-US"/>
        </w:rPr>
        <w:t xml:space="preserve"> </w:t>
      </w:r>
      <w:r w:rsidR="00EE6E0B" w:rsidRPr="0068133B">
        <w:rPr>
          <w:lang w:val="ru-RU" w:eastAsia="en-US"/>
        </w:rPr>
        <w:t xml:space="preserve">в рамках одной заявки подано </w:t>
      </w:r>
      <w:r w:rsidR="001238F5" w:rsidRPr="0068133B">
        <w:rPr>
          <w:lang w:val="ru-RU" w:eastAsia="en-US"/>
        </w:rPr>
        <w:t>несколько образцов</w:t>
      </w:r>
      <w:r w:rsidR="00EE6E0B" w:rsidRPr="0068133B">
        <w:rPr>
          <w:lang w:val="ru-RU" w:eastAsia="en-US"/>
        </w:rPr>
        <w:t>,</w:t>
      </w:r>
      <w:r w:rsidR="001238F5" w:rsidRPr="0068133B">
        <w:rPr>
          <w:lang w:val="ru-RU" w:eastAsia="en-US"/>
        </w:rPr>
        <w:t xml:space="preserve"> при </w:t>
      </w:r>
      <w:r w:rsidR="002A2844" w:rsidRPr="0068133B">
        <w:rPr>
          <w:lang w:val="ru-RU" w:eastAsia="en-US"/>
        </w:rPr>
        <w:t>продлении пошлина взимается за каждый</w:t>
      </w:r>
      <w:r w:rsidR="001238F5" w:rsidRPr="0068133B">
        <w:rPr>
          <w:lang w:val="ru-RU" w:eastAsia="en-US"/>
        </w:rPr>
        <w:t xml:space="preserve"> </w:t>
      </w:r>
      <w:r w:rsidR="00EE6E0B" w:rsidRPr="0068133B">
        <w:rPr>
          <w:lang w:val="ru-RU" w:eastAsia="en-US"/>
        </w:rPr>
        <w:t>из них</w:t>
      </w:r>
      <w:r w:rsidR="00D9170E" w:rsidRPr="0068133B">
        <w:rPr>
          <w:rStyle w:val="FootnoteReference"/>
        </w:rPr>
        <w:footnoteReference w:id="12"/>
      </w:r>
      <w:r w:rsidR="00D9170E" w:rsidRPr="0068133B">
        <w:rPr>
          <w:lang w:val="ru-RU" w:eastAsia="en-US"/>
        </w:rPr>
        <w:t xml:space="preserve">.  </w:t>
      </w:r>
      <w:r w:rsidR="00EE6E0B" w:rsidRPr="0068133B">
        <w:rPr>
          <w:lang w:val="ru-RU" w:eastAsia="en-US"/>
        </w:rPr>
        <w:t>В 11 из этих юрисдикций</w:t>
      </w:r>
      <w:r w:rsidR="00B437B5" w:rsidRPr="0068133B">
        <w:rPr>
          <w:lang w:val="ru-RU" w:eastAsia="en-US"/>
        </w:rPr>
        <w:t xml:space="preserve"> в отношении каждого образца взимается одинаковая</w:t>
      </w:r>
      <w:r w:rsidR="00EE6E0B" w:rsidRPr="0068133B">
        <w:rPr>
          <w:lang w:val="ru-RU" w:eastAsia="en-US"/>
        </w:rPr>
        <w:t xml:space="preserve"> пошлина</w:t>
      </w:r>
      <w:r w:rsidR="005B215D" w:rsidRPr="0068133B">
        <w:rPr>
          <w:lang w:val="ru-RU" w:eastAsia="en-US"/>
        </w:rPr>
        <w:t xml:space="preserve">; </w:t>
      </w:r>
      <w:r w:rsidR="00B437B5" w:rsidRPr="0068133B">
        <w:rPr>
          <w:lang w:val="ru-RU" w:eastAsia="en-US"/>
        </w:rPr>
        <w:t xml:space="preserve"> </w:t>
      </w:r>
      <w:r w:rsidR="00686A65" w:rsidRPr="0068133B">
        <w:rPr>
          <w:lang w:val="ru-RU" w:eastAsia="en-US"/>
        </w:rPr>
        <w:br/>
      </w:r>
      <w:r w:rsidR="00B437B5" w:rsidRPr="0068133B">
        <w:rPr>
          <w:lang w:val="ru-RU" w:eastAsia="en-US"/>
        </w:rPr>
        <w:t>в</w:t>
      </w:r>
      <w:r w:rsidR="00C71A70" w:rsidRPr="0068133B">
        <w:rPr>
          <w:lang w:val="ru-RU" w:eastAsia="en-US"/>
        </w:rPr>
        <w:t xml:space="preserve"> оставшихся</w:t>
      </w:r>
      <w:r w:rsidR="00B437B5" w:rsidRPr="0068133B">
        <w:rPr>
          <w:lang w:val="ru-RU" w:eastAsia="en-US"/>
        </w:rPr>
        <w:t xml:space="preserve"> 7 за каждый дополнительный образец</w:t>
      </w:r>
      <w:r w:rsidR="00C71A70" w:rsidRPr="0068133B">
        <w:rPr>
          <w:lang w:val="ru-RU" w:eastAsia="en-US"/>
        </w:rPr>
        <w:t xml:space="preserve"> взимается</w:t>
      </w:r>
      <w:r w:rsidR="00CC1AAF" w:rsidRPr="0068133B">
        <w:rPr>
          <w:lang w:val="ru-RU" w:eastAsia="en-US"/>
        </w:rPr>
        <w:t xml:space="preserve"> одинакова</w:t>
      </w:r>
      <w:r w:rsidR="00C71A70" w:rsidRPr="0068133B">
        <w:rPr>
          <w:lang w:val="ru-RU" w:eastAsia="en-US"/>
        </w:rPr>
        <w:t>я пошлина</w:t>
      </w:r>
      <w:r w:rsidR="000F2711" w:rsidRPr="0068133B">
        <w:rPr>
          <w:lang w:val="ru-RU" w:eastAsia="en-US"/>
        </w:rPr>
        <w:t>, но ее размер ниже, чем размер пошлины за перв</w:t>
      </w:r>
      <w:r w:rsidR="00B437B5" w:rsidRPr="0068133B">
        <w:rPr>
          <w:lang w:val="ru-RU" w:eastAsia="en-US"/>
        </w:rPr>
        <w:t>ы</w:t>
      </w:r>
      <w:r w:rsidR="000F2711" w:rsidRPr="0068133B">
        <w:rPr>
          <w:lang w:val="ru-RU" w:eastAsia="en-US"/>
        </w:rPr>
        <w:t xml:space="preserve">й образец (точно так же, как и в Гаагской системе).  Эти выводы </w:t>
      </w:r>
      <w:r w:rsidR="00AA0123" w:rsidRPr="0068133B">
        <w:rPr>
          <w:lang w:val="ru-RU" w:eastAsia="en-US"/>
        </w:rPr>
        <w:t>про</w:t>
      </w:r>
      <w:r w:rsidR="000F2711" w:rsidRPr="0068133B">
        <w:rPr>
          <w:lang w:val="ru-RU" w:eastAsia="en-US"/>
        </w:rPr>
        <w:t>иллюстрир</w:t>
      </w:r>
      <w:r w:rsidR="00AA0123" w:rsidRPr="0068133B">
        <w:rPr>
          <w:lang w:val="ru-RU" w:eastAsia="en-US"/>
        </w:rPr>
        <w:t>ованы на следующей диаграмме.</w:t>
      </w:r>
    </w:p>
    <w:p w14:paraId="2359AAB5" w14:textId="77777777" w:rsidR="00D03334" w:rsidRPr="0068133B" w:rsidRDefault="00D03334">
      <w:pPr>
        <w:rPr>
          <w:lang w:val="ru-RU"/>
        </w:rPr>
      </w:pPr>
      <w:r w:rsidRPr="0068133B">
        <w:rPr>
          <w:lang w:val="ru-RU"/>
        </w:rPr>
        <w:br w:type="page"/>
      </w:r>
    </w:p>
    <w:p w14:paraId="7790CDF5" w14:textId="655C5C9C" w:rsidR="00910B78" w:rsidRPr="0068133B" w:rsidRDefault="009B18DB" w:rsidP="00854813">
      <w:pPr>
        <w:pStyle w:val="BodyText"/>
        <w:numPr>
          <w:ilvl w:val="0"/>
          <w:numId w:val="0"/>
        </w:numPr>
        <w:ind w:left="270"/>
        <w:jc w:val="center"/>
        <w:rPr>
          <w:lang w:val="ru-RU"/>
        </w:rPr>
      </w:pPr>
      <w:r w:rsidRPr="0068133B">
        <w:rPr>
          <w:lang w:val="ru-RU"/>
        </w:rPr>
        <w:lastRenderedPageBreak/>
        <w:t>Ставка</w:t>
      </w:r>
      <w:r w:rsidR="00815A39" w:rsidRPr="0068133B">
        <w:rPr>
          <w:lang w:val="ru-RU"/>
        </w:rPr>
        <w:t xml:space="preserve"> пошлины за каждый дополнительный образец по сравнению с</w:t>
      </w:r>
      <w:r w:rsidRPr="0068133B">
        <w:rPr>
          <w:lang w:val="ru-RU"/>
        </w:rPr>
        <w:t>о ставкой</w:t>
      </w:r>
      <w:r w:rsidR="00815A39" w:rsidRPr="0068133B">
        <w:rPr>
          <w:lang w:val="ru-RU"/>
        </w:rPr>
        <w:t xml:space="preserve"> пошлин</w:t>
      </w:r>
      <w:r w:rsidRPr="0068133B">
        <w:rPr>
          <w:lang w:val="ru-RU"/>
        </w:rPr>
        <w:t>ы</w:t>
      </w:r>
      <w:r w:rsidR="00815A39" w:rsidRPr="0068133B">
        <w:rPr>
          <w:lang w:val="ru-RU"/>
        </w:rPr>
        <w:t xml:space="preserve"> за первый образец</w:t>
      </w:r>
    </w:p>
    <w:p w14:paraId="148CBE67" w14:textId="3AEC0C13" w:rsidR="002A2844" w:rsidRPr="0068133B" w:rsidRDefault="002A2844" w:rsidP="00060E91">
      <w:pPr>
        <w:pStyle w:val="BodyText"/>
        <w:numPr>
          <w:ilvl w:val="0"/>
          <w:numId w:val="0"/>
        </w:numPr>
        <w:ind w:left="270"/>
      </w:pPr>
      <w:r w:rsidRPr="0068133B">
        <w:rPr>
          <w:noProof/>
          <w:lang w:eastAsia="en-US"/>
        </w:rPr>
        <w:drawing>
          <wp:inline distT="0" distB="0" distL="0" distR="0" wp14:anchorId="4D517757" wp14:editId="6F5F6747">
            <wp:extent cx="5940425" cy="270826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F2C27" w14:textId="0D39C673" w:rsidR="00D9170E" w:rsidRPr="0068133B" w:rsidRDefault="00D9170E" w:rsidP="00E93195">
      <w:pPr>
        <w:rPr>
          <w:lang w:val="ru-RU" w:eastAsia="en-US"/>
        </w:rPr>
      </w:pPr>
      <w:r w:rsidRPr="0068133B">
        <w:rPr>
          <w:lang w:val="ru-RU" w:eastAsia="en-US"/>
        </w:rPr>
        <w:t>1</w:t>
      </w:r>
      <w:r w:rsidR="003A79BF" w:rsidRPr="0068133B">
        <w:rPr>
          <w:lang w:val="ru-RU" w:eastAsia="en-US"/>
        </w:rPr>
        <w:t>0</w:t>
      </w:r>
      <w:r w:rsidRPr="0068133B">
        <w:rPr>
          <w:lang w:val="ru-RU" w:eastAsia="en-US"/>
        </w:rPr>
        <w:t>.</w:t>
      </w:r>
      <w:r w:rsidR="003A79BF" w:rsidRPr="0068133B">
        <w:rPr>
          <w:lang w:val="ru-RU" w:eastAsia="en-US"/>
        </w:rPr>
        <w:tab/>
      </w:r>
      <w:r w:rsidR="00CF5FA0" w:rsidRPr="0068133B">
        <w:rPr>
          <w:lang w:val="ru-RU" w:eastAsia="en-US"/>
        </w:rPr>
        <w:t xml:space="preserve">В рамках Гаагской системы размер основной пошлины за продление за первый образец составляет </w:t>
      </w:r>
      <w:r w:rsidR="001A72E9" w:rsidRPr="0068133B">
        <w:rPr>
          <w:lang w:val="ru-RU" w:eastAsia="en-US"/>
        </w:rPr>
        <w:t xml:space="preserve">200 </w:t>
      </w:r>
      <w:r w:rsidR="00CF5FA0" w:rsidRPr="0068133B">
        <w:rPr>
          <w:lang w:val="ru-RU" w:eastAsia="en-US"/>
        </w:rPr>
        <w:t xml:space="preserve">шв. фраков, а за каждый дополнительный образец, включенный в одну и ту же международную регистрацию, – </w:t>
      </w:r>
      <w:r w:rsidR="001A72E9" w:rsidRPr="0068133B">
        <w:rPr>
          <w:lang w:val="ru-RU" w:eastAsia="en-US"/>
        </w:rPr>
        <w:t xml:space="preserve">17 </w:t>
      </w:r>
      <w:r w:rsidR="00CF5FA0" w:rsidRPr="0068133B">
        <w:rPr>
          <w:lang w:val="ru-RU" w:eastAsia="en-US"/>
        </w:rPr>
        <w:t>шв. франков</w:t>
      </w:r>
      <w:r w:rsidR="001A72E9" w:rsidRPr="0068133B">
        <w:rPr>
          <w:lang w:val="ru-RU" w:eastAsia="en-US"/>
        </w:rPr>
        <w:t xml:space="preserve">.  </w:t>
      </w:r>
      <w:r w:rsidR="009B18DB" w:rsidRPr="0068133B">
        <w:rPr>
          <w:lang w:val="ru-RU" w:eastAsia="en-US"/>
        </w:rPr>
        <w:t xml:space="preserve">Другими словами, </w:t>
      </w:r>
      <w:r w:rsidR="0073585F" w:rsidRPr="0068133B">
        <w:rPr>
          <w:lang w:val="ru-RU" w:eastAsia="en-US"/>
        </w:rPr>
        <w:t xml:space="preserve">в </w:t>
      </w:r>
      <w:r w:rsidR="009B18DB" w:rsidRPr="0068133B">
        <w:rPr>
          <w:lang w:val="ru-RU" w:eastAsia="en-US"/>
        </w:rPr>
        <w:t>отношени</w:t>
      </w:r>
      <w:r w:rsidR="0073585F" w:rsidRPr="0068133B">
        <w:rPr>
          <w:lang w:val="ru-RU" w:eastAsia="en-US"/>
        </w:rPr>
        <w:t>и каждого дополнительного образца применяется</w:t>
      </w:r>
      <w:r w:rsidR="009B18DB" w:rsidRPr="0068133B">
        <w:rPr>
          <w:lang w:val="ru-RU" w:eastAsia="en-US"/>
        </w:rPr>
        <w:t xml:space="preserve"> пошлин</w:t>
      </w:r>
      <w:r w:rsidR="0073585F" w:rsidRPr="0068133B">
        <w:rPr>
          <w:lang w:val="ru-RU" w:eastAsia="en-US"/>
        </w:rPr>
        <w:t>а за продление</w:t>
      </w:r>
      <w:r w:rsidR="004A7EC1" w:rsidRPr="0068133B">
        <w:rPr>
          <w:lang w:val="ru-RU" w:eastAsia="en-US"/>
        </w:rPr>
        <w:t xml:space="preserve">, составляющая </w:t>
      </w:r>
      <w:r w:rsidR="0073585F" w:rsidRPr="0068133B">
        <w:rPr>
          <w:lang w:val="ru-RU" w:eastAsia="en-US"/>
        </w:rPr>
        <w:t xml:space="preserve">8,5 процента от аналогичной пошлины </w:t>
      </w:r>
      <w:r w:rsidR="008B3A47" w:rsidRPr="0068133B">
        <w:rPr>
          <w:lang w:val="ru-RU" w:eastAsia="en-US"/>
        </w:rPr>
        <w:t>за первый образец</w:t>
      </w:r>
      <w:r w:rsidR="001A72E9" w:rsidRPr="0068133B">
        <w:rPr>
          <w:lang w:val="ru-RU" w:eastAsia="en-US"/>
        </w:rPr>
        <w:t>.</w:t>
      </w:r>
    </w:p>
    <w:p w14:paraId="693E6B4F" w14:textId="77777777" w:rsidR="00DC73BE" w:rsidRPr="0068133B" w:rsidRDefault="00DC73BE" w:rsidP="00E93195">
      <w:pPr>
        <w:rPr>
          <w:lang w:val="ru-RU" w:eastAsia="en-US"/>
        </w:rPr>
      </w:pPr>
    </w:p>
    <w:p w14:paraId="21B7D247" w14:textId="2B5B2A84" w:rsidR="001C5339" w:rsidRPr="0068133B" w:rsidRDefault="00D9170E" w:rsidP="00A10D89">
      <w:pPr>
        <w:pStyle w:val="BodyText"/>
        <w:numPr>
          <w:ilvl w:val="0"/>
          <w:numId w:val="0"/>
        </w:numPr>
        <w:rPr>
          <w:lang w:val="ru-RU"/>
        </w:rPr>
      </w:pPr>
      <w:r w:rsidRPr="0068133B">
        <w:rPr>
          <w:lang w:val="ru-RU" w:eastAsia="en-US"/>
        </w:rPr>
        <w:t>11.</w:t>
      </w:r>
      <w:r w:rsidRPr="0068133B">
        <w:rPr>
          <w:lang w:val="ru-RU" w:eastAsia="en-US"/>
        </w:rPr>
        <w:tab/>
      </w:r>
      <w:r w:rsidR="00697DA0" w:rsidRPr="0068133B">
        <w:rPr>
          <w:lang w:val="ru-RU" w:eastAsia="en-US"/>
        </w:rPr>
        <w:t>Д</w:t>
      </w:r>
      <w:r w:rsidR="005924F4" w:rsidRPr="0068133B">
        <w:rPr>
          <w:lang w:val="ru-RU" w:eastAsia="en-US"/>
        </w:rPr>
        <w:t>алее в рамках анализа были сопоставлены ставки пошлины, применяем</w:t>
      </w:r>
      <w:r w:rsidR="006F426B" w:rsidRPr="0068133B">
        <w:rPr>
          <w:lang w:val="ru-RU" w:eastAsia="en-US"/>
        </w:rPr>
        <w:t>ой</w:t>
      </w:r>
      <w:r w:rsidR="005924F4" w:rsidRPr="0068133B">
        <w:rPr>
          <w:lang w:val="ru-RU" w:eastAsia="en-US"/>
        </w:rPr>
        <w:t xml:space="preserve"> в отношении каждого дополнительного образца в 7 упомянутых юрисдикциях с той же структурой пошлин, что и в Гаагской системе;  анализ показал, что средняя ставка составляет </w:t>
      </w:r>
      <w:r w:rsidR="005B6896" w:rsidRPr="0068133B">
        <w:rPr>
          <w:lang w:val="ru-RU" w:eastAsia="en-US"/>
        </w:rPr>
        <w:t>50</w:t>
      </w:r>
      <w:r w:rsidR="005924F4" w:rsidRPr="0068133B">
        <w:rPr>
          <w:lang w:val="ru-RU" w:eastAsia="en-US"/>
        </w:rPr>
        <w:t>,</w:t>
      </w:r>
      <w:r w:rsidR="005B6896" w:rsidRPr="0068133B">
        <w:rPr>
          <w:lang w:val="ru-RU" w:eastAsia="en-US"/>
        </w:rPr>
        <w:t>2</w:t>
      </w:r>
      <w:r w:rsidR="00C8323F" w:rsidRPr="0068133B">
        <w:rPr>
          <w:lang w:val="ru-RU" w:eastAsia="en-US"/>
        </w:rPr>
        <w:t xml:space="preserve"> </w:t>
      </w:r>
      <w:r w:rsidR="005924F4" w:rsidRPr="0068133B">
        <w:rPr>
          <w:lang w:val="ru-RU" w:eastAsia="en-US"/>
        </w:rPr>
        <w:t>процента</w:t>
      </w:r>
      <w:r w:rsidR="00490300" w:rsidRPr="0068133B">
        <w:rPr>
          <w:rStyle w:val="FootnoteReference"/>
          <w:lang w:eastAsia="en-US"/>
        </w:rPr>
        <w:footnoteReference w:id="13"/>
      </w:r>
      <w:r w:rsidR="00ED2235" w:rsidRPr="0068133B">
        <w:rPr>
          <w:lang w:val="ru-RU" w:eastAsia="en-US"/>
        </w:rPr>
        <w:t xml:space="preserve">, </w:t>
      </w:r>
      <w:r w:rsidR="00AA0123" w:rsidRPr="0068133B">
        <w:rPr>
          <w:lang w:val="ru-RU" w:eastAsia="en-US"/>
        </w:rPr>
        <w:t>о чем свидетельствует следующая диаграмма.</w:t>
      </w:r>
    </w:p>
    <w:p w14:paraId="2F058284" w14:textId="4239B854" w:rsidR="00312552" w:rsidRPr="0068133B" w:rsidRDefault="00312552">
      <w:pPr>
        <w:rPr>
          <w:lang w:val="ru-RU"/>
        </w:rPr>
      </w:pPr>
    </w:p>
    <w:p w14:paraId="546C07CF" w14:textId="73556B62" w:rsidR="001C5339" w:rsidRPr="0068133B" w:rsidRDefault="007455AC" w:rsidP="003A79BF">
      <w:pPr>
        <w:pStyle w:val="ONUME"/>
        <w:numPr>
          <w:ilvl w:val="0"/>
          <w:numId w:val="0"/>
        </w:numPr>
        <w:spacing w:after="60"/>
        <w:jc w:val="center"/>
        <w:rPr>
          <w:lang w:val="ru-RU"/>
        </w:rPr>
      </w:pPr>
      <w:r w:rsidRPr="0068133B">
        <w:rPr>
          <w:lang w:val="ru-RU"/>
        </w:rPr>
        <w:t>Средняя ставка пошлины за продление за каждый дополнительный образец</w:t>
      </w:r>
    </w:p>
    <w:p w14:paraId="62F35422" w14:textId="06A4C25A" w:rsidR="003B7609" w:rsidRPr="0068133B" w:rsidRDefault="003B7609" w:rsidP="00C050FC">
      <w:pPr>
        <w:pStyle w:val="BodyText"/>
        <w:numPr>
          <w:ilvl w:val="0"/>
          <w:numId w:val="0"/>
        </w:numPr>
        <w:jc w:val="center"/>
      </w:pPr>
      <w:r w:rsidRPr="0068133B">
        <w:rPr>
          <w:noProof/>
          <w:lang w:eastAsia="en-US"/>
        </w:rPr>
        <w:drawing>
          <wp:inline distT="0" distB="0" distL="0" distR="0" wp14:anchorId="2030608B" wp14:editId="4D7117A4">
            <wp:extent cx="4533900" cy="2800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49CDB" w14:textId="7D039D4F" w:rsidR="009555D3" w:rsidRPr="0068133B" w:rsidRDefault="009555D3" w:rsidP="005E453E">
      <w:pPr>
        <w:pStyle w:val="Heading1"/>
        <w:spacing w:before="480"/>
      </w:pPr>
      <w:r w:rsidRPr="0068133B">
        <w:lastRenderedPageBreak/>
        <w:t>IV.</w:t>
      </w:r>
      <w:r w:rsidRPr="0068133B">
        <w:tab/>
      </w:r>
      <w:r w:rsidR="005A3651" w:rsidRPr="0068133B">
        <w:rPr>
          <w:lang w:val="ru-RU"/>
        </w:rPr>
        <w:t>ВЫВОДЫ</w:t>
      </w:r>
    </w:p>
    <w:p w14:paraId="5AF26A54" w14:textId="69C784C9" w:rsidR="0016754F" w:rsidRPr="0068133B" w:rsidRDefault="00936182" w:rsidP="00C57AE4">
      <w:pPr>
        <w:pStyle w:val="BodyText"/>
        <w:numPr>
          <w:ilvl w:val="0"/>
          <w:numId w:val="44"/>
        </w:numPr>
        <w:tabs>
          <w:tab w:val="clear" w:pos="851"/>
        </w:tabs>
        <w:spacing w:before="240"/>
        <w:ind w:left="0"/>
        <w:rPr>
          <w:lang w:val="ru-RU"/>
        </w:rPr>
      </w:pPr>
      <w:r w:rsidRPr="0068133B">
        <w:rPr>
          <w:lang w:val="ru-RU"/>
        </w:rPr>
        <w:t>Как было отмечено Рабочей группой на восьмой сессии, ставка</w:t>
      </w:r>
      <w:r w:rsidR="00DD4D72" w:rsidRPr="0068133B">
        <w:rPr>
          <w:lang w:val="ru-RU"/>
        </w:rPr>
        <w:t xml:space="preserve"> пошлины</w:t>
      </w:r>
      <w:r w:rsidRPr="0068133B">
        <w:rPr>
          <w:lang w:val="ru-RU"/>
        </w:rPr>
        <w:t xml:space="preserve"> за каждый дополнительный образец в размере </w:t>
      </w:r>
      <w:r w:rsidR="00EB7CA4" w:rsidRPr="0068133B">
        <w:rPr>
          <w:lang w:val="ru-RU" w:eastAsia="en-US"/>
        </w:rPr>
        <w:t>8</w:t>
      </w:r>
      <w:r w:rsidRPr="0068133B">
        <w:rPr>
          <w:lang w:val="ru-RU" w:eastAsia="en-US"/>
        </w:rPr>
        <w:t>,</w:t>
      </w:r>
      <w:r w:rsidR="00EB7CA4" w:rsidRPr="0068133B">
        <w:rPr>
          <w:lang w:val="ru-RU" w:eastAsia="en-US"/>
        </w:rPr>
        <w:t>5</w:t>
      </w:r>
      <w:r w:rsidRPr="0068133B">
        <w:rPr>
          <w:lang w:val="ru-RU" w:eastAsia="en-US"/>
        </w:rPr>
        <w:t xml:space="preserve"> процента от основной пошлины за продление за первый образец значительно ниже распространенной средней ставки в других системах, допускающих подачу заявок на регистрацию нескольких образцов</w:t>
      </w:r>
      <w:r w:rsidR="008C29E7" w:rsidRPr="0068133B">
        <w:rPr>
          <w:lang w:val="ru-RU" w:eastAsia="en-US"/>
        </w:rPr>
        <w:t xml:space="preserve"> и</w:t>
      </w:r>
      <w:r w:rsidRPr="0068133B">
        <w:rPr>
          <w:lang w:val="ru-RU" w:eastAsia="en-US"/>
        </w:rPr>
        <w:t xml:space="preserve"> </w:t>
      </w:r>
      <w:r w:rsidR="008C29E7" w:rsidRPr="0068133B">
        <w:rPr>
          <w:lang w:val="ru-RU" w:eastAsia="en-US"/>
        </w:rPr>
        <w:t xml:space="preserve">имеющих такую же структуру пошлин за продление, </w:t>
      </w:r>
      <w:r w:rsidR="00B205F4" w:rsidRPr="0068133B">
        <w:rPr>
          <w:lang w:val="ru-RU" w:eastAsia="en-US"/>
        </w:rPr>
        <w:t>как</w:t>
      </w:r>
      <w:r w:rsidR="008C29E7" w:rsidRPr="0068133B">
        <w:rPr>
          <w:lang w:val="ru-RU" w:eastAsia="en-US"/>
        </w:rPr>
        <w:t xml:space="preserve"> и Гаагская система.</w:t>
      </w:r>
    </w:p>
    <w:p w14:paraId="575B5F19" w14:textId="1387B445" w:rsidR="00956F67" w:rsidRPr="0068133B" w:rsidRDefault="00BD17CA" w:rsidP="00E93195">
      <w:pPr>
        <w:pStyle w:val="BodyText"/>
        <w:tabs>
          <w:tab w:val="clear" w:pos="837"/>
        </w:tabs>
        <w:spacing w:after="0"/>
        <w:ind w:left="0"/>
        <w:rPr>
          <w:lang w:val="ru-RU"/>
        </w:rPr>
      </w:pPr>
      <w:r w:rsidRPr="0068133B">
        <w:rPr>
          <w:lang w:val="ru-RU" w:eastAsia="en-US"/>
        </w:rPr>
        <w:t>С учетом полученного от Рабочей группы мандата Международное бюро продолжит данное исследование в русле подготовки предложения о возможном увеличении размера основной пошлины за продление за каждый дополнительный образец для его обсуждения на следующей сессии</w:t>
      </w:r>
      <w:r w:rsidR="00AF12DD" w:rsidRPr="0068133B">
        <w:rPr>
          <w:lang w:val="ru-RU" w:eastAsia="en-US"/>
        </w:rPr>
        <w:t>.</w:t>
      </w:r>
    </w:p>
    <w:p w14:paraId="716CBEF4" w14:textId="2648266D" w:rsidR="00DC73BE" w:rsidRPr="0068133B" w:rsidRDefault="00DC73BE" w:rsidP="00E93195">
      <w:pPr>
        <w:pStyle w:val="BodyText"/>
        <w:numPr>
          <w:ilvl w:val="0"/>
          <w:numId w:val="0"/>
        </w:numPr>
        <w:spacing w:after="0"/>
        <w:ind w:left="272"/>
        <w:rPr>
          <w:lang w:val="ru-RU" w:eastAsia="en-US"/>
        </w:rPr>
      </w:pPr>
    </w:p>
    <w:p w14:paraId="38F6FBA4" w14:textId="77777777" w:rsidR="00DC73BE" w:rsidRPr="0068133B" w:rsidRDefault="00DC73BE" w:rsidP="00E93195">
      <w:pPr>
        <w:pStyle w:val="BodyText"/>
        <w:numPr>
          <w:ilvl w:val="0"/>
          <w:numId w:val="0"/>
        </w:numPr>
        <w:spacing w:after="0"/>
        <w:ind w:left="272"/>
        <w:rPr>
          <w:lang w:val="ru-RU" w:eastAsia="en-US"/>
        </w:rPr>
      </w:pPr>
    </w:p>
    <w:p w14:paraId="6CD19545" w14:textId="75F7FF2B" w:rsidR="00DC73BE" w:rsidRPr="0068133B" w:rsidRDefault="00DC73BE" w:rsidP="00E93195">
      <w:pPr>
        <w:pStyle w:val="BodyText"/>
        <w:numPr>
          <w:ilvl w:val="0"/>
          <w:numId w:val="0"/>
        </w:numPr>
        <w:spacing w:after="0"/>
        <w:ind w:left="270"/>
        <w:rPr>
          <w:lang w:val="ru-RU"/>
        </w:rPr>
      </w:pPr>
    </w:p>
    <w:p w14:paraId="460510ED" w14:textId="1309526F" w:rsidR="00DC73BE" w:rsidRDefault="00DC73BE" w:rsidP="00DC73BE">
      <w:pPr>
        <w:pStyle w:val="BodyText"/>
        <w:numPr>
          <w:ilvl w:val="0"/>
          <w:numId w:val="0"/>
        </w:numPr>
        <w:tabs>
          <w:tab w:val="left" w:pos="3969"/>
          <w:tab w:val="left" w:pos="4962"/>
        </w:tabs>
        <w:ind w:left="270"/>
        <w:jc w:val="center"/>
      </w:pPr>
      <w:r w:rsidRPr="0068133B">
        <w:rPr>
          <w:lang w:val="ru-RU"/>
        </w:rPr>
        <w:tab/>
      </w:r>
      <w:r w:rsidRPr="0068133B">
        <w:t>[</w:t>
      </w:r>
      <w:r w:rsidR="00B055CC" w:rsidRPr="0068133B">
        <w:rPr>
          <w:lang w:val="ru-RU"/>
        </w:rPr>
        <w:t>Конец документа</w:t>
      </w:r>
      <w:r w:rsidRPr="0068133B">
        <w:t>]</w:t>
      </w:r>
      <w:bookmarkStart w:id="5" w:name="_GoBack"/>
      <w:bookmarkEnd w:id="5"/>
    </w:p>
    <w:p w14:paraId="17510DF5" w14:textId="77777777" w:rsidR="00DC73BE" w:rsidRPr="00DC73BE" w:rsidRDefault="00DC73BE" w:rsidP="00E93195">
      <w:pPr>
        <w:jc w:val="right"/>
      </w:pPr>
    </w:p>
    <w:sectPr w:rsidR="00DC73BE" w:rsidRPr="00DC73BE" w:rsidSect="00C760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56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1C9EA" w14:textId="77777777" w:rsidR="000151F6" w:rsidRDefault="000151F6">
      <w:r>
        <w:separator/>
      </w:r>
    </w:p>
  </w:endnote>
  <w:endnote w:type="continuationSeparator" w:id="0">
    <w:p w14:paraId="027A869E" w14:textId="77777777" w:rsidR="000151F6" w:rsidRDefault="000151F6" w:rsidP="003B38C1">
      <w:r>
        <w:separator/>
      </w:r>
    </w:p>
    <w:p w14:paraId="318B1F36" w14:textId="77777777" w:rsidR="000151F6" w:rsidRPr="003B38C1" w:rsidRDefault="000151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14DDEB" w14:textId="77777777" w:rsidR="000151F6" w:rsidRPr="003B38C1" w:rsidRDefault="000151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4E4C" w14:textId="77777777" w:rsidR="002B406B" w:rsidRDefault="002B4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C141F" w14:textId="77777777" w:rsidR="002B406B" w:rsidRDefault="002B4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C4114" w14:textId="77777777" w:rsidR="002B406B" w:rsidRDefault="002B4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3E21C" w14:textId="77777777" w:rsidR="000151F6" w:rsidRDefault="000151F6">
      <w:r>
        <w:separator/>
      </w:r>
    </w:p>
  </w:footnote>
  <w:footnote w:type="continuationSeparator" w:id="0">
    <w:p w14:paraId="73C5FEFD" w14:textId="77777777" w:rsidR="000151F6" w:rsidRDefault="000151F6" w:rsidP="008B60B2">
      <w:r>
        <w:separator/>
      </w:r>
    </w:p>
    <w:p w14:paraId="0DD425A0" w14:textId="77777777" w:rsidR="000151F6" w:rsidRPr="00ED77FB" w:rsidRDefault="000151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117B3D3" w14:textId="77777777" w:rsidR="000151F6" w:rsidRPr="00ED77FB" w:rsidRDefault="000151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F995700" w14:textId="48D6DE7B" w:rsidR="000A7797" w:rsidRPr="00A128DF" w:rsidRDefault="000A779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128DF">
        <w:rPr>
          <w:lang w:val="ru-RU"/>
        </w:rPr>
        <w:tab/>
      </w:r>
      <w:r>
        <w:rPr>
          <w:lang w:val="ru-RU"/>
        </w:rPr>
        <w:t>См</w:t>
      </w:r>
      <w:r w:rsidRPr="00A128DF">
        <w:rPr>
          <w:lang w:val="ru-RU"/>
        </w:rPr>
        <w:t xml:space="preserve">. </w:t>
      </w:r>
      <w:r>
        <w:rPr>
          <w:lang w:val="ru-RU"/>
        </w:rPr>
        <w:t>документ</w:t>
      </w:r>
      <w:r w:rsidRPr="00A128DF">
        <w:rPr>
          <w:lang w:val="ru-RU"/>
        </w:rPr>
        <w:t xml:space="preserve"> </w:t>
      </w:r>
      <w:r w:rsidRPr="0089020D">
        <w:t>H</w:t>
      </w:r>
      <w:r w:rsidRPr="00A128DF">
        <w:rPr>
          <w:lang w:val="ru-RU"/>
        </w:rPr>
        <w:t>/</w:t>
      </w:r>
      <w:r w:rsidRPr="0089020D">
        <w:t>LD</w:t>
      </w:r>
      <w:r w:rsidRPr="00A128DF">
        <w:rPr>
          <w:lang w:val="ru-RU"/>
        </w:rPr>
        <w:t>/</w:t>
      </w:r>
      <w:r w:rsidRPr="0089020D">
        <w:t>WG</w:t>
      </w:r>
      <w:r w:rsidRPr="00A128DF">
        <w:rPr>
          <w:lang w:val="ru-RU"/>
        </w:rPr>
        <w:t>/8/8 «</w:t>
      </w:r>
      <w:r>
        <w:rPr>
          <w:lang w:val="ru-RU"/>
        </w:rPr>
        <w:t>Резюме</w:t>
      </w:r>
      <w:r w:rsidRPr="00A128DF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A128DF">
        <w:rPr>
          <w:lang w:val="ru-RU"/>
        </w:rPr>
        <w:t xml:space="preserve">», </w:t>
      </w:r>
      <w:r>
        <w:rPr>
          <w:lang w:val="ru-RU"/>
        </w:rPr>
        <w:t>пункт </w:t>
      </w:r>
      <w:r w:rsidRPr="00A128DF">
        <w:rPr>
          <w:lang w:val="ru-RU"/>
        </w:rPr>
        <w:t>27.</w:t>
      </w:r>
    </w:p>
  </w:footnote>
  <w:footnote w:id="3">
    <w:p w14:paraId="3D554074" w14:textId="0343B6C0" w:rsidR="000A7797" w:rsidRPr="009E219C" w:rsidRDefault="000A7797" w:rsidP="004F0E54">
      <w:pPr>
        <w:pStyle w:val="FootnoteText"/>
        <w:ind w:left="567" w:hanging="567"/>
        <w:rPr>
          <w:szCs w:val="18"/>
          <w:lang w:val="ru-RU"/>
        </w:rPr>
      </w:pPr>
      <w:r w:rsidRPr="00644E01">
        <w:rPr>
          <w:rStyle w:val="FootnoteReference"/>
          <w:szCs w:val="18"/>
        </w:rPr>
        <w:footnoteRef/>
      </w:r>
      <w:r w:rsidRPr="009E219C">
        <w:rPr>
          <w:szCs w:val="18"/>
          <w:lang w:val="ru-RU"/>
        </w:rPr>
        <w:tab/>
      </w:r>
      <w:r>
        <w:rPr>
          <w:szCs w:val="18"/>
          <w:lang w:val="ru-RU"/>
        </w:rPr>
        <w:t>Согласно</w:t>
      </w:r>
      <w:r w:rsidRPr="009E219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внутреннему</w:t>
      </w:r>
      <w:r w:rsidRPr="009E219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ежемесячному</w:t>
      </w:r>
      <w:r w:rsidRPr="009E219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отчету</w:t>
      </w:r>
      <w:r w:rsidRPr="009E219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Секции</w:t>
      </w:r>
      <w:r w:rsidRPr="009E219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управления</w:t>
      </w:r>
      <w:r w:rsidRPr="009E219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доходами</w:t>
      </w:r>
      <w:r w:rsidRPr="009E219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Финансового</w:t>
      </w:r>
      <w:r w:rsidRPr="009E219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отдела</w:t>
      </w:r>
      <w:r w:rsidRPr="009E219C">
        <w:rPr>
          <w:szCs w:val="18"/>
          <w:lang w:val="ru-RU"/>
        </w:rPr>
        <w:t>.</w:t>
      </w:r>
    </w:p>
  </w:footnote>
  <w:footnote w:id="4">
    <w:p w14:paraId="174A2165" w14:textId="02EF0F54" w:rsidR="000A7797" w:rsidRPr="00B13CD1" w:rsidRDefault="000A7797" w:rsidP="00B13CD1">
      <w:pPr>
        <w:pStyle w:val="FootnoteText"/>
        <w:ind w:left="567" w:hanging="567"/>
        <w:rPr>
          <w:szCs w:val="18"/>
          <w:lang w:val="ru-RU"/>
        </w:rPr>
      </w:pPr>
      <w:r w:rsidRPr="006B5E1F">
        <w:rPr>
          <w:rStyle w:val="FootnoteReference"/>
          <w:szCs w:val="18"/>
        </w:rPr>
        <w:footnoteRef/>
      </w:r>
      <w:r w:rsidRPr="00B13CD1">
        <w:rPr>
          <w:szCs w:val="18"/>
          <w:lang w:val="ru-RU"/>
        </w:rPr>
        <w:tab/>
      </w:r>
      <w:r>
        <w:rPr>
          <w:szCs w:val="18"/>
          <w:lang w:val="ru-RU"/>
        </w:rPr>
        <w:t>Данные</w:t>
      </w:r>
      <w:r w:rsidRPr="00B13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B13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международных</w:t>
      </w:r>
      <w:r w:rsidRPr="00B13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заявках</w:t>
      </w:r>
      <w:r w:rsidRPr="00B13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основаны</w:t>
      </w:r>
      <w:r w:rsidRPr="00B13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B13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численности</w:t>
      </w:r>
      <w:r w:rsidRPr="00B13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международных</w:t>
      </w:r>
      <w:r w:rsidRPr="00B13CD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регистраций, датированных 2019</w:t>
      </w:r>
      <w:r w:rsidR="00F62299">
        <w:rPr>
          <w:szCs w:val="18"/>
        </w:rPr>
        <w:t> </w:t>
      </w:r>
      <w:r>
        <w:rPr>
          <w:szCs w:val="18"/>
          <w:lang w:val="ru-RU"/>
        </w:rPr>
        <w:t xml:space="preserve">г. </w:t>
      </w:r>
      <w:r w:rsidR="00BD0DE3" w:rsidRPr="002B406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Аналогичным образом число продлений и изменений рассчитано на основе даты внесения записи</w:t>
      </w:r>
      <w:r w:rsidRPr="00B13CD1">
        <w:rPr>
          <w:szCs w:val="18"/>
          <w:lang w:val="ru-RU"/>
        </w:rPr>
        <w:t>.</w:t>
      </w:r>
    </w:p>
  </w:footnote>
  <w:footnote w:id="5">
    <w:p w14:paraId="11EFDCD6" w14:textId="3212CB7B" w:rsidR="000A7797" w:rsidRPr="002B406B" w:rsidRDefault="000A7797" w:rsidP="006827C2">
      <w:pPr>
        <w:pStyle w:val="FootnoteText"/>
        <w:ind w:left="567" w:hanging="567"/>
        <w:rPr>
          <w:szCs w:val="18"/>
          <w:lang w:val="ru-RU"/>
        </w:rPr>
      </w:pPr>
      <w:r w:rsidRPr="006B5E1F">
        <w:rPr>
          <w:rStyle w:val="FootnoteReference"/>
          <w:szCs w:val="18"/>
        </w:rPr>
        <w:footnoteRef/>
      </w:r>
      <w:r w:rsidRPr="002B406B">
        <w:rPr>
          <w:szCs w:val="18"/>
          <w:lang w:val="ru-RU"/>
        </w:rPr>
        <w:tab/>
      </w:r>
      <w:r>
        <w:rPr>
          <w:szCs w:val="18"/>
          <w:lang w:val="ru-RU"/>
        </w:rPr>
        <w:t>В</w:t>
      </w:r>
      <w:r w:rsidRPr="002B406B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тыс</w:t>
      </w:r>
      <w:r w:rsidRPr="002B406B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шв</w:t>
      </w:r>
      <w:r w:rsidRPr="002B406B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франков</w:t>
      </w:r>
      <w:r w:rsidRPr="002B406B">
        <w:rPr>
          <w:szCs w:val="18"/>
          <w:lang w:val="ru-RU"/>
        </w:rPr>
        <w:t>.</w:t>
      </w:r>
    </w:p>
  </w:footnote>
  <w:footnote w:id="6">
    <w:p w14:paraId="3C77EA9F" w14:textId="0E6EDC04" w:rsidR="000A7797" w:rsidRPr="00B465FC" w:rsidRDefault="000A7797" w:rsidP="00D521E2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B465FC">
        <w:rPr>
          <w:lang w:val="ru-RU"/>
        </w:rPr>
        <w:tab/>
      </w:r>
      <w:r>
        <w:rPr>
          <w:lang w:val="ru-RU"/>
        </w:rPr>
        <w:t>С</w:t>
      </w:r>
      <w:r w:rsidRPr="00B465FC">
        <w:rPr>
          <w:lang w:val="ru-RU"/>
        </w:rPr>
        <w:t xml:space="preserve"> </w:t>
      </w:r>
      <w:r>
        <w:rPr>
          <w:lang w:val="ru-RU"/>
        </w:rPr>
        <w:t>учетом</w:t>
      </w:r>
      <w:r w:rsidRPr="00B465FC">
        <w:rPr>
          <w:lang w:val="ru-RU"/>
        </w:rPr>
        <w:t xml:space="preserve"> </w:t>
      </w:r>
      <w:r>
        <w:rPr>
          <w:lang w:val="ru-RU"/>
        </w:rPr>
        <w:t>дополнительного</w:t>
      </w:r>
      <w:r w:rsidRPr="00B465FC">
        <w:rPr>
          <w:lang w:val="ru-RU"/>
        </w:rPr>
        <w:t xml:space="preserve"> </w:t>
      </w:r>
      <w:r>
        <w:rPr>
          <w:lang w:val="ru-RU"/>
        </w:rPr>
        <w:t>сбора</w:t>
      </w:r>
      <w:r w:rsidRPr="00B465FC">
        <w:rPr>
          <w:lang w:val="ru-RU"/>
        </w:rPr>
        <w:t xml:space="preserve">, </w:t>
      </w:r>
      <w:r>
        <w:rPr>
          <w:lang w:val="ru-RU"/>
        </w:rPr>
        <w:t>взимаемого</w:t>
      </w:r>
      <w:r w:rsidRPr="00B465FC">
        <w:rPr>
          <w:lang w:val="ru-RU"/>
        </w:rPr>
        <w:t xml:space="preserve"> </w:t>
      </w:r>
      <w:r>
        <w:rPr>
          <w:lang w:val="ru-RU"/>
        </w:rPr>
        <w:t>в соответствии с правилом</w:t>
      </w:r>
      <w:r>
        <w:rPr>
          <w:szCs w:val="18"/>
        </w:rPr>
        <w:t> </w:t>
      </w:r>
      <w:r w:rsidRPr="00B465FC">
        <w:rPr>
          <w:szCs w:val="18"/>
          <w:lang w:val="ru-RU"/>
        </w:rPr>
        <w:t>24(1)(</w:t>
      </w:r>
      <w:r w:rsidRPr="006B5E1F">
        <w:rPr>
          <w:szCs w:val="18"/>
        </w:rPr>
        <w:t>c</w:t>
      </w:r>
      <w:r w:rsidRPr="00B465FC">
        <w:rPr>
          <w:szCs w:val="18"/>
          <w:lang w:val="ru-RU"/>
        </w:rPr>
        <w:t xml:space="preserve">) </w:t>
      </w:r>
      <w:r w:rsidR="00E80C7E">
        <w:rPr>
          <w:szCs w:val="18"/>
          <w:lang w:val="ru-RU"/>
        </w:rPr>
        <w:t xml:space="preserve">за </w:t>
      </w:r>
      <w:r w:rsidR="00F749F9">
        <w:rPr>
          <w:szCs w:val="18"/>
          <w:lang w:val="ru-RU"/>
        </w:rPr>
        <w:t>отсрочку с оплатой</w:t>
      </w:r>
      <w:r>
        <w:rPr>
          <w:szCs w:val="18"/>
          <w:lang w:val="ru-RU"/>
        </w:rPr>
        <w:t>.</w:t>
      </w:r>
    </w:p>
  </w:footnote>
  <w:footnote w:id="7">
    <w:p w14:paraId="52A9F27A" w14:textId="446F083F" w:rsidR="000A7797" w:rsidRPr="00622C77" w:rsidRDefault="000A779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2C77">
        <w:rPr>
          <w:lang w:val="ru-RU"/>
        </w:rPr>
        <w:tab/>
      </w:r>
      <w:r w:rsidR="00622C77">
        <w:rPr>
          <w:lang w:val="ru-RU"/>
        </w:rPr>
        <w:t>Например</w:t>
      </w:r>
      <w:r w:rsidR="00622C77" w:rsidRPr="00622C77">
        <w:rPr>
          <w:lang w:val="ru-RU"/>
        </w:rPr>
        <w:t xml:space="preserve">, </w:t>
      </w:r>
      <w:r w:rsidR="00622C77">
        <w:rPr>
          <w:lang w:val="ru-RU"/>
        </w:rPr>
        <w:t>в</w:t>
      </w:r>
      <w:r w:rsidR="00622C77" w:rsidRPr="00622C77">
        <w:rPr>
          <w:lang w:val="ru-RU"/>
        </w:rPr>
        <w:t xml:space="preserve"> </w:t>
      </w:r>
      <w:r w:rsidR="00622C77">
        <w:rPr>
          <w:lang w:val="ru-RU"/>
        </w:rPr>
        <w:t>Европейском</w:t>
      </w:r>
      <w:r w:rsidR="00622C77" w:rsidRPr="00622C77">
        <w:rPr>
          <w:lang w:val="ru-RU"/>
        </w:rPr>
        <w:t xml:space="preserve"> </w:t>
      </w:r>
      <w:r w:rsidR="00622C77">
        <w:rPr>
          <w:lang w:val="ru-RU"/>
        </w:rPr>
        <w:t>союзе</w:t>
      </w:r>
      <w:r w:rsidR="00622C77" w:rsidRPr="00622C77">
        <w:rPr>
          <w:lang w:val="ru-RU"/>
        </w:rPr>
        <w:t xml:space="preserve">, </w:t>
      </w:r>
      <w:r w:rsidR="00622C77">
        <w:rPr>
          <w:lang w:val="ru-RU"/>
        </w:rPr>
        <w:t>Японии</w:t>
      </w:r>
      <w:r w:rsidR="00622C77" w:rsidRPr="00622C77">
        <w:rPr>
          <w:lang w:val="ru-RU"/>
        </w:rPr>
        <w:t xml:space="preserve">, </w:t>
      </w:r>
      <w:r w:rsidR="00622C77">
        <w:rPr>
          <w:lang w:val="ru-RU"/>
        </w:rPr>
        <w:t>Норвегии</w:t>
      </w:r>
      <w:r w:rsidR="00622C77" w:rsidRPr="00622C77">
        <w:rPr>
          <w:lang w:val="ru-RU"/>
        </w:rPr>
        <w:t xml:space="preserve"> </w:t>
      </w:r>
      <w:r w:rsidR="00622C77">
        <w:rPr>
          <w:lang w:val="ru-RU"/>
        </w:rPr>
        <w:t>и</w:t>
      </w:r>
      <w:r w:rsidR="00622C77" w:rsidRPr="00622C77">
        <w:rPr>
          <w:lang w:val="ru-RU"/>
        </w:rPr>
        <w:t xml:space="preserve"> </w:t>
      </w:r>
      <w:r w:rsidR="00622C77">
        <w:rPr>
          <w:lang w:val="ru-RU"/>
        </w:rPr>
        <w:t>Республике Корея</w:t>
      </w:r>
      <w:r w:rsidRPr="00622C77">
        <w:rPr>
          <w:lang w:val="ru-RU"/>
        </w:rPr>
        <w:t>.</w:t>
      </w:r>
    </w:p>
  </w:footnote>
  <w:footnote w:id="8">
    <w:p w14:paraId="0A8D1498" w14:textId="1F0F0A50" w:rsidR="000A7797" w:rsidRPr="00622C77" w:rsidRDefault="000A779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2C77">
        <w:rPr>
          <w:lang w:val="ru-RU"/>
        </w:rPr>
        <w:tab/>
      </w:r>
      <w:r w:rsidR="00622C77">
        <w:rPr>
          <w:lang w:val="ru-RU"/>
        </w:rPr>
        <w:t>Например, в Дании, Швеции, Швейцарии и Турции</w:t>
      </w:r>
      <w:r w:rsidRPr="00622C77">
        <w:rPr>
          <w:lang w:val="ru-RU"/>
        </w:rPr>
        <w:t>.</w:t>
      </w:r>
    </w:p>
  </w:footnote>
  <w:footnote w:id="9">
    <w:p w14:paraId="29592ABD" w14:textId="1047CB5C" w:rsidR="000A7797" w:rsidRPr="00622C77" w:rsidRDefault="000A779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2C77">
        <w:rPr>
          <w:lang w:val="ru-RU"/>
        </w:rPr>
        <w:tab/>
      </w:r>
      <w:r w:rsidR="00622C77">
        <w:rPr>
          <w:lang w:val="ru-RU"/>
        </w:rPr>
        <w:t>Например</w:t>
      </w:r>
      <w:r w:rsidR="00622C77" w:rsidRPr="00622C77">
        <w:rPr>
          <w:lang w:val="ru-RU"/>
        </w:rPr>
        <w:t xml:space="preserve">, </w:t>
      </w:r>
      <w:r w:rsidR="00622C77">
        <w:rPr>
          <w:lang w:val="ru-RU"/>
        </w:rPr>
        <w:t>во</w:t>
      </w:r>
      <w:r w:rsidR="00622C77" w:rsidRPr="00622C77">
        <w:rPr>
          <w:lang w:val="ru-RU"/>
        </w:rPr>
        <w:t xml:space="preserve"> </w:t>
      </w:r>
      <w:r w:rsidR="00622C77">
        <w:rPr>
          <w:lang w:val="ru-RU"/>
        </w:rPr>
        <w:t>Франции</w:t>
      </w:r>
      <w:r w:rsidRPr="00622C77">
        <w:rPr>
          <w:lang w:val="ru-RU"/>
        </w:rPr>
        <w:t>.</w:t>
      </w:r>
    </w:p>
  </w:footnote>
  <w:footnote w:id="10">
    <w:p w14:paraId="0194022D" w14:textId="2A7593E3" w:rsidR="000A7797" w:rsidRPr="00622C77" w:rsidRDefault="000A779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2C77">
        <w:rPr>
          <w:lang w:val="ru-RU"/>
        </w:rPr>
        <w:tab/>
      </w:r>
      <w:r w:rsidR="00622C77">
        <w:rPr>
          <w:lang w:val="ru-RU"/>
        </w:rPr>
        <w:t>Например, в Марокко и Испании</w:t>
      </w:r>
      <w:r w:rsidRPr="00622C77">
        <w:rPr>
          <w:lang w:val="ru-RU"/>
        </w:rPr>
        <w:t>.</w:t>
      </w:r>
    </w:p>
  </w:footnote>
  <w:footnote w:id="11">
    <w:p w14:paraId="07B8A759" w14:textId="294DE422" w:rsidR="000A7797" w:rsidRPr="00C138A3" w:rsidRDefault="000A7797" w:rsidP="00910B78">
      <w:pPr>
        <w:pStyle w:val="FootnoteText"/>
        <w:rPr>
          <w:szCs w:val="18"/>
          <w:lang w:val="ru-RU"/>
        </w:rPr>
      </w:pPr>
      <w:r w:rsidRPr="006B5E1F">
        <w:rPr>
          <w:rStyle w:val="FootnoteReference"/>
          <w:szCs w:val="18"/>
        </w:rPr>
        <w:footnoteRef/>
      </w:r>
      <w:r w:rsidRPr="00C138A3">
        <w:rPr>
          <w:szCs w:val="18"/>
          <w:lang w:val="ru-RU"/>
        </w:rPr>
        <w:tab/>
      </w:r>
      <w:r w:rsidR="00C138A3">
        <w:rPr>
          <w:szCs w:val="18"/>
          <w:lang w:val="ru-RU"/>
        </w:rPr>
        <w:t>К</w:t>
      </w:r>
      <w:r w:rsidR="00C138A3" w:rsidRPr="00C138A3">
        <w:rPr>
          <w:szCs w:val="18"/>
          <w:lang w:val="ru-RU"/>
        </w:rPr>
        <w:t xml:space="preserve"> </w:t>
      </w:r>
      <w:r w:rsidR="00C138A3">
        <w:rPr>
          <w:szCs w:val="18"/>
          <w:lang w:val="ru-RU"/>
        </w:rPr>
        <w:t>таким</w:t>
      </w:r>
      <w:r w:rsidR="00C138A3" w:rsidRPr="00C138A3">
        <w:rPr>
          <w:szCs w:val="18"/>
          <w:lang w:val="ru-RU"/>
        </w:rPr>
        <w:t xml:space="preserve"> </w:t>
      </w:r>
      <w:r w:rsidR="00C138A3">
        <w:rPr>
          <w:szCs w:val="18"/>
          <w:lang w:val="ru-RU"/>
        </w:rPr>
        <w:t>юрисдикциям</w:t>
      </w:r>
      <w:r w:rsidR="00C138A3" w:rsidRPr="00C138A3">
        <w:rPr>
          <w:szCs w:val="18"/>
          <w:lang w:val="ru-RU"/>
        </w:rPr>
        <w:t xml:space="preserve"> </w:t>
      </w:r>
      <w:r w:rsidR="00C138A3">
        <w:rPr>
          <w:szCs w:val="18"/>
          <w:lang w:val="ru-RU"/>
        </w:rPr>
        <w:t>относятся Австралия, Австрия, Бенилюкс, Кипр, Чешская Республика, Дания, Европейский союз, Германия, Италия, Монако, Норвегия, Республика Корея, Сербия, Сингапур, Испания, Швеция, Турция и Соединенное Королевство</w:t>
      </w:r>
      <w:r w:rsidRPr="00C138A3">
        <w:rPr>
          <w:szCs w:val="18"/>
          <w:lang w:val="ru-RU"/>
        </w:rPr>
        <w:t>.</w:t>
      </w:r>
    </w:p>
  </w:footnote>
  <w:footnote w:id="12">
    <w:p w14:paraId="51F8BB40" w14:textId="2E7DA8CA" w:rsidR="000A7797" w:rsidRPr="002B406B" w:rsidRDefault="000A7797" w:rsidP="00910B78">
      <w:pPr>
        <w:pStyle w:val="FootnoteText"/>
        <w:rPr>
          <w:szCs w:val="18"/>
          <w:lang w:val="ru-RU"/>
        </w:rPr>
      </w:pPr>
      <w:r w:rsidRPr="006B5E1F">
        <w:rPr>
          <w:rStyle w:val="FootnoteReference"/>
          <w:szCs w:val="18"/>
        </w:rPr>
        <w:footnoteRef/>
      </w:r>
      <w:r w:rsidRPr="002B406B">
        <w:rPr>
          <w:szCs w:val="18"/>
          <w:lang w:val="ru-RU"/>
        </w:rPr>
        <w:tab/>
      </w:r>
      <w:r w:rsidR="001F19F7">
        <w:rPr>
          <w:szCs w:val="18"/>
          <w:lang w:val="ru-RU"/>
        </w:rPr>
        <w:t xml:space="preserve">Данные с веб-сайтов соответствующих ведомств или с сайта </w:t>
      </w:r>
      <w:r>
        <w:rPr>
          <w:szCs w:val="18"/>
        </w:rPr>
        <w:t>WIPO</w:t>
      </w:r>
      <w:r w:rsidRPr="002B406B">
        <w:rPr>
          <w:szCs w:val="18"/>
          <w:lang w:val="ru-RU"/>
        </w:rPr>
        <w:t xml:space="preserve"> </w:t>
      </w:r>
      <w:r>
        <w:rPr>
          <w:szCs w:val="18"/>
        </w:rPr>
        <w:t>Lex</w:t>
      </w:r>
      <w:r w:rsidRPr="002B406B">
        <w:rPr>
          <w:szCs w:val="18"/>
          <w:lang w:val="ru-RU"/>
        </w:rPr>
        <w:t xml:space="preserve"> (</w:t>
      </w:r>
      <w:r w:rsidR="001F19F7">
        <w:rPr>
          <w:szCs w:val="18"/>
          <w:lang w:val="ru-RU"/>
        </w:rPr>
        <w:t xml:space="preserve">по состоянию на сентябрь </w:t>
      </w:r>
      <w:r w:rsidRPr="002B406B">
        <w:rPr>
          <w:szCs w:val="18"/>
          <w:lang w:val="ru-RU"/>
        </w:rPr>
        <w:t>2020</w:t>
      </w:r>
      <w:r w:rsidR="001F19F7">
        <w:rPr>
          <w:szCs w:val="18"/>
          <w:lang w:val="ru-RU"/>
        </w:rPr>
        <w:t> г.</w:t>
      </w:r>
      <w:r w:rsidRPr="002B406B">
        <w:rPr>
          <w:szCs w:val="18"/>
          <w:lang w:val="ru-RU"/>
        </w:rPr>
        <w:t xml:space="preserve">).  </w:t>
      </w:r>
      <w:r w:rsidR="006E060A">
        <w:rPr>
          <w:szCs w:val="18"/>
          <w:lang w:val="ru-RU"/>
        </w:rPr>
        <w:t>Регистрация может продляться каждые пять лет во всех случаях, кроме Республики Корея</w:t>
      </w:r>
      <w:r w:rsidRPr="002B406B">
        <w:rPr>
          <w:szCs w:val="18"/>
          <w:lang w:val="ru-RU"/>
        </w:rPr>
        <w:t>.</w:t>
      </w:r>
    </w:p>
  </w:footnote>
  <w:footnote w:id="13">
    <w:p w14:paraId="0B9FC324" w14:textId="55E91D6B" w:rsidR="000A7797" w:rsidRPr="002B406B" w:rsidRDefault="000A7797">
      <w:pPr>
        <w:pStyle w:val="FootnoteText"/>
        <w:rPr>
          <w:rFonts w:eastAsiaTheme="minorEastAsia"/>
          <w:lang w:val="ru-RU" w:eastAsia="ja-JP"/>
        </w:rPr>
      </w:pPr>
      <w:r>
        <w:rPr>
          <w:rStyle w:val="FootnoteReference"/>
        </w:rPr>
        <w:footnoteRef/>
      </w:r>
      <w:r w:rsidRPr="002B406B">
        <w:rPr>
          <w:rFonts w:eastAsiaTheme="minorEastAsia"/>
          <w:lang w:val="ru-RU" w:eastAsia="ja-JP"/>
        </w:rPr>
        <w:tab/>
      </w:r>
      <w:r w:rsidR="00E96A7A">
        <w:rPr>
          <w:rFonts w:eastAsiaTheme="minorEastAsia"/>
          <w:lang w:val="ru-RU" w:eastAsia="ja-JP"/>
        </w:rPr>
        <w:t>Если говорить о Норвегии, размер пошлины за продление постепенно увеличивается с каждым продлением исключительно в случае первого образца, при этом размер пошлины за каждый дополнительный образец остается одинаковым</w:t>
      </w:r>
      <w:r w:rsidRPr="002B406B">
        <w:rPr>
          <w:rFonts w:eastAsiaTheme="minorEastAsia"/>
          <w:lang w:val="ru-RU" w:eastAsia="ja-JP"/>
        </w:rPr>
        <w:t xml:space="preserve">.  </w:t>
      </w:r>
      <w:r w:rsidR="00E906B8">
        <w:rPr>
          <w:rFonts w:eastAsiaTheme="minorEastAsia"/>
          <w:lang w:val="ru-RU" w:eastAsia="ja-JP"/>
        </w:rPr>
        <w:t>Поэтому для сопоставления использовались данные о размере пошлины при первом продлении</w:t>
      </w:r>
      <w:r w:rsidRPr="002B406B">
        <w:rPr>
          <w:rFonts w:eastAsiaTheme="minorEastAsia"/>
          <w:lang w:val="ru-RU" w:eastAsia="ja-JP"/>
        </w:rPr>
        <w:t xml:space="preserve"> (</w:t>
      </w:r>
      <w:r w:rsidR="00E906B8">
        <w:rPr>
          <w:rFonts w:eastAsiaTheme="minorEastAsia"/>
          <w:lang w:val="ru-RU" w:eastAsia="ja-JP"/>
        </w:rPr>
        <w:t>6–10 годы</w:t>
      </w:r>
      <w:r w:rsidRPr="002B406B">
        <w:rPr>
          <w:rFonts w:eastAsiaTheme="minorEastAsia"/>
          <w:lang w:val="ru-RU" w:eastAsia="ja-JP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C819" w14:textId="77777777" w:rsidR="002B406B" w:rsidRDefault="002B4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527966"/>
      <w:docPartObj>
        <w:docPartGallery w:val="Page Numbers (Top of Page)"/>
        <w:docPartUnique/>
      </w:docPartObj>
    </w:sdtPr>
    <w:sdtEndPr/>
    <w:sdtContent>
      <w:p w14:paraId="5715C23C" w14:textId="77777777" w:rsidR="002A2844" w:rsidRPr="002A2844" w:rsidRDefault="002A2844" w:rsidP="002A2844">
        <w:pPr>
          <w:pStyle w:val="Header"/>
          <w:jc w:val="right"/>
        </w:pPr>
        <w:r w:rsidRPr="002A2844">
          <w:t>H/LD/WG/9/INF/1</w:t>
        </w:r>
      </w:p>
      <w:p w14:paraId="78C951EF" w14:textId="092397BC" w:rsidR="002A2844" w:rsidRPr="002A2844" w:rsidRDefault="002A2844" w:rsidP="002A2844">
        <w:pPr>
          <w:pStyle w:val="Header"/>
          <w:jc w:val="right"/>
        </w:pPr>
        <w:r w:rsidRPr="002A2844">
          <w:rPr>
            <w:lang w:val="ru-RU"/>
          </w:rPr>
          <w:t>стр</w:t>
        </w:r>
        <w:r w:rsidRPr="002A2844">
          <w:t>.</w:t>
        </w:r>
        <w:r>
          <w:t xml:space="preserve"> </w:t>
        </w:r>
        <w:r w:rsidR="002B406B">
          <w:fldChar w:fldCharType="begin"/>
        </w:r>
        <w:r w:rsidR="002B406B">
          <w:instrText xml:space="preserve"> PAGE   \* MERGEFORMAT </w:instrText>
        </w:r>
        <w:r w:rsidR="002B406B">
          <w:fldChar w:fldCharType="separate"/>
        </w:r>
        <w:r w:rsidR="0046587E">
          <w:rPr>
            <w:noProof/>
          </w:rPr>
          <w:t>6</w:t>
        </w:r>
        <w:r w:rsidR="002B406B">
          <w:rPr>
            <w:noProof/>
          </w:rPr>
          <w:fldChar w:fldCharType="end"/>
        </w:r>
      </w:p>
    </w:sdtContent>
  </w:sdt>
  <w:p w14:paraId="3A745C3B" w14:textId="77777777" w:rsidR="002A2844" w:rsidRDefault="002A2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478A" w14:textId="77777777" w:rsidR="002B406B" w:rsidRDefault="002B4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994A1194"/>
    <w:lvl w:ilvl="0">
      <w:start w:val="1"/>
      <w:numFmt w:val="decimal"/>
      <w:lvlRestart w:val="0"/>
      <w:pStyle w:val="BodyText"/>
      <w:lvlText w:val="%1."/>
      <w:lvlJc w:val="left"/>
      <w:pPr>
        <w:tabs>
          <w:tab w:val="num" w:pos="851"/>
        </w:tabs>
        <w:ind w:left="284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-486"/>
        </w:tabs>
        <w:ind w:left="-1053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1"/>
        </w:tabs>
        <w:ind w:left="-48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648"/>
        </w:tabs>
        <w:ind w:left="8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215"/>
        </w:tabs>
        <w:ind w:left="64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82"/>
        </w:tabs>
        <w:ind w:left="121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349"/>
        </w:tabs>
        <w:ind w:left="178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915"/>
        </w:tabs>
        <w:ind w:left="234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482"/>
        </w:tabs>
        <w:ind w:left="2915" w:firstLine="0"/>
      </w:pPr>
      <w:rPr>
        <w:rFonts w:hint="default"/>
      </w:rPr>
    </w:lvl>
  </w:abstractNum>
  <w:abstractNum w:abstractNumId="2" w15:restartNumberingAfterBreak="0">
    <w:nsid w:val="0D826FAA"/>
    <w:multiLevelType w:val="hybridMultilevel"/>
    <w:tmpl w:val="09960042"/>
    <w:lvl w:ilvl="0" w:tplc="4F7C977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20843"/>
    <w:multiLevelType w:val="hybridMultilevel"/>
    <w:tmpl w:val="C37AA49A"/>
    <w:lvl w:ilvl="0" w:tplc="99D4CB10">
      <w:numFmt w:val="bullet"/>
      <w:lvlText w:val="–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50E1"/>
    <w:multiLevelType w:val="hybridMultilevel"/>
    <w:tmpl w:val="1C30DC2A"/>
    <w:lvl w:ilvl="0" w:tplc="21144C0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F20B9"/>
    <w:multiLevelType w:val="hybridMultilevel"/>
    <w:tmpl w:val="F222CBC6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6" w15:restartNumberingAfterBreak="0">
    <w:nsid w:val="16AB5925"/>
    <w:multiLevelType w:val="hybridMultilevel"/>
    <w:tmpl w:val="9892BC0C"/>
    <w:lvl w:ilvl="0" w:tplc="C3CE57E0">
      <w:start w:val="1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97752A"/>
    <w:multiLevelType w:val="hybridMultilevel"/>
    <w:tmpl w:val="10946E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A07C2"/>
    <w:multiLevelType w:val="hybridMultilevel"/>
    <w:tmpl w:val="BD7CBA98"/>
    <w:lvl w:ilvl="0" w:tplc="0B4A5770">
      <w:start w:val="1"/>
      <w:numFmt w:val="lowerRoman"/>
      <w:lvlText w:val="(%1)"/>
      <w:lvlJc w:val="left"/>
      <w:pPr>
        <w:ind w:left="6253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1D47CE6"/>
    <w:multiLevelType w:val="hybridMultilevel"/>
    <w:tmpl w:val="BFFE0094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2" w15:restartNumberingAfterBreak="0">
    <w:nsid w:val="2256743D"/>
    <w:multiLevelType w:val="hybridMultilevel"/>
    <w:tmpl w:val="BF2C9762"/>
    <w:lvl w:ilvl="0" w:tplc="18E09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C2E18"/>
    <w:multiLevelType w:val="hybridMultilevel"/>
    <w:tmpl w:val="31E45586"/>
    <w:lvl w:ilvl="0" w:tplc="D09433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70010"/>
    <w:multiLevelType w:val="hybridMultilevel"/>
    <w:tmpl w:val="64243484"/>
    <w:lvl w:ilvl="0" w:tplc="8104F5DA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2DD219CF"/>
    <w:multiLevelType w:val="hybridMultilevel"/>
    <w:tmpl w:val="9DE87624"/>
    <w:lvl w:ilvl="0" w:tplc="A5D80226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CF6671"/>
    <w:multiLevelType w:val="hybridMultilevel"/>
    <w:tmpl w:val="3F52BA06"/>
    <w:lvl w:ilvl="0" w:tplc="7A2C82E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C3A40"/>
    <w:multiLevelType w:val="hybridMultilevel"/>
    <w:tmpl w:val="E668E07E"/>
    <w:lvl w:ilvl="0" w:tplc="CCE6076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01976C7"/>
    <w:multiLevelType w:val="hybridMultilevel"/>
    <w:tmpl w:val="69F0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64B61"/>
    <w:multiLevelType w:val="hybridMultilevel"/>
    <w:tmpl w:val="37EA6DEC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5E7C82"/>
    <w:multiLevelType w:val="hybridMultilevel"/>
    <w:tmpl w:val="CFB4CC00"/>
    <w:lvl w:ilvl="0" w:tplc="24FC33F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C19B1"/>
    <w:multiLevelType w:val="hybridMultilevel"/>
    <w:tmpl w:val="66E6F30C"/>
    <w:lvl w:ilvl="0" w:tplc="22486A9C">
      <w:start w:val="5"/>
      <w:numFmt w:val="bullet"/>
      <w:lvlText w:val="-"/>
      <w:lvlJc w:val="left"/>
      <w:pPr>
        <w:ind w:left="5893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53" w:hanging="360"/>
      </w:pPr>
      <w:rPr>
        <w:rFonts w:ascii="Wingdings" w:hAnsi="Wingdings" w:hint="default"/>
      </w:rPr>
    </w:lvl>
  </w:abstractNum>
  <w:abstractNum w:abstractNumId="22" w15:restartNumberingAfterBreak="0">
    <w:nsid w:val="3C750BB5"/>
    <w:multiLevelType w:val="hybridMultilevel"/>
    <w:tmpl w:val="590ED79E"/>
    <w:lvl w:ilvl="0" w:tplc="2604CE86">
      <w:numFmt w:val="bullet"/>
      <w:lvlText w:val="–"/>
      <w:lvlJc w:val="left"/>
      <w:pPr>
        <w:ind w:left="-981" w:hanging="360"/>
      </w:pPr>
      <w:rPr>
        <w:rFonts w:ascii="Arial" w:hAnsi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ED51C3"/>
    <w:multiLevelType w:val="hybridMultilevel"/>
    <w:tmpl w:val="DD1892DC"/>
    <w:lvl w:ilvl="0" w:tplc="A5D80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15B9"/>
    <w:multiLevelType w:val="hybridMultilevel"/>
    <w:tmpl w:val="E4508656"/>
    <w:lvl w:ilvl="0" w:tplc="9EC6A378">
      <w:start w:val="16"/>
      <w:numFmt w:val="bullet"/>
      <w:lvlText w:val="-"/>
      <w:lvlJc w:val="left"/>
      <w:pPr>
        <w:ind w:left="63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5A6336"/>
    <w:multiLevelType w:val="hybridMultilevel"/>
    <w:tmpl w:val="AD0878A4"/>
    <w:lvl w:ilvl="0" w:tplc="7C5E98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815E00"/>
    <w:multiLevelType w:val="hybridMultilevel"/>
    <w:tmpl w:val="F66E5C4A"/>
    <w:lvl w:ilvl="0" w:tplc="99D4CB10">
      <w:numFmt w:val="bullet"/>
      <w:lvlText w:val="–"/>
      <w:lvlJc w:val="left"/>
      <w:pPr>
        <w:ind w:left="93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6EB3A07"/>
    <w:multiLevelType w:val="multilevel"/>
    <w:tmpl w:val="D5B4FF62"/>
    <w:lvl w:ilvl="0">
      <w:start w:val="1"/>
      <w:numFmt w:val="decimal"/>
      <w:lvlRestart w:val="0"/>
      <w:lvlText w:val="%1."/>
      <w:lvlJc w:val="left"/>
      <w:pPr>
        <w:tabs>
          <w:tab w:val="num" w:pos="837"/>
        </w:tabs>
        <w:ind w:left="27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-486"/>
        </w:tabs>
        <w:ind w:left="-1053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1"/>
        </w:tabs>
        <w:ind w:left="-48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648"/>
        </w:tabs>
        <w:ind w:left="8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215"/>
        </w:tabs>
        <w:ind w:left="64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82"/>
        </w:tabs>
        <w:ind w:left="121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349"/>
        </w:tabs>
        <w:ind w:left="178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915"/>
        </w:tabs>
        <w:ind w:left="234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482"/>
        </w:tabs>
        <w:ind w:left="2915" w:firstLine="0"/>
      </w:pPr>
      <w:rPr>
        <w:rFonts w:hint="default"/>
      </w:rPr>
    </w:lvl>
  </w:abstractNum>
  <w:abstractNum w:abstractNumId="30" w15:restartNumberingAfterBreak="0">
    <w:nsid w:val="59D05924"/>
    <w:multiLevelType w:val="hybridMultilevel"/>
    <w:tmpl w:val="9A58A6CE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D57AF9"/>
    <w:multiLevelType w:val="hybridMultilevel"/>
    <w:tmpl w:val="8140E46C"/>
    <w:lvl w:ilvl="0" w:tplc="99D4CB10">
      <w:numFmt w:val="bullet"/>
      <w:lvlText w:val="–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26D9B"/>
    <w:multiLevelType w:val="hybridMultilevel"/>
    <w:tmpl w:val="29D89ECC"/>
    <w:lvl w:ilvl="0" w:tplc="A5D80226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7ED3B79"/>
    <w:multiLevelType w:val="hybridMultilevel"/>
    <w:tmpl w:val="C13EF238"/>
    <w:lvl w:ilvl="0" w:tplc="BA1E8CF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C5E0A"/>
    <w:multiLevelType w:val="hybridMultilevel"/>
    <w:tmpl w:val="DF5EC2E4"/>
    <w:lvl w:ilvl="0" w:tplc="1FB2565E">
      <w:start w:val="1"/>
      <w:numFmt w:val="lowerRoman"/>
      <w:lvlText w:val="(%1)"/>
      <w:lvlJc w:val="left"/>
      <w:pPr>
        <w:ind w:left="6253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35" w15:restartNumberingAfterBreak="0">
    <w:nsid w:val="7072063B"/>
    <w:multiLevelType w:val="hybridMultilevel"/>
    <w:tmpl w:val="902EA596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FE470E"/>
    <w:multiLevelType w:val="hybridMultilevel"/>
    <w:tmpl w:val="F222CBC6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37" w15:restartNumberingAfterBreak="0">
    <w:nsid w:val="7A9215BE"/>
    <w:multiLevelType w:val="hybridMultilevel"/>
    <w:tmpl w:val="3F52BA06"/>
    <w:lvl w:ilvl="0" w:tplc="7A2C82E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C7044"/>
    <w:multiLevelType w:val="hybridMultilevel"/>
    <w:tmpl w:val="22127A4A"/>
    <w:lvl w:ilvl="0" w:tplc="99D4CB10">
      <w:numFmt w:val="bullet"/>
      <w:lvlText w:val="–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C514A"/>
    <w:multiLevelType w:val="hybridMultilevel"/>
    <w:tmpl w:val="75888666"/>
    <w:lvl w:ilvl="0" w:tplc="C938EE6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3"/>
  </w:num>
  <w:num w:numId="3">
    <w:abstractNumId w:val="0"/>
  </w:num>
  <w:num w:numId="4">
    <w:abstractNumId w:val="26"/>
  </w:num>
  <w:num w:numId="5">
    <w:abstractNumId w:val="1"/>
  </w:num>
  <w:num w:numId="6">
    <w:abstractNumId w:val="10"/>
  </w:num>
  <w:num w:numId="7">
    <w:abstractNumId w:val="16"/>
  </w:num>
  <w:num w:numId="8">
    <w:abstractNumId w:val="36"/>
  </w:num>
  <w:num w:numId="9">
    <w:abstractNumId w:val="34"/>
  </w:num>
  <w:num w:numId="10">
    <w:abstractNumId w:val="5"/>
  </w:num>
  <w:num w:numId="11">
    <w:abstractNumId w:val="11"/>
  </w:num>
  <w:num w:numId="12">
    <w:abstractNumId w:val="37"/>
  </w:num>
  <w:num w:numId="13">
    <w:abstractNumId w:val="9"/>
  </w:num>
  <w:num w:numId="14">
    <w:abstractNumId w:val="35"/>
  </w:num>
  <w:num w:numId="15">
    <w:abstractNumId w:val="30"/>
  </w:num>
  <w:num w:numId="16">
    <w:abstractNumId w:val="13"/>
  </w:num>
  <w:num w:numId="17">
    <w:abstractNumId w:val="2"/>
  </w:num>
  <w:num w:numId="18">
    <w:abstractNumId w:val="19"/>
  </w:num>
  <w:num w:numId="19">
    <w:abstractNumId w:val="22"/>
  </w:num>
  <w:num w:numId="20">
    <w:abstractNumId w:val="6"/>
  </w:num>
  <w:num w:numId="21">
    <w:abstractNumId w:val="18"/>
  </w:num>
  <w:num w:numId="22">
    <w:abstractNumId w:val="4"/>
  </w:num>
  <w:num w:numId="23">
    <w:abstractNumId w:val="1"/>
    <w:lvlOverride w:ilvl="0">
      <w:startOverride w:val="3"/>
    </w:lvlOverride>
  </w:num>
  <w:num w:numId="24">
    <w:abstractNumId w:val="21"/>
  </w:num>
  <w:num w:numId="25">
    <w:abstractNumId w:val="8"/>
  </w:num>
  <w:num w:numId="26">
    <w:abstractNumId w:val="27"/>
  </w:num>
  <w:num w:numId="27">
    <w:abstractNumId w:val="39"/>
  </w:num>
  <w:num w:numId="28">
    <w:abstractNumId w:val="14"/>
  </w:num>
  <w:num w:numId="29">
    <w:abstractNumId w:val="24"/>
  </w:num>
  <w:num w:numId="30">
    <w:abstractNumId w:val="3"/>
  </w:num>
  <w:num w:numId="31">
    <w:abstractNumId w:val="38"/>
  </w:num>
  <w:num w:numId="32">
    <w:abstractNumId w:val="17"/>
  </w:num>
  <w:num w:numId="33">
    <w:abstractNumId w:val="31"/>
  </w:num>
  <w:num w:numId="34">
    <w:abstractNumId w:val="1"/>
  </w:num>
  <w:num w:numId="35">
    <w:abstractNumId w:val="25"/>
  </w:num>
  <w:num w:numId="36">
    <w:abstractNumId w:val="1"/>
  </w:num>
  <w:num w:numId="37">
    <w:abstractNumId w:val="29"/>
  </w:num>
  <w:num w:numId="38">
    <w:abstractNumId w:val="15"/>
  </w:num>
  <w:num w:numId="39">
    <w:abstractNumId w:val="28"/>
  </w:num>
  <w:num w:numId="40">
    <w:abstractNumId w:val="32"/>
  </w:num>
  <w:num w:numId="41">
    <w:abstractNumId w:val="33"/>
  </w:num>
  <w:num w:numId="42">
    <w:abstractNumId w:val="20"/>
  </w:num>
  <w:num w:numId="43">
    <w:abstractNumId w:val="12"/>
  </w:num>
  <w:num w:numId="44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011E9"/>
    <w:rsid w:val="00006003"/>
    <w:rsid w:val="00007F08"/>
    <w:rsid w:val="000103FF"/>
    <w:rsid w:val="00011C1F"/>
    <w:rsid w:val="000122EF"/>
    <w:rsid w:val="00014225"/>
    <w:rsid w:val="00014A54"/>
    <w:rsid w:val="000151F6"/>
    <w:rsid w:val="000154A8"/>
    <w:rsid w:val="00016F4F"/>
    <w:rsid w:val="00017390"/>
    <w:rsid w:val="00021DA8"/>
    <w:rsid w:val="00022393"/>
    <w:rsid w:val="00023367"/>
    <w:rsid w:val="000312DE"/>
    <w:rsid w:val="00031452"/>
    <w:rsid w:val="00035D6C"/>
    <w:rsid w:val="00036CDC"/>
    <w:rsid w:val="00036D8F"/>
    <w:rsid w:val="00040663"/>
    <w:rsid w:val="0004311D"/>
    <w:rsid w:val="000437BC"/>
    <w:rsid w:val="00043CAA"/>
    <w:rsid w:val="00045915"/>
    <w:rsid w:val="00046985"/>
    <w:rsid w:val="00046F15"/>
    <w:rsid w:val="00047054"/>
    <w:rsid w:val="00053748"/>
    <w:rsid w:val="00055911"/>
    <w:rsid w:val="00055B88"/>
    <w:rsid w:val="00060E91"/>
    <w:rsid w:val="000626A5"/>
    <w:rsid w:val="00065DBE"/>
    <w:rsid w:val="00067CA7"/>
    <w:rsid w:val="00070280"/>
    <w:rsid w:val="000752FD"/>
    <w:rsid w:val="00075432"/>
    <w:rsid w:val="00076388"/>
    <w:rsid w:val="00076C1B"/>
    <w:rsid w:val="000816AF"/>
    <w:rsid w:val="00084AC0"/>
    <w:rsid w:val="00086545"/>
    <w:rsid w:val="000870DF"/>
    <w:rsid w:val="00087B15"/>
    <w:rsid w:val="000910A0"/>
    <w:rsid w:val="0009156C"/>
    <w:rsid w:val="00092C37"/>
    <w:rsid w:val="00092C51"/>
    <w:rsid w:val="000939FE"/>
    <w:rsid w:val="000940EC"/>
    <w:rsid w:val="000968ED"/>
    <w:rsid w:val="000A4079"/>
    <w:rsid w:val="000A50DD"/>
    <w:rsid w:val="000A7146"/>
    <w:rsid w:val="000A7797"/>
    <w:rsid w:val="000B1CDC"/>
    <w:rsid w:val="000B2477"/>
    <w:rsid w:val="000B2B02"/>
    <w:rsid w:val="000B2CBA"/>
    <w:rsid w:val="000B45E1"/>
    <w:rsid w:val="000B5F4E"/>
    <w:rsid w:val="000B7668"/>
    <w:rsid w:val="000C0491"/>
    <w:rsid w:val="000C1E39"/>
    <w:rsid w:val="000C1F99"/>
    <w:rsid w:val="000C3895"/>
    <w:rsid w:val="000C38FD"/>
    <w:rsid w:val="000C4635"/>
    <w:rsid w:val="000C4E77"/>
    <w:rsid w:val="000D57B7"/>
    <w:rsid w:val="000D5BAE"/>
    <w:rsid w:val="000E0207"/>
    <w:rsid w:val="000E2538"/>
    <w:rsid w:val="000E290E"/>
    <w:rsid w:val="000E32C1"/>
    <w:rsid w:val="000E620B"/>
    <w:rsid w:val="000E675A"/>
    <w:rsid w:val="000F1EBB"/>
    <w:rsid w:val="000F24F7"/>
    <w:rsid w:val="000F2711"/>
    <w:rsid w:val="000F4798"/>
    <w:rsid w:val="000F5E56"/>
    <w:rsid w:val="000F7ABE"/>
    <w:rsid w:val="00100674"/>
    <w:rsid w:val="00100A09"/>
    <w:rsid w:val="00101002"/>
    <w:rsid w:val="00102933"/>
    <w:rsid w:val="0010579E"/>
    <w:rsid w:val="00106BDA"/>
    <w:rsid w:val="00107391"/>
    <w:rsid w:val="001100F9"/>
    <w:rsid w:val="00110B00"/>
    <w:rsid w:val="00110E25"/>
    <w:rsid w:val="0011188B"/>
    <w:rsid w:val="00111FCF"/>
    <w:rsid w:val="00111FF9"/>
    <w:rsid w:val="00112C02"/>
    <w:rsid w:val="00117964"/>
    <w:rsid w:val="0012228D"/>
    <w:rsid w:val="00122484"/>
    <w:rsid w:val="001228E6"/>
    <w:rsid w:val="00122F68"/>
    <w:rsid w:val="001238F5"/>
    <w:rsid w:val="00125399"/>
    <w:rsid w:val="00125D34"/>
    <w:rsid w:val="00131C25"/>
    <w:rsid w:val="00135817"/>
    <w:rsid w:val="00136120"/>
    <w:rsid w:val="001362EE"/>
    <w:rsid w:val="00136B76"/>
    <w:rsid w:val="00136FD4"/>
    <w:rsid w:val="00137243"/>
    <w:rsid w:val="001405F6"/>
    <w:rsid w:val="00140FBB"/>
    <w:rsid w:val="00145C7B"/>
    <w:rsid w:val="00146127"/>
    <w:rsid w:val="0015155C"/>
    <w:rsid w:val="001523A9"/>
    <w:rsid w:val="0015296C"/>
    <w:rsid w:val="0015457F"/>
    <w:rsid w:val="00156127"/>
    <w:rsid w:val="00157CB8"/>
    <w:rsid w:val="00163020"/>
    <w:rsid w:val="001651F4"/>
    <w:rsid w:val="001659B9"/>
    <w:rsid w:val="0016754F"/>
    <w:rsid w:val="0017476B"/>
    <w:rsid w:val="0017714E"/>
    <w:rsid w:val="001772B6"/>
    <w:rsid w:val="00180B57"/>
    <w:rsid w:val="00180F56"/>
    <w:rsid w:val="0018147A"/>
    <w:rsid w:val="00182B17"/>
    <w:rsid w:val="00182F13"/>
    <w:rsid w:val="001832A6"/>
    <w:rsid w:val="001860DE"/>
    <w:rsid w:val="0019562D"/>
    <w:rsid w:val="001A24A6"/>
    <w:rsid w:val="001A4488"/>
    <w:rsid w:val="001A72E9"/>
    <w:rsid w:val="001A79F1"/>
    <w:rsid w:val="001B176D"/>
    <w:rsid w:val="001B4DA4"/>
    <w:rsid w:val="001B5E58"/>
    <w:rsid w:val="001B6149"/>
    <w:rsid w:val="001B6993"/>
    <w:rsid w:val="001B73E7"/>
    <w:rsid w:val="001C1DA6"/>
    <w:rsid w:val="001C218D"/>
    <w:rsid w:val="001C41EE"/>
    <w:rsid w:val="001C52A9"/>
    <w:rsid w:val="001C5339"/>
    <w:rsid w:val="001C69D8"/>
    <w:rsid w:val="001C7FBE"/>
    <w:rsid w:val="001D0A78"/>
    <w:rsid w:val="001D437F"/>
    <w:rsid w:val="001D5255"/>
    <w:rsid w:val="001D5374"/>
    <w:rsid w:val="001D6C9D"/>
    <w:rsid w:val="001E1BA6"/>
    <w:rsid w:val="001E1BED"/>
    <w:rsid w:val="001E1C5C"/>
    <w:rsid w:val="001E2633"/>
    <w:rsid w:val="001E2BBC"/>
    <w:rsid w:val="001E4163"/>
    <w:rsid w:val="001F038F"/>
    <w:rsid w:val="001F12CE"/>
    <w:rsid w:val="001F19F7"/>
    <w:rsid w:val="001F236C"/>
    <w:rsid w:val="001F38A0"/>
    <w:rsid w:val="001F3B07"/>
    <w:rsid w:val="001F4551"/>
    <w:rsid w:val="002031CD"/>
    <w:rsid w:val="002049F4"/>
    <w:rsid w:val="002064AC"/>
    <w:rsid w:val="00206BBD"/>
    <w:rsid w:val="00207850"/>
    <w:rsid w:val="00212F41"/>
    <w:rsid w:val="002133E8"/>
    <w:rsid w:val="00215BAC"/>
    <w:rsid w:val="00215DEE"/>
    <w:rsid w:val="00216087"/>
    <w:rsid w:val="002164FB"/>
    <w:rsid w:val="00216AFB"/>
    <w:rsid w:val="0021717F"/>
    <w:rsid w:val="00221A33"/>
    <w:rsid w:val="00221E91"/>
    <w:rsid w:val="00222297"/>
    <w:rsid w:val="00222D72"/>
    <w:rsid w:val="00231625"/>
    <w:rsid w:val="00232E14"/>
    <w:rsid w:val="002342D6"/>
    <w:rsid w:val="00234EB9"/>
    <w:rsid w:val="0023635E"/>
    <w:rsid w:val="00236D3B"/>
    <w:rsid w:val="00236DF8"/>
    <w:rsid w:val="002415F1"/>
    <w:rsid w:val="00243332"/>
    <w:rsid w:val="00243B94"/>
    <w:rsid w:val="002440CD"/>
    <w:rsid w:val="0024453F"/>
    <w:rsid w:val="0024626D"/>
    <w:rsid w:val="0025164C"/>
    <w:rsid w:val="00252C00"/>
    <w:rsid w:val="00254B96"/>
    <w:rsid w:val="00256AF3"/>
    <w:rsid w:val="002602E3"/>
    <w:rsid w:val="002634C4"/>
    <w:rsid w:val="00263694"/>
    <w:rsid w:val="00264445"/>
    <w:rsid w:val="00270791"/>
    <w:rsid w:val="00270AC3"/>
    <w:rsid w:val="00270C47"/>
    <w:rsid w:val="00271472"/>
    <w:rsid w:val="0027216D"/>
    <w:rsid w:val="0027218F"/>
    <w:rsid w:val="002737A1"/>
    <w:rsid w:val="0027597C"/>
    <w:rsid w:val="0027705A"/>
    <w:rsid w:val="0027745A"/>
    <w:rsid w:val="002774D7"/>
    <w:rsid w:val="0028057C"/>
    <w:rsid w:val="00280A4B"/>
    <w:rsid w:val="002830D0"/>
    <w:rsid w:val="0028372B"/>
    <w:rsid w:val="002846F0"/>
    <w:rsid w:val="0028601A"/>
    <w:rsid w:val="002870EC"/>
    <w:rsid w:val="0028752D"/>
    <w:rsid w:val="002928D3"/>
    <w:rsid w:val="00292BEA"/>
    <w:rsid w:val="002945BA"/>
    <w:rsid w:val="00295C48"/>
    <w:rsid w:val="00295C98"/>
    <w:rsid w:val="00296D7E"/>
    <w:rsid w:val="002971C0"/>
    <w:rsid w:val="00297CFB"/>
    <w:rsid w:val="002A0C4C"/>
    <w:rsid w:val="002A2844"/>
    <w:rsid w:val="002A5260"/>
    <w:rsid w:val="002A5F21"/>
    <w:rsid w:val="002A68BA"/>
    <w:rsid w:val="002A7BC0"/>
    <w:rsid w:val="002B2198"/>
    <w:rsid w:val="002B2CA1"/>
    <w:rsid w:val="002B320D"/>
    <w:rsid w:val="002B3EFB"/>
    <w:rsid w:val="002B406B"/>
    <w:rsid w:val="002C4078"/>
    <w:rsid w:val="002C6634"/>
    <w:rsid w:val="002D1FD9"/>
    <w:rsid w:val="002E15DA"/>
    <w:rsid w:val="002E21CD"/>
    <w:rsid w:val="002E501A"/>
    <w:rsid w:val="002E6840"/>
    <w:rsid w:val="002F1A15"/>
    <w:rsid w:val="002F1FE6"/>
    <w:rsid w:val="002F2471"/>
    <w:rsid w:val="002F2BA3"/>
    <w:rsid w:val="002F2CC5"/>
    <w:rsid w:val="002F2E95"/>
    <w:rsid w:val="002F39DF"/>
    <w:rsid w:val="002F4BC7"/>
    <w:rsid w:val="002F4E68"/>
    <w:rsid w:val="002F54D3"/>
    <w:rsid w:val="002F59B0"/>
    <w:rsid w:val="002F61DC"/>
    <w:rsid w:val="002F6BA7"/>
    <w:rsid w:val="003001FB"/>
    <w:rsid w:val="0030287E"/>
    <w:rsid w:val="00305494"/>
    <w:rsid w:val="00306FC3"/>
    <w:rsid w:val="00307190"/>
    <w:rsid w:val="003073B9"/>
    <w:rsid w:val="00307E01"/>
    <w:rsid w:val="00310506"/>
    <w:rsid w:val="00311310"/>
    <w:rsid w:val="00312552"/>
    <w:rsid w:val="00312F7F"/>
    <w:rsid w:val="00314439"/>
    <w:rsid w:val="00316067"/>
    <w:rsid w:val="00316E56"/>
    <w:rsid w:val="00317E65"/>
    <w:rsid w:val="00321B37"/>
    <w:rsid w:val="0032307E"/>
    <w:rsid w:val="00323AA8"/>
    <w:rsid w:val="00323DE0"/>
    <w:rsid w:val="00325429"/>
    <w:rsid w:val="00332BB2"/>
    <w:rsid w:val="00335EA3"/>
    <w:rsid w:val="003363CA"/>
    <w:rsid w:val="00343D7E"/>
    <w:rsid w:val="003442EC"/>
    <w:rsid w:val="003448DA"/>
    <w:rsid w:val="0035023C"/>
    <w:rsid w:val="00351CAC"/>
    <w:rsid w:val="003547CD"/>
    <w:rsid w:val="00354E43"/>
    <w:rsid w:val="0035701F"/>
    <w:rsid w:val="0036114B"/>
    <w:rsid w:val="00361346"/>
    <w:rsid w:val="00361450"/>
    <w:rsid w:val="003653F6"/>
    <w:rsid w:val="00365C54"/>
    <w:rsid w:val="0036648E"/>
    <w:rsid w:val="00366649"/>
    <w:rsid w:val="003673CF"/>
    <w:rsid w:val="0036747C"/>
    <w:rsid w:val="003705FB"/>
    <w:rsid w:val="00371EF6"/>
    <w:rsid w:val="003736C0"/>
    <w:rsid w:val="00373E8B"/>
    <w:rsid w:val="003748A9"/>
    <w:rsid w:val="00374A94"/>
    <w:rsid w:val="00375320"/>
    <w:rsid w:val="00375DFA"/>
    <w:rsid w:val="00376DA2"/>
    <w:rsid w:val="00377D99"/>
    <w:rsid w:val="003815AD"/>
    <w:rsid w:val="0038255F"/>
    <w:rsid w:val="00383722"/>
    <w:rsid w:val="003845C1"/>
    <w:rsid w:val="0038577E"/>
    <w:rsid w:val="00386DEF"/>
    <w:rsid w:val="003874D9"/>
    <w:rsid w:val="00392A82"/>
    <w:rsid w:val="00393FE8"/>
    <w:rsid w:val="00395959"/>
    <w:rsid w:val="003965CF"/>
    <w:rsid w:val="00396D7E"/>
    <w:rsid w:val="00397196"/>
    <w:rsid w:val="00397A87"/>
    <w:rsid w:val="00397C27"/>
    <w:rsid w:val="00397E91"/>
    <w:rsid w:val="00397F0E"/>
    <w:rsid w:val="003A6F89"/>
    <w:rsid w:val="003A79BF"/>
    <w:rsid w:val="003A7FE2"/>
    <w:rsid w:val="003B23AF"/>
    <w:rsid w:val="003B2D31"/>
    <w:rsid w:val="003B38C1"/>
    <w:rsid w:val="003B588B"/>
    <w:rsid w:val="003B7609"/>
    <w:rsid w:val="003C12A2"/>
    <w:rsid w:val="003C1C31"/>
    <w:rsid w:val="003C28B8"/>
    <w:rsid w:val="003C5432"/>
    <w:rsid w:val="003D0065"/>
    <w:rsid w:val="003D03BF"/>
    <w:rsid w:val="003D1198"/>
    <w:rsid w:val="003D1ABE"/>
    <w:rsid w:val="003D299B"/>
    <w:rsid w:val="003D2C3F"/>
    <w:rsid w:val="003D3B55"/>
    <w:rsid w:val="003D4510"/>
    <w:rsid w:val="003D4B95"/>
    <w:rsid w:val="003D4CF6"/>
    <w:rsid w:val="003D554F"/>
    <w:rsid w:val="003D5B85"/>
    <w:rsid w:val="003D69A6"/>
    <w:rsid w:val="003E18C8"/>
    <w:rsid w:val="003E2CED"/>
    <w:rsid w:val="003E46B3"/>
    <w:rsid w:val="003E53E6"/>
    <w:rsid w:val="003F0931"/>
    <w:rsid w:val="003F20B7"/>
    <w:rsid w:val="003F2114"/>
    <w:rsid w:val="003F3CE2"/>
    <w:rsid w:val="003F3D85"/>
    <w:rsid w:val="003F7702"/>
    <w:rsid w:val="00400C15"/>
    <w:rsid w:val="004026A7"/>
    <w:rsid w:val="00404318"/>
    <w:rsid w:val="00406AFC"/>
    <w:rsid w:val="00406D8C"/>
    <w:rsid w:val="00407B1F"/>
    <w:rsid w:val="0041021D"/>
    <w:rsid w:val="004114B5"/>
    <w:rsid w:val="00413A57"/>
    <w:rsid w:val="00414DE5"/>
    <w:rsid w:val="0041692D"/>
    <w:rsid w:val="00422790"/>
    <w:rsid w:val="00423990"/>
    <w:rsid w:val="00423E3E"/>
    <w:rsid w:val="0042446F"/>
    <w:rsid w:val="00427AF4"/>
    <w:rsid w:val="00427DCA"/>
    <w:rsid w:val="0043062B"/>
    <w:rsid w:val="004330F9"/>
    <w:rsid w:val="00440B41"/>
    <w:rsid w:val="00440D4F"/>
    <w:rsid w:val="00440F7C"/>
    <w:rsid w:val="00441A99"/>
    <w:rsid w:val="00444893"/>
    <w:rsid w:val="004461BC"/>
    <w:rsid w:val="0044750D"/>
    <w:rsid w:val="00447F7B"/>
    <w:rsid w:val="0045418C"/>
    <w:rsid w:val="00457663"/>
    <w:rsid w:val="004632FD"/>
    <w:rsid w:val="0046347A"/>
    <w:rsid w:val="00463FA2"/>
    <w:rsid w:val="00464402"/>
    <w:rsid w:val="004647DA"/>
    <w:rsid w:val="00464C2C"/>
    <w:rsid w:val="0046587E"/>
    <w:rsid w:val="00467504"/>
    <w:rsid w:val="004705BE"/>
    <w:rsid w:val="00470B00"/>
    <w:rsid w:val="00470F65"/>
    <w:rsid w:val="00474062"/>
    <w:rsid w:val="00477D6B"/>
    <w:rsid w:val="00484BA9"/>
    <w:rsid w:val="00486CBB"/>
    <w:rsid w:val="00487844"/>
    <w:rsid w:val="00490300"/>
    <w:rsid w:val="004909BB"/>
    <w:rsid w:val="0049145A"/>
    <w:rsid w:val="00497DBE"/>
    <w:rsid w:val="004A1507"/>
    <w:rsid w:val="004A1EAC"/>
    <w:rsid w:val="004A30DC"/>
    <w:rsid w:val="004A4222"/>
    <w:rsid w:val="004A4F56"/>
    <w:rsid w:val="004A6B2E"/>
    <w:rsid w:val="004A7EC1"/>
    <w:rsid w:val="004B0149"/>
    <w:rsid w:val="004B2B23"/>
    <w:rsid w:val="004B3A8C"/>
    <w:rsid w:val="004B60EB"/>
    <w:rsid w:val="004C0818"/>
    <w:rsid w:val="004C2797"/>
    <w:rsid w:val="004C458D"/>
    <w:rsid w:val="004C65CF"/>
    <w:rsid w:val="004D0E6F"/>
    <w:rsid w:val="004D1BF3"/>
    <w:rsid w:val="004D2CCE"/>
    <w:rsid w:val="004D426B"/>
    <w:rsid w:val="004D42C2"/>
    <w:rsid w:val="004D4F4E"/>
    <w:rsid w:val="004D7439"/>
    <w:rsid w:val="004E2151"/>
    <w:rsid w:val="004E6B5D"/>
    <w:rsid w:val="004F0597"/>
    <w:rsid w:val="004F07A7"/>
    <w:rsid w:val="004F0E54"/>
    <w:rsid w:val="004F31BC"/>
    <w:rsid w:val="004F4153"/>
    <w:rsid w:val="004F7DA7"/>
    <w:rsid w:val="00500492"/>
    <w:rsid w:val="005019FF"/>
    <w:rsid w:val="00503DB7"/>
    <w:rsid w:val="00505BF6"/>
    <w:rsid w:val="00506579"/>
    <w:rsid w:val="005066BF"/>
    <w:rsid w:val="00507B01"/>
    <w:rsid w:val="00507B33"/>
    <w:rsid w:val="00511AEA"/>
    <w:rsid w:val="00512092"/>
    <w:rsid w:val="00515195"/>
    <w:rsid w:val="005156E7"/>
    <w:rsid w:val="00517230"/>
    <w:rsid w:val="00517620"/>
    <w:rsid w:val="0052329F"/>
    <w:rsid w:val="00526284"/>
    <w:rsid w:val="00526B3F"/>
    <w:rsid w:val="0053057A"/>
    <w:rsid w:val="00530D34"/>
    <w:rsid w:val="00530E2F"/>
    <w:rsid w:val="00532CD6"/>
    <w:rsid w:val="00533D0F"/>
    <w:rsid w:val="00535A7D"/>
    <w:rsid w:val="00536008"/>
    <w:rsid w:val="00536882"/>
    <w:rsid w:val="00536A79"/>
    <w:rsid w:val="00536E94"/>
    <w:rsid w:val="00537ED8"/>
    <w:rsid w:val="0054150D"/>
    <w:rsid w:val="00545B9A"/>
    <w:rsid w:val="00547CB0"/>
    <w:rsid w:val="005514A8"/>
    <w:rsid w:val="005524F2"/>
    <w:rsid w:val="00552541"/>
    <w:rsid w:val="005533B5"/>
    <w:rsid w:val="00553A15"/>
    <w:rsid w:val="00555155"/>
    <w:rsid w:val="00560A29"/>
    <w:rsid w:val="005617F0"/>
    <w:rsid w:val="00565FD0"/>
    <w:rsid w:val="00566FB3"/>
    <w:rsid w:val="00572913"/>
    <w:rsid w:val="00572C28"/>
    <w:rsid w:val="00572FDD"/>
    <w:rsid w:val="00574923"/>
    <w:rsid w:val="00575771"/>
    <w:rsid w:val="00576511"/>
    <w:rsid w:val="005819D3"/>
    <w:rsid w:val="005832F9"/>
    <w:rsid w:val="005852EB"/>
    <w:rsid w:val="0058532B"/>
    <w:rsid w:val="00586377"/>
    <w:rsid w:val="00591D1C"/>
    <w:rsid w:val="005924F4"/>
    <w:rsid w:val="00592A83"/>
    <w:rsid w:val="00594A30"/>
    <w:rsid w:val="00597066"/>
    <w:rsid w:val="005A142B"/>
    <w:rsid w:val="005A3651"/>
    <w:rsid w:val="005A3B20"/>
    <w:rsid w:val="005A41C6"/>
    <w:rsid w:val="005A44C8"/>
    <w:rsid w:val="005A7A00"/>
    <w:rsid w:val="005B05D8"/>
    <w:rsid w:val="005B1E3E"/>
    <w:rsid w:val="005B1F6C"/>
    <w:rsid w:val="005B215D"/>
    <w:rsid w:val="005B6896"/>
    <w:rsid w:val="005B6B85"/>
    <w:rsid w:val="005B7D8B"/>
    <w:rsid w:val="005C08F7"/>
    <w:rsid w:val="005C0F8F"/>
    <w:rsid w:val="005C2E38"/>
    <w:rsid w:val="005C306B"/>
    <w:rsid w:val="005C373E"/>
    <w:rsid w:val="005C479F"/>
    <w:rsid w:val="005C6649"/>
    <w:rsid w:val="005C6D0D"/>
    <w:rsid w:val="005D0947"/>
    <w:rsid w:val="005D09FB"/>
    <w:rsid w:val="005D1971"/>
    <w:rsid w:val="005D2E77"/>
    <w:rsid w:val="005D377A"/>
    <w:rsid w:val="005D511A"/>
    <w:rsid w:val="005D6720"/>
    <w:rsid w:val="005E1499"/>
    <w:rsid w:val="005E1738"/>
    <w:rsid w:val="005E1A90"/>
    <w:rsid w:val="005E1B0D"/>
    <w:rsid w:val="005E2B9B"/>
    <w:rsid w:val="005E453E"/>
    <w:rsid w:val="005E56B8"/>
    <w:rsid w:val="005E633F"/>
    <w:rsid w:val="005E6F02"/>
    <w:rsid w:val="005E7065"/>
    <w:rsid w:val="005E7E8A"/>
    <w:rsid w:val="005F1C7E"/>
    <w:rsid w:val="005F2005"/>
    <w:rsid w:val="005F49E1"/>
    <w:rsid w:val="005F6EA1"/>
    <w:rsid w:val="005F72BA"/>
    <w:rsid w:val="005F7350"/>
    <w:rsid w:val="006041E7"/>
    <w:rsid w:val="00605827"/>
    <w:rsid w:val="00606B26"/>
    <w:rsid w:val="0061119A"/>
    <w:rsid w:val="00617A2F"/>
    <w:rsid w:val="006206A7"/>
    <w:rsid w:val="00621928"/>
    <w:rsid w:val="00621C2F"/>
    <w:rsid w:val="00622C77"/>
    <w:rsid w:val="00622CE7"/>
    <w:rsid w:val="00622E7E"/>
    <w:rsid w:val="00623EFA"/>
    <w:rsid w:val="00624AD3"/>
    <w:rsid w:val="006255BA"/>
    <w:rsid w:val="0063217F"/>
    <w:rsid w:val="00632DD4"/>
    <w:rsid w:val="00633E5B"/>
    <w:rsid w:val="00635380"/>
    <w:rsid w:val="00637680"/>
    <w:rsid w:val="006378C7"/>
    <w:rsid w:val="00640101"/>
    <w:rsid w:val="006421A1"/>
    <w:rsid w:val="006428CF"/>
    <w:rsid w:val="00646050"/>
    <w:rsid w:val="00647763"/>
    <w:rsid w:val="006508ED"/>
    <w:rsid w:val="00653500"/>
    <w:rsid w:val="006549F1"/>
    <w:rsid w:val="00661CF6"/>
    <w:rsid w:val="0066225C"/>
    <w:rsid w:val="006623AC"/>
    <w:rsid w:val="0066350E"/>
    <w:rsid w:val="00665557"/>
    <w:rsid w:val="006713CA"/>
    <w:rsid w:val="00672A44"/>
    <w:rsid w:val="00673CBF"/>
    <w:rsid w:val="00674BAB"/>
    <w:rsid w:val="00676810"/>
    <w:rsid w:val="00676AC6"/>
    <w:rsid w:val="00676C5C"/>
    <w:rsid w:val="006800C2"/>
    <w:rsid w:val="0068133B"/>
    <w:rsid w:val="00681884"/>
    <w:rsid w:val="006827C2"/>
    <w:rsid w:val="00682871"/>
    <w:rsid w:val="00684CFB"/>
    <w:rsid w:val="0068514C"/>
    <w:rsid w:val="006852B8"/>
    <w:rsid w:val="006855DC"/>
    <w:rsid w:val="00686A65"/>
    <w:rsid w:val="00687026"/>
    <w:rsid w:val="006876DD"/>
    <w:rsid w:val="006949DA"/>
    <w:rsid w:val="00695E32"/>
    <w:rsid w:val="00696825"/>
    <w:rsid w:val="00697DA0"/>
    <w:rsid w:val="006A6546"/>
    <w:rsid w:val="006A7903"/>
    <w:rsid w:val="006B2D82"/>
    <w:rsid w:val="006B3497"/>
    <w:rsid w:val="006B4104"/>
    <w:rsid w:val="006B458D"/>
    <w:rsid w:val="006B77A4"/>
    <w:rsid w:val="006C0958"/>
    <w:rsid w:val="006C31EF"/>
    <w:rsid w:val="006C335F"/>
    <w:rsid w:val="006C38FF"/>
    <w:rsid w:val="006C428E"/>
    <w:rsid w:val="006D0173"/>
    <w:rsid w:val="006D04F6"/>
    <w:rsid w:val="006D1006"/>
    <w:rsid w:val="006D1A0B"/>
    <w:rsid w:val="006D678B"/>
    <w:rsid w:val="006E060A"/>
    <w:rsid w:val="006E0806"/>
    <w:rsid w:val="006E20CA"/>
    <w:rsid w:val="006E3CD4"/>
    <w:rsid w:val="006E41F1"/>
    <w:rsid w:val="006E6FA7"/>
    <w:rsid w:val="006F06C5"/>
    <w:rsid w:val="006F1EBB"/>
    <w:rsid w:val="006F24D6"/>
    <w:rsid w:val="006F426B"/>
    <w:rsid w:val="00701124"/>
    <w:rsid w:val="007071AA"/>
    <w:rsid w:val="007074F6"/>
    <w:rsid w:val="007113B0"/>
    <w:rsid w:val="0071234D"/>
    <w:rsid w:val="0071291E"/>
    <w:rsid w:val="00712D7C"/>
    <w:rsid w:val="0071343D"/>
    <w:rsid w:val="00714E8A"/>
    <w:rsid w:val="007174A0"/>
    <w:rsid w:val="007177CC"/>
    <w:rsid w:val="00723CF5"/>
    <w:rsid w:val="007252A1"/>
    <w:rsid w:val="0072564F"/>
    <w:rsid w:val="007266B2"/>
    <w:rsid w:val="0072754D"/>
    <w:rsid w:val="00730A0A"/>
    <w:rsid w:val="00730AB3"/>
    <w:rsid w:val="007315D5"/>
    <w:rsid w:val="0073585F"/>
    <w:rsid w:val="00735D59"/>
    <w:rsid w:val="00735D69"/>
    <w:rsid w:val="00740D1C"/>
    <w:rsid w:val="00741FF2"/>
    <w:rsid w:val="007431D6"/>
    <w:rsid w:val="00743D2F"/>
    <w:rsid w:val="00744423"/>
    <w:rsid w:val="007455AC"/>
    <w:rsid w:val="00745ED3"/>
    <w:rsid w:val="0074605D"/>
    <w:rsid w:val="007479D5"/>
    <w:rsid w:val="00750CA1"/>
    <w:rsid w:val="007522E5"/>
    <w:rsid w:val="00754163"/>
    <w:rsid w:val="00756A22"/>
    <w:rsid w:val="0075715A"/>
    <w:rsid w:val="00762883"/>
    <w:rsid w:val="00766F2C"/>
    <w:rsid w:val="00770252"/>
    <w:rsid w:val="007709D7"/>
    <w:rsid w:val="00774786"/>
    <w:rsid w:val="00780A4E"/>
    <w:rsid w:val="007812B2"/>
    <w:rsid w:val="007815F3"/>
    <w:rsid w:val="007918F0"/>
    <w:rsid w:val="00791B81"/>
    <w:rsid w:val="007952E0"/>
    <w:rsid w:val="007A0641"/>
    <w:rsid w:val="007A0AE4"/>
    <w:rsid w:val="007A103E"/>
    <w:rsid w:val="007A35EE"/>
    <w:rsid w:val="007A41D4"/>
    <w:rsid w:val="007A48FA"/>
    <w:rsid w:val="007A6B2A"/>
    <w:rsid w:val="007A7574"/>
    <w:rsid w:val="007B10B9"/>
    <w:rsid w:val="007B5D69"/>
    <w:rsid w:val="007C05BA"/>
    <w:rsid w:val="007C0E00"/>
    <w:rsid w:val="007C235E"/>
    <w:rsid w:val="007C329B"/>
    <w:rsid w:val="007D1613"/>
    <w:rsid w:val="007D1DC7"/>
    <w:rsid w:val="007D22EC"/>
    <w:rsid w:val="007D2807"/>
    <w:rsid w:val="007D3895"/>
    <w:rsid w:val="007D3F08"/>
    <w:rsid w:val="007D4002"/>
    <w:rsid w:val="007D48AB"/>
    <w:rsid w:val="007D7142"/>
    <w:rsid w:val="007D7D8D"/>
    <w:rsid w:val="007E0EA5"/>
    <w:rsid w:val="007E1EF8"/>
    <w:rsid w:val="007E40A2"/>
    <w:rsid w:val="007E7A54"/>
    <w:rsid w:val="007E7F07"/>
    <w:rsid w:val="007F03AC"/>
    <w:rsid w:val="007F20C4"/>
    <w:rsid w:val="007F3DC9"/>
    <w:rsid w:val="007F5A39"/>
    <w:rsid w:val="007F62A5"/>
    <w:rsid w:val="007F7070"/>
    <w:rsid w:val="00802AD2"/>
    <w:rsid w:val="00803987"/>
    <w:rsid w:val="008060A6"/>
    <w:rsid w:val="008101FF"/>
    <w:rsid w:val="00813F49"/>
    <w:rsid w:val="00815A39"/>
    <w:rsid w:val="00816D05"/>
    <w:rsid w:val="00820D5E"/>
    <w:rsid w:val="008210B4"/>
    <w:rsid w:val="00822777"/>
    <w:rsid w:val="008246A8"/>
    <w:rsid w:val="008256E7"/>
    <w:rsid w:val="008258C2"/>
    <w:rsid w:val="008259A2"/>
    <w:rsid w:val="0082604D"/>
    <w:rsid w:val="00830EA1"/>
    <w:rsid w:val="00834D1F"/>
    <w:rsid w:val="00840CDD"/>
    <w:rsid w:val="008410F9"/>
    <w:rsid w:val="00842850"/>
    <w:rsid w:val="00844F6A"/>
    <w:rsid w:val="008451D7"/>
    <w:rsid w:val="0084545D"/>
    <w:rsid w:val="0084597A"/>
    <w:rsid w:val="00854081"/>
    <w:rsid w:val="00854813"/>
    <w:rsid w:val="00857468"/>
    <w:rsid w:val="00857ED1"/>
    <w:rsid w:val="00861053"/>
    <w:rsid w:val="00861FFF"/>
    <w:rsid w:val="0086299D"/>
    <w:rsid w:val="00864755"/>
    <w:rsid w:val="00866A5F"/>
    <w:rsid w:val="00871436"/>
    <w:rsid w:val="008732CD"/>
    <w:rsid w:val="00874097"/>
    <w:rsid w:val="00874942"/>
    <w:rsid w:val="008765B9"/>
    <w:rsid w:val="00877A59"/>
    <w:rsid w:val="008875C6"/>
    <w:rsid w:val="0089020D"/>
    <w:rsid w:val="00891D9E"/>
    <w:rsid w:val="00892ACC"/>
    <w:rsid w:val="00895E76"/>
    <w:rsid w:val="008A2629"/>
    <w:rsid w:val="008A3878"/>
    <w:rsid w:val="008A51E4"/>
    <w:rsid w:val="008A5FAF"/>
    <w:rsid w:val="008A6BF4"/>
    <w:rsid w:val="008B1E35"/>
    <w:rsid w:val="008B2CC1"/>
    <w:rsid w:val="008B3A47"/>
    <w:rsid w:val="008B4AEB"/>
    <w:rsid w:val="008B60B2"/>
    <w:rsid w:val="008B65B0"/>
    <w:rsid w:val="008B7D33"/>
    <w:rsid w:val="008C2880"/>
    <w:rsid w:val="008C29E7"/>
    <w:rsid w:val="008C40AE"/>
    <w:rsid w:val="008C40F6"/>
    <w:rsid w:val="008C7F05"/>
    <w:rsid w:val="008D1530"/>
    <w:rsid w:val="008D1AC1"/>
    <w:rsid w:val="008D2108"/>
    <w:rsid w:val="008D4899"/>
    <w:rsid w:val="008D64BE"/>
    <w:rsid w:val="008D691F"/>
    <w:rsid w:val="008D6E54"/>
    <w:rsid w:val="008E01B3"/>
    <w:rsid w:val="008E0B83"/>
    <w:rsid w:val="008F22AA"/>
    <w:rsid w:val="008F3415"/>
    <w:rsid w:val="008F7575"/>
    <w:rsid w:val="00901312"/>
    <w:rsid w:val="00901772"/>
    <w:rsid w:val="009021A6"/>
    <w:rsid w:val="009037E5"/>
    <w:rsid w:val="009042A6"/>
    <w:rsid w:val="0090454A"/>
    <w:rsid w:val="0090509F"/>
    <w:rsid w:val="0090615A"/>
    <w:rsid w:val="0090731E"/>
    <w:rsid w:val="009077B6"/>
    <w:rsid w:val="00910B78"/>
    <w:rsid w:val="00916EE2"/>
    <w:rsid w:val="0092006F"/>
    <w:rsid w:val="0092046B"/>
    <w:rsid w:val="0092344D"/>
    <w:rsid w:val="00923A92"/>
    <w:rsid w:val="00923ED2"/>
    <w:rsid w:val="009248C8"/>
    <w:rsid w:val="00924FE4"/>
    <w:rsid w:val="009254C2"/>
    <w:rsid w:val="00925681"/>
    <w:rsid w:val="009301E6"/>
    <w:rsid w:val="00932825"/>
    <w:rsid w:val="00932C36"/>
    <w:rsid w:val="00936182"/>
    <w:rsid w:val="009366EB"/>
    <w:rsid w:val="00937991"/>
    <w:rsid w:val="00940A23"/>
    <w:rsid w:val="00940BEB"/>
    <w:rsid w:val="009411F8"/>
    <w:rsid w:val="00943EAC"/>
    <w:rsid w:val="009447A4"/>
    <w:rsid w:val="00946153"/>
    <w:rsid w:val="0094784D"/>
    <w:rsid w:val="009508B8"/>
    <w:rsid w:val="009555D3"/>
    <w:rsid w:val="00955AF7"/>
    <w:rsid w:val="00956493"/>
    <w:rsid w:val="00956F67"/>
    <w:rsid w:val="00956F83"/>
    <w:rsid w:val="0096075D"/>
    <w:rsid w:val="0096165A"/>
    <w:rsid w:val="00962BA7"/>
    <w:rsid w:val="00963853"/>
    <w:rsid w:val="0096451E"/>
    <w:rsid w:val="00965303"/>
    <w:rsid w:val="00966A22"/>
    <w:rsid w:val="0096722F"/>
    <w:rsid w:val="009675B1"/>
    <w:rsid w:val="00970846"/>
    <w:rsid w:val="00975AC1"/>
    <w:rsid w:val="00975DB1"/>
    <w:rsid w:val="00977467"/>
    <w:rsid w:val="00980843"/>
    <w:rsid w:val="00982E1D"/>
    <w:rsid w:val="00985EBD"/>
    <w:rsid w:val="009874FE"/>
    <w:rsid w:val="00991C6E"/>
    <w:rsid w:val="00992712"/>
    <w:rsid w:val="009937A3"/>
    <w:rsid w:val="009945E6"/>
    <w:rsid w:val="0099509B"/>
    <w:rsid w:val="00996659"/>
    <w:rsid w:val="0099674C"/>
    <w:rsid w:val="00996F03"/>
    <w:rsid w:val="0099711F"/>
    <w:rsid w:val="009A002B"/>
    <w:rsid w:val="009A258D"/>
    <w:rsid w:val="009A2683"/>
    <w:rsid w:val="009A2C64"/>
    <w:rsid w:val="009A3307"/>
    <w:rsid w:val="009A6E26"/>
    <w:rsid w:val="009B18DB"/>
    <w:rsid w:val="009B1E55"/>
    <w:rsid w:val="009B45E7"/>
    <w:rsid w:val="009B62C3"/>
    <w:rsid w:val="009B6AAB"/>
    <w:rsid w:val="009B6C63"/>
    <w:rsid w:val="009B7099"/>
    <w:rsid w:val="009B71ED"/>
    <w:rsid w:val="009B7637"/>
    <w:rsid w:val="009C12FE"/>
    <w:rsid w:val="009C3A01"/>
    <w:rsid w:val="009D14A3"/>
    <w:rsid w:val="009D46A3"/>
    <w:rsid w:val="009D49A0"/>
    <w:rsid w:val="009D4FBA"/>
    <w:rsid w:val="009D56DB"/>
    <w:rsid w:val="009D7579"/>
    <w:rsid w:val="009E0904"/>
    <w:rsid w:val="009E19F9"/>
    <w:rsid w:val="009E219C"/>
    <w:rsid w:val="009E2791"/>
    <w:rsid w:val="009E3F6F"/>
    <w:rsid w:val="009E4D91"/>
    <w:rsid w:val="009F00C8"/>
    <w:rsid w:val="009F064C"/>
    <w:rsid w:val="009F24C9"/>
    <w:rsid w:val="009F499F"/>
    <w:rsid w:val="00A00B70"/>
    <w:rsid w:val="00A018D6"/>
    <w:rsid w:val="00A02950"/>
    <w:rsid w:val="00A03C97"/>
    <w:rsid w:val="00A04566"/>
    <w:rsid w:val="00A0799C"/>
    <w:rsid w:val="00A07B77"/>
    <w:rsid w:val="00A103E2"/>
    <w:rsid w:val="00A10D89"/>
    <w:rsid w:val="00A116D2"/>
    <w:rsid w:val="00A119C0"/>
    <w:rsid w:val="00A128DF"/>
    <w:rsid w:val="00A14605"/>
    <w:rsid w:val="00A2022A"/>
    <w:rsid w:val="00A2177F"/>
    <w:rsid w:val="00A22CF2"/>
    <w:rsid w:val="00A23340"/>
    <w:rsid w:val="00A235A1"/>
    <w:rsid w:val="00A23E6E"/>
    <w:rsid w:val="00A24EF0"/>
    <w:rsid w:val="00A255AF"/>
    <w:rsid w:val="00A25CE4"/>
    <w:rsid w:val="00A27475"/>
    <w:rsid w:val="00A32C19"/>
    <w:rsid w:val="00A32C2A"/>
    <w:rsid w:val="00A37C1F"/>
    <w:rsid w:val="00A4002C"/>
    <w:rsid w:val="00A42144"/>
    <w:rsid w:val="00A422FE"/>
    <w:rsid w:val="00A42DAF"/>
    <w:rsid w:val="00A43D38"/>
    <w:rsid w:val="00A44CF1"/>
    <w:rsid w:val="00A45BD8"/>
    <w:rsid w:val="00A52B0A"/>
    <w:rsid w:val="00A53CA0"/>
    <w:rsid w:val="00A57BEB"/>
    <w:rsid w:val="00A60D24"/>
    <w:rsid w:val="00A6142B"/>
    <w:rsid w:val="00A63015"/>
    <w:rsid w:val="00A631A3"/>
    <w:rsid w:val="00A64766"/>
    <w:rsid w:val="00A6558D"/>
    <w:rsid w:val="00A6673C"/>
    <w:rsid w:val="00A70CFD"/>
    <w:rsid w:val="00A70D39"/>
    <w:rsid w:val="00A758EA"/>
    <w:rsid w:val="00A75969"/>
    <w:rsid w:val="00A815D6"/>
    <w:rsid w:val="00A82093"/>
    <w:rsid w:val="00A82DB6"/>
    <w:rsid w:val="00A84712"/>
    <w:rsid w:val="00A869B7"/>
    <w:rsid w:val="00A90F8D"/>
    <w:rsid w:val="00A9139E"/>
    <w:rsid w:val="00A93C91"/>
    <w:rsid w:val="00A94A87"/>
    <w:rsid w:val="00A95450"/>
    <w:rsid w:val="00AA0123"/>
    <w:rsid w:val="00AA50A6"/>
    <w:rsid w:val="00AA5B24"/>
    <w:rsid w:val="00AA7B8C"/>
    <w:rsid w:val="00AB08B4"/>
    <w:rsid w:val="00AB290D"/>
    <w:rsid w:val="00AB2EE7"/>
    <w:rsid w:val="00AB4772"/>
    <w:rsid w:val="00AB4B2D"/>
    <w:rsid w:val="00AC205C"/>
    <w:rsid w:val="00AC278C"/>
    <w:rsid w:val="00AC4EC0"/>
    <w:rsid w:val="00AC54CE"/>
    <w:rsid w:val="00AD079A"/>
    <w:rsid w:val="00AD3A5A"/>
    <w:rsid w:val="00AD46E1"/>
    <w:rsid w:val="00AD573A"/>
    <w:rsid w:val="00AD5F99"/>
    <w:rsid w:val="00AD6BA7"/>
    <w:rsid w:val="00AD6CBF"/>
    <w:rsid w:val="00AE1731"/>
    <w:rsid w:val="00AE2EEB"/>
    <w:rsid w:val="00AE55D6"/>
    <w:rsid w:val="00AF0A6B"/>
    <w:rsid w:val="00AF12DD"/>
    <w:rsid w:val="00AF1712"/>
    <w:rsid w:val="00AF3802"/>
    <w:rsid w:val="00AF394F"/>
    <w:rsid w:val="00B004E1"/>
    <w:rsid w:val="00B01124"/>
    <w:rsid w:val="00B026B6"/>
    <w:rsid w:val="00B027A7"/>
    <w:rsid w:val="00B03788"/>
    <w:rsid w:val="00B03DE0"/>
    <w:rsid w:val="00B055CC"/>
    <w:rsid w:val="00B05A69"/>
    <w:rsid w:val="00B079F8"/>
    <w:rsid w:val="00B1082F"/>
    <w:rsid w:val="00B11028"/>
    <w:rsid w:val="00B118DC"/>
    <w:rsid w:val="00B126E2"/>
    <w:rsid w:val="00B12733"/>
    <w:rsid w:val="00B13CD1"/>
    <w:rsid w:val="00B1555F"/>
    <w:rsid w:val="00B2033B"/>
    <w:rsid w:val="00B205F4"/>
    <w:rsid w:val="00B22637"/>
    <w:rsid w:val="00B24B3C"/>
    <w:rsid w:val="00B26D21"/>
    <w:rsid w:val="00B35748"/>
    <w:rsid w:val="00B40D1F"/>
    <w:rsid w:val="00B40F62"/>
    <w:rsid w:val="00B437B5"/>
    <w:rsid w:val="00B450A5"/>
    <w:rsid w:val="00B465FC"/>
    <w:rsid w:val="00B4706C"/>
    <w:rsid w:val="00B47E8C"/>
    <w:rsid w:val="00B50CF7"/>
    <w:rsid w:val="00B50EAB"/>
    <w:rsid w:val="00B52AF3"/>
    <w:rsid w:val="00B52DCA"/>
    <w:rsid w:val="00B52DD0"/>
    <w:rsid w:val="00B536EF"/>
    <w:rsid w:val="00B572C3"/>
    <w:rsid w:val="00B632EB"/>
    <w:rsid w:val="00B63934"/>
    <w:rsid w:val="00B66694"/>
    <w:rsid w:val="00B70B9F"/>
    <w:rsid w:val="00B7115A"/>
    <w:rsid w:val="00B71C4B"/>
    <w:rsid w:val="00B75F93"/>
    <w:rsid w:val="00B80128"/>
    <w:rsid w:val="00B813FE"/>
    <w:rsid w:val="00B81B0D"/>
    <w:rsid w:val="00B82420"/>
    <w:rsid w:val="00B828B8"/>
    <w:rsid w:val="00B83681"/>
    <w:rsid w:val="00B8384B"/>
    <w:rsid w:val="00B84F3B"/>
    <w:rsid w:val="00B86D41"/>
    <w:rsid w:val="00B91667"/>
    <w:rsid w:val="00B91794"/>
    <w:rsid w:val="00B969EA"/>
    <w:rsid w:val="00B9734B"/>
    <w:rsid w:val="00BA2854"/>
    <w:rsid w:val="00BA53AA"/>
    <w:rsid w:val="00BA555E"/>
    <w:rsid w:val="00BA6237"/>
    <w:rsid w:val="00BA6255"/>
    <w:rsid w:val="00BA7696"/>
    <w:rsid w:val="00BB5A7E"/>
    <w:rsid w:val="00BB5E8D"/>
    <w:rsid w:val="00BB7026"/>
    <w:rsid w:val="00BB7B6C"/>
    <w:rsid w:val="00BC2C22"/>
    <w:rsid w:val="00BC4326"/>
    <w:rsid w:val="00BC47CF"/>
    <w:rsid w:val="00BC48B7"/>
    <w:rsid w:val="00BC57E9"/>
    <w:rsid w:val="00BD00DC"/>
    <w:rsid w:val="00BD0DE3"/>
    <w:rsid w:val="00BD11A4"/>
    <w:rsid w:val="00BD17CA"/>
    <w:rsid w:val="00BD3EEA"/>
    <w:rsid w:val="00BD503A"/>
    <w:rsid w:val="00BD5F2A"/>
    <w:rsid w:val="00BE16C7"/>
    <w:rsid w:val="00BE26B3"/>
    <w:rsid w:val="00BE2CC4"/>
    <w:rsid w:val="00BE2E49"/>
    <w:rsid w:val="00BE58A4"/>
    <w:rsid w:val="00BE5FFF"/>
    <w:rsid w:val="00BE6DDD"/>
    <w:rsid w:val="00BF0506"/>
    <w:rsid w:val="00BF05B4"/>
    <w:rsid w:val="00BF14B7"/>
    <w:rsid w:val="00BF1675"/>
    <w:rsid w:val="00BF392A"/>
    <w:rsid w:val="00BF3939"/>
    <w:rsid w:val="00BF4E6B"/>
    <w:rsid w:val="00BF6E54"/>
    <w:rsid w:val="00C00338"/>
    <w:rsid w:val="00C03030"/>
    <w:rsid w:val="00C03372"/>
    <w:rsid w:val="00C050FC"/>
    <w:rsid w:val="00C05BFA"/>
    <w:rsid w:val="00C11BFE"/>
    <w:rsid w:val="00C12061"/>
    <w:rsid w:val="00C12D82"/>
    <w:rsid w:val="00C138A3"/>
    <w:rsid w:val="00C13DF7"/>
    <w:rsid w:val="00C14039"/>
    <w:rsid w:val="00C14075"/>
    <w:rsid w:val="00C14582"/>
    <w:rsid w:val="00C14D41"/>
    <w:rsid w:val="00C14EF1"/>
    <w:rsid w:val="00C200B5"/>
    <w:rsid w:val="00C204C8"/>
    <w:rsid w:val="00C21500"/>
    <w:rsid w:val="00C224C3"/>
    <w:rsid w:val="00C25398"/>
    <w:rsid w:val="00C2714B"/>
    <w:rsid w:val="00C31CE5"/>
    <w:rsid w:val="00C3538C"/>
    <w:rsid w:val="00C35CB2"/>
    <w:rsid w:val="00C365F9"/>
    <w:rsid w:val="00C4178A"/>
    <w:rsid w:val="00C44E43"/>
    <w:rsid w:val="00C4502B"/>
    <w:rsid w:val="00C505DA"/>
    <w:rsid w:val="00C51317"/>
    <w:rsid w:val="00C51883"/>
    <w:rsid w:val="00C5320A"/>
    <w:rsid w:val="00C55161"/>
    <w:rsid w:val="00C554D5"/>
    <w:rsid w:val="00C57022"/>
    <w:rsid w:val="00C57AE4"/>
    <w:rsid w:val="00C6022B"/>
    <w:rsid w:val="00C67219"/>
    <w:rsid w:val="00C70A99"/>
    <w:rsid w:val="00C70F7C"/>
    <w:rsid w:val="00C717D0"/>
    <w:rsid w:val="00C71A70"/>
    <w:rsid w:val="00C71F6A"/>
    <w:rsid w:val="00C72D8D"/>
    <w:rsid w:val="00C72F70"/>
    <w:rsid w:val="00C7480E"/>
    <w:rsid w:val="00C7605F"/>
    <w:rsid w:val="00C7678E"/>
    <w:rsid w:val="00C76897"/>
    <w:rsid w:val="00C76B2D"/>
    <w:rsid w:val="00C779B4"/>
    <w:rsid w:val="00C811EA"/>
    <w:rsid w:val="00C8197E"/>
    <w:rsid w:val="00C8323F"/>
    <w:rsid w:val="00C834A3"/>
    <w:rsid w:val="00C83EAE"/>
    <w:rsid w:val="00C8500C"/>
    <w:rsid w:val="00C855A6"/>
    <w:rsid w:val="00C860F9"/>
    <w:rsid w:val="00C86702"/>
    <w:rsid w:val="00C9065B"/>
    <w:rsid w:val="00C90A9B"/>
    <w:rsid w:val="00C93001"/>
    <w:rsid w:val="00C94210"/>
    <w:rsid w:val="00C953E9"/>
    <w:rsid w:val="00C96F77"/>
    <w:rsid w:val="00CA02C1"/>
    <w:rsid w:val="00CA15AF"/>
    <w:rsid w:val="00CA1941"/>
    <w:rsid w:val="00CA278B"/>
    <w:rsid w:val="00CA7085"/>
    <w:rsid w:val="00CB22D3"/>
    <w:rsid w:val="00CB2C3E"/>
    <w:rsid w:val="00CB600E"/>
    <w:rsid w:val="00CB7A59"/>
    <w:rsid w:val="00CC0472"/>
    <w:rsid w:val="00CC09CD"/>
    <w:rsid w:val="00CC0D2A"/>
    <w:rsid w:val="00CC15CA"/>
    <w:rsid w:val="00CC1AAF"/>
    <w:rsid w:val="00CC406D"/>
    <w:rsid w:val="00CC7BA6"/>
    <w:rsid w:val="00CC7BEF"/>
    <w:rsid w:val="00CD0487"/>
    <w:rsid w:val="00CD1095"/>
    <w:rsid w:val="00CD29D0"/>
    <w:rsid w:val="00CD2F58"/>
    <w:rsid w:val="00CD4EF4"/>
    <w:rsid w:val="00CE0374"/>
    <w:rsid w:val="00CE10D4"/>
    <w:rsid w:val="00CE24AE"/>
    <w:rsid w:val="00CE2680"/>
    <w:rsid w:val="00CE3AA7"/>
    <w:rsid w:val="00CE4D7B"/>
    <w:rsid w:val="00CF0D3B"/>
    <w:rsid w:val="00CF29F8"/>
    <w:rsid w:val="00CF5FA0"/>
    <w:rsid w:val="00CF7724"/>
    <w:rsid w:val="00D0081B"/>
    <w:rsid w:val="00D03334"/>
    <w:rsid w:val="00D03DD8"/>
    <w:rsid w:val="00D048FD"/>
    <w:rsid w:val="00D1145F"/>
    <w:rsid w:val="00D1411E"/>
    <w:rsid w:val="00D1471C"/>
    <w:rsid w:val="00D15332"/>
    <w:rsid w:val="00D15AD6"/>
    <w:rsid w:val="00D177A6"/>
    <w:rsid w:val="00D178DC"/>
    <w:rsid w:val="00D1792B"/>
    <w:rsid w:val="00D17AF8"/>
    <w:rsid w:val="00D22BA4"/>
    <w:rsid w:val="00D22D6F"/>
    <w:rsid w:val="00D23C8A"/>
    <w:rsid w:val="00D25439"/>
    <w:rsid w:val="00D31F26"/>
    <w:rsid w:val="00D33634"/>
    <w:rsid w:val="00D350AB"/>
    <w:rsid w:val="00D42864"/>
    <w:rsid w:val="00D4430B"/>
    <w:rsid w:val="00D45252"/>
    <w:rsid w:val="00D46415"/>
    <w:rsid w:val="00D50FC9"/>
    <w:rsid w:val="00D521E2"/>
    <w:rsid w:val="00D544D2"/>
    <w:rsid w:val="00D54F03"/>
    <w:rsid w:val="00D56797"/>
    <w:rsid w:val="00D57DD5"/>
    <w:rsid w:val="00D61B80"/>
    <w:rsid w:val="00D62433"/>
    <w:rsid w:val="00D6282E"/>
    <w:rsid w:val="00D62CF6"/>
    <w:rsid w:val="00D64DC8"/>
    <w:rsid w:val="00D67276"/>
    <w:rsid w:val="00D67E2C"/>
    <w:rsid w:val="00D714EA"/>
    <w:rsid w:val="00D71B4D"/>
    <w:rsid w:val="00D7241C"/>
    <w:rsid w:val="00D74C02"/>
    <w:rsid w:val="00D77260"/>
    <w:rsid w:val="00D816AC"/>
    <w:rsid w:val="00D81873"/>
    <w:rsid w:val="00D82E6E"/>
    <w:rsid w:val="00D85552"/>
    <w:rsid w:val="00D857B0"/>
    <w:rsid w:val="00D85DB6"/>
    <w:rsid w:val="00D87E4C"/>
    <w:rsid w:val="00D87F4E"/>
    <w:rsid w:val="00D87FCE"/>
    <w:rsid w:val="00D916BA"/>
    <w:rsid w:val="00D9170E"/>
    <w:rsid w:val="00D93D55"/>
    <w:rsid w:val="00D93DD3"/>
    <w:rsid w:val="00D9413E"/>
    <w:rsid w:val="00D9548C"/>
    <w:rsid w:val="00DA1685"/>
    <w:rsid w:val="00DA3B7A"/>
    <w:rsid w:val="00DA595C"/>
    <w:rsid w:val="00DB002A"/>
    <w:rsid w:val="00DB4AB2"/>
    <w:rsid w:val="00DB58C9"/>
    <w:rsid w:val="00DC0174"/>
    <w:rsid w:val="00DC046F"/>
    <w:rsid w:val="00DC1782"/>
    <w:rsid w:val="00DC2080"/>
    <w:rsid w:val="00DC344E"/>
    <w:rsid w:val="00DC3E08"/>
    <w:rsid w:val="00DC4268"/>
    <w:rsid w:val="00DC73BE"/>
    <w:rsid w:val="00DD001C"/>
    <w:rsid w:val="00DD0047"/>
    <w:rsid w:val="00DD3426"/>
    <w:rsid w:val="00DD3E04"/>
    <w:rsid w:val="00DD4A84"/>
    <w:rsid w:val="00DD4D72"/>
    <w:rsid w:val="00DE21FD"/>
    <w:rsid w:val="00DE28EA"/>
    <w:rsid w:val="00DE437B"/>
    <w:rsid w:val="00DE6034"/>
    <w:rsid w:val="00DE6DCD"/>
    <w:rsid w:val="00DE7493"/>
    <w:rsid w:val="00DF23E2"/>
    <w:rsid w:val="00DF4696"/>
    <w:rsid w:val="00DF70C2"/>
    <w:rsid w:val="00E00D88"/>
    <w:rsid w:val="00E01767"/>
    <w:rsid w:val="00E02DED"/>
    <w:rsid w:val="00E04350"/>
    <w:rsid w:val="00E066E9"/>
    <w:rsid w:val="00E07940"/>
    <w:rsid w:val="00E10EA5"/>
    <w:rsid w:val="00E15CC4"/>
    <w:rsid w:val="00E215EC"/>
    <w:rsid w:val="00E2310C"/>
    <w:rsid w:val="00E245CF"/>
    <w:rsid w:val="00E26BE2"/>
    <w:rsid w:val="00E322F5"/>
    <w:rsid w:val="00E32798"/>
    <w:rsid w:val="00E335FE"/>
    <w:rsid w:val="00E33F9C"/>
    <w:rsid w:val="00E35DC8"/>
    <w:rsid w:val="00E41985"/>
    <w:rsid w:val="00E465AD"/>
    <w:rsid w:val="00E5238C"/>
    <w:rsid w:val="00E52D2F"/>
    <w:rsid w:val="00E54F05"/>
    <w:rsid w:val="00E556FE"/>
    <w:rsid w:val="00E57B2A"/>
    <w:rsid w:val="00E605D7"/>
    <w:rsid w:val="00E62FDE"/>
    <w:rsid w:val="00E63361"/>
    <w:rsid w:val="00E63D98"/>
    <w:rsid w:val="00E63E3C"/>
    <w:rsid w:val="00E6540F"/>
    <w:rsid w:val="00E676EA"/>
    <w:rsid w:val="00E67876"/>
    <w:rsid w:val="00E67909"/>
    <w:rsid w:val="00E72E5D"/>
    <w:rsid w:val="00E73D71"/>
    <w:rsid w:val="00E76523"/>
    <w:rsid w:val="00E80B06"/>
    <w:rsid w:val="00E80C7E"/>
    <w:rsid w:val="00E81702"/>
    <w:rsid w:val="00E827B2"/>
    <w:rsid w:val="00E83108"/>
    <w:rsid w:val="00E84E33"/>
    <w:rsid w:val="00E8536E"/>
    <w:rsid w:val="00E853E5"/>
    <w:rsid w:val="00E856D7"/>
    <w:rsid w:val="00E86FA5"/>
    <w:rsid w:val="00E8783B"/>
    <w:rsid w:val="00E906B8"/>
    <w:rsid w:val="00E93195"/>
    <w:rsid w:val="00E937BA"/>
    <w:rsid w:val="00E94CB2"/>
    <w:rsid w:val="00E94E94"/>
    <w:rsid w:val="00E955F5"/>
    <w:rsid w:val="00E96A7A"/>
    <w:rsid w:val="00EA03F0"/>
    <w:rsid w:val="00EA0472"/>
    <w:rsid w:val="00EA39FB"/>
    <w:rsid w:val="00EA4385"/>
    <w:rsid w:val="00EB002B"/>
    <w:rsid w:val="00EB117B"/>
    <w:rsid w:val="00EB296D"/>
    <w:rsid w:val="00EB2D9E"/>
    <w:rsid w:val="00EB3214"/>
    <w:rsid w:val="00EB5381"/>
    <w:rsid w:val="00EB71F3"/>
    <w:rsid w:val="00EB7CA4"/>
    <w:rsid w:val="00EC4E49"/>
    <w:rsid w:val="00EC79CC"/>
    <w:rsid w:val="00ED12BE"/>
    <w:rsid w:val="00ED2235"/>
    <w:rsid w:val="00ED49D1"/>
    <w:rsid w:val="00ED6723"/>
    <w:rsid w:val="00ED6B8E"/>
    <w:rsid w:val="00ED77FB"/>
    <w:rsid w:val="00ED7ED8"/>
    <w:rsid w:val="00EE0FF3"/>
    <w:rsid w:val="00EE1CE7"/>
    <w:rsid w:val="00EE45FA"/>
    <w:rsid w:val="00EE4DEA"/>
    <w:rsid w:val="00EE6E0B"/>
    <w:rsid w:val="00EE7CCC"/>
    <w:rsid w:val="00EF00C4"/>
    <w:rsid w:val="00EF0732"/>
    <w:rsid w:val="00EF1C36"/>
    <w:rsid w:val="00EF7E92"/>
    <w:rsid w:val="00F0093A"/>
    <w:rsid w:val="00F00BAF"/>
    <w:rsid w:val="00F010B0"/>
    <w:rsid w:val="00F10190"/>
    <w:rsid w:val="00F10B41"/>
    <w:rsid w:val="00F11050"/>
    <w:rsid w:val="00F159D0"/>
    <w:rsid w:val="00F15D76"/>
    <w:rsid w:val="00F178EB"/>
    <w:rsid w:val="00F17989"/>
    <w:rsid w:val="00F219A1"/>
    <w:rsid w:val="00F22C41"/>
    <w:rsid w:val="00F236B1"/>
    <w:rsid w:val="00F23F46"/>
    <w:rsid w:val="00F25FAD"/>
    <w:rsid w:val="00F26531"/>
    <w:rsid w:val="00F26947"/>
    <w:rsid w:val="00F31593"/>
    <w:rsid w:val="00F31D68"/>
    <w:rsid w:val="00F32973"/>
    <w:rsid w:val="00F33BB0"/>
    <w:rsid w:val="00F35BFF"/>
    <w:rsid w:val="00F41F3C"/>
    <w:rsid w:val="00F4229D"/>
    <w:rsid w:val="00F44F7E"/>
    <w:rsid w:val="00F453D3"/>
    <w:rsid w:val="00F52477"/>
    <w:rsid w:val="00F55F9B"/>
    <w:rsid w:val="00F61C0B"/>
    <w:rsid w:val="00F621B7"/>
    <w:rsid w:val="00F62299"/>
    <w:rsid w:val="00F62683"/>
    <w:rsid w:val="00F626B3"/>
    <w:rsid w:val="00F64C1B"/>
    <w:rsid w:val="00F64F97"/>
    <w:rsid w:val="00F657CF"/>
    <w:rsid w:val="00F66152"/>
    <w:rsid w:val="00F678C3"/>
    <w:rsid w:val="00F716B1"/>
    <w:rsid w:val="00F7372C"/>
    <w:rsid w:val="00F73FBC"/>
    <w:rsid w:val="00F749F9"/>
    <w:rsid w:val="00F74A90"/>
    <w:rsid w:val="00F804F0"/>
    <w:rsid w:val="00F81130"/>
    <w:rsid w:val="00F848C8"/>
    <w:rsid w:val="00F853D8"/>
    <w:rsid w:val="00F8591D"/>
    <w:rsid w:val="00F87183"/>
    <w:rsid w:val="00F9124E"/>
    <w:rsid w:val="00F915F9"/>
    <w:rsid w:val="00F91DAF"/>
    <w:rsid w:val="00F934DD"/>
    <w:rsid w:val="00F937E8"/>
    <w:rsid w:val="00F93C53"/>
    <w:rsid w:val="00FA1E9B"/>
    <w:rsid w:val="00FA66AF"/>
    <w:rsid w:val="00FA7E5C"/>
    <w:rsid w:val="00FB2F95"/>
    <w:rsid w:val="00FB3155"/>
    <w:rsid w:val="00FB565C"/>
    <w:rsid w:val="00FB74C4"/>
    <w:rsid w:val="00FC08B0"/>
    <w:rsid w:val="00FC1378"/>
    <w:rsid w:val="00FC23B3"/>
    <w:rsid w:val="00FC7684"/>
    <w:rsid w:val="00FC7B9C"/>
    <w:rsid w:val="00FD4990"/>
    <w:rsid w:val="00FD5D50"/>
    <w:rsid w:val="00FD702B"/>
    <w:rsid w:val="00FE31FD"/>
    <w:rsid w:val="00FE3D45"/>
    <w:rsid w:val="00FE65C7"/>
    <w:rsid w:val="00FE7238"/>
    <w:rsid w:val="00FF040C"/>
    <w:rsid w:val="00FF1730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C149C7"/>
  <w15:docId w15:val="{A1C587E0-9F1D-4BD5-A821-1DBDA90A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D017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9E0904"/>
    <w:pPr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E0904"/>
    <w:pPr>
      <w:outlineLvl w:val="5"/>
    </w:pPr>
    <w:rPr>
      <w:rFonts w:eastAsia="Times New Roman" w:cs="Times New Roman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E0904"/>
    <w:pPr>
      <w:keepNext/>
      <w:keepLines/>
      <w:spacing w:before="80" w:after="60"/>
      <w:outlineLvl w:val="6"/>
    </w:pPr>
    <w:rPr>
      <w:rFonts w:eastAsia="Times New Roman" w:cs="Times New Roman"/>
      <w:b/>
      <w:kern w:val="28"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E0904"/>
    <w:pPr>
      <w:keepNext/>
      <w:keepLines/>
      <w:spacing w:before="80" w:after="60"/>
      <w:outlineLvl w:val="7"/>
    </w:pPr>
    <w:rPr>
      <w:rFonts w:eastAsia="Times New Roman" w:cs="Times New Roman"/>
      <w:i/>
      <w:kern w:val="28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E0904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D0173"/>
    <w:pPr>
      <w:numPr>
        <w:numId w:val="5"/>
      </w:numPr>
      <w:tabs>
        <w:tab w:val="clear" w:pos="851"/>
        <w:tab w:val="num" w:pos="837"/>
      </w:tabs>
      <w:spacing w:after="220"/>
      <w:ind w:left="27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5Char">
    <w:name w:val="Heading 5 Char"/>
    <w:basedOn w:val="DefaultParagraphFont"/>
    <w:link w:val="Heading5"/>
    <w:rsid w:val="009E0904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9E0904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9E0904"/>
    <w:rPr>
      <w:rFonts w:ascii="Arial" w:hAnsi="Arial"/>
      <w:b/>
      <w:kern w:val="28"/>
    </w:rPr>
  </w:style>
  <w:style w:type="character" w:customStyle="1" w:styleId="Heading8Char">
    <w:name w:val="Heading 8 Char"/>
    <w:basedOn w:val="DefaultParagraphFont"/>
    <w:link w:val="Heading8"/>
    <w:rsid w:val="009E0904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E0904"/>
    <w:rPr>
      <w:rFonts w:ascii="Arial" w:hAnsi="Arial"/>
      <w:i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904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9E09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semiHidden/>
    <w:rsid w:val="009E0904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aliases w:val="First level list"/>
    <w:basedOn w:val="Normal"/>
    <w:link w:val="ListParagraphChar"/>
    <w:uiPriority w:val="34"/>
    <w:qFormat/>
    <w:rsid w:val="009E0904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9E0904"/>
    <w:rPr>
      <w:color w:val="0000FF" w:themeColor="hyperlink"/>
      <w:u w:val="single"/>
    </w:rPr>
  </w:style>
  <w:style w:type="table" w:styleId="TableGrid">
    <w:name w:val="Table Grid"/>
    <w:basedOn w:val="TableNormal"/>
    <w:rsid w:val="009E0904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semiHidden/>
    <w:rsid w:val="009E0904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semiHidden/>
    <w:rsid w:val="009E0904"/>
    <w:pPr>
      <w:tabs>
        <w:tab w:val="left" w:pos="567"/>
        <w:tab w:val="left" w:pos="1134"/>
        <w:tab w:val="left" w:pos="1701"/>
        <w:tab w:val="left" w:pos="5670"/>
      </w:tabs>
      <w:ind w:left="567"/>
    </w:pPr>
    <w:rPr>
      <w:rFonts w:eastAsia="Times New Roman" w:cs="Times New Roman"/>
      <w:lang w:eastAsia="en-US"/>
    </w:rPr>
  </w:style>
  <w:style w:type="character" w:customStyle="1" w:styleId="BodyTextIndentChar1">
    <w:name w:val="Body Text Indent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ClosingChar">
    <w:name w:val="Closing Char"/>
    <w:basedOn w:val="DefaultParagraphFont"/>
    <w:link w:val="Closing"/>
    <w:semiHidden/>
    <w:rsid w:val="009E0904"/>
    <w:rPr>
      <w:rFonts w:ascii="Arial" w:hAnsi="Arial"/>
      <w:sz w:val="22"/>
    </w:rPr>
  </w:style>
  <w:style w:type="paragraph" w:styleId="Closing">
    <w:name w:val="Closing"/>
    <w:basedOn w:val="Normal"/>
    <w:link w:val="ClosingChar"/>
    <w:semiHidden/>
    <w:rsid w:val="009E0904"/>
    <w:pPr>
      <w:ind w:left="4253"/>
      <w:jc w:val="center"/>
    </w:pPr>
    <w:rPr>
      <w:rFonts w:eastAsia="Times New Roman" w:cs="Times New Roman"/>
      <w:lang w:eastAsia="en-US"/>
    </w:rPr>
  </w:style>
  <w:style w:type="character" w:customStyle="1" w:styleId="ClosingChar1">
    <w:name w:val="Closing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9E0904"/>
    <w:rPr>
      <w:rFonts w:ascii="Courier New" w:hAnsi="Courier New"/>
      <w:sz w:val="16"/>
    </w:rPr>
  </w:style>
  <w:style w:type="paragraph" w:styleId="MacroText">
    <w:name w:val="macro"/>
    <w:link w:val="MacroTextChar"/>
    <w:semiHidden/>
    <w:rsid w:val="009E0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1">
    <w:name w:val="Macro Text Char1"/>
    <w:basedOn w:val="DefaultParagraphFont"/>
    <w:semiHidden/>
    <w:rsid w:val="009E0904"/>
    <w:rPr>
      <w:rFonts w:ascii="Consolas" w:eastAsia="SimSun" w:hAnsi="Consolas" w:cs="Arial"/>
      <w:lang w:eastAsia="zh-CN"/>
    </w:rPr>
  </w:style>
  <w:style w:type="paragraph" w:styleId="TOC9">
    <w:name w:val="toc 9"/>
    <w:basedOn w:val="Normal"/>
    <w:next w:val="Normal"/>
    <w:semiHidden/>
    <w:rsid w:val="009E0904"/>
    <w:pPr>
      <w:tabs>
        <w:tab w:val="right" w:leader="dot" w:pos="8504"/>
      </w:tabs>
      <w:ind w:left="2080"/>
    </w:pPr>
    <w:rPr>
      <w:rFonts w:eastAsia="Times New Roman" w:cs="Times New Roman"/>
      <w:lang w:eastAsia="en-US"/>
    </w:rPr>
  </w:style>
  <w:style w:type="character" w:styleId="PageNumber">
    <w:name w:val="page number"/>
    <w:basedOn w:val="DefaultParagraphFont"/>
    <w:semiHidden/>
    <w:rsid w:val="009E0904"/>
  </w:style>
  <w:style w:type="paragraph" w:customStyle="1" w:styleId="DateSignatureAligned">
    <w:name w:val="Date / Signature Aligned"/>
    <w:basedOn w:val="Normal"/>
    <w:rsid w:val="009E0904"/>
    <w:pPr>
      <w:ind w:left="5250"/>
    </w:pPr>
  </w:style>
  <w:style w:type="character" w:styleId="Emphasis">
    <w:name w:val="Emphasis"/>
    <w:basedOn w:val="DefaultParagraphFont"/>
    <w:uiPriority w:val="20"/>
    <w:qFormat/>
    <w:rsid w:val="009E0904"/>
    <w:rPr>
      <w:i/>
      <w:iCs/>
    </w:rPr>
  </w:style>
  <w:style w:type="character" w:customStyle="1" w:styleId="CommentSubjectChar">
    <w:name w:val="Comment Subject Char"/>
    <w:basedOn w:val="CommentTextChar"/>
    <w:link w:val="CommentSubject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0904"/>
    <w:rPr>
      <w:b/>
      <w:bCs/>
    </w:rPr>
  </w:style>
  <w:style w:type="character" w:customStyle="1" w:styleId="CommentTextChar1">
    <w:name w:val="Comment Text Char1"/>
    <w:basedOn w:val="DefaultParagraphFont"/>
    <w:link w:val="CommentText"/>
    <w:semiHidden/>
    <w:rsid w:val="009E0904"/>
    <w:rPr>
      <w:rFonts w:ascii="Arial" w:eastAsia="SimSun" w:hAnsi="Arial" w:cs="Arial"/>
      <w:sz w:val="18"/>
      <w:lang w:eastAsia="zh-CN"/>
    </w:rPr>
  </w:style>
  <w:style w:type="character" w:customStyle="1" w:styleId="CommentSubjectChar1">
    <w:name w:val="Comment Subject Char1"/>
    <w:basedOn w:val="CommentTextChar1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character" w:styleId="CommentReference">
    <w:name w:val="annotation reference"/>
    <w:basedOn w:val="DefaultParagraphFont"/>
    <w:unhideWhenUsed/>
    <w:rsid w:val="009E0904"/>
    <w:rPr>
      <w:sz w:val="16"/>
      <w:szCs w:val="16"/>
    </w:rPr>
  </w:style>
  <w:style w:type="paragraph" w:styleId="Revision">
    <w:name w:val="Revision"/>
    <w:hidden/>
    <w:uiPriority w:val="99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0B45E1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ListParagraphChar">
    <w:name w:val="List Paragraph Char"/>
    <w:aliases w:val="First level list Char"/>
    <w:basedOn w:val="DefaultParagraphFont"/>
    <w:link w:val="ListParagraph"/>
    <w:uiPriority w:val="34"/>
    <w:rsid w:val="00373E8B"/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semiHidden/>
    <w:unhideWhenUsed/>
    <w:rsid w:val="007315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315D5"/>
    <w:rPr>
      <w:rFonts w:ascii="Arial" w:eastAsia="SimSun" w:hAnsi="Arial" w:cs="Arial"/>
      <w:sz w:val="16"/>
      <w:szCs w:val="16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7315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315D5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Normal"/>
    <w:rsid w:val="007315D5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7315D5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7315D5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7315D5"/>
    <w:rPr>
      <w:b/>
      <w:sz w:val="40"/>
      <w:szCs w:val="40"/>
      <w:lang w:val="en-GB" w:eastAsia="ja-JP"/>
    </w:rPr>
  </w:style>
  <w:style w:type="character" w:customStyle="1" w:styleId="Heading1Char">
    <w:name w:val="Heading 1 Char"/>
    <w:link w:val="Heading1"/>
    <w:locked/>
    <w:rsid w:val="007315D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F2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892AC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35D59"/>
    <w:rPr>
      <w:rFonts w:ascii="Arial" w:eastAsia="SimSun" w:hAnsi="Arial" w:cs="Arial"/>
      <w:sz w:val="22"/>
      <w:lang w:eastAsia="zh-CN"/>
    </w:rPr>
  </w:style>
  <w:style w:type="character" w:styleId="EndnoteReference">
    <w:name w:val="endnote reference"/>
    <w:basedOn w:val="DefaultParagraphFont"/>
    <w:semiHidden/>
    <w:unhideWhenUsed/>
    <w:rsid w:val="00735D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5427-23A6-48DD-A314-CC916916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1060</Words>
  <Characters>6500</Characters>
  <Application>Microsoft Office Word</Application>
  <DocSecurity>0</DocSecurity>
  <Lines>201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DiazN</dc:creator>
  <cp:keywords>FOR OFFICIAL USE ONLY</cp:keywords>
  <dc:description/>
  <cp:lastModifiedBy>ST LEGER Nathalie</cp:lastModifiedBy>
  <cp:revision>14</cp:revision>
  <cp:lastPrinted>2020-10-13T16:12:00Z</cp:lastPrinted>
  <dcterms:created xsi:type="dcterms:W3CDTF">2020-10-05T09:25:00Z</dcterms:created>
  <dcterms:modified xsi:type="dcterms:W3CDTF">2020-10-13T16:12:00Z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26e950b8-d6f6-4df3-a995-d5b850610a61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