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A4689" w:rsidRPr="008B2CC1" w:rsidTr="001F07C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A4689" w:rsidRPr="008B2CC1" w:rsidRDefault="009A4689" w:rsidP="001F07C9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A4689" w:rsidRPr="008B2CC1" w:rsidRDefault="009A4689" w:rsidP="001F07C9">
            <w:r w:rsidRPr="00574966">
              <w:rPr>
                <w:rFonts w:asciiTheme="minorHAnsi" w:hAnsiTheme="minorHAnsi"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7EC2B2B8" wp14:editId="0E4F4A63">
                  <wp:extent cx="1809750" cy="1343025"/>
                  <wp:effectExtent l="0" t="0" r="0" b="9525"/>
                  <wp:docPr id="2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A4689" w:rsidRPr="008B2CC1" w:rsidRDefault="009A4689" w:rsidP="001F07C9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9A4689" w:rsidRPr="001832A6" w:rsidTr="001F07C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42" w:type="dxa"/>
              <w:left w:w="0" w:type="dxa"/>
              <w:right w:w="0" w:type="dxa"/>
            </w:tcMar>
            <w:vAlign w:val="center"/>
          </w:tcPr>
          <w:p w:rsidR="009A4689" w:rsidRPr="0090731E" w:rsidRDefault="009A4689" w:rsidP="001F07C9">
            <w:pPr>
              <w:spacing w:after="120"/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H/LD/WG/7/</w:t>
            </w:r>
            <w:bookmarkStart w:id="1" w:name="Code"/>
            <w:bookmarkEnd w:id="1"/>
            <w:r w:rsidRPr="00D97770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9A4689" w:rsidRPr="001832A6" w:rsidTr="001F07C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A4689" w:rsidRPr="00EC3582" w:rsidRDefault="009A4689" w:rsidP="001F07C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9A4689" w:rsidRPr="001832A6" w:rsidTr="001F07C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A4689" w:rsidRPr="00EC3582" w:rsidRDefault="009A4689" w:rsidP="00B6019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B60191"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 w:rsidRPr="00D97770">
              <w:rPr>
                <w:rFonts w:ascii="Arial Black" w:hAnsi="Arial Black"/>
                <w:caps/>
                <w:sz w:val="15"/>
              </w:rPr>
              <w:t xml:space="preserve"> </w:t>
            </w:r>
            <w:r w:rsidR="00B60191">
              <w:rPr>
                <w:rFonts w:ascii="Arial Black" w:hAnsi="Arial Black"/>
                <w:caps/>
                <w:sz w:val="15"/>
                <w:lang w:val="ru-RU"/>
              </w:rPr>
              <w:t>мая</w:t>
            </w:r>
            <w:r w:rsidRPr="00D97770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>2018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9A4689" w:rsidRPr="00EC3582" w:rsidRDefault="009A4689" w:rsidP="009A4689">
      <w:pPr>
        <w:spacing w:before="1200"/>
        <w:rPr>
          <w:lang w:val="ru-RU"/>
        </w:rPr>
      </w:pPr>
      <w:r>
        <w:rPr>
          <w:b/>
          <w:sz w:val="28"/>
          <w:szCs w:val="28"/>
          <w:lang w:val="ru-RU"/>
        </w:rPr>
        <w:t>Рабочая</w:t>
      </w:r>
      <w:r w:rsidRPr="00CA36AA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группа</w:t>
      </w:r>
      <w:r w:rsidRPr="00CA36AA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CA36AA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правовому</w:t>
      </w:r>
      <w:r w:rsidRPr="00CA36AA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развитию</w:t>
      </w:r>
      <w:r w:rsidRPr="00CA36AA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Гаагской</w:t>
      </w:r>
      <w:r w:rsidRPr="00CA36AA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системы международной регистрации промышленных образцов</w:t>
      </w:r>
    </w:p>
    <w:p w:rsidR="009A4689" w:rsidRPr="00EC3582" w:rsidRDefault="009A4689" w:rsidP="009A4689">
      <w:pPr>
        <w:spacing w:before="48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Седьмая сессия</w:t>
      </w:r>
    </w:p>
    <w:p w:rsidR="009A4689" w:rsidRPr="00EC3582" w:rsidRDefault="009A4689" w:rsidP="009A468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EC3582">
        <w:rPr>
          <w:b/>
          <w:sz w:val="24"/>
          <w:szCs w:val="24"/>
          <w:lang w:val="ru-RU"/>
        </w:rPr>
        <w:t xml:space="preserve">, 16 </w:t>
      </w:r>
      <w:r>
        <w:rPr>
          <w:b/>
          <w:sz w:val="24"/>
          <w:szCs w:val="24"/>
          <w:lang w:val="ru-RU"/>
        </w:rPr>
        <w:t>-</w:t>
      </w:r>
      <w:r w:rsidRPr="00EC3582">
        <w:rPr>
          <w:b/>
          <w:sz w:val="24"/>
          <w:szCs w:val="24"/>
          <w:lang w:val="ru-RU"/>
        </w:rPr>
        <w:t xml:space="preserve"> 18 </w:t>
      </w:r>
      <w:r>
        <w:rPr>
          <w:b/>
          <w:sz w:val="24"/>
          <w:szCs w:val="24"/>
          <w:lang w:val="ru-RU"/>
        </w:rPr>
        <w:t>июля</w:t>
      </w:r>
      <w:r w:rsidRPr="00EC3582">
        <w:rPr>
          <w:b/>
          <w:sz w:val="24"/>
          <w:szCs w:val="24"/>
          <w:lang w:val="ru-RU"/>
        </w:rPr>
        <w:t xml:space="preserve"> 2018</w:t>
      </w:r>
      <w:r>
        <w:rPr>
          <w:b/>
          <w:sz w:val="24"/>
          <w:szCs w:val="24"/>
          <w:lang w:val="ru-RU"/>
        </w:rPr>
        <w:t xml:space="preserve"> г.</w:t>
      </w:r>
    </w:p>
    <w:p w:rsidR="009A4689" w:rsidRPr="00ED2FDD" w:rsidRDefault="009A4689" w:rsidP="009A4689">
      <w:pPr>
        <w:spacing w:before="720"/>
        <w:rPr>
          <w:caps/>
          <w:sz w:val="24"/>
          <w:lang w:val="fr-CH"/>
        </w:rPr>
      </w:pPr>
      <w:bookmarkStart w:id="4" w:name="TitleOfDoc"/>
      <w:bookmarkEnd w:id="4"/>
      <w:r w:rsidRPr="00EC3582">
        <w:rPr>
          <w:sz w:val="24"/>
          <w:szCs w:val="24"/>
          <w:lang w:val="ru-RU"/>
        </w:rPr>
        <w:t>ВОПРОСЫ, КАСАЮЩИЕСЯ ОБЕСПЕЧЕНИЯ ОТКРЫТОГО ДОСТУПА К УВЕДОМЛЕНИЯМ ОБ ОТКАЗЕ</w:t>
      </w:r>
    </w:p>
    <w:p w:rsidR="009A4689" w:rsidRPr="00EC3582" w:rsidRDefault="009A4689" w:rsidP="009A4689">
      <w:pPr>
        <w:spacing w:before="240"/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 подготовлен Международным бюро</w:t>
      </w:r>
    </w:p>
    <w:p w:rsidR="009A4689" w:rsidRPr="00EC3582" w:rsidRDefault="009A4689" w:rsidP="009A4689">
      <w:pPr>
        <w:pStyle w:val="Heading1"/>
        <w:spacing w:before="960"/>
        <w:rPr>
          <w:lang w:val="ru-RU"/>
        </w:rPr>
      </w:pPr>
      <w:r w:rsidRPr="008E43AD">
        <w:t>I</w:t>
      </w:r>
      <w:r w:rsidRPr="00EC3582">
        <w:rPr>
          <w:lang w:val="ru-RU"/>
        </w:rPr>
        <w:t>.</w:t>
      </w:r>
      <w:r w:rsidRPr="00EC3582">
        <w:rPr>
          <w:lang w:val="ru-RU"/>
        </w:rPr>
        <w:tab/>
      </w:r>
      <w:r>
        <w:rPr>
          <w:lang w:val="ru-RU"/>
        </w:rPr>
        <w:t>история вопроса</w:t>
      </w:r>
    </w:p>
    <w:p w:rsidR="009A4689" w:rsidRPr="00ED2FDD" w:rsidRDefault="009A4689" w:rsidP="009A4689">
      <w:pPr>
        <w:pStyle w:val="Heading2"/>
        <w:rPr>
          <w:lang w:val="fr-CH"/>
        </w:rPr>
      </w:pPr>
      <w:r>
        <w:rPr>
          <w:lang w:val="ru-RU"/>
        </w:rPr>
        <w:t xml:space="preserve">Копии уведомлений в формате </w:t>
      </w:r>
      <w:r w:rsidRPr="000E072D">
        <w:t>pdf</w:t>
      </w:r>
      <w:r>
        <w:rPr>
          <w:lang w:val="ru-RU"/>
        </w:rPr>
        <w:t>, имеющиеся на веб-сайте воис</w:t>
      </w:r>
    </w:p>
    <w:p w:rsidR="009A4689" w:rsidRPr="00F17D66" w:rsidRDefault="009A4689" w:rsidP="009A4689">
      <w:pPr>
        <w:pStyle w:val="ONUME"/>
        <w:numPr>
          <w:ilvl w:val="0"/>
          <w:numId w:val="8"/>
        </w:numPr>
        <w:rPr>
          <w:lang w:val="ru-RU" w:eastAsia="en-US"/>
        </w:rPr>
      </w:pPr>
      <w:r>
        <w:rPr>
          <w:lang w:val="ru-RU" w:eastAsia="en-US"/>
        </w:rPr>
        <w:t>Статья</w:t>
      </w:r>
      <w:r w:rsidRPr="00D45EC7">
        <w:rPr>
          <w:lang w:val="ru-RU" w:eastAsia="en-US"/>
        </w:rPr>
        <w:t xml:space="preserve"> 14(2)(</w:t>
      </w:r>
      <w:r>
        <w:rPr>
          <w:lang w:eastAsia="en-US"/>
        </w:rPr>
        <w:t>c</w:t>
      </w:r>
      <w:r w:rsidRPr="00D45EC7">
        <w:rPr>
          <w:lang w:val="ru-RU" w:eastAsia="en-US"/>
        </w:rPr>
        <w:t xml:space="preserve">) </w:t>
      </w:r>
      <w:r>
        <w:rPr>
          <w:lang w:val="ru-RU" w:eastAsia="en-US"/>
        </w:rPr>
        <w:t>Женевского акта Гаагского соглашения</w:t>
      </w:r>
      <w:r w:rsidRPr="00D45EC7">
        <w:rPr>
          <w:lang w:val="ru-RU" w:eastAsia="en-US"/>
        </w:rPr>
        <w:t xml:space="preserve"> (1999</w:t>
      </w:r>
      <w:r>
        <w:rPr>
          <w:lang w:val="ru-RU" w:eastAsia="en-US"/>
        </w:rPr>
        <w:t xml:space="preserve"> г.</w:t>
      </w:r>
      <w:r w:rsidRPr="00D45EC7">
        <w:rPr>
          <w:lang w:val="ru-RU" w:eastAsia="en-US"/>
        </w:rPr>
        <w:t>)</w:t>
      </w:r>
      <w:r>
        <w:rPr>
          <w:lang w:eastAsia="en-US"/>
        </w:rPr>
        <w:t> </w:t>
      </w:r>
      <w:r w:rsidRPr="00D45EC7">
        <w:rPr>
          <w:lang w:val="ru-RU" w:eastAsia="en-US"/>
        </w:rPr>
        <w:t xml:space="preserve"> (</w:t>
      </w:r>
      <w:r>
        <w:rPr>
          <w:lang w:val="ru-RU" w:eastAsia="en-US"/>
        </w:rPr>
        <w:t>ниже именуемого «Акт 1999 г.»</w:t>
      </w:r>
      <w:r w:rsidRPr="00D45EC7">
        <w:rPr>
          <w:lang w:val="ru-RU" w:eastAsia="en-US"/>
        </w:rPr>
        <w:t xml:space="preserve">) </w:t>
      </w:r>
      <w:r>
        <w:rPr>
          <w:lang w:val="ru-RU" w:eastAsia="en-US"/>
        </w:rPr>
        <w:t>предусматривает</w:t>
      </w:r>
      <w:r w:rsidRPr="00D45EC7">
        <w:rPr>
          <w:lang w:val="ru-RU" w:eastAsia="en-US"/>
        </w:rPr>
        <w:t xml:space="preserve">, </w:t>
      </w:r>
      <w:r>
        <w:rPr>
          <w:lang w:val="ru-RU" w:eastAsia="en-US"/>
        </w:rPr>
        <w:t>что</w:t>
      </w:r>
      <w:r w:rsidRPr="00D45EC7">
        <w:rPr>
          <w:lang w:val="ru-RU" w:eastAsia="en-US"/>
        </w:rPr>
        <w:t xml:space="preserve"> </w:t>
      </w:r>
      <w:r>
        <w:rPr>
          <w:lang w:val="ru-RU" w:eastAsia="en-US"/>
        </w:rPr>
        <w:t>действие</w:t>
      </w:r>
      <w:r w:rsidRPr="00D45EC7">
        <w:rPr>
          <w:lang w:val="ru-RU" w:eastAsia="en-US"/>
        </w:rPr>
        <w:t xml:space="preserve">, </w:t>
      </w:r>
      <w:r>
        <w:rPr>
          <w:lang w:val="ru-RU" w:eastAsia="en-US"/>
        </w:rPr>
        <w:t>которое</w:t>
      </w:r>
      <w:r w:rsidRPr="00D45EC7">
        <w:rPr>
          <w:lang w:val="ru-RU" w:eastAsia="en-US"/>
        </w:rPr>
        <w:t xml:space="preserve"> </w:t>
      </w:r>
      <w:r>
        <w:rPr>
          <w:lang w:val="ru-RU" w:eastAsia="en-US"/>
        </w:rPr>
        <w:t>имеет</w:t>
      </w:r>
      <w:r w:rsidRPr="00D45EC7">
        <w:rPr>
          <w:lang w:val="ru-RU" w:eastAsia="en-US"/>
        </w:rPr>
        <w:t xml:space="preserve"> </w:t>
      </w:r>
      <w:r>
        <w:rPr>
          <w:lang w:val="ru-RU" w:eastAsia="en-US"/>
        </w:rPr>
        <w:t>международная</w:t>
      </w:r>
      <w:r w:rsidRPr="00D45EC7">
        <w:rPr>
          <w:lang w:val="ru-RU" w:eastAsia="en-US"/>
        </w:rPr>
        <w:t xml:space="preserve"> </w:t>
      </w:r>
      <w:r>
        <w:rPr>
          <w:lang w:val="ru-RU" w:eastAsia="en-US"/>
        </w:rPr>
        <w:t>регистрация</w:t>
      </w:r>
      <w:r w:rsidRPr="00D45EC7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D45EC7">
        <w:rPr>
          <w:lang w:val="ru-RU" w:eastAsia="en-US"/>
        </w:rPr>
        <w:t xml:space="preserve"> </w:t>
      </w:r>
      <w:r>
        <w:rPr>
          <w:lang w:val="ru-RU" w:eastAsia="en-US"/>
        </w:rPr>
        <w:t>соответствии</w:t>
      </w:r>
      <w:r w:rsidRPr="00D45EC7">
        <w:rPr>
          <w:lang w:val="ru-RU" w:eastAsia="en-US"/>
        </w:rPr>
        <w:t xml:space="preserve"> </w:t>
      </w:r>
      <w:r>
        <w:rPr>
          <w:lang w:val="ru-RU" w:eastAsia="en-US"/>
        </w:rPr>
        <w:t>со</w:t>
      </w:r>
      <w:r w:rsidRPr="00D45EC7">
        <w:rPr>
          <w:lang w:val="ru-RU" w:eastAsia="en-US"/>
        </w:rPr>
        <w:t xml:space="preserve"> </w:t>
      </w:r>
      <w:r>
        <w:rPr>
          <w:lang w:val="ru-RU" w:eastAsia="en-US"/>
        </w:rPr>
        <w:t>статьей</w:t>
      </w:r>
      <w:r>
        <w:rPr>
          <w:lang w:eastAsia="en-US"/>
        </w:rPr>
        <w:t> </w:t>
      </w:r>
      <w:r w:rsidRPr="00D45EC7">
        <w:rPr>
          <w:lang w:val="ru-RU" w:eastAsia="en-US"/>
        </w:rPr>
        <w:t>14(1), (2)(</w:t>
      </w:r>
      <w:r>
        <w:rPr>
          <w:lang w:eastAsia="en-US"/>
        </w:rPr>
        <w:t>a</w:t>
      </w:r>
      <w:r w:rsidRPr="00D45EC7">
        <w:rPr>
          <w:lang w:val="ru-RU" w:eastAsia="en-US"/>
        </w:rPr>
        <w:t xml:space="preserve">) </w:t>
      </w:r>
      <w:r>
        <w:rPr>
          <w:lang w:val="ru-RU" w:eastAsia="en-US"/>
        </w:rPr>
        <w:t>и</w:t>
      </w:r>
      <w:r>
        <w:rPr>
          <w:lang w:eastAsia="en-US"/>
        </w:rPr>
        <w:t> </w:t>
      </w:r>
      <w:r w:rsidRPr="00D45EC7">
        <w:rPr>
          <w:lang w:val="ru-RU" w:eastAsia="en-US"/>
        </w:rPr>
        <w:t>(</w:t>
      </w:r>
      <w:r>
        <w:rPr>
          <w:lang w:eastAsia="en-US"/>
        </w:rPr>
        <w:t>b</w:t>
      </w:r>
      <w:r w:rsidRPr="00D45EC7">
        <w:rPr>
          <w:lang w:val="ru-RU" w:eastAsia="en-US"/>
        </w:rPr>
        <w:t xml:space="preserve">), </w:t>
      </w:r>
      <w:r>
        <w:rPr>
          <w:lang w:val="ru-RU" w:eastAsia="en-US"/>
        </w:rPr>
        <w:t>распространяется</w:t>
      </w:r>
      <w:r w:rsidRPr="00D45EC7">
        <w:rPr>
          <w:lang w:val="ru-RU" w:eastAsia="en-US"/>
        </w:rPr>
        <w:t xml:space="preserve"> </w:t>
      </w:r>
      <w:r>
        <w:rPr>
          <w:lang w:val="ru-RU" w:eastAsia="en-US"/>
        </w:rPr>
        <w:t>на</w:t>
      </w:r>
      <w:r w:rsidRPr="00D45EC7">
        <w:rPr>
          <w:lang w:val="ru-RU" w:eastAsia="en-US"/>
        </w:rPr>
        <w:t xml:space="preserve"> </w:t>
      </w:r>
      <w:r>
        <w:rPr>
          <w:lang w:val="ru-RU" w:eastAsia="en-US"/>
        </w:rPr>
        <w:t>промышленные</w:t>
      </w:r>
      <w:r w:rsidRPr="00D45EC7">
        <w:rPr>
          <w:lang w:val="ru-RU" w:eastAsia="en-US"/>
        </w:rPr>
        <w:t xml:space="preserve"> </w:t>
      </w:r>
      <w:r>
        <w:rPr>
          <w:lang w:val="ru-RU" w:eastAsia="en-US"/>
        </w:rPr>
        <w:t>образцы</w:t>
      </w:r>
      <w:r w:rsidRPr="00D45EC7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D45EC7">
        <w:rPr>
          <w:lang w:val="ru-RU" w:eastAsia="en-US"/>
        </w:rPr>
        <w:t xml:space="preserve"> </w:t>
      </w:r>
      <w:r>
        <w:rPr>
          <w:lang w:val="ru-RU" w:eastAsia="en-US"/>
        </w:rPr>
        <w:t>том</w:t>
      </w:r>
      <w:r w:rsidRPr="00D45EC7">
        <w:rPr>
          <w:lang w:val="ru-RU" w:eastAsia="en-US"/>
        </w:rPr>
        <w:t xml:space="preserve"> </w:t>
      </w:r>
      <w:r>
        <w:rPr>
          <w:lang w:val="ru-RU" w:eastAsia="en-US"/>
        </w:rPr>
        <w:t>виде</w:t>
      </w:r>
      <w:r w:rsidRPr="00D45EC7">
        <w:rPr>
          <w:lang w:val="ru-RU" w:eastAsia="en-US"/>
        </w:rPr>
        <w:t xml:space="preserve">, </w:t>
      </w:r>
      <w:r>
        <w:rPr>
          <w:lang w:val="ru-RU" w:eastAsia="en-US"/>
        </w:rPr>
        <w:t>в</w:t>
      </w:r>
      <w:r w:rsidRPr="00D45EC7">
        <w:rPr>
          <w:lang w:val="ru-RU" w:eastAsia="en-US"/>
        </w:rPr>
        <w:t xml:space="preserve"> </w:t>
      </w:r>
      <w:r>
        <w:rPr>
          <w:lang w:val="ru-RU" w:eastAsia="en-US"/>
        </w:rPr>
        <w:t>каком</w:t>
      </w:r>
      <w:r w:rsidRPr="00D45EC7">
        <w:rPr>
          <w:lang w:val="ru-RU" w:eastAsia="en-US"/>
        </w:rPr>
        <w:t xml:space="preserve"> </w:t>
      </w:r>
      <w:r>
        <w:rPr>
          <w:lang w:val="ru-RU" w:eastAsia="en-US"/>
        </w:rPr>
        <w:t>они</w:t>
      </w:r>
      <w:r w:rsidRPr="00D45EC7">
        <w:rPr>
          <w:lang w:val="ru-RU" w:eastAsia="en-US"/>
        </w:rPr>
        <w:t xml:space="preserve"> </w:t>
      </w:r>
      <w:r>
        <w:rPr>
          <w:lang w:val="ru-RU" w:eastAsia="en-US"/>
        </w:rPr>
        <w:t>получены</w:t>
      </w:r>
      <w:r w:rsidRPr="00D45EC7">
        <w:rPr>
          <w:lang w:val="ru-RU" w:eastAsia="en-US"/>
        </w:rPr>
        <w:t xml:space="preserve"> </w:t>
      </w:r>
      <w:r>
        <w:rPr>
          <w:lang w:val="ru-RU" w:eastAsia="en-US"/>
        </w:rPr>
        <w:t>от</w:t>
      </w:r>
      <w:r w:rsidRPr="00D45EC7">
        <w:rPr>
          <w:lang w:val="ru-RU" w:eastAsia="en-US"/>
        </w:rPr>
        <w:t xml:space="preserve"> </w:t>
      </w:r>
      <w:r>
        <w:rPr>
          <w:lang w:val="ru-RU" w:eastAsia="en-US"/>
        </w:rPr>
        <w:t>Международного</w:t>
      </w:r>
      <w:r w:rsidRPr="00D45EC7">
        <w:rPr>
          <w:lang w:val="ru-RU" w:eastAsia="en-US"/>
        </w:rPr>
        <w:t xml:space="preserve"> </w:t>
      </w:r>
      <w:r>
        <w:rPr>
          <w:lang w:val="ru-RU" w:eastAsia="en-US"/>
        </w:rPr>
        <w:t>бюро</w:t>
      </w:r>
      <w:r w:rsidRPr="00D45EC7">
        <w:rPr>
          <w:lang w:val="ru-RU" w:eastAsia="en-US"/>
        </w:rPr>
        <w:t xml:space="preserve"> </w:t>
      </w:r>
      <w:r>
        <w:rPr>
          <w:lang w:val="ru-RU" w:eastAsia="en-US"/>
        </w:rPr>
        <w:t>Ведомством</w:t>
      </w:r>
      <w:r w:rsidRPr="00D45EC7">
        <w:rPr>
          <w:lang w:val="ru-RU" w:eastAsia="en-US"/>
        </w:rPr>
        <w:t xml:space="preserve"> </w:t>
      </w:r>
      <w:r>
        <w:rPr>
          <w:lang w:val="ru-RU" w:eastAsia="en-US"/>
        </w:rPr>
        <w:t>указанной</w:t>
      </w:r>
      <w:r w:rsidRPr="00D45EC7">
        <w:rPr>
          <w:lang w:val="ru-RU" w:eastAsia="en-US"/>
        </w:rPr>
        <w:t xml:space="preserve"> </w:t>
      </w:r>
      <w:r>
        <w:rPr>
          <w:lang w:val="ru-RU" w:eastAsia="en-US"/>
        </w:rPr>
        <w:t>Договаривающейся</w:t>
      </w:r>
      <w:r w:rsidRPr="00D45EC7">
        <w:rPr>
          <w:lang w:val="ru-RU" w:eastAsia="en-US"/>
        </w:rPr>
        <w:t xml:space="preserve"> </w:t>
      </w:r>
      <w:r>
        <w:rPr>
          <w:lang w:val="ru-RU" w:eastAsia="en-US"/>
        </w:rPr>
        <w:t>стороны</w:t>
      </w:r>
      <w:r w:rsidRPr="00D45EC7">
        <w:rPr>
          <w:lang w:val="ru-RU" w:eastAsia="en-US"/>
        </w:rPr>
        <w:t xml:space="preserve">  </w:t>
      </w:r>
      <w:r>
        <w:rPr>
          <w:lang w:val="ru-RU" w:eastAsia="en-US"/>
        </w:rPr>
        <w:t>или</w:t>
      </w:r>
      <w:r w:rsidRPr="00D45EC7">
        <w:rPr>
          <w:lang w:val="ru-RU" w:eastAsia="en-US"/>
        </w:rPr>
        <w:t xml:space="preserve">, </w:t>
      </w:r>
      <w:r>
        <w:rPr>
          <w:lang w:val="ru-RU" w:eastAsia="en-US"/>
        </w:rPr>
        <w:t>где это применимо</w:t>
      </w:r>
      <w:r w:rsidRPr="00D45EC7">
        <w:rPr>
          <w:lang w:val="ru-RU" w:eastAsia="en-US"/>
        </w:rPr>
        <w:t xml:space="preserve">, </w:t>
      </w:r>
      <w:r>
        <w:rPr>
          <w:lang w:val="ru-RU" w:eastAsia="en-US"/>
        </w:rPr>
        <w:t>«с учетом поправок, внесенных согласно применяемой этим Ведомством процедуре»</w:t>
      </w:r>
      <w:r w:rsidRPr="00D45EC7">
        <w:rPr>
          <w:lang w:val="ru-RU" w:eastAsia="en-US"/>
        </w:rPr>
        <w:t xml:space="preserve">.  </w:t>
      </w:r>
      <w:r>
        <w:rPr>
          <w:lang w:val="ru-RU" w:eastAsia="en-US"/>
        </w:rPr>
        <w:t>С учетом этого положения Ассамблея Гаагского союза</w:t>
      </w:r>
      <w:r w:rsidRPr="00F17D66">
        <w:rPr>
          <w:lang w:val="ru-RU" w:eastAsia="en-US"/>
        </w:rPr>
        <w:t xml:space="preserve">, </w:t>
      </w:r>
      <w:r>
        <w:rPr>
          <w:lang w:val="ru-RU" w:eastAsia="en-US"/>
        </w:rPr>
        <w:t>собравшись на свою</w:t>
      </w:r>
      <w:r w:rsidRPr="00F17D66">
        <w:rPr>
          <w:lang w:val="ru-RU" w:eastAsia="en-US"/>
        </w:rPr>
        <w:t xml:space="preserve"> </w:t>
      </w:r>
      <w:r>
        <w:rPr>
          <w:lang w:val="ru-RU" w:eastAsia="en-US"/>
        </w:rPr>
        <w:t>тридцать четвертую</w:t>
      </w:r>
      <w:r w:rsidRPr="00F17D66">
        <w:rPr>
          <w:lang w:val="ru-RU" w:eastAsia="en-US"/>
        </w:rPr>
        <w:t xml:space="preserve"> (15</w:t>
      </w:r>
      <w:r>
        <w:rPr>
          <w:lang w:val="ru-RU" w:eastAsia="en-US"/>
        </w:rPr>
        <w:t>-ю</w:t>
      </w:r>
      <w:r>
        <w:rPr>
          <w:lang w:eastAsia="en-US"/>
        </w:rPr>
        <w:t> </w:t>
      </w:r>
      <w:r>
        <w:rPr>
          <w:lang w:val="ru-RU" w:eastAsia="en-US"/>
        </w:rPr>
        <w:t>внеочередную</w:t>
      </w:r>
      <w:r w:rsidRPr="00F17D66">
        <w:rPr>
          <w:lang w:val="ru-RU" w:eastAsia="en-US"/>
        </w:rPr>
        <w:t xml:space="preserve">) </w:t>
      </w:r>
      <w:r>
        <w:rPr>
          <w:lang w:val="ru-RU" w:eastAsia="en-US"/>
        </w:rPr>
        <w:t xml:space="preserve">сессию, состоявшуюся в сентябре </w:t>
      </w:r>
      <w:r w:rsidRPr="00F17D66">
        <w:rPr>
          <w:lang w:val="ru-RU" w:eastAsia="en-US"/>
        </w:rPr>
        <w:t>2014</w:t>
      </w:r>
      <w:r>
        <w:rPr>
          <w:lang w:val="ru-RU" w:eastAsia="en-US"/>
        </w:rPr>
        <w:t xml:space="preserve"> г.</w:t>
      </w:r>
      <w:r w:rsidRPr="00F17D66">
        <w:rPr>
          <w:lang w:val="ru-RU" w:eastAsia="en-US"/>
        </w:rPr>
        <w:t xml:space="preserve">, </w:t>
      </w:r>
      <w:r>
        <w:rPr>
          <w:lang w:val="ru-RU" w:eastAsia="en-US"/>
        </w:rPr>
        <w:t>приняла поправки к</w:t>
      </w:r>
      <w:r w:rsidRPr="00F17D66">
        <w:rPr>
          <w:lang w:val="ru-RU" w:eastAsia="en-US"/>
        </w:rPr>
        <w:t xml:space="preserve"> </w:t>
      </w:r>
      <w:r>
        <w:rPr>
          <w:lang w:val="ru-RU" w:eastAsia="en-US"/>
        </w:rPr>
        <w:t>правилам</w:t>
      </w:r>
      <w:r>
        <w:rPr>
          <w:lang w:eastAsia="en-US"/>
        </w:rPr>
        <w:t> </w:t>
      </w:r>
      <w:r w:rsidRPr="00F17D66">
        <w:rPr>
          <w:lang w:val="ru-RU" w:eastAsia="en-US"/>
        </w:rPr>
        <w:t>18(4), 18</w:t>
      </w:r>
      <w:r w:rsidRPr="009A15B1">
        <w:rPr>
          <w:i/>
          <w:lang w:eastAsia="en-US"/>
        </w:rPr>
        <w:t>bis</w:t>
      </w:r>
      <w:r w:rsidRPr="00F17D66">
        <w:rPr>
          <w:lang w:val="ru-RU" w:eastAsia="en-US"/>
        </w:rPr>
        <w:t xml:space="preserve">(1) </w:t>
      </w:r>
      <w:r>
        <w:rPr>
          <w:lang w:val="ru-RU" w:eastAsia="en-US"/>
        </w:rPr>
        <w:t>и</w:t>
      </w:r>
      <w:r>
        <w:rPr>
          <w:lang w:eastAsia="en-US"/>
        </w:rPr>
        <w:t> </w:t>
      </w:r>
      <w:r w:rsidRPr="00F17D66">
        <w:rPr>
          <w:lang w:val="ru-RU" w:eastAsia="en-US"/>
        </w:rPr>
        <w:t xml:space="preserve">(2) </w:t>
      </w:r>
      <w:r>
        <w:rPr>
          <w:lang w:val="ru-RU" w:eastAsia="en-US"/>
        </w:rPr>
        <w:t>Общей</w:t>
      </w:r>
      <w:r w:rsidRPr="00F17D66">
        <w:rPr>
          <w:lang w:val="ru-RU" w:eastAsia="en-US"/>
        </w:rPr>
        <w:t xml:space="preserve"> </w:t>
      </w:r>
      <w:r>
        <w:rPr>
          <w:lang w:val="ru-RU" w:eastAsia="en-US"/>
        </w:rPr>
        <w:t>инструкции</w:t>
      </w:r>
      <w:r w:rsidRPr="00F17D66">
        <w:rPr>
          <w:lang w:val="ru-RU" w:eastAsia="en-US"/>
        </w:rPr>
        <w:t xml:space="preserve"> </w:t>
      </w:r>
      <w:r>
        <w:rPr>
          <w:lang w:val="ru-RU" w:eastAsia="en-US"/>
        </w:rPr>
        <w:t>к</w:t>
      </w:r>
      <w:r w:rsidRPr="00F17D66">
        <w:rPr>
          <w:lang w:val="ru-RU" w:eastAsia="en-US"/>
        </w:rPr>
        <w:t xml:space="preserve"> </w:t>
      </w:r>
      <w:r>
        <w:rPr>
          <w:lang w:val="ru-RU" w:eastAsia="en-US"/>
        </w:rPr>
        <w:t>Акту</w:t>
      </w:r>
      <w:r w:rsidRPr="00F17D66">
        <w:rPr>
          <w:lang w:val="ru-RU" w:eastAsia="en-US"/>
        </w:rPr>
        <w:t xml:space="preserve"> 1999 </w:t>
      </w:r>
      <w:r>
        <w:rPr>
          <w:lang w:val="ru-RU" w:eastAsia="en-US"/>
        </w:rPr>
        <w:t>г</w:t>
      </w:r>
      <w:r w:rsidRPr="00F17D66">
        <w:rPr>
          <w:lang w:val="ru-RU" w:eastAsia="en-US"/>
        </w:rPr>
        <w:t xml:space="preserve">. </w:t>
      </w:r>
      <w:r>
        <w:rPr>
          <w:lang w:val="ru-RU" w:eastAsia="en-US"/>
        </w:rPr>
        <w:t>и</w:t>
      </w:r>
      <w:r w:rsidRPr="00F17D66">
        <w:rPr>
          <w:lang w:val="ru-RU" w:eastAsia="en-US"/>
        </w:rPr>
        <w:t xml:space="preserve"> </w:t>
      </w:r>
      <w:r>
        <w:rPr>
          <w:lang w:val="ru-RU" w:eastAsia="en-US"/>
        </w:rPr>
        <w:t>Акту</w:t>
      </w:r>
      <w:r w:rsidRPr="00F17D66">
        <w:rPr>
          <w:lang w:val="ru-RU" w:eastAsia="en-US"/>
        </w:rPr>
        <w:t xml:space="preserve"> 1960 </w:t>
      </w:r>
      <w:r>
        <w:rPr>
          <w:lang w:val="ru-RU" w:eastAsia="en-US"/>
        </w:rPr>
        <w:t>г</w:t>
      </w:r>
      <w:r w:rsidRPr="00F17D66">
        <w:rPr>
          <w:lang w:val="ru-RU" w:eastAsia="en-US"/>
        </w:rPr>
        <w:t xml:space="preserve">. </w:t>
      </w:r>
      <w:r>
        <w:rPr>
          <w:lang w:val="ru-RU" w:eastAsia="en-US"/>
        </w:rPr>
        <w:t>Гаагского</w:t>
      </w:r>
      <w:r w:rsidRPr="00F17D66">
        <w:rPr>
          <w:lang w:val="ru-RU" w:eastAsia="en-US"/>
        </w:rPr>
        <w:t xml:space="preserve"> </w:t>
      </w:r>
      <w:r>
        <w:rPr>
          <w:lang w:val="ru-RU" w:eastAsia="en-US"/>
        </w:rPr>
        <w:t>соглашения</w:t>
      </w:r>
      <w:r w:rsidRPr="00F17D66">
        <w:rPr>
          <w:lang w:val="ru-RU" w:eastAsia="en-US"/>
        </w:rPr>
        <w:t xml:space="preserve"> (</w:t>
      </w:r>
      <w:r>
        <w:rPr>
          <w:lang w:val="ru-RU" w:eastAsia="en-US"/>
        </w:rPr>
        <w:t>ниже</w:t>
      </w:r>
      <w:r w:rsidRPr="00F17D66">
        <w:rPr>
          <w:lang w:val="ru-RU" w:eastAsia="en-US"/>
        </w:rPr>
        <w:t xml:space="preserve"> </w:t>
      </w:r>
      <w:r>
        <w:rPr>
          <w:lang w:val="ru-RU" w:eastAsia="en-US"/>
        </w:rPr>
        <w:t>именуемой</w:t>
      </w:r>
      <w:r w:rsidRPr="00F17D66">
        <w:rPr>
          <w:lang w:val="ru-RU" w:eastAsia="en-US"/>
        </w:rPr>
        <w:t xml:space="preserve"> «</w:t>
      </w:r>
      <w:r>
        <w:rPr>
          <w:lang w:val="ru-RU" w:eastAsia="en-US"/>
        </w:rPr>
        <w:t>Общая</w:t>
      </w:r>
      <w:r w:rsidRPr="00F17D66">
        <w:rPr>
          <w:lang w:val="ru-RU" w:eastAsia="en-US"/>
        </w:rPr>
        <w:t xml:space="preserve"> </w:t>
      </w:r>
      <w:r>
        <w:rPr>
          <w:lang w:val="ru-RU" w:eastAsia="en-US"/>
        </w:rPr>
        <w:t>инструкция</w:t>
      </w:r>
      <w:r w:rsidRPr="00F17D66">
        <w:rPr>
          <w:lang w:val="ru-RU" w:eastAsia="en-US"/>
        </w:rPr>
        <w:t>»)</w:t>
      </w:r>
      <w:r w:rsidRPr="00273D23">
        <w:rPr>
          <w:rStyle w:val="FootnoteReference"/>
          <w:lang w:eastAsia="en-US"/>
        </w:rPr>
        <w:footnoteReference w:id="1"/>
      </w:r>
      <w:r w:rsidRPr="00F17D66">
        <w:rPr>
          <w:lang w:val="ru-RU" w:eastAsia="en-US"/>
        </w:rPr>
        <w:t>.</w:t>
      </w:r>
    </w:p>
    <w:p w:rsidR="009A4689" w:rsidRPr="005D173E" w:rsidRDefault="009A4689" w:rsidP="009A4689">
      <w:pPr>
        <w:pStyle w:val="ONUME"/>
        <w:numPr>
          <w:ilvl w:val="0"/>
          <w:numId w:val="8"/>
        </w:numPr>
        <w:rPr>
          <w:lang w:val="ru-RU" w:eastAsia="en-US"/>
        </w:rPr>
      </w:pPr>
      <w:r>
        <w:rPr>
          <w:lang w:val="ru-RU" w:eastAsia="en-US"/>
        </w:rPr>
        <w:t>Принятые</w:t>
      </w:r>
      <w:r w:rsidRPr="00982566">
        <w:rPr>
          <w:lang w:val="ru-RU" w:eastAsia="en-US"/>
        </w:rPr>
        <w:t xml:space="preserve"> </w:t>
      </w:r>
      <w:r>
        <w:rPr>
          <w:lang w:val="ru-RU" w:eastAsia="en-US"/>
        </w:rPr>
        <w:t>поправки</w:t>
      </w:r>
      <w:r w:rsidRPr="00982566">
        <w:rPr>
          <w:lang w:val="ru-RU" w:eastAsia="en-US"/>
        </w:rPr>
        <w:t xml:space="preserve"> </w:t>
      </w:r>
      <w:r>
        <w:rPr>
          <w:lang w:val="ru-RU" w:eastAsia="en-US"/>
        </w:rPr>
        <w:t>внедрили механизм для обеспечения того, чтобы любое изменение, внесенное в промышленный образец в соответствии с процедурой в Ведомстве указанной Договаривающейся стороны, сообщалось в Международное бюро</w:t>
      </w:r>
      <w:r w:rsidRPr="00982566">
        <w:rPr>
          <w:lang w:val="ru-RU" w:eastAsia="en-US"/>
        </w:rPr>
        <w:t xml:space="preserve"> </w:t>
      </w:r>
      <w:r>
        <w:rPr>
          <w:lang w:val="ru-RU" w:eastAsia="en-US"/>
        </w:rPr>
        <w:t>посредством</w:t>
      </w:r>
      <w:r w:rsidRPr="00982566">
        <w:rPr>
          <w:lang w:val="ru-RU" w:eastAsia="en-US"/>
        </w:rPr>
        <w:t xml:space="preserve"> </w:t>
      </w:r>
      <w:r>
        <w:rPr>
          <w:lang w:val="ru-RU" w:eastAsia="en-US"/>
        </w:rPr>
        <w:t>заявления</w:t>
      </w:r>
      <w:r w:rsidRPr="00982566">
        <w:rPr>
          <w:lang w:val="ru-RU" w:eastAsia="en-US"/>
        </w:rPr>
        <w:t xml:space="preserve"> </w:t>
      </w:r>
      <w:r>
        <w:rPr>
          <w:lang w:val="ru-RU" w:eastAsia="en-US"/>
        </w:rPr>
        <w:t>о</w:t>
      </w:r>
      <w:r w:rsidRPr="00982566">
        <w:rPr>
          <w:lang w:val="ru-RU" w:eastAsia="en-US"/>
        </w:rPr>
        <w:t xml:space="preserve"> </w:t>
      </w:r>
      <w:r>
        <w:rPr>
          <w:lang w:val="ru-RU" w:eastAsia="en-US"/>
        </w:rPr>
        <w:t>предоставлении</w:t>
      </w:r>
      <w:r w:rsidRPr="00982566">
        <w:rPr>
          <w:lang w:val="ru-RU" w:eastAsia="en-US"/>
        </w:rPr>
        <w:t xml:space="preserve"> </w:t>
      </w:r>
      <w:r>
        <w:rPr>
          <w:lang w:val="ru-RU" w:eastAsia="en-US"/>
        </w:rPr>
        <w:t>охраны</w:t>
      </w:r>
      <w:r w:rsidRPr="00982566">
        <w:rPr>
          <w:lang w:val="ru-RU" w:eastAsia="en-US"/>
        </w:rPr>
        <w:t xml:space="preserve"> </w:t>
      </w:r>
      <w:r>
        <w:rPr>
          <w:lang w:val="ru-RU" w:eastAsia="en-US"/>
        </w:rPr>
        <w:t>согласно</w:t>
      </w:r>
      <w:r w:rsidRPr="00982566">
        <w:rPr>
          <w:lang w:val="ru-RU" w:eastAsia="en-US"/>
        </w:rPr>
        <w:t xml:space="preserve"> </w:t>
      </w:r>
      <w:r>
        <w:rPr>
          <w:lang w:val="ru-RU" w:eastAsia="en-US"/>
        </w:rPr>
        <w:t>правилу</w:t>
      </w:r>
      <w:r>
        <w:rPr>
          <w:lang w:eastAsia="en-US"/>
        </w:rPr>
        <w:t> </w:t>
      </w:r>
      <w:r w:rsidRPr="00982566">
        <w:rPr>
          <w:lang w:val="ru-RU" w:eastAsia="en-US"/>
        </w:rPr>
        <w:t>18</w:t>
      </w:r>
      <w:r w:rsidRPr="005F0343">
        <w:rPr>
          <w:i/>
          <w:lang w:eastAsia="en-US"/>
        </w:rPr>
        <w:t>bis</w:t>
      </w:r>
      <w:r w:rsidRPr="00982566">
        <w:rPr>
          <w:lang w:val="ru-RU" w:eastAsia="en-US"/>
        </w:rPr>
        <w:t xml:space="preserve">(1) </w:t>
      </w:r>
      <w:r>
        <w:rPr>
          <w:lang w:val="ru-RU" w:eastAsia="en-US"/>
        </w:rPr>
        <w:t>или</w:t>
      </w:r>
      <w:r>
        <w:rPr>
          <w:lang w:eastAsia="en-US"/>
        </w:rPr>
        <w:t> </w:t>
      </w:r>
      <w:r w:rsidRPr="00982566">
        <w:rPr>
          <w:lang w:val="ru-RU" w:eastAsia="en-US"/>
        </w:rPr>
        <w:t xml:space="preserve">(2) </w:t>
      </w:r>
      <w:r>
        <w:rPr>
          <w:lang w:val="ru-RU" w:eastAsia="en-US"/>
        </w:rPr>
        <w:t>либо</w:t>
      </w:r>
      <w:r w:rsidRPr="00982566">
        <w:rPr>
          <w:lang w:val="ru-RU" w:eastAsia="en-US"/>
        </w:rPr>
        <w:t xml:space="preserve"> </w:t>
      </w:r>
      <w:r>
        <w:rPr>
          <w:lang w:val="ru-RU" w:eastAsia="en-US"/>
        </w:rPr>
        <w:t>уведомления</w:t>
      </w:r>
      <w:r w:rsidRPr="00982566">
        <w:rPr>
          <w:lang w:val="ru-RU" w:eastAsia="en-US"/>
        </w:rPr>
        <w:t xml:space="preserve"> </w:t>
      </w:r>
      <w:r>
        <w:rPr>
          <w:lang w:val="ru-RU" w:eastAsia="en-US"/>
        </w:rPr>
        <w:t>об</w:t>
      </w:r>
      <w:r w:rsidRPr="00982566">
        <w:rPr>
          <w:lang w:val="ru-RU" w:eastAsia="en-US"/>
        </w:rPr>
        <w:t xml:space="preserve"> </w:t>
      </w:r>
      <w:r>
        <w:rPr>
          <w:lang w:val="ru-RU" w:eastAsia="en-US"/>
        </w:rPr>
        <w:t>отзыве</w:t>
      </w:r>
      <w:r w:rsidRPr="00982566">
        <w:rPr>
          <w:lang w:val="ru-RU" w:eastAsia="en-US"/>
        </w:rPr>
        <w:t xml:space="preserve"> </w:t>
      </w:r>
      <w:r>
        <w:rPr>
          <w:lang w:val="ru-RU" w:eastAsia="en-US"/>
        </w:rPr>
        <w:t>отказа</w:t>
      </w:r>
      <w:r w:rsidRPr="00982566">
        <w:rPr>
          <w:lang w:val="ru-RU" w:eastAsia="en-US"/>
        </w:rPr>
        <w:t xml:space="preserve"> </w:t>
      </w:r>
      <w:r>
        <w:rPr>
          <w:lang w:val="ru-RU" w:eastAsia="en-US"/>
        </w:rPr>
        <w:t>согласно</w:t>
      </w:r>
      <w:r w:rsidRPr="00982566">
        <w:rPr>
          <w:lang w:val="ru-RU" w:eastAsia="en-US"/>
        </w:rPr>
        <w:t xml:space="preserve"> </w:t>
      </w:r>
      <w:r>
        <w:rPr>
          <w:lang w:val="ru-RU" w:eastAsia="en-US"/>
        </w:rPr>
        <w:t>правилу</w:t>
      </w:r>
      <w:r>
        <w:rPr>
          <w:lang w:eastAsia="en-US"/>
        </w:rPr>
        <w:t> </w:t>
      </w:r>
      <w:r w:rsidRPr="00982566">
        <w:rPr>
          <w:lang w:val="ru-RU" w:eastAsia="en-US"/>
        </w:rPr>
        <w:t xml:space="preserve">18(4).  </w:t>
      </w:r>
      <w:r>
        <w:rPr>
          <w:lang w:val="ru-RU" w:eastAsia="en-US"/>
        </w:rPr>
        <w:t>В</w:t>
      </w:r>
      <w:r w:rsidRPr="005D173E">
        <w:rPr>
          <w:lang w:val="ru-RU" w:eastAsia="en-US"/>
        </w:rPr>
        <w:t xml:space="preserve"> </w:t>
      </w:r>
      <w:r>
        <w:rPr>
          <w:lang w:val="ru-RU" w:eastAsia="en-US"/>
        </w:rPr>
        <w:t>соответствии</w:t>
      </w:r>
      <w:r w:rsidRPr="005D173E">
        <w:rPr>
          <w:lang w:val="ru-RU" w:eastAsia="en-US"/>
        </w:rPr>
        <w:t xml:space="preserve"> </w:t>
      </w:r>
      <w:r>
        <w:rPr>
          <w:lang w:val="ru-RU" w:eastAsia="en-US"/>
        </w:rPr>
        <w:t>с</w:t>
      </w:r>
      <w:r w:rsidRPr="005D173E">
        <w:rPr>
          <w:lang w:val="ru-RU" w:eastAsia="en-US"/>
        </w:rPr>
        <w:t xml:space="preserve"> </w:t>
      </w:r>
      <w:r>
        <w:rPr>
          <w:lang w:val="ru-RU" w:eastAsia="en-US"/>
        </w:rPr>
        <w:t>правилами</w:t>
      </w:r>
      <w:r>
        <w:rPr>
          <w:lang w:eastAsia="en-US"/>
        </w:rPr>
        <w:t> </w:t>
      </w:r>
      <w:r w:rsidRPr="005D173E">
        <w:rPr>
          <w:lang w:val="ru-RU" w:eastAsia="en-US"/>
        </w:rPr>
        <w:t>18(5), 18</w:t>
      </w:r>
      <w:r w:rsidRPr="005F0343">
        <w:rPr>
          <w:i/>
          <w:lang w:eastAsia="en-US"/>
        </w:rPr>
        <w:t>bis</w:t>
      </w:r>
      <w:r w:rsidRPr="005D173E">
        <w:rPr>
          <w:lang w:val="ru-RU" w:eastAsia="en-US"/>
        </w:rPr>
        <w:t xml:space="preserve">(3) </w:t>
      </w:r>
      <w:r>
        <w:rPr>
          <w:lang w:val="ru-RU" w:eastAsia="en-US"/>
        </w:rPr>
        <w:t>и</w:t>
      </w:r>
      <w:r>
        <w:rPr>
          <w:lang w:eastAsia="en-US"/>
        </w:rPr>
        <w:t> </w:t>
      </w:r>
      <w:r w:rsidRPr="005D173E">
        <w:rPr>
          <w:lang w:val="ru-RU" w:eastAsia="en-US"/>
        </w:rPr>
        <w:t>26(1)(</w:t>
      </w:r>
      <w:r>
        <w:rPr>
          <w:lang w:eastAsia="en-US"/>
        </w:rPr>
        <w:t>ii</w:t>
      </w:r>
      <w:r w:rsidRPr="005D173E">
        <w:rPr>
          <w:lang w:val="ru-RU" w:eastAsia="en-US"/>
        </w:rPr>
        <w:t xml:space="preserve">) </w:t>
      </w:r>
      <w:r>
        <w:rPr>
          <w:lang w:val="ru-RU" w:eastAsia="en-US"/>
        </w:rPr>
        <w:t>и</w:t>
      </w:r>
      <w:r w:rsidRPr="005D173E">
        <w:rPr>
          <w:lang w:val="ru-RU" w:eastAsia="en-US"/>
        </w:rPr>
        <w:t xml:space="preserve"> </w:t>
      </w:r>
      <w:r>
        <w:rPr>
          <w:lang w:val="ru-RU" w:eastAsia="en-US"/>
        </w:rPr>
        <w:t>согласно</w:t>
      </w:r>
      <w:r w:rsidRPr="005D173E">
        <w:rPr>
          <w:lang w:val="ru-RU" w:eastAsia="en-US"/>
        </w:rPr>
        <w:t xml:space="preserve"> </w:t>
      </w:r>
      <w:r>
        <w:rPr>
          <w:lang w:val="ru-RU" w:eastAsia="en-US"/>
        </w:rPr>
        <w:t>тому</w:t>
      </w:r>
      <w:r w:rsidRPr="005D173E">
        <w:rPr>
          <w:lang w:val="ru-RU" w:eastAsia="en-US"/>
        </w:rPr>
        <w:t xml:space="preserve">, </w:t>
      </w:r>
      <w:r>
        <w:rPr>
          <w:lang w:val="ru-RU" w:eastAsia="en-US"/>
        </w:rPr>
        <w:t>что</w:t>
      </w:r>
      <w:r w:rsidRPr="005D173E">
        <w:rPr>
          <w:lang w:val="ru-RU" w:eastAsia="en-US"/>
        </w:rPr>
        <w:t xml:space="preserve"> </w:t>
      </w:r>
      <w:r>
        <w:rPr>
          <w:lang w:val="ru-RU" w:eastAsia="en-US"/>
        </w:rPr>
        <w:t>сказано</w:t>
      </w:r>
      <w:r w:rsidRPr="005D173E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5D173E">
        <w:rPr>
          <w:lang w:val="ru-RU" w:eastAsia="en-US"/>
        </w:rPr>
        <w:t xml:space="preserve"> </w:t>
      </w:r>
      <w:r>
        <w:rPr>
          <w:lang w:val="ru-RU" w:eastAsia="en-US"/>
        </w:rPr>
        <w:t>документе</w:t>
      </w:r>
      <w:r w:rsidRPr="005D173E">
        <w:rPr>
          <w:lang w:val="ru-RU" w:eastAsia="en-US"/>
        </w:rPr>
        <w:t xml:space="preserve"> </w:t>
      </w:r>
      <w:r>
        <w:rPr>
          <w:lang w:eastAsia="en-US"/>
        </w:rPr>
        <w:t>H</w:t>
      </w:r>
      <w:r w:rsidRPr="005D173E">
        <w:rPr>
          <w:lang w:val="ru-RU" w:eastAsia="en-US"/>
        </w:rPr>
        <w:t>/</w:t>
      </w:r>
      <w:r>
        <w:rPr>
          <w:lang w:eastAsia="en-US"/>
        </w:rPr>
        <w:t>A</w:t>
      </w:r>
      <w:r w:rsidRPr="005D173E">
        <w:rPr>
          <w:lang w:val="ru-RU" w:eastAsia="en-US"/>
        </w:rPr>
        <w:t xml:space="preserve">/34/2, </w:t>
      </w:r>
      <w:r>
        <w:rPr>
          <w:lang w:val="ru-RU" w:eastAsia="en-US"/>
        </w:rPr>
        <w:t>пункт</w:t>
      </w:r>
      <w:r>
        <w:rPr>
          <w:lang w:eastAsia="en-US"/>
        </w:rPr>
        <w:t> </w:t>
      </w:r>
      <w:r w:rsidRPr="005D173E">
        <w:rPr>
          <w:lang w:val="ru-RU" w:eastAsia="en-US"/>
        </w:rPr>
        <w:t xml:space="preserve">15, </w:t>
      </w:r>
      <w:r>
        <w:rPr>
          <w:lang w:val="ru-RU" w:eastAsia="en-US"/>
        </w:rPr>
        <w:t>представленном вышеуказанной сессии Ассамблеи Гаагского союза</w:t>
      </w:r>
      <w:r w:rsidRPr="005D173E">
        <w:rPr>
          <w:lang w:val="ru-RU" w:eastAsia="en-US"/>
        </w:rPr>
        <w:t xml:space="preserve">, </w:t>
      </w:r>
      <w:r>
        <w:rPr>
          <w:lang w:val="ru-RU" w:eastAsia="en-US"/>
        </w:rPr>
        <w:t>Международное бюро обеспечивает общедоступность информации, касающейся таких изменений, через</w:t>
      </w:r>
      <w:r w:rsidRPr="005D173E">
        <w:rPr>
          <w:lang w:val="ru-RU" w:eastAsia="en-US"/>
        </w:rPr>
        <w:t xml:space="preserve"> </w:t>
      </w:r>
      <w:r>
        <w:rPr>
          <w:i/>
          <w:lang w:val="ru-RU" w:eastAsia="en-US"/>
        </w:rPr>
        <w:t>Международный</w:t>
      </w:r>
      <w:r w:rsidRPr="005D173E">
        <w:rPr>
          <w:i/>
          <w:lang w:val="ru-RU" w:eastAsia="en-US"/>
        </w:rPr>
        <w:t xml:space="preserve"> </w:t>
      </w:r>
      <w:r>
        <w:rPr>
          <w:i/>
          <w:lang w:val="ru-RU" w:eastAsia="en-US"/>
        </w:rPr>
        <w:t>бюллетень</w:t>
      </w:r>
      <w:r w:rsidRPr="005D173E">
        <w:rPr>
          <w:i/>
          <w:lang w:val="ru-RU" w:eastAsia="en-US"/>
        </w:rPr>
        <w:t xml:space="preserve"> </w:t>
      </w:r>
      <w:r>
        <w:rPr>
          <w:i/>
          <w:lang w:val="ru-RU" w:eastAsia="en-US"/>
        </w:rPr>
        <w:t>промышленных</w:t>
      </w:r>
      <w:r w:rsidRPr="005D173E">
        <w:rPr>
          <w:i/>
          <w:lang w:val="ru-RU" w:eastAsia="en-US"/>
        </w:rPr>
        <w:t xml:space="preserve"> </w:t>
      </w:r>
      <w:r>
        <w:rPr>
          <w:i/>
          <w:lang w:val="ru-RU" w:eastAsia="en-US"/>
        </w:rPr>
        <w:t>образцов</w:t>
      </w:r>
      <w:r w:rsidRPr="005D173E">
        <w:rPr>
          <w:lang w:val="ru-RU" w:eastAsia="en-US"/>
        </w:rPr>
        <w:t xml:space="preserve"> (</w:t>
      </w:r>
      <w:r>
        <w:rPr>
          <w:lang w:val="ru-RU" w:eastAsia="en-US"/>
        </w:rPr>
        <w:t>ниже</w:t>
      </w:r>
      <w:r w:rsidRPr="005D173E">
        <w:rPr>
          <w:lang w:val="ru-RU" w:eastAsia="en-US"/>
        </w:rPr>
        <w:t xml:space="preserve"> </w:t>
      </w:r>
      <w:r>
        <w:rPr>
          <w:lang w:val="ru-RU" w:eastAsia="en-US"/>
        </w:rPr>
        <w:t>именуемый</w:t>
      </w:r>
      <w:r w:rsidRPr="005D173E">
        <w:rPr>
          <w:lang w:val="ru-RU" w:eastAsia="en-US"/>
        </w:rPr>
        <w:t xml:space="preserve"> «</w:t>
      </w:r>
      <w:r>
        <w:rPr>
          <w:lang w:val="ru-RU" w:eastAsia="en-US"/>
        </w:rPr>
        <w:t>Бюллетень</w:t>
      </w:r>
      <w:r w:rsidRPr="005D173E">
        <w:rPr>
          <w:lang w:val="ru-RU" w:eastAsia="en-US"/>
        </w:rPr>
        <w:t xml:space="preserve">») </w:t>
      </w:r>
      <w:r>
        <w:rPr>
          <w:lang w:val="ru-RU" w:eastAsia="en-US"/>
        </w:rPr>
        <w:t>путем загрузки копии уведомления или заявления, полученного от Ведомства</w:t>
      </w:r>
      <w:r w:rsidRPr="005D173E">
        <w:rPr>
          <w:lang w:val="ru-RU" w:eastAsia="en-US"/>
        </w:rPr>
        <w:t>.</w:t>
      </w:r>
    </w:p>
    <w:p w:rsidR="009A4689" w:rsidRPr="007A0805" w:rsidRDefault="009A4689" w:rsidP="009A4689">
      <w:pPr>
        <w:pStyle w:val="ONUME"/>
        <w:numPr>
          <w:ilvl w:val="0"/>
          <w:numId w:val="8"/>
        </w:numPr>
        <w:rPr>
          <w:lang w:val="ru-RU" w:eastAsia="en-US"/>
        </w:rPr>
      </w:pPr>
      <w:r>
        <w:rPr>
          <w:lang w:val="ru-RU" w:eastAsia="en-US"/>
        </w:rPr>
        <w:lastRenderedPageBreak/>
        <w:t>Измененные положения вступили в силу 1 января 2015 г</w:t>
      </w:r>
      <w:r w:rsidRPr="005D173E">
        <w:rPr>
          <w:lang w:val="ru-RU" w:eastAsia="en-US"/>
        </w:rPr>
        <w:t xml:space="preserve">.  </w:t>
      </w:r>
      <w:r>
        <w:rPr>
          <w:lang w:val="ru-RU" w:eastAsia="en-US"/>
        </w:rPr>
        <w:t>В</w:t>
      </w:r>
      <w:r w:rsidRPr="00870A8B">
        <w:rPr>
          <w:lang w:val="ru-RU" w:eastAsia="en-US"/>
        </w:rPr>
        <w:t xml:space="preserve"> </w:t>
      </w:r>
      <w:r>
        <w:rPr>
          <w:lang w:val="ru-RU" w:eastAsia="en-US"/>
        </w:rPr>
        <w:t>соответствии</w:t>
      </w:r>
      <w:r w:rsidRPr="00870A8B">
        <w:rPr>
          <w:lang w:val="ru-RU" w:eastAsia="en-US"/>
        </w:rPr>
        <w:t xml:space="preserve"> </w:t>
      </w:r>
      <w:r>
        <w:rPr>
          <w:lang w:val="ru-RU" w:eastAsia="en-US"/>
        </w:rPr>
        <w:t>с</w:t>
      </w:r>
      <w:r w:rsidRPr="00870A8B">
        <w:rPr>
          <w:lang w:val="ru-RU" w:eastAsia="en-US"/>
        </w:rPr>
        <w:t xml:space="preserve"> </w:t>
      </w:r>
      <w:r>
        <w:rPr>
          <w:lang w:val="ru-RU" w:eastAsia="en-US"/>
        </w:rPr>
        <w:t>этими</w:t>
      </w:r>
      <w:r w:rsidRPr="00870A8B">
        <w:rPr>
          <w:lang w:val="ru-RU" w:eastAsia="en-US"/>
        </w:rPr>
        <w:t xml:space="preserve"> </w:t>
      </w:r>
      <w:r>
        <w:rPr>
          <w:lang w:val="ru-RU" w:eastAsia="en-US"/>
        </w:rPr>
        <w:t>положениями</w:t>
      </w:r>
      <w:r w:rsidRPr="00870A8B">
        <w:rPr>
          <w:lang w:val="ru-RU" w:eastAsia="en-US"/>
        </w:rPr>
        <w:t xml:space="preserve"> </w:t>
      </w:r>
      <w:r>
        <w:rPr>
          <w:lang w:val="ru-RU" w:eastAsia="en-US"/>
        </w:rPr>
        <w:t>сделанные</w:t>
      </w:r>
      <w:r w:rsidRPr="00870A8B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870A8B">
        <w:rPr>
          <w:lang w:val="ru-RU" w:eastAsia="en-US"/>
        </w:rPr>
        <w:t xml:space="preserve"> </w:t>
      </w:r>
      <w:r>
        <w:rPr>
          <w:lang w:val="ru-RU" w:eastAsia="en-US"/>
        </w:rPr>
        <w:t>формате</w:t>
      </w:r>
      <w:r w:rsidRPr="00870A8B">
        <w:rPr>
          <w:lang w:val="ru-RU" w:eastAsia="en-US"/>
        </w:rPr>
        <w:t xml:space="preserve"> </w:t>
      </w:r>
      <w:r>
        <w:rPr>
          <w:lang w:eastAsia="en-US"/>
        </w:rPr>
        <w:t>P</w:t>
      </w:r>
      <w:r>
        <w:t>DF</w:t>
      </w:r>
      <w:r w:rsidRPr="00870A8B">
        <w:rPr>
          <w:lang w:val="ru-RU"/>
        </w:rPr>
        <w:t xml:space="preserve"> </w:t>
      </w:r>
      <w:r>
        <w:rPr>
          <w:lang w:val="ru-RU"/>
        </w:rPr>
        <w:t>копии</w:t>
      </w:r>
      <w:r w:rsidRPr="00870A8B">
        <w:rPr>
          <w:lang w:val="ru-RU"/>
        </w:rPr>
        <w:t xml:space="preserve"> </w:t>
      </w:r>
      <w:r>
        <w:rPr>
          <w:lang w:val="ru-RU"/>
        </w:rPr>
        <w:t>уведомлений</w:t>
      </w:r>
      <w:r w:rsidRPr="00870A8B">
        <w:rPr>
          <w:lang w:val="ru-RU"/>
        </w:rPr>
        <w:t xml:space="preserve"> </w:t>
      </w:r>
      <w:r>
        <w:rPr>
          <w:lang w:val="ru-RU"/>
        </w:rPr>
        <w:t>об</w:t>
      </w:r>
      <w:r w:rsidRPr="00870A8B">
        <w:rPr>
          <w:lang w:val="ru-RU"/>
        </w:rPr>
        <w:t xml:space="preserve"> </w:t>
      </w:r>
      <w:r>
        <w:rPr>
          <w:lang w:val="ru-RU"/>
        </w:rPr>
        <w:t>отзыве</w:t>
      </w:r>
      <w:r w:rsidRPr="00870A8B">
        <w:rPr>
          <w:lang w:val="ru-RU"/>
        </w:rPr>
        <w:t xml:space="preserve"> </w:t>
      </w:r>
      <w:r>
        <w:rPr>
          <w:lang w:val="ru-RU"/>
        </w:rPr>
        <w:t>отказа</w:t>
      </w:r>
      <w:r w:rsidRPr="00870A8B">
        <w:rPr>
          <w:lang w:val="ru-RU"/>
        </w:rPr>
        <w:t xml:space="preserve"> </w:t>
      </w:r>
      <w:r>
        <w:rPr>
          <w:lang w:val="ru-RU"/>
        </w:rPr>
        <w:t>и</w:t>
      </w:r>
      <w:r w:rsidRPr="00870A8B">
        <w:rPr>
          <w:lang w:val="ru-RU"/>
        </w:rPr>
        <w:t xml:space="preserve"> </w:t>
      </w:r>
      <w:r>
        <w:rPr>
          <w:lang w:val="ru-RU"/>
        </w:rPr>
        <w:t>заявлений</w:t>
      </w:r>
      <w:r w:rsidRPr="00870A8B">
        <w:rPr>
          <w:lang w:val="ru-RU"/>
        </w:rPr>
        <w:t xml:space="preserve"> </w:t>
      </w:r>
      <w:r>
        <w:rPr>
          <w:lang w:val="ru-RU"/>
        </w:rPr>
        <w:t>о</w:t>
      </w:r>
      <w:r w:rsidRPr="00870A8B">
        <w:rPr>
          <w:lang w:val="ru-RU"/>
        </w:rPr>
        <w:t xml:space="preserve"> </w:t>
      </w:r>
      <w:r>
        <w:rPr>
          <w:lang w:val="ru-RU"/>
        </w:rPr>
        <w:t>предоставлении</w:t>
      </w:r>
      <w:r w:rsidRPr="00870A8B">
        <w:rPr>
          <w:lang w:val="ru-RU"/>
        </w:rPr>
        <w:t xml:space="preserve"> </w:t>
      </w:r>
      <w:r>
        <w:rPr>
          <w:lang w:val="ru-RU"/>
        </w:rPr>
        <w:t>охраны,</w:t>
      </w:r>
      <w:r w:rsidRPr="00870A8B">
        <w:rPr>
          <w:lang w:val="ru-RU"/>
        </w:rPr>
        <w:t xml:space="preserve"> </w:t>
      </w:r>
      <w:r>
        <w:rPr>
          <w:lang w:val="ru-RU"/>
        </w:rPr>
        <w:t>полученных в указанную выше дату или после нее, публикуются в Бюллетене</w:t>
      </w:r>
      <w:r w:rsidRPr="00870A8B">
        <w:rPr>
          <w:lang w:val="ru-RU"/>
        </w:rPr>
        <w:t xml:space="preserve">, </w:t>
      </w:r>
      <w:r>
        <w:rPr>
          <w:lang w:val="ru-RU"/>
        </w:rPr>
        <w:t xml:space="preserve">а также помещаются в базе данных </w:t>
      </w:r>
      <w:r w:rsidRPr="00870A8B">
        <w:rPr>
          <w:lang w:val="ru-RU"/>
        </w:rPr>
        <w:t>“</w:t>
      </w:r>
      <w:r>
        <w:t>Hague</w:t>
      </w:r>
      <w:r w:rsidRPr="00870A8B">
        <w:rPr>
          <w:lang w:val="ru-RU"/>
        </w:rPr>
        <w:t xml:space="preserve"> </w:t>
      </w:r>
      <w:r>
        <w:t>Express</w:t>
      </w:r>
      <w:r w:rsidRPr="00870A8B">
        <w:rPr>
          <w:lang w:val="ru-RU"/>
        </w:rPr>
        <w:t>”</w:t>
      </w:r>
      <w:r>
        <w:rPr>
          <w:lang w:val="ru-RU"/>
        </w:rPr>
        <w:t xml:space="preserve"> с целью улучшить доступ к информации</w:t>
      </w:r>
      <w:r w:rsidRPr="00870A8B">
        <w:rPr>
          <w:lang w:val="ru-RU"/>
        </w:rPr>
        <w:t xml:space="preserve">.  </w:t>
      </w:r>
      <w:r>
        <w:rPr>
          <w:lang w:val="ru-RU"/>
        </w:rPr>
        <w:t>С</w:t>
      </w:r>
      <w:r w:rsidRPr="007A0805">
        <w:rPr>
          <w:lang w:val="ru-RU"/>
        </w:rPr>
        <w:t xml:space="preserve"> </w:t>
      </w:r>
      <w:r>
        <w:rPr>
          <w:lang w:val="ru-RU"/>
        </w:rPr>
        <w:t>тех</w:t>
      </w:r>
      <w:r w:rsidRPr="007A0805">
        <w:rPr>
          <w:lang w:val="ru-RU"/>
        </w:rPr>
        <w:t xml:space="preserve"> </w:t>
      </w:r>
      <w:r>
        <w:rPr>
          <w:lang w:val="ru-RU"/>
        </w:rPr>
        <w:t>пор</w:t>
      </w:r>
      <w:r w:rsidRPr="007A0805">
        <w:rPr>
          <w:lang w:val="ru-RU"/>
        </w:rPr>
        <w:t xml:space="preserve"> </w:t>
      </w:r>
      <w:r>
        <w:rPr>
          <w:lang w:val="ru-RU"/>
        </w:rPr>
        <w:t>копия</w:t>
      </w:r>
      <w:r w:rsidRPr="007A0805">
        <w:rPr>
          <w:lang w:val="ru-RU"/>
        </w:rPr>
        <w:t xml:space="preserve"> </w:t>
      </w:r>
      <w:r>
        <w:rPr>
          <w:lang w:val="ru-RU"/>
        </w:rPr>
        <w:t>уведомления</w:t>
      </w:r>
      <w:r w:rsidRPr="007A0805">
        <w:rPr>
          <w:lang w:val="ru-RU"/>
        </w:rPr>
        <w:t xml:space="preserve"> </w:t>
      </w:r>
      <w:r>
        <w:rPr>
          <w:lang w:val="ru-RU"/>
        </w:rPr>
        <w:t>об</w:t>
      </w:r>
      <w:r w:rsidRPr="007A0805">
        <w:rPr>
          <w:lang w:val="ru-RU"/>
        </w:rPr>
        <w:t xml:space="preserve"> </w:t>
      </w:r>
      <w:r>
        <w:rPr>
          <w:lang w:val="ru-RU"/>
        </w:rPr>
        <w:t>отказе</w:t>
      </w:r>
      <w:r w:rsidRPr="007A0805">
        <w:rPr>
          <w:lang w:val="ru-RU"/>
        </w:rPr>
        <w:t xml:space="preserve"> </w:t>
      </w:r>
      <w:r>
        <w:rPr>
          <w:lang w:val="ru-RU"/>
        </w:rPr>
        <w:t>в</w:t>
      </w:r>
      <w:r w:rsidRPr="007A0805">
        <w:rPr>
          <w:lang w:val="ru-RU"/>
        </w:rPr>
        <w:t xml:space="preserve"> </w:t>
      </w:r>
      <w:r>
        <w:rPr>
          <w:lang w:val="ru-RU"/>
        </w:rPr>
        <w:t>формате</w:t>
      </w:r>
      <w:r w:rsidRPr="007A0805">
        <w:rPr>
          <w:lang w:val="ru-RU"/>
        </w:rPr>
        <w:t xml:space="preserve"> </w:t>
      </w:r>
      <w:r>
        <w:t>PDF</w:t>
      </w:r>
      <w:r w:rsidRPr="007A0805">
        <w:rPr>
          <w:lang w:val="ru-RU"/>
        </w:rPr>
        <w:t xml:space="preserve"> </w:t>
      </w:r>
      <w:r>
        <w:rPr>
          <w:lang w:val="ru-RU"/>
        </w:rPr>
        <w:t>также</w:t>
      </w:r>
      <w:r w:rsidRPr="007A0805">
        <w:rPr>
          <w:lang w:val="ru-RU"/>
        </w:rPr>
        <w:t xml:space="preserve"> </w:t>
      </w:r>
      <w:r>
        <w:rPr>
          <w:lang w:val="ru-RU"/>
        </w:rPr>
        <w:t>делается</w:t>
      </w:r>
      <w:r w:rsidRPr="007A0805">
        <w:rPr>
          <w:lang w:val="ru-RU"/>
        </w:rPr>
        <w:t xml:space="preserve"> </w:t>
      </w:r>
      <w:r>
        <w:rPr>
          <w:lang w:val="ru-RU"/>
        </w:rPr>
        <w:t>доступной</w:t>
      </w:r>
      <w:r w:rsidRPr="007A0805">
        <w:rPr>
          <w:lang w:val="ru-RU"/>
        </w:rPr>
        <w:t xml:space="preserve"> </w:t>
      </w:r>
      <w:r>
        <w:rPr>
          <w:lang w:val="ru-RU"/>
        </w:rPr>
        <w:t>для</w:t>
      </w:r>
      <w:r w:rsidRPr="007A0805">
        <w:rPr>
          <w:lang w:val="ru-RU"/>
        </w:rPr>
        <w:t xml:space="preserve"> </w:t>
      </w:r>
      <w:r>
        <w:rPr>
          <w:lang w:val="ru-RU"/>
        </w:rPr>
        <w:t>представления</w:t>
      </w:r>
      <w:r w:rsidRPr="007A0805">
        <w:rPr>
          <w:lang w:val="ru-RU"/>
        </w:rPr>
        <w:t xml:space="preserve"> </w:t>
      </w:r>
      <w:r>
        <w:rPr>
          <w:lang w:val="ru-RU"/>
        </w:rPr>
        <w:t>досье по заявке или справочной информации, относящейся к изменениям, внесенным в промышленный образец</w:t>
      </w:r>
      <w:r>
        <w:rPr>
          <w:rStyle w:val="FootnoteReference"/>
        </w:rPr>
        <w:footnoteReference w:id="2"/>
      </w:r>
      <w:r w:rsidRPr="007A0805">
        <w:rPr>
          <w:lang w:val="ru-RU"/>
        </w:rPr>
        <w:t>.</w:t>
      </w:r>
    </w:p>
    <w:p w:rsidR="009A4689" w:rsidRPr="007A0805" w:rsidRDefault="009A4689" w:rsidP="009A4689">
      <w:pPr>
        <w:pStyle w:val="ONUME"/>
        <w:numPr>
          <w:ilvl w:val="0"/>
          <w:numId w:val="8"/>
        </w:numPr>
        <w:rPr>
          <w:lang w:val="ru-RU" w:eastAsia="en-US"/>
        </w:rPr>
      </w:pPr>
      <w:r>
        <w:rPr>
          <w:lang w:val="ru-RU"/>
        </w:rPr>
        <w:t>Цель настоящего документа заключается в том, чтобы начать обсуждение относительно того, следует ли пересмотреть практику Международного бюро в отношении обеспечения общедоступности уведомлений об отказах</w:t>
      </w:r>
      <w:r w:rsidRPr="007A0805">
        <w:rPr>
          <w:lang w:val="ru-RU"/>
        </w:rPr>
        <w:t>.</w:t>
      </w:r>
    </w:p>
    <w:p w:rsidR="009A4689" w:rsidRPr="00D45EC7" w:rsidRDefault="009A4689" w:rsidP="009A4689">
      <w:pPr>
        <w:pStyle w:val="Heading1"/>
        <w:spacing w:before="480"/>
        <w:rPr>
          <w:lang w:val="ru-RU"/>
        </w:rPr>
      </w:pPr>
      <w:r w:rsidRPr="00510815">
        <w:t>II</w:t>
      </w:r>
      <w:r w:rsidRPr="007A0805">
        <w:rPr>
          <w:lang w:val="ru-RU"/>
        </w:rPr>
        <w:t>.</w:t>
      </w:r>
      <w:r w:rsidRPr="007A0805">
        <w:rPr>
          <w:lang w:val="ru-RU"/>
        </w:rPr>
        <w:tab/>
      </w:r>
      <w:r>
        <w:rPr>
          <w:lang w:val="ru-RU"/>
        </w:rPr>
        <w:t>вопрос</w:t>
      </w:r>
    </w:p>
    <w:p w:rsidR="009A4689" w:rsidRPr="007A0805" w:rsidRDefault="009A4689" w:rsidP="009A4689">
      <w:pPr>
        <w:pStyle w:val="Heading2"/>
        <w:rPr>
          <w:lang w:val="ru-RU" w:eastAsia="en-US"/>
        </w:rPr>
      </w:pPr>
      <w:r>
        <w:rPr>
          <w:lang w:val="ru-RU" w:eastAsia="en-US"/>
        </w:rPr>
        <w:t>плюсы и минусы открытого доступа к</w:t>
      </w:r>
      <w:r w:rsidRPr="007A0805">
        <w:rPr>
          <w:lang w:val="ru-RU" w:eastAsia="en-US"/>
        </w:rPr>
        <w:t xml:space="preserve"> </w:t>
      </w:r>
      <w:r>
        <w:rPr>
          <w:lang w:val="ru-RU" w:eastAsia="en-US"/>
        </w:rPr>
        <w:t>основаниям для отказа</w:t>
      </w:r>
    </w:p>
    <w:p w:rsidR="009A4689" w:rsidRPr="00DB746E" w:rsidRDefault="009A4689" w:rsidP="009A4689">
      <w:pPr>
        <w:pStyle w:val="ONUME"/>
        <w:numPr>
          <w:ilvl w:val="0"/>
          <w:numId w:val="8"/>
        </w:numPr>
        <w:rPr>
          <w:lang w:val="ru-RU" w:eastAsia="en-US"/>
        </w:rPr>
      </w:pPr>
      <w:r>
        <w:rPr>
          <w:lang w:val="ru-RU" w:eastAsia="en-US"/>
        </w:rPr>
        <w:t>После</w:t>
      </w:r>
      <w:r w:rsidRPr="007A0805">
        <w:rPr>
          <w:lang w:val="ru-RU" w:eastAsia="en-US"/>
        </w:rPr>
        <w:t xml:space="preserve"> </w:t>
      </w:r>
      <w:r>
        <w:rPr>
          <w:lang w:val="ru-RU" w:eastAsia="en-US"/>
        </w:rPr>
        <w:t>публикации</w:t>
      </w:r>
      <w:r w:rsidRPr="007A0805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7A0805">
        <w:rPr>
          <w:lang w:val="ru-RU" w:eastAsia="en-US"/>
        </w:rPr>
        <w:t xml:space="preserve"> </w:t>
      </w:r>
      <w:r>
        <w:rPr>
          <w:lang w:val="ru-RU" w:eastAsia="en-US"/>
        </w:rPr>
        <w:t>Бюллетене</w:t>
      </w:r>
      <w:r w:rsidRPr="007A0805">
        <w:rPr>
          <w:lang w:val="ru-RU" w:eastAsia="en-US"/>
        </w:rPr>
        <w:t xml:space="preserve"> </w:t>
      </w:r>
      <w:r>
        <w:rPr>
          <w:lang w:val="ru-RU" w:eastAsia="en-US"/>
        </w:rPr>
        <w:t>информация</w:t>
      </w:r>
      <w:r w:rsidRPr="007A0805">
        <w:rPr>
          <w:lang w:val="ru-RU" w:eastAsia="en-US"/>
        </w:rPr>
        <w:t xml:space="preserve"> </w:t>
      </w:r>
      <w:r>
        <w:rPr>
          <w:lang w:val="ru-RU" w:eastAsia="en-US"/>
        </w:rPr>
        <w:t>о</w:t>
      </w:r>
      <w:r w:rsidRPr="007A0805">
        <w:rPr>
          <w:lang w:val="ru-RU" w:eastAsia="en-US"/>
        </w:rPr>
        <w:t xml:space="preserve"> </w:t>
      </w:r>
      <w:r>
        <w:rPr>
          <w:lang w:val="ru-RU" w:eastAsia="en-US"/>
        </w:rPr>
        <w:t>любой</w:t>
      </w:r>
      <w:r w:rsidRPr="007A0805">
        <w:rPr>
          <w:lang w:val="ru-RU" w:eastAsia="en-US"/>
        </w:rPr>
        <w:t xml:space="preserve"> </w:t>
      </w:r>
      <w:r>
        <w:rPr>
          <w:lang w:val="ru-RU" w:eastAsia="en-US"/>
        </w:rPr>
        <w:t>международной</w:t>
      </w:r>
      <w:r w:rsidRPr="007A0805">
        <w:rPr>
          <w:lang w:val="ru-RU" w:eastAsia="en-US"/>
        </w:rPr>
        <w:t xml:space="preserve"> </w:t>
      </w:r>
      <w:r>
        <w:rPr>
          <w:lang w:val="ru-RU" w:eastAsia="en-US"/>
        </w:rPr>
        <w:t>регистрации</w:t>
      </w:r>
      <w:r w:rsidRPr="007A0805">
        <w:rPr>
          <w:lang w:val="ru-RU" w:eastAsia="en-US"/>
        </w:rPr>
        <w:t xml:space="preserve"> </w:t>
      </w:r>
      <w:r>
        <w:rPr>
          <w:lang w:val="ru-RU" w:eastAsia="en-US"/>
        </w:rPr>
        <w:t>информация о любой международной регистрации делается Международным бюро доступной для третьих сторон при условии уплаты пошлины согласно правилу</w:t>
      </w:r>
      <w:r w:rsidRPr="007A0805">
        <w:rPr>
          <w:lang w:val="ru-RU" w:eastAsia="en-US"/>
        </w:rPr>
        <w:t xml:space="preserve"> 32(1)(</w:t>
      </w:r>
      <w:r>
        <w:rPr>
          <w:lang w:eastAsia="en-US"/>
        </w:rPr>
        <w:t>ii</w:t>
      </w:r>
      <w:r w:rsidRPr="007A0805">
        <w:rPr>
          <w:lang w:val="ru-RU" w:eastAsia="en-US"/>
        </w:rPr>
        <w:t xml:space="preserve">) </w:t>
      </w:r>
      <w:r>
        <w:rPr>
          <w:lang w:val="ru-RU" w:eastAsia="en-US"/>
        </w:rPr>
        <w:t>или</w:t>
      </w:r>
      <w:r w:rsidRPr="007A0805">
        <w:rPr>
          <w:lang w:val="ru-RU" w:eastAsia="en-US"/>
        </w:rPr>
        <w:t xml:space="preserve"> (</w:t>
      </w:r>
      <w:r>
        <w:rPr>
          <w:lang w:eastAsia="en-US"/>
        </w:rPr>
        <w:t>iii</w:t>
      </w:r>
      <w:r w:rsidRPr="007A0805">
        <w:rPr>
          <w:lang w:val="ru-RU" w:eastAsia="en-US"/>
        </w:rPr>
        <w:t>)</w:t>
      </w:r>
      <w:r>
        <w:rPr>
          <w:rStyle w:val="FootnoteReference"/>
          <w:lang w:eastAsia="en-US"/>
        </w:rPr>
        <w:footnoteReference w:id="3"/>
      </w:r>
      <w:r w:rsidRPr="007A0805">
        <w:rPr>
          <w:lang w:val="ru-RU" w:eastAsia="en-US"/>
        </w:rPr>
        <w:t xml:space="preserve">.  </w:t>
      </w:r>
      <w:r>
        <w:rPr>
          <w:lang w:val="ru-RU" w:eastAsia="en-US"/>
        </w:rPr>
        <w:t>Такая</w:t>
      </w:r>
      <w:r w:rsidRPr="00DB746E">
        <w:rPr>
          <w:lang w:val="ru-RU" w:eastAsia="en-US"/>
        </w:rPr>
        <w:t xml:space="preserve"> </w:t>
      </w:r>
      <w:r>
        <w:rPr>
          <w:lang w:val="ru-RU" w:eastAsia="en-US"/>
        </w:rPr>
        <w:t>доступная</w:t>
      </w:r>
      <w:r w:rsidRPr="00DB746E">
        <w:rPr>
          <w:lang w:val="ru-RU" w:eastAsia="en-US"/>
        </w:rPr>
        <w:t xml:space="preserve"> </w:t>
      </w:r>
      <w:r>
        <w:rPr>
          <w:lang w:val="ru-RU" w:eastAsia="en-US"/>
        </w:rPr>
        <w:t>информация</w:t>
      </w:r>
      <w:r w:rsidRPr="00DB746E">
        <w:rPr>
          <w:lang w:val="ru-RU" w:eastAsia="en-US"/>
        </w:rPr>
        <w:t xml:space="preserve"> </w:t>
      </w:r>
      <w:r>
        <w:rPr>
          <w:lang w:val="ru-RU" w:eastAsia="en-US"/>
        </w:rPr>
        <w:t>включает</w:t>
      </w:r>
      <w:r w:rsidRPr="00DB746E">
        <w:rPr>
          <w:lang w:val="ru-RU" w:eastAsia="en-US"/>
        </w:rPr>
        <w:t xml:space="preserve"> </w:t>
      </w:r>
      <w:r>
        <w:rPr>
          <w:lang w:val="ru-RU" w:eastAsia="en-US"/>
        </w:rPr>
        <w:t>копию международной заявки в том виде, в каком она подана, и любого уведомления, полученного от любой указанной Договаривающейся стороны</w:t>
      </w:r>
      <w:r w:rsidRPr="00DB746E">
        <w:rPr>
          <w:lang w:val="ru-RU" w:eastAsia="en-US"/>
        </w:rPr>
        <w:t>.</w:t>
      </w:r>
    </w:p>
    <w:p w:rsidR="009A4689" w:rsidRPr="006D788E" w:rsidRDefault="009A4689" w:rsidP="009A4689">
      <w:pPr>
        <w:pStyle w:val="ONUME"/>
        <w:numPr>
          <w:ilvl w:val="0"/>
          <w:numId w:val="8"/>
        </w:numPr>
        <w:rPr>
          <w:lang w:val="ru-RU" w:eastAsia="en-US"/>
        </w:rPr>
      </w:pPr>
      <w:r>
        <w:rPr>
          <w:lang w:val="ru-RU" w:eastAsia="en-US"/>
        </w:rPr>
        <w:t>Облегчение</w:t>
      </w:r>
      <w:r w:rsidRPr="00DB746E">
        <w:rPr>
          <w:lang w:val="ru-RU" w:eastAsia="en-US"/>
        </w:rPr>
        <w:t xml:space="preserve"> </w:t>
      </w:r>
      <w:r>
        <w:rPr>
          <w:lang w:val="ru-RU" w:eastAsia="en-US"/>
        </w:rPr>
        <w:t>доступа</w:t>
      </w:r>
      <w:r w:rsidRPr="00DB746E">
        <w:rPr>
          <w:lang w:val="ru-RU" w:eastAsia="en-US"/>
        </w:rPr>
        <w:t xml:space="preserve"> </w:t>
      </w:r>
      <w:r>
        <w:rPr>
          <w:lang w:val="ru-RU" w:eastAsia="en-US"/>
        </w:rPr>
        <w:t>к</w:t>
      </w:r>
      <w:r w:rsidRPr="00DB746E">
        <w:rPr>
          <w:lang w:val="ru-RU" w:eastAsia="en-US"/>
        </w:rPr>
        <w:t xml:space="preserve"> </w:t>
      </w:r>
      <w:r>
        <w:rPr>
          <w:lang w:val="ru-RU" w:eastAsia="en-US"/>
        </w:rPr>
        <w:t>уведомлению</w:t>
      </w:r>
      <w:r w:rsidRPr="00DB746E">
        <w:rPr>
          <w:lang w:val="ru-RU" w:eastAsia="en-US"/>
        </w:rPr>
        <w:t xml:space="preserve"> </w:t>
      </w:r>
      <w:r>
        <w:rPr>
          <w:lang w:val="ru-RU" w:eastAsia="en-US"/>
        </w:rPr>
        <w:t>об</w:t>
      </w:r>
      <w:r w:rsidRPr="00DB746E">
        <w:rPr>
          <w:lang w:val="ru-RU" w:eastAsia="en-US"/>
        </w:rPr>
        <w:t xml:space="preserve"> </w:t>
      </w:r>
      <w:r>
        <w:rPr>
          <w:lang w:val="ru-RU" w:eastAsia="en-US"/>
        </w:rPr>
        <w:t>отказе</w:t>
      </w:r>
      <w:r w:rsidRPr="00DB746E">
        <w:rPr>
          <w:lang w:val="ru-RU" w:eastAsia="en-US"/>
        </w:rPr>
        <w:t xml:space="preserve"> </w:t>
      </w:r>
      <w:r>
        <w:rPr>
          <w:lang w:val="ru-RU" w:eastAsia="en-US"/>
        </w:rPr>
        <w:t>может</w:t>
      </w:r>
      <w:r w:rsidRPr="00DB746E">
        <w:rPr>
          <w:lang w:val="ru-RU" w:eastAsia="en-US"/>
        </w:rPr>
        <w:t xml:space="preserve"> </w:t>
      </w:r>
      <w:r>
        <w:rPr>
          <w:lang w:val="ru-RU" w:eastAsia="en-US"/>
        </w:rPr>
        <w:t>во</w:t>
      </w:r>
      <w:r w:rsidRPr="00DB746E">
        <w:rPr>
          <w:lang w:val="ru-RU" w:eastAsia="en-US"/>
        </w:rPr>
        <w:t xml:space="preserve"> </w:t>
      </w:r>
      <w:r>
        <w:rPr>
          <w:lang w:val="ru-RU" w:eastAsia="en-US"/>
        </w:rPr>
        <w:t>многом</w:t>
      </w:r>
      <w:r w:rsidRPr="00DB746E">
        <w:rPr>
          <w:lang w:val="ru-RU" w:eastAsia="en-US"/>
        </w:rPr>
        <w:t xml:space="preserve"> </w:t>
      </w:r>
      <w:r>
        <w:rPr>
          <w:lang w:val="ru-RU" w:eastAsia="en-US"/>
        </w:rPr>
        <w:t>помочь</w:t>
      </w:r>
      <w:r w:rsidRPr="00DB746E">
        <w:rPr>
          <w:lang w:val="ru-RU" w:eastAsia="en-US"/>
        </w:rPr>
        <w:t xml:space="preserve"> </w:t>
      </w:r>
      <w:r>
        <w:rPr>
          <w:lang w:val="ru-RU" w:eastAsia="en-US"/>
        </w:rPr>
        <w:t>пользователям</w:t>
      </w:r>
      <w:r w:rsidRPr="00DB746E">
        <w:rPr>
          <w:lang w:val="ru-RU" w:eastAsia="en-US"/>
        </w:rPr>
        <w:t xml:space="preserve"> </w:t>
      </w:r>
      <w:r>
        <w:rPr>
          <w:lang w:val="ru-RU" w:eastAsia="en-US"/>
        </w:rPr>
        <w:t>Гаагской</w:t>
      </w:r>
      <w:r w:rsidRPr="00DB746E">
        <w:rPr>
          <w:lang w:val="ru-RU" w:eastAsia="en-US"/>
        </w:rPr>
        <w:t xml:space="preserve"> </w:t>
      </w:r>
      <w:r>
        <w:rPr>
          <w:lang w:val="ru-RU" w:eastAsia="en-US"/>
        </w:rPr>
        <w:t>системы</w:t>
      </w:r>
      <w:r w:rsidRPr="00DB746E">
        <w:rPr>
          <w:lang w:val="ru-RU" w:eastAsia="en-US"/>
        </w:rPr>
        <w:t xml:space="preserve"> </w:t>
      </w:r>
      <w:r>
        <w:rPr>
          <w:lang w:val="ru-RU" w:eastAsia="en-US"/>
        </w:rPr>
        <w:t>при</w:t>
      </w:r>
      <w:r w:rsidRPr="00DB746E">
        <w:rPr>
          <w:lang w:val="ru-RU" w:eastAsia="en-US"/>
        </w:rPr>
        <w:t xml:space="preserve"> </w:t>
      </w:r>
      <w:r>
        <w:rPr>
          <w:lang w:val="ru-RU" w:eastAsia="en-US"/>
        </w:rPr>
        <w:t>анализе</w:t>
      </w:r>
      <w:r w:rsidRPr="00DB746E">
        <w:rPr>
          <w:lang w:val="ru-RU" w:eastAsia="en-US"/>
        </w:rPr>
        <w:t xml:space="preserve"> </w:t>
      </w:r>
      <w:r>
        <w:rPr>
          <w:lang w:val="ru-RU" w:eastAsia="en-US"/>
        </w:rPr>
        <w:t>требований по существу</w:t>
      </w:r>
      <w:r w:rsidRPr="00DB746E">
        <w:rPr>
          <w:lang w:val="ru-RU" w:eastAsia="en-US"/>
        </w:rPr>
        <w:t xml:space="preserve">, </w:t>
      </w:r>
      <w:r>
        <w:rPr>
          <w:lang w:val="ru-RU" w:eastAsia="en-US"/>
        </w:rPr>
        <w:t>в частности тех, которые касаются уровня раскрытия промышленного образца</w:t>
      </w:r>
      <w:r w:rsidRPr="00DB746E">
        <w:rPr>
          <w:lang w:val="ru-RU" w:eastAsia="en-US"/>
        </w:rPr>
        <w:t xml:space="preserve"> </w:t>
      </w:r>
      <w:r>
        <w:rPr>
          <w:lang w:val="ru-RU" w:eastAsia="en-US"/>
        </w:rPr>
        <w:t>при указании определенных Договаривающихся сторон</w:t>
      </w:r>
      <w:r>
        <w:rPr>
          <w:rStyle w:val="FootnoteReference"/>
          <w:lang w:eastAsia="en-US"/>
        </w:rPr>
        <w:footnoteReference w:id="4"/>
      </w:r>
      <w:r w:rsidRPr="00DB746E">
        <w:rPr>
          <w:lang w:val="ru-RU" w:eastAsia="en-US"/>
        </w:rPr>
        <w:t xml:space="preserve">.  </w:t>
      </w:r>
      <w:r>
        <w:rPr>
          <w:lang w:val="ru-RU" w:eastAsia="en-US"/>
        </w:rPr>
        <w:t>Ссылка</w:t>
      </w:r>
      <w:r w:rsidRPr="006D788E">
        <w:rPr>
          <w:lang w:val="ru-RU" w:eastAsia="en-US"/>
        </w:rPr>
        <w:t xml:space="preserve"> </w:t>
      </w:r>
      <w:r>
        <w:rPr>
          <w:lang w:val="ru-RU" w:eastAsia="en-US"/>
        </w:rPr>
        <w:t>на</w:t>
      </w:r>
      <w:r w:rsidRPr="006D788E">
        <w:rPr>
          <w:lang w:val="ru-RU" w:eastAsia="en-US"/>
        </w:rPr>
        <w:t xml:space="preserve"> </w:t>
      </w:r>
      <w:r>
        <w:rPr>
          <w:lang w:val="ru-RU" w:eastAsia="en-US"/>
        </w:rPr>
        <w:t>предшествующий</w:t>
      </w:r>
      <w:r w:rsidRPr="006D788E">
        <w:rPr>
          <w:lang w:val="ru-RU" w:eastAsia="en-US"/>
        </w:rPr>
        <w:t xml:space="preserve"> </w:t>
      </w:r>
      <w:r>
        <w:rPr>
          <w:lang w:val="ru-RU" w:eastAsia="en-US"/>
        </w:rPr>
        <w:t>образец</w:t>
      </w:r>
      <w:r w:rsidRPr="006D788E">
        <w:rPr>
          <w:lang w:val="ru-RU" w:eastAsia="en-US"/>
        </w:rPr>
        <w:t xml:space="preserve"> </w:t>
      </w:r>
      <w:r>
        <w:rPr>
          <w:lang w:val="ru-RU" w:eastAsia="en-US"/>
        </w:rPr>
        <w:t>может</w:t>
      </w:r>
      <w:r w:rsidRPr="006D788E">
        <w:rPr>
          <w:lang w:val="ru-RU" w:eastAsia="en-US"/>
        </w:rPr>
        <w:t xml:space="preserve"> </w:t>
      </w:r>
      <w:r>
        <w:rPr>
          <w:lang w:val="ru-RU" w:eastAsia="en-US"/>
        </w:rPr>
        <w:t>также</w:t>
      </w:r>
      <w:r w:rsidRPr="006D788E">
        <w:rPr>
          <w:lang w:val="ru-RU" w:eastAsia="en-US"/>
        </w:rPr>
        <w:t xml:space="preserve"> </w:t>
      </w:r>
      <w:r>
        <w:rPr>
          <w:lang w:val="ru-RU" w:eastAsia="en-US"/>
        </w:rPr>
        <w:t>дать</w:t>
      </w:r>
      <w:r w:rsidRPr="006D788E">
        <w:rPr>
          <w:lang w:val="ru-RU" w:eastAsia="en-US"/>
        </w:rPr>
        <w:t xml:space="preserve"> </w:t>
      </w:r>
      <w:r>
        <w:rPr>
          <w:lang w:val="ru-RU" w:eastAsia="en-US"/>
        </w:rPr>
        <w:t>пользователям</w:t>
      </w:r>
      <w:r w:rsidRPr="006D788E">
        <w:rPr>
          <w:lang w:val="ru-RU" w:eastAsia="en-US"/>
        </w:rPr>
        <w:t xml:space="preserve"> </w:t>
      </w:r>
      <w:r>
        <w:rPr>
          <w:lang w:val="ru-RU" w:eastAsia="en-US"/>
        </w:rPr>
        <w:t>представление</w:t>
      </w:r>
      <w:r w:rsidRPr="006D788E">
        <w:rPr>
          <w:lang w:val="ru-RU" w:eastAsia="en-US"/>
        </w:rPr>
        <w:t xml:space="preserve"> </w:t>
      </w:r>
      <w:r>
        <w:rPr>
          <w:lang w:val="ru-RU" w:eastAsia="en-US"/>
        </w:rPr>
        <w:t>о</w:t>
      </w:r>
      <w:r w:rsidRPr="006D788E">
        <w:rPr>
          <w:lang w:val="ru-RU" w:eastAsia="en-US"/>
        </w:rPr>
        <w:t xml:space="preserve"> </w:t>
      </w:r>
      <w:r>
        <w:rPr>
          <w:lang w:val="ru-RU" w:eastAsia="en-US"/>
        </w:rPr>
        <w:t>степени сходства образцов, рассматриваемых тем или иным конкретным Ведомством, когда это применимо, в отношении каждого вида продуктов</w:t>
      </w:r>
      <w:r w:rsidRPr="006D788E">
        <w:rPr>
          <w:lang w:val="ru-RU" w:eastAsia="en-US"/>
        </w:rPr>
        <w:t>.</w:t>
      </w:r>
    </w:p>
    <w:p w:rsidR="009A4689" w:rsidRPr="00C96393" w:rsidRDefault="009A4689" w:rsidP="009A4689">
      <w:pPr>
        <w:pStyle w:val="ONUME"/>
        <w:numPr>
          <w:ilvl w:val="0"/>
          <w:numId w:val="8"/>
        </w:numPr>
        <w:rPr>
          <w:lang w:val="ru-RU" w:eastAsia="en-US"/>
        </w:rPr>
      </w:pPr>
      <w:r>
        <w:rPr>
          <w:szCs w:val="22"/>
          <w:lang w:val="ru-RU"/>
        </w:rPr>
        <w:t>Вместе</w:t>
      </w:r>
      <w:r w:rsidRPr="00C963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C963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тем</w:t>
      </w:r>
      <w:r w:rsidRPr="00C963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временами</w:t>
      </w:r>
      <w:r w:rsidRPr="00C963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внимание</w:t>
      </w:r>
      <w:r w:rsidRPr="00C963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Международного</w:t>
      </w:r>
      <w:r w:rsidRPr="00C963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бюро</w:t>
      </w:r>
      <w:r w:rsidRPr="00C963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обращалось</w:t>
      </w:r>
      <w:r w:rsidRPr="00C963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C963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</w:t>
      </w:r>
      <w:r w:rsidRPr="00C9639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C963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такой</w:t>
      </w:r>
      <w:r w:rsidRPr="00C963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открытый</w:t>
      </w:r>
      <w:r w:rsidRPr="00C963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доступ</w:t>
      </w:r>
      <w:r w:rsidRPr="00C963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C963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основаниям</w:t>
      </w:r>
      <w:r w:rsidRPr="00C963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C963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отказа</w:t>
      </w:r>
      <w:r w:rsidRPr="00C963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рассматривается некоторыми потенциальными пользователями</w:t>
      </w:r>
      <w:r w:rsidRPr="00C963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как фактор, сдерживающий от использования</w:t>
      </w:r>
      <w:r w:rsidRPr="00C963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Гаагской системы</w:t>
      </w:r>
      <w:r w:rsidRPr="00C9639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поскольку предшествующий образец, упоминаемый в уведомлении об отказе, направленном одним Ведомством, становится известным конкурентам и может использоваться как потенциальное основание для</w:t>
      </w:r>
      <w:r w:rsidRPr="00C963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признания недействительности в других юрисдикциях</w:t>
      </w:r>
      <w:r w:rsidRPr="00C96393">
        <w:rPr>
          <w:szCs w:val="22"/>
          <w:lang w:val="ru-RU"/>
        </w:rPr>
        <w:t>.</w:t>
      </w:r>
    </w:p>
    <w:p w:rsidR="00ED2FDD" w:rsidRDefault="00ED2FDD">
      <w:pPr>
        <w:rPr>
          <w:b/>
          <w:bCs/>
          <w:caps/>
          <w:kern w:val="32"/>
          <w:szCs w:val="32"/>
        </w:rPr>
      </w:pPr>
      <w:r>
        <w:br w:type="page"/>
      </w:r>
    </w:p>
    <w:p w:rsidR="009A4689" w:rsidRPr="00D45EC7" w:rsidRDefault="009A4689" w:rsidP="009A4689">
      <w:pPr>
        <w:pStyle w:val="Heading1"/>
        <w:spacing w:before="480"/>
        <w:rPr>
          <w:lang w:val="ru-RU"/>
        </w:rPr>
      </w:pPr>
      <w:r w:rsidRPr="00510815">
        <w:lastRenderedPageBreak/>
        <w:t>III</w:t>
      </w:r>
      <w:r w:rsidRPr="00C96393">
        <w:rPr>
          <w:lang w:val="ru-RU"/>
        </w:rPr>
        <w:t>.</w:t>
      </w:r>
      <w:r w:rsidRPr="00C96393">
        <w:rPr>
          <w:lang w:val="ru-RU"/>
        </w:rPr>
        <w:tab/>
      </w:r>
      <w:r>
        <w:rPr>
          <w:lang w:val="ru-RU"/>
        </w:rPr>
        <w:t>анализ</w:t>
      </w:r>
    </w:p>
    <w:p w:rsidR="009A4689" w:rsidRPr="00ED2FDD" w:rsidRDefault="009A4689" w:rsidP="009A4689">
      <w:pPr>
        <w:pStyle w:val="Heading2"/>
        <w:rPr>
          <w:lang w:val="fr-CH" w:eastAsia="en-US"/>
        </w:rPr>
      </w:pPr>
      <w:r>
        <w:rPr>
          <w:lang w:val="ru-RU" w:eastAsia="en-US"/>
        </w:rPr>
        <w:t>характер и ценность информации</w:t>
      </w:r>
    </w:p>
    <w:p w:rsidR="009A4689" w:rsidRPr="004444B1" w:rsidRDefault="009A4689" w:rsidP="009A4689">
      <w:pPr>
        <w:pStyle w:val="ONUME"/>
        <w:numPr>
          <w:ilvl w:val="0"/>
          <w:numId w:val="8"/>
        </w:numPr>
        <w:rPr>
          <w:lang w:val="ru-RU" w:eastAsia="en-US"/>
        </w:rPr>
      </w:pPr>
      <w:r>
        <w:rPr>
          <w:lang w:val="ru-RU"/>
        </w:rPr>
        <w:t>Загрузка</w:t>
      </w:r>
      <w:r w:rsidRPr="004444B1">
        <w:rPr>
          <w:lang w:val="ru-RU"/>
        </w:rPr>
        <w:t xml:space="preserve"> </w:t>
      </w:r>
      <w:r>
        <w:rPr>
          <w:lang w:val="ru-RU"/>
        </w:rPr>
        <w:t>копии</w:t>
      </w:r>
      <w:r w:rsidRPr="004444B1">
        <w:rPr>
          <w:lang w:val="ru-RU"/>
        </w:rPr>
        <w:t xml:space="preserve"> </w:t>
      </w:r>
      <w:r>
        <w:rPr>
          <w:lang w:val="ru-RU"/>
        </w:rPr>
        <w:t>уведомления</w:t>
      </w:r>
      <w:r w:rsidRPr="004444B1">
        <w:rPr>
          <w:lang w:val="ru-RU"/>
        </w:rPr>
        <w:t xml:space="preserve"> </w:t>
      </w:r>
      <w:r>
        <w:rPr>
          <w:lang w:val="ru-RU"/>
        </w:rPr>
        <w:t>об</w:t>
      </w:r>
      <w:r w:rsidRPr="004444B1">
        <w:rPr>
          <w:lang w:val="ru-RU"/>
        </w:rPr>
        <w:t xml:space="preserve"> </w:t>
      </w:r>
      <w:r>
        <w:rPr>
          <w:lang w:val="ru-RU"/>
        </w:rPr>
        <w:t>отказе</w:t>
      </w:r>
      <w:r w:rsidRPr="004444B1">
        <w:rPr>
          <w:lang w:val="ru-RU"/>
        </w:rPr>
        <w:t xml:space="preserve"> </w:t>
      </w:r>
      <w:r>
        <w:rPr>
          <w:lang w:val="ru-RU"/>
        </w:rPr>
        <w:t>в</w:t>
      </w:r>
      <w:r w:rsidRPr="004444B1">
        <w:rPr>
          <w:lang w:val="ru-RU"/>
        </w:rPr>
        <w:t xml:space="preserve"> </w:t>
      </w:r>
      <w:r>
        <w:rPr>
          <w:lang w:val="ru-RU"/>
        </w:rPr>
        <w:t>формате</w:t>
      </w:r>
      <w:r w:rsidRPr="004444B1">
        <w:rPr>
          <w:lang w:val="ru-RU"/>
        </w:rPr>
        <w:t xml:space="preserve"> </w:t>
      </w:r>
      <w:r>
        <w:t>PDF</w:t>
      </w:r>
      <w:r w:rsidRPr="004444B1">
        <w:rPr>
          <w:lang w:val="ru-RU"/>
        </w:rPr>
        <w:t xml:space="preserve"> </w:t>
      </w:r>
      <w:r>
        <w:rPr>
          <w:lang w:val="ru-RU"/>
        </w:rPr>
        <w:t>на</w:t>
      </w:r>
      <w:r w:rsidRPr="004444B1">
        <w:rPr>
          <w:lang w:val="ru-RU"/>
        </w:rPr>
        <w:t xml:space="preserve"> </w:t>
      </w:r>
      <w:r>
        <w:rPr>
          <w:lang w:val="ru-RU"/>
        </w:rPr>
        <w:t>веб-сайт ВОИС следует прецеденту, установленному в рамках Мадридской системы</w:t>
      </w:r>
      <w:r>
        <w:rPr>
          <w:rStyle w:val="FootnoteReference"/>
        </w:rPr>
        <w:footnoteReference w:id="5"/>
      </w:r>
      <w:r w:rsidRPr="004444B1">
        <w:rPr>
          <w:lang w:val="ru-RU"/>
        </w:rPr>
        <w:t>.</w:t>
      </w:r>
    </w:p>
    <w:p w:rsidR="009A4689" w:rsidRPr="0002332A" w:rsidRDefault="009A4689" w:rsidP="009A4689">
      <w:pPr>
        <w:pStyle w:val="ONUME"/>
        <w:numPr>
          <w:ilvl w:val="0"/>
          <w:numId w:val="8"/>
        </w:numPr>
        <w:rPr>
          <w:lang w:val="ru-RU" w:eastAsia="en-US"/>
        </w:rPr>
      </w:pPr>
      <w:r>
        <w:rPr>
          <w:lang w:val="ru-RU"/>
        </w:rPr>
        <w:t>Однако для охраны товарного знака не требуется новизна</w:t>
      </w:r>
      <w:r w:rsidRPr="004444B1">
        <w:rPr>
          <w:lang w:val="ru-RU"/>
        </w:rPr>
        <w:t xml:space="preserve">.  </w:t>
      </w:r>
      <w:r>
        <w:rPr>
          <w:lang w:val="ru-RU"/>
        </w:rPr>
        <w:t>Любой</w:t>
      </w:r>
      <w:r w:rsidRPr="004444B1">
        <w:rPr>
          <w:lang w:val="ru-RU"/>
        </w:rPr>
        <w:t xml:space="preserve"> </w:t>
      </w:r>
      <w:r>
        <w:rPr>
          <w:lang w:val="ru-RU"/>
        </w:rPr>
        <w:t>конфликт</w:t>
      </w:r>
      <w:r w:rsidRPr="004444B1">
        <w:rPr>
          <w:lang w:val="ru-RU"/>
        </w:rPr>
        <w:t xml:space="preserve"> </w:t>
      </w:r>
      <w:r>
        <w:rPr>
          <w:lang w:val="ru-RU"/>
        </w:rPr>
        <w:t>с</w:t>
      </w:r>
      <w:r w:rsidRPr="004444B1">
        <w:rPr>
          <w:lang w:val="ru-RU"/>
        </w:rPr>
        <w:t xml:space="preserve"> </w:t>
      </w:r>
      <w:r>
        <w:rPr>
          <w:lang w:val="ru-RU"/>
        </w:rPr>
        <w:t>более</w:t>
      </w:r>
      <w:r w:rsidRPr="004444B1">
        <w:rPr>
          <w:lang w:val="ru-RU"/>
        </w:rPr>
        <w:t xml:space="preserve"> </w:t>
      </w:r>
      <w:r>
        <w:rPr>
          <w:lang w:val="ru-RU"/>
        </w:rPr>
        <w:t>ранним</w:t>
      </w:r>
      <w:r w:rsidRPr="004444B1">
        <w:rPr>
          <w:lang w:val="ru-RU"/>
        </w:rPr>
        <w:t xml:space="preserve"> </w:t>
      </w:r>
      <w:r>
        <w:rPr>
          <w:lang w:val="ru-RU"/>
        </w:rPr>
        <w:t>товарным</w:t>
      </w:r>
      <w:r w:rsidRPr="004444B1">
        <w:rPr>
          <w:lang w:val="ru-RU"/>
        </w:rPr>
        <w:t xml:space="preserve"> </w:t>
      </w:r>
      <w:r>
        <w:rPr>
          <w:lang w:val="ru-RU"/>
        </w:rPr>
        <w:t>знаком</w:t>
      </w:r>
      <w:r w:rsidRPr="004444B1">
        <w:rPr>
          <w:lang w:val="ru-RU"/>
        </w:rPr>
        <w:t xml:space="preserve">, </w:t>
      </w:r>
      <w:r>
        <w:rPr>
          <w:lang w:val="ru-RU"/>
        </w:rPr>
        <w:t>зарегистрированным</w:t>
      </w:r>
      <w:r w:rsidRPr="004444B1">
        <w:rPr>
          <w:lang w:val="ru-RU"/>
        </w:rPr>
        <w:t xml:space="preserve"> </w:t>
      </w:r>
      <w:r>
        <w:rPr>
          <w:lang w:val="ru-RU"/>
        </w:rPr>
        <w:t>или</w:t>
      </w:r>
      <w:r w:rsidRPr="004444B1">
        <w:rPr>
          <w:lang w:val="ru-RU"/>
        </w:rPr>
        <w:t xml:space="preserve"> </w:t>
      </w:r>
      <w:r>
        <w:rPr>
          <w:lang w:val="ru-RU"/>
        </w:rPr>
        <w:t>не</w:t>
      </w:r>
      <w:r w:rsidRPr="004444B1">
        <w:rPr>
          <w:lang w:val="ru-RU"/>
        </w:rPr>
        <w:t xml:space="preserve"> </w:t>
      </w:r>
      <w:r>
        <w:rPr>
          <w:lang w:val="ru-RU"/>
        </w:rPr>
        <w:t>зарегистрированным</w:t>
      </w:r>
      <w:r w:rsidRPr="004444B1">
        <w:rPr>
          <w:lang w:val="ru-RU"/>
        </w:rPr>
        <w:t xml:space="preserve">, </w:t>
      </w:r>
      <w:r>
        <w:rPr>
          <w:lang w:val="ru-RU"/>
        </w:rPr>
        <w:t>может</w:t>
      </w:r>
      <w:r w:rsidRPr="004444B1">
        <w:rPr>
          <w:lang w:val="ru-RU"/>
        </w:rPr>
        <w:t xml:space="preserve"> </w:t>
      </w:r>
      <w:r>
        <w:rPr>
          <w:lang w:val="ru-RU"/>
        </w:rPr>
        <w:t>быть</w:t>
      </w:r>
      <w:r w:rsidRPr="004444B1">
        <w:rPr>
          <w:lang w:val="ru-RU"/>
        </w:rPr>
        <w:t xml:space="preserve"> </w:t>
      </w:r>
      <w:r>
        <w:rPr>
          <w:lang w:val="ru-RU"/>
        </w:rPr>
        <w:t>подвергнут экспертизе</w:t>
      </w:r>
      <w:r w:rsidRPr="004444B1">
        <w:rPr>
          <w:lang w:val="ru-RU"/>
        </w:rPr>
        <w:t xml:space="preserve"> </w:t>
      </w:r>
      <w:r w:rsidRPr="00EF1BC8">
        <w:rPr>
          <w:i/>
        </w:rPr>
        <w:t>ex</w:t>
      </w:r>
      <w:r>
        <w:rPr>
          <w:i/>
        </w:rPr>
        <w:t> </w:t>
      </w:r>
      <w:r w:rsidRPr="00EF1BC8">
        <w:rPr>
          <w:i/>
        </w:rPr>
        <w:t>officio</w:t>
      </w:r>
      <w:r w:rsidRPr="004444B1">
        <w:rPr>
          <w:lang w:val="ru-RU"/>
        </w:rPr>
        <w:t xml:space="preserve"> </w:t>
      </w:r>
      <w:r>
        <w:rPr>
          <w:lang w:val="ru-RU"/>
        </w:rPr>
        <w:t>или</w:t>
      </w:r>
      <w:r w:rsidRPr="004444B1">
        <w:rPr>
          <w:lang w:val="ru-RU"/>
        </w:rPr>
        <w:t xml:space="preserve"> </w:t>
      </w:r>
      <w:r>
        <w:rPr>
          <w:lang w:val="ru-RU"/>
        </w:rPr>
        <w:t>на</w:t>
      </w:r>
      <w:r w:rsidRPr="004444B1">
        <w:rPr>
          <w:lang w:val="ru-RU"/>
        </w:rPr>
        <w:t xml:space="preserve"> </w:t>
      </w:r>
      <w:r>
        <w:rPr>
          <w:lang w:val="ru-RU"/>
        </w:rPr>
        <w:t>основе</w:t>
      </w:r>
      <w:r w:rsidRPr="004444B1">
        <w:rPr>
          <w:lang w:val="ru-RU"/>
        </w:rPr>
        <w:t xml:space="preserve"> </w:t>
      </w:r>
      <w:r>
        <w:rPr>
          <w:lang w:val="ru-RU"/>
        </w:rPr>
        <w:t>возражения</w:t>
      </w:r>
      <w:r w:rsidRPr="004444B1">
        <w:rPr>
          <w:lang w:val="ru-RU"/>
        </w:rPr>
        <w:t xml:space="preserve">, </w:t>
      </w:r>
      <w:r>
        <w:rPr>
          <w:lang w:val="ru-RU"/>
        </w:rPr>
        <w:t>либо по нему может быть вынесено решение</w:t>
      </w:r>
      <w:r w:rsidRPr="004444B1">
        <w:rPr>
          <w:lang w:val="ru-RU"/>
        </w:rPr>
        <w:t xml:space="preserve"> </w:t>
      </w:r>
      <w:r>
        <w:rPr>
          <w:lang w:val="ru-RU"/>
        </w:rPr>
        <w:t>в ходе судебного разбирательства с учетом сходства между обоими товарными знаками</w:t>
      </w:r>
      <w:r w:rsidRPr="004444B1">
        <w:rPr>
          <w:lang w:val="ru-RU"/>
        </w:rPr>
        <w:t xml:space="preserve">, </w:t>
      </w:r>
      <w:r>
        <w:rPr>
          <w:lang w:val="ru-RU"/>
        </w:rPr>
        <w:t>объема перечня товаров и/или услуг</w:t>
      </w:r>
      <w:r w:rsidRPr="004444B1">
        <w:rPr>
          <w:lang w:val="ru-RU"/>
        </w:rPr>
        <w:t xml:space="preserve">, </w:t>
      </w:r>
      <w:r>
        <w:rPr>
          <w:lang w:val="ru-RU"/>
        </w:rPr>
        <w:t>их фактического использования в торговле и/или</w:t>
      </w:r>
      <w:r w:rsidRPr="004444B1">
        <w:rPr>
          <w:lang w:val="ru-RU"/>
        </w:rPr>
        <w:t xml:space="preserve"> </w:t>
      </w:r>
      <w:r>
        <w:rPr>
          <w:lang w:val="ru-RU"/>
        </w:rPr>
        <w:t>известности в конкретной местности</w:t>
      </w:r>
      <w:r w:rsidRPr="004444B1">
        <w:rPr>
          <w:lang w:val="ru-RU"/>
        </w:rPr>
        <w:t xml:space="preserve">.  </w:t>
      </w:r>
      <w:r>
        <w:rPr>
          <w:lang w:val="ru-RU"/>
        </w:rPr>
        <w:t>Соответственно</w:t>
      </w:r>
      <w:r w:rsidRPr="0002332A">
        <w:rPr>
          <w:lang w:val="ru-RU"/>
        </w:rPr>
        <w:t xml:space="preserve">, </w:t>
      </w:r>
      <w:r>
        <w:rPr>
          <w:lang w:val="ru-RU"/>
        </w:rPr>
        <w:t>основание</w:t>
      </w:r>
      <w:r w:rsidRPr="0002332A">
        <w:rPr>
          <w:lang w:val="ru-RU"/>
        </w:rPr>
        <w:t xml:space="preserve"> </w:t>
      </w:r>
      <w:r>
        <w:rPr>
          <w:lang w:val="ru-RU"/>
        </w:rPr>
        <w:t>для</w:t>
      </w:r>
      <w:r w:rsidRPr="0002332A">
        <w:rPr>
          <w:lang w:val="ru-RU"/>
        </w:rPr>
        <w:t xml:space="preserve"> </w:t>
      </w:r>
      <w:r>
        <w:rPr>
          <w:lang w:val="ru-RU"/>
        </w:rPr>
        <w:t>отказа</w:t>
      </w:r>
      <w:r w:rsidRPr="0002332A">
        <w:rPr>
          <w:lang w:val="ru-RU"/>
        </w:rPr>
        <w:t xml:space="preserve">, </w:t>
      </w:r>
      <w:r>
        <w:rPr>
          <w:lang w:val="ru-RU"/>
        </w:rPr>
        <w:t>приемлемое</w:t>
      </w:r>
      <w:r w:rsidRPr="0002332A">
        <w:rPr>
          <w:lang w:val="ru-RU"/>
        </w:rPr>
        <w:t xml:space="preserve"> </w:t>
      </w:r>
      <w:r>
        <w:rPr>
          <w:lang w:val="ru-RU"/>
        </w:rPr>
        <w:t>в</w:t>
      </w:r>
      <w:r w:rsidRPr="0002332A">
        <w:rPr>
          <w:lang w:val="ru-RU"/>
        </w:rPr>
        <w:t xml:space="preserve"> </w:t>
      </w:r>
      <w:r>
        <w:rPr>
          <w:lang w:val="ru-RU"/>
        </w:rPr>
        <w:t>одной</w:t>
      </w:r>
      <w:r w:rsidRPr="0002332A">
        <w:rPr>
          <w:lang w:val="ru-RU"/>
        </w:rPr>
        <w:t xml:space="preserve"> </w:t>
      </w:r>
      <w:r>
        <w:rPr>
          <w:lang w:val="ru-RU"/>
        </w:rPr>
        <w:t>юрисдикции</w:t>
      </w:r>
      <w:r w:rsidRPr="0002332A">
        <w:rPr>
          <w:lang w:val="ru-RU"/>
        </w:rPr>
        <w:t xml:space="preserve">, </w:t>
      </w:r>
      <w:r>
        <w:rPr>
          <w:lang w:val="ru-RU"/>
        </w:rPr>
        <w:t>возможно</w:t>
      </w:r>
      <w:r w:rsidRPr="0002332A">
        <w:rPr>
          <w:lang w:val="ru-RU"/>
        </w:rPr>
        <w:t xml:space="preserve">, </w:t>
      </w:r>
      <w:r>
        <w:rPr>
          <w:lang w:val="ru-RU"/>
        </w:rPr>
        <w:t>не</w:t>
      </w:r>
      <w:r w:rsidRPr="0002332A">
        <w:rPr>
          <w:lang w:val="ru-RU"/>
        </w:rPr>
        <w:t xml:space="preserve"> </w:t>
      </w:r>
      <w:r>
        <w:rPr>
          <w:lang w:val="ru-RU"/>
        </w:rPr>
        <w:t>будет</w:t>
      </w:r>
      <w:r w:rsidRPr="0002332A">
        <w:rPr>
          <w:lang w:val="ru-RU"/>
        </w:rPr>
        <w:t xml:space="preserve"> </w:t>
      </w:r>
      <w:r>
        <w:rPr>
          <w:lang w:val="ru-RU"/>
        </w:rPr>
        <w:t>подтверждено или даже признано относимым в других юрисдикциях</w:t>
      </w:r>
      <w:r w:rsidRPr="0002332A">
        <w:rPr>
          <w:lang w:val="ru-RU"/>
        </w:rPr>
        <w:t>.</w:t>
      </w:r>
    </w:p>
    <w:p w:rsidR="009A4689" w:rsidRPr="0002332A" w:rsidRDefault="009A4689" w:rsidP="009A4689">
      <w:pPr>
        <w:pStyle w:val="ONUME"/>
        <w:numPr>
          <w:ilvl w:val="0"/>
          <w:numId w:val="8"/>
        </w:numPr>
        <w:rPr>
          <w:lang w:val="ru-RU" w:eastAsia="en-US"/>
        </w:rPr>
      </w:pPr>
      <w:r>
        <w:rPr>
          <w:lang w:val="ru-RU"/>
        </w:rPr>
        <w:t>В</w:t>
      </w:r>
      <w:r w:rsidRPr="0002332A">
        <w:rPr>
          <w:lang w:val="ru-RU"/>
        </w:rPr>
        <w:t xml:space="preserve"> </w:t>
      </w:r>
      <w:r>
        <w:rPr>
          <w:lang w:val="ru-RU"/>
        </w:rPr>
        <w:t>отличие</w:t>
      </w:r>
      <w:r w:rsidRPr="0002332A">
        <w:rPr>
          <w:lang w:val="ru-RU"/>
        </w:rPr>
        <w:t xml:space="preserve"> </w:t>
      </w:r>
      <w:r>
        <w:rPr>
          <w:lang w:val="ru-RU"/>
        </w:rPr>
        <w:t>от</w:t>
      </w:r>
      <w:r w:rsidRPr="0002332A">
        <w:rPr>
          <w:lang w:val="ru-RU"/>
        </w:rPr>
        <w:t xml:space="preserve"> </w:t>
      </w:r>
      <w:r>
        <w:rPr>
          <w:lang w:val="ru-RU"/>
        </w:rPr>
        <w:t>этого</w:t>
      </w:r>
      <w:r w:rsidRPr="0002332A">
        <w:rPr>
          <w:lang w:val="ru-RU"/>
        </w:rPr>
        <w:t xml:space="preserve"> </w:t>
      </w:r>
      <w:r>
        <w:rPr>
          <w:lang w:val="ru-RU"/>
        </w:rPr>
        <w:t>новизна</w:t>
      </w:r>
      <w:r w:rsidRPr="0002332A">
        <w:rPr>
          <w:lang w:val="ru-RU"/>
        </w:rPr>
        <w:t xml:space="preserve"> </w:t>
      </w:r>
      <w:r>
        <w:rPr>
          <w:lang w:val="ru-RU"/>
        </w:rPr>
        <w:t>крайне</w:t>
      </w:r>
      <w:r w:rsidRPr="0002332A">
        <w:rPr>
          <w:lang w:val="ru-RU"/>
        </w:rPr>
        <w:t xml:space="preserve"> </w:t>
      </w:r>
      <w:r>
        <w:rPr>
          <w:lang w:val="ru-RU"/>
        </w:rPr>
        <w:t>важна</w:t>
      </w:r>
      <w:r w:rsidRPr="0002332A">
        <w:rPr>
          <w:lang w:val="ru-RU"/>
        </w:rPr>
        <w:t xml:space="preserve"> </w:t>
      </w:r>
      <w:r>
        <w:rPr>
          <w:lang w:val="ru-RU"/>
        </w:rPr>
        <w:t>для</w:t>
      </w:r>
      <w:r w:rsidRPr="0002332A">
        <w:rPr>
          <w:lang w:val="ru-RU"/>
        </w:rPr>
        <w:t xml:space="preserve"> </w:t>
      </w:r>
      <w:r>
        <w:rPr>
          <w:lang w:val="ru-RU"/>
        </w:rPr>
        <w:t>действенности права на образец</w:t>
      </w:r>
      <w:r w:rsidRPr="0002332A">
        <w:rPr>
          <w:lang w:val="ru-RU"/>
        </w:rPr>
        <w:t xml:space="preserve">.  </w:t>
      </w:r>
      <w:r>
        <w:rPr>
          <w:lang w:val="ru-RU"/>
        </w:rPr>
        <w:t>Большинство юрисдикций требуют мировой новизны в качестве одного из условий для регистрации или патентования того или иного конкретного образца</w:t>
      </w:r>
      <w:r w:rsidRPr="0002332A">
        <w:rPr>
          <w:lang w:val="ru-RU"/>
        </w:rPr>
        <w:t xml:space="preserve">, </w:t>
      </w:r>
      <w:r>
        <w:rPr>
          <w:lang w:val="ru-RU"/>
        </w:rPr>
        <w:t>независимо от того, проводят ли их ведомства экспертизу</w:t>
      </w:r>
      <w:r w:rsidRPr="0002332A">
        <w:rPr>
          <w:lang w:val="ru-RU"/>
        </w:rPr>
        <w:t xml:space="preserve"> </w:t>
      </w:r>
      <w:r w:rsidRPr="000440FB">
        <w:rPr>
          <w:i/>
        </w:rPr>
        <w:t>ex</w:t>
      </w:r>
      <w:r>
        <w:rPr>
          <w:i/>
        </w:rPr>
        <w:t> </w:t>
      </w:r>
      <w:r w:rsidRPr="000440FB">
        <w:rPr>
          <w:i/>
        </w:rPr>
        <w:t>officio</w:t>
      </w:r>
      <w:r w:rsidRPr="0002332A">
        <w:rPr>
          <w:lang w:val="ru-RU"/>
        </w:rPr>
        <w:t xml:space="preserve">.  </w:t>
      </w:r>
      <w:r>
        <w:rPr>
          <w:lang w:val="ru-RU"/>
        </w:rPr>
        <w:t>Соответственно</w:t>
      </w:r>
      <w:r w:rsidRPr="0002332A">
        <w:rPr>
          <w:lang w:val="ru-RU"/>
        </w:rPr>
        <w:t xml:space="preserve">, </w:t>
      </w:r>
      <w:r>
        <w:rPr>
          <w:lang w:val="ru-RU"/>
        </w:rPr>
        <w:t>предшествующий образец, найденный и упомянутый любым другим Ведомством, будет представлять собой гораздо более закрытую информацию</w:t>
      </w:r>
      <w:r w:rsidRPr="0002332A">
        <w:rPr>
          <w:lang w:val="ru-RU"/>
        </w:rPr>
        <w:t>.</w:t>
      </w:r>
    </w:p>
    <w:p w:rsidR="009A4689" w:rsidRPr="002E430F" w:rsidRDefault="009A4689" w:rsidP="009A4689">
      <w:pPr>
        <w:pStyle w:val="ONUME"/>
        <w:numPr>
          <w:ilvl w:val="0"/>
          <w:numId w:val="8"/>
        </w:numPr>
        <w:rPr>
          <w:lang w:val="ru-RU" w:eastAsia="en-US"/>
        </w:rPr>
      </w:pPr>
      <w:r>
        <w:rPr>
          <w:lang w:val="ru-RU" w:eastAsia="en-US"/>
        </w:rPr>
        <w:t>Однако в этом случае вопрос сводится к вероятности отказа на основании отсутствия новизны</w:t>
      </w:r>
      <w:r w:rsidRPr="002E430F">
        <w:rPr>
          <w:lang w:val="ru-RU" w:eastAsia="en-US"/>
        </w:rPr>
        <w:t xml:space="preserve">.  </w:t>
      </w:r>
      <w:r>
        <w:rPr>
          <w:lang w:val="ru-RU"/>
        </w:rPr>
        <w:t>Японское</w:t>
      </w:r>
      <w:r w:rsidRPr="002E430F">
        <w:rPr>
          <w:lang w:val="ru-RU"/>
        </w:rPr>
        <w:t xml:space="preserve"> </w:t>
      </w:r>
      <w:r>
        <w:rPr>
          <w:lang w:val="ru-RU"/>
        </w:rPr>
        <w:t>патентное</w:t>
      </w:r>
      <w:r w:rsidRPr="002E430F">
        <w:rPr>
          <w:lang w:val="ru-RU"/>
        </w:rPr>
        <w:t xml:space="preserve"> </w:t>
      </w:r>
      <w:r>
        <w:rPr>
          <w:lang w:val="ru-RU"/>
        </w:rPr>
        <w:t>ведомство</w:t>
      </w:r>
      <w:r w:rsidRPr="002E430F">
        <w:rPr>
          <w:lang w:val="ru-RU"/>
        </w:rPr>
        <w:t xml:space="preserve"> (</w:t>
      </w:r>
      <w:r>
        <w:rPr>
          <w:lang w:val="ru-RU"/>
        </w:rPr>
        <w:t>ЯПВ</w:t>
      </w:r>
      <w:r w:rsidRPr="002E430F">
        <w:rPr>
          <w:lang w:val="ru-RU"/>
        </w:rPr>
        <w:t xml:space="preserve">), </w:t>
      </w:r>
      <w:r>
        <w:rPr>
          <w:lang w:val="ru-RU"/>
        </w:rPr>
        <w:t>Корейское</w:t>
      </w:r>
      <w:r w:rsidRPr="002E430F">
        <w:rPr>
          <w:lang w:val="ru-RU"/>
        </w:rPr>
        <w:t xml:space="preserve"> </w:t>
      </w:r>
      <w:r>
        <w:rPr>
          <w:lang w:val="ru-RU"/>
        </w:rPr>
        <w:t>ведомство</w:t>
      </w:r>
      <w:r w:rsidRPr="002E430F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2E430F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2E430F">
        <w:rPr>
          <w:lang w:val="ru-RU"/>
        </w:rPr>
        <w:t xml:space="preserve"> (</w:t>
      </w:r>
      <w:r>
        <w:rPr>
          <w:lang w:val="ru-RU"/>
        </w:rPr>
        <w:t>КВИС</w:t>
      </w:r>
      <w:r w:rsidRPr="002E430F">
        <w:rPr>
          <w:lang w:val="ru-RU"/>
        </w:rPr>
        <w:t xml:space="preserve">) </w:t>
      </w:r>
      <w:r>
        <w:rPr>
          <w:lang w:val="ru-RU"/>
        </w:rPr>
        <w:t>и Ведомство США по патентам и товарным знакам</w:t>
      </w:r>
      <w:r w:rsidRPr="002E430F">
        <w:rPr>
          <w:lang w:val="ru-RU"/>
        </w:rPr>
        <w:t xml:space="preserve"> (</w:t>
      </w:r>
      <w:r>
        <w:rPr>
          <w:lang w:val="ru-RU"/>
        </w:rPr>
        <w:t>ВПТЗ США</w:t>
      </w:r>
      <w:r w:rsidRPr="002E430F">
        <w:rPr>
          <w:lang w:val="ru-RU"/>
        </w:rPr>
        <w:t xml:space="preserve">) </w:t>
      </w:r>
      <w:r>
        <w:rPr>
          <w:lang w:val="ru-RU"/>
        </w:rPr>
        <w:t>являются в настоящее время тремя главными ведомствами,</w:t>
      </w:r>
      <w:r w:rsidRPr="002E430F">
        <w:rPr>
          <w:lang w:val="ru-RU"/>
        </w:rPr>
        <w:t xml:space="preserve"> </w:t>
      </w:r>
      <w:r>
        <w:rPr>
          <w:lang w:val="ru-RU"/>
        </w:rPr>
        <w:t>выдающими уведомления об отказе</w:t>
      </w:r>
      <w:r w:rsidRPr="002E430F">
        <w:rPr>
          <w:lang w:val="ru-RU"/>
        </w:rPr>
        <w:t xml:space="preserve">.  </w:t>
      </w:r>
      <w:r>
        <w:rPr>
          <w:lang w:val="ru-RU"/>
        </w:rPr>
        <w:t>В</w:t>
      </w:r>
      <w:r w:rsidRPr="002E430F">
        <w:rPr>
          <w:lang w:val="ru-RU"/>
        </w:rPr>
        <w:t xml:space="preserve"> 2017 </w:t>
      </w:r>
      <w:r>
        <w:rPr>
          <w:lang w:val="ru-RU"/>
        </w:rPr>
        <w:t>г</w:t>
      </w:r>
      <w:r w:rsidRPr="002E430F">
        <w:rPr>
          <w:lang w:val="ru-RU"/>
        </w:rPr>
        <w:t xml:space="preserve">. </w:t>
      </w:r>
      <w:r>
        <w:rPr>
          <w:lang w:val="ru-RU"/>
        </w:rPr>
        <w:t>От</w:t>
      </w:r>
      <w:r w:rsidRPr="002E430F">
        <w:rPr>
          <w:lang w:val="ru-RU"/>
        </w:rPr>
        <w:t xml:space="preserve"> </w:t>
      </w:r>
      <w:r>
        <w:rPr>
          <w:lang w:val="ru-RU"/>
        </w:rPr>
        <w:t>ЯПВ</w:t>
      </w:r>
      <w:r w:rsidRPr="002E430F">
        <w:rPr>
          <w:lang w:val="ru-RU"/>
        </w:rPr>
        <w:t xml:space="preserve">, </w:t>
      </w:r>
      <w:r>
        <w:rPr>
          <w:lang w:val="ru-RU"/>
        </w:rPr>
        <w:t>КВИС</w:t>
      </w:r>
      <w:r w:rsidRPr="002E430F">
        <w:rPr>
          <w:lang w:val="ru-RU"/>
        </w:rPr>
        <w:t xml:space="preserve"> </w:t>
      </w:r>
      <w:r>
        <w:rPr>
          <w:lang w:val="ru-RU"/>
        </w:rPr>
        <w:t>и</w:t>
      </w:r>
      <w:r w:rsidRPr="002E430F">
        <w:rPr>
          <w:lang w:val="ru-RU"/>
        </w:rPr>
        <w:t xml:space="preserve"> </w:t>
      </w:r>
      <w:r>
        <w:rPr>
          <w:lang w:val="ru-RU"/>
        </w:rPr>
        <w:t>ВПТЗ</w:t>
      </w:r>
      <w:r w:rsidRPr="002E430F">
        <w:rPr>
          <w:lang w:val="ru-RU"/>
        </w:rPr>
        <w:t xml:space="preserve"> </w:t>
      </w:r>
      <w:r>
        <w:rPr>
          <w:lang w:val="ru-RU"/>
        </w:rPr>
        <w:t>США</w:t>
      </w:r>
      <w:r w:rsidRPr="002E430F">
        <w:rPr>
          <w:lang w:val="ru-RU"/>
        </w:rPr>
        <w:t xml:space="preserve"> </w:t>
      </w:r>
      <w:r>
        <w:rPr>
          <w:lang w:val="ru-RU"/>
        </w:rPr>
        <w:t>было</w:t>
      </w:r>
      <w:r w:rsidRPr="002E430F">
        <w:rPr>
          <w:lang w:val="ru-RU"/>
        </w:rPr>
        <w:t xml:space="preserve"> </w:t>
      </w:r>
      <w:r>
        <w:rPr>
          <w:lang w:val="ru-RU"/>
        </w:rPr>
        <w:t>получено</w:t>
      </w:r>
      <w:r w:rsidRPr="002E430F">
        <w:rPr>
          <w:lang w:val="ru-RU"/>
        </w:rPr>
        <w:t xml:space="preserve">, </w:t>
      </w:r>
      <w:r>
        <w:rPr>
          <w:lang w:val="ru-RU"/>
        </w:rPr>
        <w:t>соответственно</w:t>
      </w:r>
      <w:r w:rsidRPr="002E430F">
        <w:rPr>
          <w:lang w:val="ru-RU"/>
        </w:rPr>
        <w:t>, 1550,</w:t>
      </w:r>
      <w:r w:rsidRPr="00A80BAF">
        <w:rPr>
          <w:rStyle w:val="FootnoteReference"/>
        </w:rPr>
        <w:footnoteReference w:id="6"/>
      </w:r>
      <w:r w:rsidRPr="002E430F">
        <w:rPr>
          <w:lang w:val="ru-RU"/>
        </w:rPr>
        <w:t xml:space="preserve"> 598 </w:t>
      </w:r>
      <w:r>
        <w:rPr>
          <w:lang w:val="ru-RU"/>
        </w:rPr>
        <w:t>и</w:t>
      </w:r>
      <w:r w:rsidRPr="002E430F">
        <w:rPr>
          <w:lang w:val="ru-RU"/>
        </w:rPr>
        <w:t xml:space="preserve"> 1285 </w:t>
      </w:r>
      <w:r>
        <w:rPr>
          <w:lang w:val="ru-RU"/>
        </w:rPr>
        <w:t>отказов</w:t>
      </w:r>
      <w:r w:rsidRPr="002E430F">
        <w:rPr>
          <w:lang w:val="ru-RU"/>
        </w:rPr>
        <w:t xml:space="preserve">, </w:t>
      </w:r>
      <w:r>
        <w:rPr>
          <w:lang w:val="ru-RU"/>
        </w:rPr>
        <w:t>и в общей сложности они составили</w:t>
      </w:r>
      <w:r w:rsidRPr="002E430F">
        <w:rPr>
          <w:lang w:val="ru-RU"/>
        </w:rPr>
        <w:t xml:space="preserve"> 96</w:t>
      </w:r>
      <w:r>
        <w:rPr>
          <w:lang w:val="ru-RU"/>
        </w:rPr>
        <w:t>,</w:t>
      </w:r>
      <w:r w:rsidRPr="002E430F">
        <w:rPr>
          <w:lang w:val="ru-RU"/>
        </w:rPr>
        <w:t>1</w:t>
      </w:r>
      <w:r>
        <w:t> </w:t>
      </w:r>
      <w:r>
        <w:rPr>
          <w:lang w:val="ru-RU"/>
        </w:rPr>
        <w:t>процента от общего количества отказов</w:t>
      </w:r>
      <w:r w:rsidRPr="002E430F">
        <w:rPr>
          <w:lang w:val="ru-RU"/>
        </w:rPr>
        <w:t xml:space="preserve">.  </w:t>
      </w:r>
      <w:r>
        <w:rPr>
          <w:lang w:val="ru-RU"/>
        </w:rPr>
        <w:t>Международное бюро рассматривало уведомления об отказе, полученные от этих трех ведомств, вплоть до 31 декабря 2017 г. (см. таблицу в приложении</w:t>
      </w:r>
      <w:r w:rsidR="00B60191">
        <w:rPr>
          <w:lang w:val="ru-RU"/>
        </w:rPr>
        <w:t xml:space="preserve"> к настоящему документу</w:t>
      </w:r>
      <w:r w:rsidRPr="002E430F">
        <w:rPr>
          <w:lang w:val="ru-RU"/>
        </w:rPr>
        <w:t>).</w:t>
      </w:r>
    </w:p>
    <w:p w:rsidR="009A4689" w:rsidRPr="00FB15DB" w:rsidRDefault="009A4689" w:rsidP="009A4689">
      <w:pPr>
        <w:pStyle w:val="ONUME"/>
        <w:numPr>
          <w:ilvl w:val="0"/>
          <w:numId w:val="8"/>
        </w:numPr>
        <w:rPr>
          <w:lang w:val="ru-RU" w:eastAsia="en-US"/>
        </w:rPr>
      </w:pPr>
      <w:r>
        <w:rPr>
          <w:lang w:val="ru-RU"/>
        </w:rPr>
        <w:t>Согласно</w:t>
      </w:r>
      <w:r w:rsidRPr="00804DD5">
        <w:rPr>
          <w:lang w:val="ru-RU"/>
        </w:rPr>
        <w:t xml:space="preserve"> </w:t>
      </w:r>
      <w:r>
        <w:rPr>
          <w:lang w:val="ru-RU"/>
        </w:rPr>
        <w:t>этой</w:t>
      </w:r>
      <w:r w:rsidRPr="00804DD5">
        <w:rPr>
          <w:lang w:val="ru-RU"/>
        </w:rPr>
        <w:t xml:space="preserve"> </w:t>
      </w:r>
      <w:r>
        <w:rPr>
          <w:lang w:val="ru-RU"/>
        </w:rPr>
        <w:t>неофициальной</w:t>
      </w:r>
      <w:r w:rsidRPr="00804DD5">
        <w:rPr>
          <w:lang w:val="ru-RU"/>
        </w:rPr>
        <w:t xml:space="preserve"> </w:t>
      </w:r>
      <w:r>
        <w:rPr>
          <w:lang w:val="ru-RU"/>
        </w:rPr>
        <w:t>статистике</w:t>
      </w:r>
      <w:r w:rsidRPr="00804DD5">
        <w:rPr>
          <w:lang w:val="ru-RU"/>
        </w:rPr>
        <w:t xml:space="preserve"> </w:t>
      </w:r>
      <w:r>
        <w:rPr>
          <w:lang w:val="ru-RU"/>
        </w:rPr>
        <w:t>ЯПВ</w:t>
      </w:r>
      <w:r w:rsidRPr="00804DD5">
        <w:rPr>
          <w:lang w:val="ru-RU"/>
        </w:rPr>
        <w:t xml:space="preserve"> </w:t>
      </w:r>
      <w:r>
        <w:rPr>
          <w:lang w:val="ru-RU"/>
        </w:rPr>
        <w:t>и</w:t>
      </w:r>
      <w:r w:rsidRPr="00804DD5">
        <w:rPr>
          <w:lang w:val="ru-RU"/>
        </w:rPr>
        <w:t xml:space="preserve"> </w:t>
      </w:r>
      <w:r>
        <w:rPr>
          <w:lang w:val="ru-RU"/>
        </w:rPr>
        <w:t>КВИС</w:t>
      </w:r>
      <w:r w:rsidRPr="00804DD5">
        <w:rPr>
          <w:lang w:val="ru-RU"/>
        </w:rPr>
        <w:t xml:space="preserve"> </w:t>
      </w:r>
      <w:r>
        <w:rPr>
          <w:lang w:val="ru-RU"/>
        </w:rPr>
        <w:t>дали</w:t>
      </w:r>
      <w:r w:rsidRPr="00804DD5">
        <w:rPr>
          <w:lang w:val="ru-RU"/>
        </w:rPr>
        <w:t xml:space="preserve"> </w:t>
      </w:r>
      <w:r>
        <w:rPr>
          <w:lang w:val="ru-RU"/>
        </w:rPr>
        <w:t>отказ</w:t>
      </w:r>
      <w:r w:rsidRPr="00804DD5">
        <w:rPr>
          <w:lang w:val="ru-RU"/>
        </w:rPr>
        <w:t xml:space="preserve">, </w:t>
      </w:r>
      <w:r>
        <w:rPr>
          <w:lang w:val="ru-RU"/>
        </w:rPr>
        <w:t>соответственно</w:t>
      </w:r>
      <w:r w:rsidRPr="00804DD5">
        <w:rPr>
          <w:lang w:val="ru-RU"/>
        </w:rPr>
        <w:t xml:space="preserve">, 493 </w:t>
      </w:r>
      <w:r>
        <w:rPr>
          <w:lang w:val="ru-RU"/>
        </w:rPr>
        <w:t>и</w:t>
      </w:r>
      <w:r w:rsidRPr="00804DD5">
        <w:rPr>
          <w:lang w:val="ru-RU"/>
        </w:rPr>
        <w:t xml:space="preserve"> 471 </w:t>
      </w:r>
      <w:r>
        <w:rPr>
          <w:lang w:val="ru-RU"/>
        </w:rPr>
        <w:t>образцам на основании отсутствия новизны</w:t>
      </w:r>
      <w:r w:rsidRPr="00804DD5">
        <w:rPr>
          <w:lang w:val="ru-RU"/>
        </w:rPr>
        <w:t xml:space="preserve">. </w:t>
      </w:r>
      <w:r>
        <w:rPr>
          <w:lang w:val="ru-RU"/>
        </w:rPr>
        <w:t>Эти</w:t>
      </w:r>
      <w:r w:rsidRPr="00804DD5">
        <w:rPr>
          <w:lang w:val="ru-RU"/>
        </w:rPr>
        <w:t xml:space="preserve"> </w:t>
      </w:r>
      <w:r>
        <w:rPr>
          <w:lang w:val="ru-RU"/>
        </w:rPr>
        <w:t>цифры</w:t>
      </w:r>
      <w:r w:rsidRPr="00804DD5">
        <w:rPr>
          <w:lang w:val="ru-RU"/>
        </w:rPr>
        <w:t xml:space="preserve">, </w:t>
      </w:r>
      <w:r>
        <w:rPr>
          <w:lang w:val="ru-RU"/>
        </w:rPr>
        <w:t>соответственно</w:t>
      </w:r>
      <w:r w:rsidRPr="00804DD5">
        <w:rPr>
          <w:lang w:val="ru-RU"/>
        </w:rPr>
        <w:t xml:space="preserve">, </w:t>
      </w:r>
      <w:r>
        <w:rPr>
          <w:lang w:val="ru-RU"/>
        </w:rPr>
        <w:t>составляют</w:t>
      </w:r>
      <w:r w:rsidRPr="00804DD5">
        <w:rPr>
          <w:lang w:val="ru-RU"/>
        </w:rPr>
        <w:t xml:space="preserve"> </w:t>
      </w:r>
      <w:r>
        <w:rPr>
          <w:lang w:val="ru-RU"/>
        </w:rPr>
        <w:t>примерно</w:t>
      </w:r>
      <w:r w:rsidRPr="00804DD5">
        <w:rPr>
          <w:lang w:val="ru-RU"/>
        </w:rPr>
        <w:t xml:space="preserve"> 20 </w:t>
      </w:r>
      <w:r>
        <w:rPr>
          <w:lang w:val="ru-RU"/>
        </w:rPr>
        <w:t>процентов</w:t>
      </w:r>
      <w:r w:rsidRPr="00804DD5">
        <w:rPr>
          <w:lang w:val="ru-RU"/>
        </w:rPr>
        <w:t xml:space="preserve"> </w:t>
      </w:r>
      <w:r>
        <w:rPr>
          <w:lang w:val="ru-RU"/>
        </w:rPr>
        <w:t>и</w:t>
      </w:r>
      <w:r w:rsidRPr="00804DD5">
        <w:rPr>
          <w:lang w:val="ru-RU"/>
        </w:rPr>
        <w:t xml:space="preserve"> 14 </w:t>
      </w:r>
      <w:r>
        <w:rPr>
          <w:lang w:val="ru-RU"/>
        </w:rPr>
        <w:t>процентов</w:t>
      </w:r>
      <w:r w:rsidRPr="00804DD5">
        <w:rPr>
          <w:lang w:val="ru-RU"/>
        </w:rPr>
        <w:t xml:space="preserve"> </w:t>
      </w:r>
      <w:r>
        <w:rPr>
          <w:lang w:val="ru-RU"/>
        </w:rPr>
        <w:t>от</w:t>
      </w:r>
      <w:r w:rsidRPr="00804DD5">
        <w:rPr>
          <w:lang w:val="ru-RU"/>
        </w:rPr>
        <w:t xml:space="preserve"> </w:t>
      </w:r>
      <w:r>
        <w:rPr>
          <w:lang w:val="ru-RU"/>
        </w:rPr>
        <w:t>общего</w:t>
      </w:r>
      <w:r w:rsidRPr="00804DD5">
        <w:rPr>
          <w:lang w:val="ru-RU"/>
        </w:rPr>
        <w:t xml:space="preserve"> </w:t>
      </w:r>
      <w:r>
        <w:rPr>
          <w:lang w:val="ru-RU"/>
        </w:rPr>
        <w:t>числа</w:t>
      </w:r>
      <w:r w:rsidRPr="00804DD5">
        <w:rPr>
          <w:lang w:val="ru-RU"/>
        </w:rPr>
        <w:t xml:space="preserve"> </w:t>
      </w:r>
      <w:r>
        <w:rPr>
          <w:lang w:val="ru-RU"/>
        </w:rPr>
        <w:t>оснований для отказа,</w:t>
      </w:r>
      <w:r w:rsidRPr="00804DD5">
        <w:rPr>
          <w:lang w:val="ru-RU"/>
        </w:rPr>
        <w:t xml:space="preserve"> </w:t>
      </w:r>
      <w:r>
        <w:rPr>
          <w:lang w:val="ru-RU"/>
        </w:rPr>
        <w:t>выдвинутых этими двумя ведомствами</w:t>
      </w:r>
      <w:r w:rsidRPr="00804DD5">
        <w:rPr>
          <w:lang w:val="ru-RU"/>
        </w:rPr>
        <w:t xml:space="preserve">.  </w:t>
      </w:r>
      <w:r>
        <w:rPr>
          <w:lang w:val="ru-RU"/>
        </w:rPr>
        <w:t>Вместе</w:t>
      </w:r>
      <w:r w:rsidRPr="00804DD5">
        <w:rPr>
          <w:lang w:val="ru-RU"/>
        </w:rPr>
        <w:t xml:space="preserve"> </w:t>
      </w:r>
      <w:r>
        <w:rPr>
          <w:lang w:val="ru-RU"/>
        </w:rPr>
        <w:t>с</w:t>
      </w:r>
      <w:r w:rsidRPr="00804DD5">
        <w:rPr>
          <w:lang w:val="ru-RU"/>
        </w:rPr>
        <w:t xml:space="preserve"> </w:t>
      </w:r>
      <w:r>
        <w:rPr>
          <w:lang w:val="ru-RU"/>
        </w:rPr>
        <w:t>тем</w:t>
      </w:r>
      <w:r w:rsidRPr="00804DD5">
        <w:rPr>
          <w:lang w:val="ru-RU"/>
        </w:rPr>
        <w:t xml:space="preserve"> </w:t>
      </w:r>
      <w:r>
        <w:rPr>
          <w:lang w:val="ru-RU"/>
        </w:rPr>
        <w:t>многие</w:t>
      </w:r>
      <w:r w:rsidRPr="00804DD5">
        <w:rPr>
          <w:lang w:val="ru-RU"/>
        </w:rPr>
        <w:t xml:space="preserve"> </w:t>
      </w:r>
      <w:r>
        <w:rPr>
          <w:lang w:val="ru-RU"/>
        </w:rPr>
        <w:t>из</w:t>
      </w:r>
      <w:r w:rsidRPr="00804DD5">
        <w:rPr>
          <w:lang w:val="ru-RU"/>
        </w:rPr>
        <w:t xml:space="preserve"> </w:t>
      </w:r>
      <w:r>
        <w:rPr>
          <w:lang w:val="ru-RU"/>
        </w:rPr>
        <w:t>отказов</w:t>
      </w:r>
      <w:r w:rsidRPr="00804DD5">
        <w:rPr>
          <w:lang w:val="ru-RU"/>
        </w:rPr>
        <w:t xml:space="preserve"> </w:t>
      </w:r>
      <w:r>
        <w:rPr>
          <w:lang w:val="ru-RU"/>
        </w:rPr>
        <w:t>фактически</w:t>
      </w:r>
      <w:r w:rsidRPr="00804DD5">
        <w:rPr>
          <w:lang w:val="ru-RU"/>
        </w:rPr>
        <w:t xml:space="preserve"> </w:t>
      </w:r>
      <w:r>
        <w:rPr>
          <w:lang w:val="ru-RU"/>
        </w:rPr>
        <w:t>ссылались</w:t>
      </w:r>
      <w:r w:rsidRPr="00804DD5">
        <w:rPr>
          <w:lang w:val="ru-RU"/>
        </w:rPr>
        <w:t xml:space="preserve"> </w:t>
      </w:r>
      <w:r>
        <w:rPr>
          <w:lang w:val="ru-RU"/>
        </w:rPr>
        <w:t>тот</w:t>
      </w:r>
      <w:r w:rsidRPr="00804DD5">
        <w:rPr>
          <w:lang w:val="ru-RU"/>
        </w:rPr>
        <w:t xml:space="preserve"> </w:t>
      </w:r>
      <w:r>
        <w:rPr>
          <w:lang w:val="ru-RU"/>
        </w:rPr>
        <w:t>же</w:t>
      </w:r>
      <w:r w:rsidRPr="00804DD5">
        <w:rPr>
          <w:lang w:val="ru-RU"/>
        </w:rPr>
        <w:t xml:space="preserve"> </w:t>
      </w:r>
      <w:r>
        <w:rPr>
          <w:lang w:val="ru-RU"/>
        </w:rPr>
        <w:t>образец</w:t>
      </w:r>
      <w:r w:rsidRPr="00804DD5">
        <w:rPr>
          <w:lang w:val="ru-RU"/>
        </w:rPr>
        <w:t xml:space="preserve">, </w:t>
      </w:r>
      <w:r>
        <w:rPr>
          <w:lang w:val="ru-RU"/>
        </w:rPr>
        <w:t>заявленный</w:t>
      </w:r>
      <w:r w:rsidRPr="00804DD5">
        <w:rPr>
          <w:lang w:val="ru-RU"/>
        </w:rPr>
        <w:t xml:space="preserve"> </w:t>
      </w:r>
      <w:r>
        <w:rPr>
          <w:lang w:val="ru-RU"/>
        </w:rPr>
        <w:t>в</w:t>
      </w:r>
      <w:r w:rsidRPr="00804DD5">
        <w:rPr>
          <w:lang w:val="ru-RU"/>
        </w:rPr>
        <w:t xml:space="preserve"> </w:t>
      </w:r>
      <w:r>
        <w:rPr>
          <w:lang w:val="ru-RU"/>
        </w:rPr>
        <w:t>другом</w:t>
      </w:r>
      <w:r w:rsidRPr="00804DD5">
        <w:rPr>
          <w:lang w:val="ru-RU"/>
        </w:rPr>
        <w:t xml:space="preserve"> </w:t>
      </w:r>
      <w:r>
        <w:rPr>
          <w:lang w:val="ru-RU"/>
        </w:rPr>
        <w:t>Ведомстве</w:t>
      </w:r>
      <w:r w:rsidRPr="00804DD5">
        <w:rPr>
          <w:lang w:val="ru-RU"/>
        </w:rPr>
        <w:t xml:space="preserve"> (</w:t>
      </w:r>
      <w:r>
        <w:rPr>
          <w:lang w:val="ru-RU"/>
        </w:rPr>
        <w:t>обычно</w:t>
      </w:r>
      <w:r w:rsidRPr="00804DD5">
        <w:rPr>
          <w:lang w:val="ru-RU"/>
        </w:rPr>
        <w:t xml:space="preserve">, </w:t>
      </w:r>
      <w:r>
        <w:rPr>
          <w:lang w:val="ru-RU"/>
        </w:rPr>
        <w:t>первая подача заявки</w:t>
      </w:r>
      <w:r w:rsidRPr="00804DD5">
        <w:rPr>
          <w:lang w:val="ru-RU"/>
        </w:rPr>
        <w:t xml:space="preserve">) </w:t>
      </w:r>
      <w:r>
        <w:rPr>
          <w:lang w:val="ru-RU"/>
        </w:rPr>
        <w:t>тем же заявителем</w:t>
      </w:r>
      <w:r w:rsidRPr="00804DD5">
        <w:rPr>
          <w:lang w:val="ru-RU"/>
        </w:rPr>
        <w:t xml:space="preserve"> (</w:t>
      </w:r>
      <w:r>
        <w:rPr>
          <w:lang w:val="ru-RU"/>
        </w:rPr>
        <w:t>владелец международной регистрации</w:t>
      </w:r>
      <w:r w:rsidRPr="00804DD5">
        <w:rPr>
          <w:lang w:val="ru-RU"/>
        </w:rPr>
        <w:t xml:space="preserve">).  </w:t>
      </w:r>
      <w:r>
        <w:rPr>
          <w:lang w:val="ru-RU"/>
        </w:rPr>
        <w:t>Это</w:t>
      </w:r>
      <w:r w:rsidRPr="00FB15DB">
        <w:rPr>
          <w:lang w:val="ru-RU"/>
        </w:rPr>
        <w:t xml:space="preserve"> </w:t>
      </w:r>
      <w:r>
        <w:rPr>
          <w:lang w:val="ru-RU"/>
        </w:rPr>
        <w:t>происходит</w:t>
      </w:r>
      <w:r w:rsidRPr="00FB15DB">
        <w:rPr>
          <w:lang w:val="ru-RU"/>
        </w:rPr>
        <w:t xml:space="preserve"> </w:t>
      </w:r>
      <w:r>
        <w:rPr>
          <w:lang w:val="ru-RU"/>
        </w:rPr>
        <w:t>в</w:t>
      </w:r>
      <w:r w:rsidRPr="00FB15DB">
        <w:rPr>
          <w:lang w:val="ru-RU"/>
        </w:rPr>
        <w:t xml:space="preserve"> </w:t>
      </w:r>
      <w:r>
        <w:rPr>
          <w:lang w:val="ru-RU"/>
        </w:rPr>
        <w:t>тех</w:t>
      </w:r>
      <w:r w:rsidRPr="00FB15DB">
        <w:rPr>
          <w:lang w:val="ru-RU"/>
        </w:rPr>
        <w:t xml:space="preserve"> </w:t>
      </w:r>
      <w:r>
        <w:rPr>
          <w:lang w:val="ru-RU"/>
        </w:rPr>
        <w:t>случаях</w:t>
      </w:r>
      <w:r w:rsidRPr="00FB15DB">
        <w:rPr>
          <w:lang w:val="ru-RU"/>
        </w:rPr>
        <w:t xml:space="preserve">, </w:t>
      </w:r>
      <w:r>
        <w:rPr>
          <w:lang w:val="ru-RU"/>
        </w:rPr>
        <w:t>когда</w:t>
      </w:r>
      <w:r w:rsidRPr="00FB15DB">
        <w:rPr>
          <w:lang w:val="ru-RU"/>
        </w:rPr>
        <w:t xml:space="preserve"> </w:t>
      </w:r>
      <w:r>
        <w:rPr>
          <w:lang w:val="ru-RU"/>
        </w:rPr>
        <w:t>первая</w:t>
      </w:r>
      <w:r w:rsidRPr="00FB15DB">
        <w:rPr>
          <w:lang w:val="ru-RU"/>
        </w:rPr>
        <w:t xml:space="preserve"> </w:t>
      </w:r>
      <w:r>
        <w:rPr>
          <w:lang w:val="ru-RU"/>
        </w:rPr>
        <w:t>поданная</w:t>
      </w:r>
      <w:r w:rsidRPr="00FB15DB">
        <w:rPr>
          <w:lang w:val="ru-RU"/>
        </w:rPr>
        <w:t xml:space="preserve"> </w:t>
      </w:r>
      <w:r>
        <w:rPr>
          <w:lang w:val="ru-RU"/>
        </w:rPr>
        <w:t>заявка</w:t>
      </w:r>
      <w:r w:rsidRPr="00FB15DB">
        <w:rPr>
          <w:lang w:val="ru-RU"/>
        </w:rPr>
        <w:t xml:space="preserve"> </w:t>
      </w:r>
      <w:r>
        <w:rPr>
          <w:lang w:val="ru-RU"/>
        </w:rPr>
        <w:t>публикуется</w:t>
      </w:r>
      <w:r w:rsidRPr="00FB15DB">
        <w:rPr>
          <w:lang w:val="ru-RU"/>
        </w:rPr>
        <w:t xml:space="preserve"> </w:t>
      </w:r>
      <w:r>
        <w:rPr>
          <w:lang w:val="ru-RU"/>
        </w:rPr>
        <w:t>до</w:t>
      </w:r>
      <w:r w:rsidRPr="00FB15DB">
        <w:rPr>
          <w:lang w:val="ru-RU"/>
        </w:rPr>
        <w:t xml:space="preserve"> </w:t>
      </w:r>
      <w:r>
        <w:rPr>
          <w:lang w:val="ru-RU"/>
        </w:rPr>
        <w:t>даты</w:t>
      </w:r>
      <w:r w:rsidRPr="00FB15DB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FB15DB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FB15DB">
        <w:rPr>
          <w:lang w:val="ru-RU"/>
        </w:rPr>
        <w:t xml:space="preserve">, </w:t>
      </w:r>
      <w:r>
        <w:rPr>
          <w:lang w:val="ru-RU"/>
        </w:rPr>
        <w:t>но право приоритета утрачивается, потому что заявитель не представил</w:t>
      </w:r>
      <w:r w:rsidRPr="00FB15DB">
        <w:rPr>
          <w:lang w:val="ru-RU"/>
        </w:rPr>
        <w:t xml:space="preserve"> </w:t>
      </w:r>
      <w:r>
        <w:rPr>
          <w:lang w:val="ru-RU"/>
        </w:rPr>
        <w:t>приоритетный документ в эти ведомства</w:t>
      </w:r>
      <w:r w:rsidRPr="00FB15DB">
        <w:rPr>
          <w:lang w:val="ru-RU"/>
        </w:rPr>
        <w:t xml:space="preserve"> </w:t>
      </w:r>
      <w:r>
        <w:rPr>
          <w:lang w:val="ru-RU"/>
        </w:rPr>
        <w:t>в установленный срок</w:t>
      </w:r>
      <w:r w:rsidRPr="00FB15DB">
        <w:rPr>
          <w:lang w:val="ru-RU"/>
        </w:rPr>
        <w:t>.</w:t>
      </w:r>
    </w:p>
    <w:p w:rsidR="009A4689" w:rsidRPr="00351FD5" w:rsidRDefault="009A4689" w:rsidP="009A4689">
      <w:pPr>
        <w:pStyle w:val="ONUME"/>
        <w:numPr>
          <w:ilvl w:val="0"/>
          <w:numId w:val="8"/>
        </w:numPr>
        <w:rPr>
          <w:lang w:val="ru-RU" w:eastAsia="en-US"/>
        </w:rPr>
      </w:pPr>
      <w:r>
        <w:rPr>
          <w:lang w:val="ru-RU"/>
        </w:rPr>
        <w:t>Аналогичным</w:t>
      </w:r>
      <w:r w:rsidRPr="00351FD5">
        <w:rPr>
          <w:lang w:val="ru-RU"/>
        </w:rPr>
        <w:t xml:space="preserve"> </w:t>
      </w:r>
      <w:r>
        <w:rPr>
          <w:lang w:val="ru-RU"/>
        </w:rPr>
        <w:t>образом</w:t>
      </w:r>
      <w:r w:rsidRPr="00351FD5">
        <w:rPr>
          <w:lang w:val="ru-RU"/>
        </w:rPr>
        <w:t xml:space="preserve">, </w:t>
      </w:r>
      <w:r>
        <w:rPr>
          <w:lang w:val="ru-RU"/>
        </w:rPr>
        <w:t>ЯПВ</w:t>
      </w:r>
      <w:r w:rsidRPr="00351FD5">
        <w:rPr>
          <w:lang w:val="ru-RU"/>
        </w:rPr>
        <w:t xml:space="preserve"> </w:t>
      </w:r>
      <w:r>
        <w:rPr>
          <w:lang w:val="ru-RU"/>
        </w:rPr>
        <w:t>и</w:t>
      </w:r>
      <w:r w:rsidRPr="00351FD5">
        <w:rPr>
          <w:lang w:val="ru-RU"/>
        </w:rPr>
        <w:t xml:space="preserve"> </w:t>
      </w:r>
      <w:r>
        <w:rPr>
          <w:lang w:val="ru-RU"/>
        </w:rPr>
        <w:t>КВИС</w:t>
      </w:r>
      <w:r w:rsidRPr="00351FD5">
        <w:rPr>
          <w:lang w:val="ru-RU"/>
        </w:rPr>
        <w:t xml:space="preserve"> </w:t>
      </w:r>
      <w:r>
        <w:rPr>
          <w:lang w:val="ru-RU"/>
        </w:rPr>
        <w:t>дали</w:t>
      </w:r>
      <w:r w:rsidRPr="00351FD5">
        <w:rPr>
          <w:lang w:val="ru-RU"/>
        </w:rPr>
        <w:t xml:space="preserve"> </w:t>
      </w:r>
      <w:r>
        <w:rPr>
          <w:lang w:val="ru-RU"/>
        </w:rPr>
        <w:t>отказ</w:t>
      </w:r>
      <w:r w:rsidRPr="00351FD5">
        <w:rPr>
          <w:lang w:val="ru-RU"/>
        </w:rPr>
        <w:t xml:space="preserve">, </w:t>
      </w:r>
      <w:r>
        <w:rPr>
          <w:lang w:val="ru-RU"/>
        </w:rPr>
        <w:t>соответственно</w:t>
      </w:r>
      <w:r w:rsidRPr="00351FD5">
        <w:rPr>
          <w:lang w:val="ru-RU"/>
        </w:rPr>
        <w:t xml:space="preserve">, 534 </w:t>
      </w:r>
      <w:r>
        <w:rPr>
          <w:lang w:val="ru-RU"/>
        </w:rPr>
        <w:t>и</w:t>
      </w:r>
      <w:r w:rsidRPr="00351FD5">
        <w:rPr>
          <w:lang w:val="ru-RU"/>
        </w:rPr>
        <w:t xml:space="preserve"> 811 </w:t>
      </w:r>
      <w:r>
        <w:rPr>
          <w:lang w:val="ru-RU"/>
        </w:rPr>
        <w:t>образцам</w:t>
      </w:r>
      <w:r w:rsidRPr="00351FD5">
        <w:rPr>
          <w:lang w:val="ru-RU"/>
        </w:rPr>
        <w:t xml:space="preserve">, </w:t>
      </w:r>
      <w:r>
        <w:rPr>
          <w:lang w:val="ru-RU"/>
        </w:rPr>
        <w:t>ссылаясь на предшествующую заявку</w:t>
      </w:r>
      <w:r w:rsidRPr="00351FD5">
        <w:rPr>
          <w:lang w:val="ru-RU"/>
        </w:rPr>
        <w:t xml:space="preserve"> (</w:t>
      </w:r>
      <w:r>
        <w:rPr>
          <w:lang w:val="ru-RU"/>
        </w:rPr>
        <w:t>в том числе в ту же дату подачи заявки</w:t>
      </w:r>
      <w:r w:rsidRPr="00351FD5">
        <w:rPr>
          <w:lang w:val="ru-RU"/>
        </w:rPr>
        <w:t xml:space="preserve">) </w:t>
      </w:r>
      <w:r>
        <w:rPr>
          <w:lang w:val="ru-RU"/>
        </w:rPr>
        <w:t>или регистрацию</w:t>
      </w:r>
      <w:r w:rsidRPr="00351FD5">
        <w:rPr>
          <w:lang w:val="ru-RU"/>
        </w:rPr>
        <w:t xml:space="preserve">.  </w:t>
      </w:r>
      <w:r>
        <w:rPr>
          <w:lang w:val="ru-RU"/>
        </w:rPr>
        <w:t>Эти</w:t>
      </w:r>
      <w:r w:rsidRPr="00351FD5">
        <w:rPr>
          <w:lang w:val="ru-RU"/>
        </w:rPr>
        <w:t xml:space="preserve"> </w:t>
      </w:r>
      <w:r>
        <w:rPr>
          <w:lang w:val="ru-RU"/>
        </w:rPr>
        <w:t>цифры</w:t>
      </w:r>
      <w:r w:rsidRPr="00351FD5">
        <w:rPr>
          <w:lang w:val="ru-RU"/>
        </w:rPr>
        <w:t xml:space="preserve"> </w:t>
      </w:r>
      <w:r>
        <w:rPr>
          <w:lang w:val="ru-RU"/>
        </w:rPr>
        <w:t>составляют</w:t>
      </w:r>
      <w:r w:rsidRPr="00351FD5">
        <w:rPr>
          <w:lang w:val="ru-RU"/>
        </w:rPr>
        <w:t xml:space="preserve"> </w:t>
      </w:r>
      <w:r>
        <w:rPr>
          <w:lang w:val="ru-RU"/>
        </w:rPr>
        <w:t>примерно</w:t>
      </w:r>
      <w:r w:rsidRPr="00351FD5">
        <w:rPr>
          <w:lang w:val="ru-RU"/>
        </w:rPr>
        <w:t xml:space="preserve"> 21,5</w:t>
      </w:r>
      <w:r>
        <w:t> </w:t>
      </w:r>
      <w:r>
        <w:rPr>
          <w:lang w:val="ru-RU"/>
        </w:rPr>
        <w:t>процент</w:t>
      </w:r>
      <w:r w:rsidRPr="00351FD5">
        <w:rPr>
          <w:lang w:val="ru-RU"/>
        </w:rPr>
        <w:t xml:space="preserve"> </w:t>
      </w:r>
      <w:r>
        <w:rPr>
          <w:lang w:val="ru-RU"/>
        </w:rPr>
        <w:t>и</w:t>
      </w:r>
      <w:r w:rsidRPr="00351FD5">
        <w:rPr>
          <w:lang w:val="ru-RU"/>
        </w:rPr>
        <w:t xml:space="preserve"> 24</w:t>
      </w:r>
      <w:r>
        <w:t> </w:t>
      </w:r>
      <w:r>
        <w:rPr>
          <w:lang w:val="ru-RU"/>
        </w:rPr>
        <w:t>процента</w:t>
      </w:r>
      <w:r w:rsidRPr="00351FD5">
        <w:rPr>
          <w:lang w:val="ru-RU"/>
        </w:rPr>
        <w:t xml:space="preserve"> </w:t>
      </w:r>
      <w:r>
        <w:rPr>
          <w:lang w:val="ru-RU"/>
        </w:rPr>
        <w:t>оснований для отказа,</w:t>
      </w:r>
      <w:r w:rsidRPr="00804DD5">
        <w:rPr>
          <w:lang w:val="ru-RU"/>
        </w:rPr>
        <w:t xml:space="preserve"> </w:t>
      </w:r>
      <w:r>
        <w:rPr>
          <w:lang w:val="ru-RU"/>
        </w:rPr>
        <w:t>выдвинутых этими ведомствами</w:t>
      </w:r>
      <w:r w:rsidRPr="00351FD5">
        <w:rPr>
          <w:lang w:val="ru-RU"/>
        </w:rPr>
        <w:t xml:space="preserve">.  </w:t>
      </w:r>
      <w:r>
        <w:rPr>
          <w:lang w:val="ru-RU"/>
        </w:rPr>
        <w:t>Опять</w:t>
      </w:r>
      <w:r w:rsidRPr="00351FD5">
        <w:rPr>
          <w:lang w:val="ru-RU"/>
        </w:rPr>
        <w:t xml:space="preserve"> </w:t>
      </w:r>
      <w:r>
        <w:rPr>
          <w:lang w:val="ru-RU"/>
        </w:rPr>
        <w:t>же</w:t>
      </w:r>
      <w:r w:rsidRPr="00351FD5">
        <w:rPr>
          <w:lang w:val="ru-RU"/>
        </w:rPr>
        <w:t xml:space="preserve">, </w:t>
      </w:r>
      <w:r>
        <w:rPr>
          <w:lang w:val="ru-RU"/>
        </w:rPr>
        <w:t>в</w:t>
      </w:r>
      <w:r w:rsidRPr="00351FD5">
        <w:rPr>
          <w:lang w:val="ru-RU"/>
        </w:rPr>
        <w:t xml:space="preserve"> </w:t>
      </w:r>
      <w:r>
        <w:rPr>
          <w:lang w:val="ru-RU"/>
        </w:rPr>
        <w:t>большинстве</w:t>
      </w:r>
      <w:r w:rsidRPr="00351FD5">
        <w:rPr>
          <w:lang w:val="ru-RU"/>
        </w:rPr>
        <w:t xml:space="preserve"> </w:t>
      </w:r>
      <w:r>
        <w:rPr>
          <w:lang w:val="ru-RU"/>
        </w:rPr>
        <w:t>этих</w:t>
      </w:r>
      <w:r w:rsidRPr="00351FD5">
        <w:rPr>
          <w:lang w:val="ru-RU"/>
        </w:rPr>
        <w:t xml:space="preserve"> </w:t>
      </w:r>
      <w:r>
        <w:rPr>
          <w:lang w:val="ru-RU"/>
        </w:rPr>
        <w:t>отказов</w:t>
      </w:r>
      <w:r w:rsidRPr="00351FD5">
        <w:rPr>
          <w:lang w:val="ru-RU"/>
        </w:rPr>
        <w:t xml:space="preserve"> </w:t>
      </w:r>
      <w:r>
        <w:rPr>
          <w:lang w:val="ru-RU"/>
        </w:rPr>
        <w:t>ссылались</w:t>
      </w:r>
      <w:r w:rsidRPr="00351FD5">
        <w:rPr>
          <w:lang w:val="ru-RU"/>
        </w:rPr>
        <w:t xml:space="preserve"> </w:t>
      </w:r>
      <w:r>
        <w:rPr>
          <w:lang w:val="ru-RU"/>
        </w:rPr>
        <w:t>на</w:t>
      </w:r>
      <w:r w:rsidRPr="00351FD5">
        <w:rPr>
          <w:lang w:val="ru-RU"/>
        </w:rPr>
        <w:t xml:space="preserve"> </w:t>
      </w:r>
      <w:r>
        <w:rPr>
          <w:lang w:val="ru-RU"/>
        </w:rPr>
        <w:t>другой</w:t>
      </w:r>
      <w:r w:rsidRPr="00351FD5">
        <w:rPr>
          <w:lang w:val="ru-RU"/>
        </w:rPr>
        <w:t xml:space="preserve"> </w:t>
      </w:r>
      <w:r>
        <w:rPr>
          <w:lang w:val="ru-RU"/>
        </w:rPr>
        <w:t>схожий</w:t>
      </w:r>
      <w:r w:rsidRPr="00351FD5">
        <w:rPr>
          <w:lang w:val="ru-RU"/>
        </w:rPr>
        <w:t xml:space="preserve"> </w:t>
      </w:r>
      <w:r>
        <w:rPr>
          <w:lang w:val="ru-RU"/>
        </w:rPr>
        <w:t>образец</w:t>
      </w:r>
      <w:r w:rsidRPr="00351FD5">
        <w:rPr>
          <w:lang w:val="ru-RU"/>
        </w:rPr>
        <w:t xml:space="preserve">, </w:t>
      </w:r>
      <w:r>
        <w:rPr>
          <w:lang w:val="ru-RU"/>
        </w:rPr>
        <w:t>включенный</w:t>
      </w:r>
      <w:r w:rsidRPr="00351FD5">
        <w:rPr>
          <w:lang w:val="ru-RU"/>
        </w:rPr>
        <w:t xml:space="preserve"> </w:t>
      </w:r>
      <w:r>
        <w:rPr>
          <w:lang w:val="ru-RU"/>
        </w:rPr>
        <w:t>в</w:t>
      </w:r>
      <w:r w:rsidRPr="00351FD5">
        <w:rPr>
          <w:lang w:val="ru-RU"/>
        </w:rPr>
        <w:t xml:space="preserve"> </w:t>
      </w:r>
      <w:r>
        <w:rPr>
          <w:lang w:val="ru-RU"/>
        </w:rPr>
        <w:t>ту</w:t>
      </w:r>
      <w:r w:rsidRPr="00351FD5">
        <w:rPr>
          <w:lang w:val="ru-RU"/>
        </w:rPr>
        <w:t xml:space="preserve"> </w:t>
      </w:r>
      <w:r>
        <w:rPr>
          <w:lang w:val="ru-RU"/>
        </w:rPr>
        <w:t>же</w:t>
      </w:r>
      <w:r w:rsidRPr="00351FD5">
        <w:rPr>
          <w:lang w:val="ru-RU"/>
        </w:rPr>
        <w:t xml:space="preserve"> </w:t>
      </w:r>
      <w:r>
        <w:rPr>
          <w:lang w:val="ru-RU"/>
        </w:rPr>
        <w:t>международную</w:t>
      </w:r>
      <w:r w:rsidRPr="00351FD5">
        <w:rPr>
          <w:lang w:val="ru-RU"/>
        </w:rPr>
        <w:t xml:space="preserve"> </w:t>
      </w:r>
      <w:r>
        <w:rPr>
          <w:lang w:val="ru-RU"/>
        </w:rPr>
        <w:t>заявку</w:t>
      </w:r>
      <w:r w:rsidRPr="00351FD5">
        <w:rPr>
          <w:lang w:val="ru-RU"/>
        </w:rPr>
        <w:t xml:space="preserve">, </w:t>
      </w:r>
      <w:r>
        <w:rPr>
          <w:lang w:val="ru-RU"/>
        </w:rPr>
        <w:t>либо</w:t>
      </w:r>
      <w:r w:rsidRPr="00351FD5">
        <w:rPr>
          <w:lang w:val="ru-RU"/>
        </w:rPr>
        <w:t xml:space="preserve"> </w:t>
      </w:r>
      <w:r>
        <w:rPr>
          <w:lang w:val="ru-RU"/>
        </w:rPr>
        <w:t>на</w:t>
      </w:r>
      <w:r w:rsidRPr="00351FD5">
        <w:rPr>
          <w:lang w:val="ru-RU"/>
        </w:rPr>
        <w:t xml:space="preserve"> </w:t>
      </w:r>
      <w:r>
        <w:rPr>
          <w:lang w:val="ru-RU"/>
        </w:rPr>
        <w:t>более раннюю национальную</w:t>
      </w:r>
      <w:r w:rsidRPr="009A4689">
        <w:rPr>
          <w:lang w:val="ru-RU"/>
        </w:rPr>
        <w:t xml:space="preserve"> </w:t>
      </w:r>
      <w:r>
        <w:rPr>
          <w:lang w:val="ru-RU"/>
        </w:rPr>
        <w:t>или</w:t>
      </w:r>
      <w:r w:rsidRPr="009A4689">
        <w:rPr>
          <w:lang w:val="ru-RU"/>
        </w:rPr>
        <w:t xml:space="preserve"> </w:t>
      </w:r>
      <w:r>
        <w:rPr>
          <w:lang w:val="ru-RU"/>
        </w:rPr>
        <w:t>международную</w:t>
      </w:r>
      <w:r w:rsidRPr="009A4689">
        <w:rPr>
          <w:lang w:val="ru-RU"/>
        </w:rPr>
        <w:t xml:space="preserve"> </w:t>
      </w:r>
      <w:r>
        <w:rPr>
          <w:lang w:val="ru-RU"/>
        </w:rPr>
        <w:t>заявку</w:t>
      </w:r>
      <w:r w:rsidRPr="009A4689">
        <w:rPr>
          <w:lang w:val="ru-RU"/>
        </w:rPr>
        <w:t xml:space="preserve">, </w:t>
      </w:r>
      <w:r>
        <w:rPr>
          <w:lang w:val="ru-RU"/>
        </w:rPr>
        <w:t>поданную</w:t>
      </w:r>
      <w:r w:rsidRPr="009A4689">
        <w:rPr>
          <w:lang w:val="ru-RU"/>
        </w:rPr>
        <w:t xml:space="preserve"> </w:t>
      </w:r>
      <w:r>
        <w:rPr>
          <w:lang w:val="ru-RU"/>
        </w:rPr>
        <w:t>тем</w:t>
      </w:r>
      <w:r w:rsidRPr="009A4689">
        <w:rPr>
          <w:lang w:val="ru-RU"/>
        </w:rPr>
        <w:t xml:space="preserve"> </w:t>
      </w:r>
      <w:r>
        <w:rPr>
          <w:lang w:val="ru-RU"/>
        </w:rPr>
        <w:t>же</w:t>
      </w:r>
      <w:r w:rsidRPr="009A4689">
        <w:rPr>
          <w:lang w:val="ru-RU"/>
        </w:rPr>
        <w:t xml:space="preserve"> </w:t>
      </w:r>
      <w:r>
        <w:rPr>
          <w:lang w:val="ru-RU"/>
        </w:rPr>
        <w:t>заявителем</w:t>
      </w:r>
      <w:r w:rsidRPr="009A4689">
        <w:rPr>
          <w:lang w:val="ru-RU"/>
        </w:rPr>
        <w:t xml:space="preserve">.  </w:t>
      </w:r>
      <w:r>
        <w:rPr>
          <w:lang w:val="ru-RU"/>
        </w:rPr>
        <w:t>Это</w:t>
      </w:r>
      <w:r w:rsidRPr="00351FD5">
        <w:rPr>
          <w:lang w:val="ru-RU"/>
        </w:rPr>
        <w:t xml:space="preserve"> </w:t>
      </w:r>
      <w:r>
        <w:rPr>
          <w:lang w:val="ru-RU"/>
        </w:rPr>
        <w:t>происходит</w:t>
      </w:r>
      <w:r w:rsidRPr="00351FD5">
        <w:rPr>
          <w:lang w:val="ru-RU"/>
        </w:rPr>
        <w:t xml:space="preserve"> </w:t>
      </w:r>
      <w:r>
        <w:rPr>
          <w:lang w:val="ru-RU"/>
        </w:rPr>
        <w:t>тогда</w:t>
      </w:r>
      <w:r w:rsidRPr="00351FD5">
        <w:rPr>
          <w:lang w:val="ru-RU"/>
        </w:rPr>
        <w:t xml:space="preserve">, </w:t>
      </w:r>
      <w:r>
        <w:rPr>
          <w:lang w:val="ru-RU"/>
        </w:rPr>
        <w:t>когда</w:t>
      </w:r>
      <w:r w:rsidRPr="00351FD5">
        <w:rPr>
          <w:lang w:val="ru-RU"/>
        </w:rPr>
        <w:t xml:space="preserve"> </w:t>
      </w:r>
      <w:r>
        <w:rPr>
          <w:lang w:val="ru-RU"/>
        </w:rPr>
        <w:t>заявитель</w:t>
      </w:r>
      <w:r w:rsidRPr="00351FD5">
        <w:rPr>
          <w:lang w:val="ru-RU"/>
        </w:rPr>
        <w:t xml:space="preserve"> </w:t>
      </w:r>
      <w:r>
        <w:rPr>
          <w:lang w:val="ru-RU"/>
        </w:rPr>
        <w:t>не</w:t>
      </w:r>
      <w:r w:rsidRPr="00351FD5">
        <w:rPr>
          <w:lang w:val="ru-RU"/>
        </w:rPr>
        <w:t xml:space="preserve"> </w:t>
      </w:r>
      <w:r>
        <w:rPr>
          <w:lang w:val="ru-RU"/>
        </w:rPr>
        <w:t>указывает</w:t>
      </w:r>
      <w:r w:rsidRPr="00351FD5">
        <w:rPr>
          <w:lang w:val="ru-RU"/>
        </w:rPr>
        <w:t xml:space="preserve"> </w:t>
      </w:r>
      <w:r>
        <w:rPr>
          <w:lang w:val="ru-RU"/>
        </w:rPr>
        <w:t>надлежащим</w:t>
      </w:r>
      <w:r w:rsidRPr="00351FD5">
        <w:rPr>
          <w:lang w:val="ru-RU"/>
        </w:rPr>
        <w:t xml:space="preserve"> </w:t>
      </w:r>
      <w:r>
        <w:rPr>
          <w:lang w:val="ru-RU"/>
        </w:rPr>
        <w:t>образом</w:t>
      </w:r>
      <w:r w:rsidRPr="00351FD5">
        <w:rPr>
          <w:lang w:val="ru-RU"/>
        </w:rPr>
        <w:t xml:space="preserve"> «</w:t>
      </w:r>
      <w:r>
        <w:rPr>
          <w:lang w:val="ru-RU"/>
        </w:rPr>
        <w:t>основной</w:t>
      </w:r>
      <w:r w:rsidRPr="00351FD5">
        <w:rPr>
          <w:lang w:val="ru-RU"/>
        </w:rPr>
        <w:t xml:space="preserve"> </w:t>
      </w:r>
      <w:r>
        <w:rPr>
          <w:lang w:val="ru-RU"/>
        </w:rPr>
        <w:t>образец</w:t>
      </w:r>
      <w:r w:rsidRPr="00351FD5">
        <w:rPr>
          <w:lang w:val="ru-RU"/>
        </w:rPr>
        <w:t xml:space="preserve">» </w:t>
      </w:r>
      <w:r>
        <w:rPr>
          <w:lang w:val="ru-RU"/>
        </w:rPr>
        <w:t>и</w:t>
      </w:r>
      <w:r w:rsidRPr="00351FD5">
        <w:rPr>
          <w:lang w:val="ru-RU"/>
        </w:rPr>
        <w:t xml:space="preserve"> «</w:t>
      </w:r>
      <w:r>
        <w:rPr>
          <w:lang w:val="ru-RU"/>
        </w:rPr>
        <w:t>зависимый</w:t>
      </w:r>
      <w:r w:rsidRPr="00351FD5">
        <w:rPr>
          <w:lang w:val="ru-RU"/>
        </w:rPr>
        <w:t xml:space="preserve"> </w:t>
      </w:r>
      <w:r>
        <w:rPr>
          <w:lang w:val="ru-RU"/>
        </w:rPr>
        <w:t>образец</w:t>
      </w:r>
      <w:r w:rsidRPr="00351FD5">
        <w:rPr>
          <w:lang w:val="ru-RU"/>
        </w:rPr>
        <w:t xml:space="preserve"> (</w:t>
      </w:r>
      <w:r>
        <w:rPr>
          <w:lang w:val="ru-RU"/>
        </w:rPr>
        <w:t>образцы</w:t>
      </w:r>
      <w:r w:rsidRPr="00351FD5">
        <w:rPr>
          <w:lang w:val="ru-RU"/>
        </w:rPr>
        <w:t xml:space="preserve">)» </w:t>
      </w:r>
      <w:r>
        <w:rPr>
          <w:lang w:val="ru-RU"/>
        </w:rPr>
        <w:t>или если</w:t>
      </w:r>
      <w:r w:rsidRPr="00351FD5">
        <w:rPr>
          <w:lang w:val="ru-RU"/>
        </w:rPr>
        <w:t xml:space="preserve"> </w:t>
      </w:r>
      <w:r>
        <w:rPr>
          <w:lang w:val="ru-RU"/>
        </w:rPr>
        <w:t>эксперт придерживался иного мнения</w:t>
      </w:r>
      <w:r w:rsidRPr="00351FD5">
        <w:rPr>
          <w:lang w:val="ru-RU"/>
        </w:rPr>
        <w:t xml:space="preserve"> </w:t>
      </w:r>
      <w:r>
        <w:rPr>
          <w:lang w:val="ru-RU"/>
        </w:rPr>
        <w:t>относительно представленных указаний</w:t>
      </w:r>
      <w:r w:rsidRPr="00351FD5">
        <w:rPr>
          <w:lang w:val="ru-RU"/>
        </w:rPr>
        <w:t>.</w:t>
      </w:r>
    </w:p>
    <w:p w:rsidR="009A4689" w:rsidRPr="004F5844" w:rsidRDefault="009A4689" w:rsidP="009A4689">
      <w:pPr>
        <w:pStyle w:val="ONUME"/>
        <w:numPr>
          <w:ilvl w:val="0"/>
          <w:numId w:val="8"/>
        </w:numPr>
        <w:rPr>
          <w:i/>
          <w:lang w:val="ru-RU" w:eastAsia="en-US"/>
        </w:rPr>
      </w:pPr>
      <w:r>
        <w:rPr>
          <w:lang w:val="ru-RU"/>
        </w:rPr>
        <w:lastRenderedPageBreak/>
        <w:t>Приведенные</w:t>
      </w:r>
      <w:r w:rsidRPr="004A5F44">
        <w:rPr>
          <w:lang w:val="ru-RU"/>
        </w:rPr>
        <w:t xml:space="preserve"> </w:t>
      </w:r>
      <w:r>
        <w:rPr>
          <w:lang w:val="ru-RU"/>
        </w:rPr>
        <w:t>выше</w:t>
      </w:r>
      <w:r w:rsidRPr="004A5F44">
        <w:rPr>
          <w:lang w:val="ru-RU"/>
        </w:rPr>
        <w:t xml:space="preserve"> </w:t>
      </w:r>
      <w:r>
        <w:rPr>
          <w:lang w:val="ru-RU"/>
        </w:rPr>
        <w:t>два</w:t>
      </w:r>
      <w:r w:rsidRPr="004A5F44">
        <w:rPr>
          <w:lang w:val="ru-RU"/>
        </w:rPr>
        <w:t xml:space="preserve"> </w:t>
      </w:r>
      <w:r>
        <w:rPr>
          <w:lang w:val="ru-RU"/>
        </w:rPr>
        <w:t>случая</w:t>
      </w:r>
      <w:r w:rsidRPr="004A5F44">
        <w:rPr>
          <w:lang w:val="ru-RU"/>
        </w:rPr>
        <w:t xml:space="preserve"> </w:t>
      </w:r>
      <w:r>
        <w:rPr>
          <w:lang w:val="ru-RU"/>
        </w:rPr>
        <w:t>характерны</w:t>
      </w:r>
      <w:r w:rsidRPr="004A5F44">
        <w:rPr>
          <w:lang w:val="ru-RU"/>
        </w:rPr>
        <w:t xml:space="preserve"> </w:t>
      </w:r>
      <w:r>
        <w:rPr>
          <w:lang w:val="ru-RU"/>
        </w:rPr>
        <w:t>для</w:t>
      </w:r>
      <w:r w:rsidRPr="004A5F44">
        <w:rPr>
          <w:lang w:val="ru-RU"/>
        </w:rPr>
        <w:t xml:space="preserve"> </w:t>
      </w:r>
      <w:r>
        <w:rPr>
          <w:lang w:val="ru-RU"/>
        </w:rPr>
        <w:t>законодательства</w:t>
      </w:r>
      <w:r w:rsidRPr="004A5F44">
        <w:rPr>
          <w:lang w:val="ru-RU"/>
        </w:rPr>
        <w:t xml:space="preserve"> </w:t>
      </w:r>
      <w:r>
        <w:rPr>
          <w:lang w:val="ru-RU"/>
        </w:rPr>
        <w:t>Японии</w:t>
      </w:r>
      <w:r w:rsidRPr="004A5F44">
        <w:rPr>
          <w:lang w:val="ru-RU"/>
        </w:rPr>
        <w:t xml:space="preserve"> </w:t>
      </w:r>
      <w:r>
        <w:rPr>
          <w:lang w:val="ru-RU"/>
        </w:rPr>
        <w:t>и</w:t>
      </w:r>
      <w:r w:rsidRPr="004A5F44">
        <w:rPr>
          <w:lang w:val="ru-RU"/>
        </w:rPr>
        <w:t xml:space="preserve"> </w:t>
      </w:r>
      <w:r>
        <w:rPr>
          <w:lang w:val="ru-RU"/>
        </w:rPr>
        <w:t>Республики Корея в том смысле, что вышеупомянутые основания для отказа, как представляется, не имеют никакого непосредственного отношения к</w:t>
      </w:r>
      <w:r w:rsidRPr="004A5F44">
        <w:rPr>
          <w:lang w:val="ru-RU"/>
        </w:rPr>
        <w:t xml:space="preserve"> </w:t>
      </w:r>
      <w:r>
        <w:rPr>
          <w:lang w:val="ru-RU"/>
        </w:rPr>
        <w:t>возможности регистрации</w:t>
      </w:r>
      <w:r w:rsidRPr="004A5F44">
        <w:rPr>
          <w:lang w:val="ru-RU"/>
        </w:rPr>
        <w:t xml:space="preserve"> </w:t>
      </w:r>
      <w:r>
        <w:rPr>
          <w:lang w:val="ru-RU"/>
        </w:rPr>
        <w:t>или патентоспособности</w:t>
      </w:r>
      <w:r w:rsidRPr="004A5F44">
        <w:rPr>
          <w:lang w:val="ru-RU"/>
        </w:rPr>
        <w:t xml:space="preserve"> </w:t>
      </w:r>
      <w:r>
        <w:rPr>
          <w:lang w:val="ru-RU"/>
        </w:rPr>
        <w:t>в других юрисдикциях</w:t>
      </w:r>
      <w:r w:rsidRPr="004A5F44">
        <w:rPr>
          <w:lang w:val="ru-RU"/>
        </w:rPr>
        <w:t xml:space="preserve">.  </w:t>
      </w:r>
      <w:r>
        <w:rPr>
          <w:lang w:val="ru-RU"/>
        </w:rPr>
        <w:t>Иными</w:t>
      </w:r>
      <w:r w:rsidRPr="004A5F44">
        <w:rPr>
          <w:lang w:val="ru-RU"/>
        </w:rPr>
        <w:t xml:space="preserve"> </w:t>
      </w:r>
      <w:r>
        <w:rPr>
          <w:lang w:val="ru-RU"/>
        </w:rPr>
        <w:t>словами</w:t>
      </w:r>
      <w:r w:rsidRPr="004A5F44">
        <w:rPr>
          <w:lang w:val="ru-RU"/>
        </w:rPr>
        <w:t xml:space="preserve">, </w:t>
      </w:r>
      <w:r>
        <w:rPr>
          <w:lang w:val="ru-RU"/>
        </w:rPr>
        <w:t>образец</w:t>
      </w:r>
      <w:r w:rsidRPr="004A5F44">
        <w:rPr>
          <w:lang w:val="ru-RU"/>
        </w:rPr>
        <w:t xml:space="preserve"> </w:t>
      </w:r>
      <w:r>
        <w:rPr>
          <w:lang w:val="ru-RU"/>
        </w:rPr>
        <w:t>не</w:t>
      </w:r>
      <w:r w:rsidRPr="004A5F44">
        <w:rPr>
          <w:lang w:val="ru-RU"/>
        </w:rPr>
        <w:t xml:space="preserve"> </w:t>
      </w:r>
      <w:r>
        <w:rPr>
          <w:lang w:val="ru-RU"/>
        </w:rPr>
        <w:t>рассматривается</w:t>
      </w:r>
      <w:r w:rsidRPr="004A5F44">
        <w:rPr>
          <w:lang w:val="ru-RU"/>
        </w:rPr>
        <w:t xml:space="preserve"> </w:t>
      </w:r>
      <w:r>
        <w:rPr>
          <w:lang w:val="ru-RU"/>
        </w:rPr>
        <w:t>как</w:t>
      </w:r>
      <w:r w:rsidRPr="004A5F44">
        <w:rPr>
          <w:lang w:val="ru-RU"/>
        </w:rPr>
        <w:t xml:space="preserve"> </w:t>
      </w:r>
      <w:r>
        <w:rPr>
          <w:lang w:val="ru-RU"/>
        </w:rPr>
        <w:t>страдающий от отсутствия новизны по своей сущности, и технически отказ можно аннулировать или не допустить</w:t>
      </w:r>
      <w:r w:rsidRPr="004A5F44">
        <w:rPr>
          <w:lang w:val="ru-RU"/>
        </w:rPr>
        <w:t xml:space="preserve">.  </w:t>
      </w:r>
      <w:r>
        <w:rPr>
          <w:lang w:val="ru-RU"/>
        </w:rPr>
        <w:t>Это</w:t>
      </w:r>
      <w:r w:rsidRPr="004F5844">
        <w:rPr>
          <w:lang w:val="ru-RU"/>
        </w:rPr>
        <w:t xml:space="preserve"> </w:t>
      </w:r>
      <w:r>
        <w:rPr>
          <w:lang w:val="ru-RU"/>
        </w:rPr>
        <w:t>похоже</w:t>
      </w:r>
      <w:r w:rsidRPr="004F5844">
        <w:rPr>
          <w:lang w:val="ru-RU"/>
        </w:rPr>
        <w:t xml:space="preserve"> </w:t>
      </w:r>
      <w:r>
        <w:rPr>
          <w:lang w:val="ru-RU"/>
        </w:rPr>
        <w:t>на</w:t>
      </w:r>
      <w:r w:rsidRPr="004F5844">
        <w:rPr>
          <w:lang w:val="ru-RU"/>
        </w:rPr>
        <w:t xml:space="preserve"> </w:t>
      </w:r>
      <w:r>
        <w:rPr>
          <w:lang w:val="ru-RU"/>
        </w:rPr>
        <w:t>ситуацию</w:t>
      </w:r>
      <w:r w:rsidRPr="004F5844">
        <w:rPr>
          <w:lang w:val="ru-RU"/>
        </w:rPr>
        <w:t xml:space="preserve">, </w:t>
      </w:r>
      <w:r>
        <w:rPr>
          <w:lang w:val="ru-RU"/>
        </w:rPr>
        <w:t>когда</w:t>
      </w:r>
      <w:r w:rsidRPr="004F5844">
        <w:rPr>
          <w:lang w:val="ru-RU"/>
        </w:rPr>
        <w:t xml:space="preserve"> </w:t>
      </w:r>
      <w:r>
        <w:rPr>
          <w:lang w:val="ru-RU"/>
        </w:rPr>
        <w:t>тот</w:t>
      </w:r>
      <w:r w:rsidRPr="004F5844">
        <w:rPr>
          <w:lang w:val="ru-RU"/>
        </w:rPr>
        <w:t xml:space="preserve"> </w:t>
      </w:r>
      <w:r>
        <w:rPr>
          <w:lang w:val="ru-RU"/>
        </w:rPr>
        <w:t>или</w:t>
      </w:r>
      <w:r w:rsidRPr="004F5844">
        <w:rPr>
          <w:lang w:val="ru-RU"/>
        </w:rPr>
        <w:t xml:space="preserve"> </w:t>
      </w:r>
      <w:r>
        <w:rPr>
          <w:lang w:val="ru-RU"/>
        </w:rPr>
        <w:t>иной</w:t>
      </w:r>
      <w:r w:rsidRPr="004F5844">
        <w:rPr>
          <w:lang w:val="ru-RU"/>
        </w:rPr>
        <w:t xml:space="preserve"> </w:t>
      </w:r>
      <w:r>
        <w:rPr>
          <w:lang w:val="ru-RU"/>
        </w:rPr>
        <w:t>конкретный</w:t>
      </w:r>
      <w:r w:rsidRPr="004F5844">
        <w:rPr>
          <w:lang w:val="ru-RU"/>
        </w:rPr>
        <w:t xml:space="preserve"> </w:t>
      </w:r>
      <w:r>
        <w:rPr>
          <w:lang w:val="ru-RU"/>
        </w:rPr>
        <w:t>образец</w:t>
      </w:r>
      <w:r w:rsidRPr="004F5844">
        <w:rPr>
          <w:lang w:val="ru-RU"/>
        </w:rPr>
        <w:t xml:space="preserve"> </w:t>
      </w:r>
      <w:r>
        <w:rPr>
          <w:lang w:val="ru-RU"/>
        </w:rPr>
        <w:t>получает</w:t>
      </w:r>
      <w:r w:rsidRPr="004F5844">
        <w:rPr>
          <w:lang w:val="ru-RU"/>
        </w:rPr>
        <w:t xml:space="preserve"> </w:t>
      </w:r>
      <w:r>
        <w:rPr>
          <w:lang w:val="ru-RU"/>
        </w:rPr>
        <w:t>отказ</w:t>
      </w:r>
      <w:r w:rsidRPr="004F5844">
        <w:rPr>
          <w:lang w:val="ru-RU"/>
        </w:rPr>
        <w:t xml:space="preserve"> </w:t>
      </w:r>
      <w:r>
        <w:rPr>
          <w:lang w:val="ru-RU"/>
        </w:rPr>
        <w:t>на</w:t>
      </w:r>
      <w:r w:rsidRPr="004F5844">
        <w:rPr>
          <w:lang w:val="ru-RU"/>
        </w:rPr>
        <w:t xml:space="preserve"> </w:t>
      </w:r>
      <w:r>
        <w:rPr>
          <w:lang w:val="ru-RU"/>
        </w:rPr>
        <w:t>основании</w:t>
      </w:r>
      <w:r w:rsidRPr="004F5844">
        <w:rPr>
          <w:lang w:val="ru-RU"/>
        </w:rPr>
        <w:t xml:space="preserve"> </w:t>
      </w:r>
      <w:r>
        <w:rPr>
          <w:lang w:val="ru-RU"/>
        </w:rPr>
        <w:t>недостаточного раскрытия</w:t>
      </w:r>
      <w:r w:rsidRPr="004F5844">
        <w:rPr>
          <w:lang w:val="ru-RU"/>
        </w:rPr>
        <w:t xml:space="preserve">, </w:t>
      </w:r>
      <w:r>
        <w:rPr>
          <w:lang w:val="ru-RU"/>
        </w:rPr>
        <w:t>неопределенного указания продукта или</w:t>
      </w:r>
      <w:r w:rsidRPr="004F5844">
        <w:rPr>
          <w:lang w:val="ru-RU"/>
        </w:rPr>
        <w:t xml:space="preserve"> </w:t>
      </w:r>
      <w:r>
        <w:rPr>
          <w:lang w:val="ru-RU"/>
        </w:rPr>
        <w:t>определения образца</w:t>
      </w:r>
      <w:r w:rsidRPr="004F5844">
        <w:rPr>
          <w:lang w:val="ru-RU"/>
        </w:rPr>
        <w:t xml:space="preserve">, </w:t>
      </w:r>
      <w:r>
        <w:rPr>
          <w:lang w:val="ru-RU"/>
        </w:rPr>
        <w:t>поскольку эти требования различаются в разных юрисдикциях</w:t>
      </w:r>
      <w:r w:rsidRPr="004F5844">
        <w:rPr>
          <w:lang w:val="ru-RU"/>
        </w:rPr>
        <w:t>.</w:t>
      </w:r>
    </w:p>
    <w:p w:rsidR="009A4689" w:rsidRPr="004F5844" w:rsidRDefault="009A4689" w:rsidP="009A4689">
      <w:pPr>
        <w:pStyle w:val="ONUME"/>
        <w:numPr>
          <w:ilvl w:val="0"/>
          <w:numId w:val="8"/>
        </w:numPr>
        <w:rPr>
          <w:lang w:val="ru-RU" w:eastAsia="en-US"/>
        </w:rPr>
      </w:pPr>
      <w:r>
        <w:rPr>
          <w:lang w:val="ru-RU"/>
        </w:rPr>
        <w:t>Что</w:t>
      </w:r>
      <w:r w:rsidRPr="004F5844">
        <w:rPr>
          <w:lang w:val="ru-RU"/>
        </w:rPr>
        <w:t xml:space="preserve"> </w:t>
      </w:r>
      <w:r>
        <w:rPr>
          <w:lang w:val="ru-RU"/>
        </w:rPr>
        <w:t>касается</w:t>
      </w:r>
      <w:r w:rsidRPr="004F5844">
        <w:rPr>
          <w:lang w:val="ru-RU"/>
        </w:rPr>
        <w:t xml:space="preserve"> </w:t>
      </w:r>
      <w:r>
        <w:rPr>
          <w:lang w:val="ru-RU"/>
        </w:rPr>
        <w:t>Соединенных</w:t>
      </w:r>
      <w:r w:rsidRPr="004F5844">
        <w:rPr>
          <w:lang w:val="ru-RU"/>
        </w:rPr>
        <w:t xml:space="preserve"> </w:t>
      </w:r>
      <w:r>
        <w:rPr>
          <w:lang w:val="ru-RU"/>
        </w:rPr>
        <w:t>Штатов</w:t>
      </w:r>
      <w:r w:rsidRPr="004F5844">
        <w:rPr>
          <w:lang w:val="ru-RU"/>
        </w:rPr>
        <w:t xml:space="preserve"> </w:t>
      </w:r>
      <w:r>
        <w:rPr>
          <w:lang w:val="ru-RU"/>
        </w:rPr>
        <w:t>Америки</w:t>
      </w:r>
      <w:r w:rsidRPr="004F5844">
        <w:rPr>
          <w:lang w:val="ru-RU"/>
        </w:rPr>
        <w:t xml:space="preserve">, </w:t>
      </w:r>
      <w:r>
        <w:rPr>
          <w:lang w:val="ru-RU"/>
        </w:rPr>
        <w:t>то</w:t>
      </w:r>
      <w:r w:rsidRPr="004F5844">
        <w:rPr>
          <w:lang w:val="ru-RU"/>
        </w:rPr>
        <w:t xml:space="preserve"> </w:t>
      </w:r>
      <w:r>
        <w:rPr>
          <w:lang w:val="ru-RU"/>
        </w:rPr>
        <w:t>на</w:t>
      </w:r>
      <w:r w:rsidRPr="004F5844">
        <w:rPr>
          <w:lang w:val="ru-RU"/>
        </w:rPr>
        <w:t xml:space="preserve"> </w:t>
      </w:r>
      <w:r>
        <w:rPr>
          <w:lang w:val="ru-RU"/>
        </w:rPr>
        <w:t>отсутствие</w:t>
      </w:r>
      <w:r w:rsidRPr="004F5844">
        <w:rPr>
          <w:lang w:val="ru-RU"/>
        </w:rPr>
        <w:t xml:space="preserve"> </w:t>
      </w:r>
      <w:r>
        <w:rPr>
          <w:lang w:val="ru-RU"/>
        </w:rPr>
        <w:t>новизны</w:t>
      </w:r>
      <w:r w:rsidRPr="004F5844">
        <w:rPr>
          <w:lang w:val="ru-RU"/>
        </w:rPr>
        <w:t xml:space="preserve"> </w:t>
      </w:r>
      <w:r>
        <w:rPr>
          <w:lang w:val="ru-RU"/>
        </w:rPr>
        <w:t>приходится</w:t>
      </w:r>
      <w:r w:rsidRPr="004F5844">
        <w:rPr>
          <w:lang w:val="ru-RU"/>
        </w:rPr>
        <w:t xml:space="preserve"> </w:t>
      </w:r>
      <w:r>
        <w:rPr>
          <w:lang w:val="ru-RU"/>
        </w:rPr>
        <w:t>лишь</w:t>
      </w:r>
      <w:r w:rsidRPr="004F5844">
        <w:rPr>
          <w:lang w:val="ru-RU"/>
        </w:rPr>
        <w:t xml:space="preserve"> </w:t>
      </w:r>
      <w:r w:rsidR="00B60191">
        <w:rPr>
          <w:lang w:val="ru-RU"/>
        </w:rPr>
        <w:t>один</w:t>
      </w:r>
      <w:r w:rsidRPr="004F5844">
        <w:rPr>
          <w:lang w:val="ru-RU"/>
        </w:rPr>
        <w:t xml:space="preserve"> </w:t>
      </w:r>
      <w:r>
        <w:rPr>
          <w:lang w:val="ru-RU"/>
        </w:rPr>
        <w:t>процент</w:t>
      </w:r>
      <w:r w:rsidRPr="004F5844">
        <w:rPr>
          <w:lang w:val="ru-RU"/>
        </w:rPr>
        <w:t xml:space="preserve"> </w:t>
      </w:r>
      <w:r>
        <w:rPr>
          <w:lang w:val="ru-RU"/>
        </w:rPr>
        <w:t>от</w:t>
      </w:r>
      <w:r w:rsidRPr="004F5844">
        <w:rPr>
          <w:lang w:val="ru-RU"/>
        </w:rPr>
        <w:t xml:space="preserve"> </w:t>
      </w:r>
      <w:r>
        <w:rPr>
          <w:lang w:val="ru-RU"/>
        </w:rPr>
        <w:t>общего</w:t>
      </w:r>
      <w:r w:rsidRPr="004F5844">
        <w:rPr>
          <w:lang w:val="ru-RU"/>
        </w:rPr>
        <w:t xml:space="preserve"> </w:t>
      </w:r>
      <w:r>
        <w:rPr>
          <w:lang w:val="ru-RU"/>
        </w:rPr>
        <w:t>числа</w:t>
      </w:r>
      <w:r w:rsidRPr="004F5844">
        <w:rPr>
          <w:lang w:val="ru-RU"/>
        </w:rPr>
        <w:t xml:space="preserve"> </w:t>
      </w:r>
      <w:r>
        <w:rPr>
          <w:lang w:val="ru-RU"/>
        </w:rPr>
        <w:t>оснований</w:t>
      </w:r>
      <w:r w:rsidRPr="004F5844">
        <w:rPr>
          <w:lang w:val="ru-RU"/>
        </w:rPr>
        <w:t xml:space="preserve"> </w:t>
      </w:r>
      <w:r>
        <w:rPr>
          <w:lang w:val="ru-RU"/>
        </w:rPr>
        <w:t>для</w:t>
      </w:r>
      <w:r w:rsidRPr="004F5844">
        <w:rPr>
          <w:lang w:val="ru-RU"/>
        </w:rPr>
        <w:t xml:space="preserve"> </w:t>
      </w:r>
      <w:r>
        <w:rPr>
          <w:lang w:val="ru-RU"/>
        </w:rPr>
        <w:t>отказа</w:t>
      </w:r>
      <w:r w:rsidRPr="004F5844">
        <w:rPr>
          <w:lang w:val="ru-RU"/>
        </w:rPr>
        <w:t xml:space="preserve">, </w:t>
      </w:r>
      <w:r>
        <w:rPr>
          <w:lang w:val="ru-RU"/>
        </w:rPr>
        <w:t>выдвигаемых</w:t>
      </w:r>
      <w:r w:rsidRPr="004F5844">
        <w:rPr>
          <w:lang w:val="ru-RU"/>
        </w:rPr>
        <w:t xml:space="preserve"> </w:t>
      </w:r>
      <w:r>
        <w:rPr>
          <w:lang w:val="ru-RU"/>
        </w:rPr>
        <w:t>ВПТЗ</w:t>
      </w:r>
      <w:r w:rsidRPr="004F5844">
        <w:rPr>
          <w:lang w:val="ru-RU"/>
        </w:rPr>
        <w:t xml:space="preserve"> </w:t>
      </w:r>
      <w:r>
        <w:rPr>
          <w:lang w:val="ru-RU"/>
        </w:rPr>
        <w:t>США</w:t>
      </w:r>
      <w:r w:rsidRPr="004F5844">
        <w:rPr>
          <w:lang w:val="ru-RU"/>
        </w:rPr>
        <w:t xml:space="preserve">, </w:t>
      </w:r>
      <w:r>
        <w:rPr>
          <w:lang w:val="ru-RU"/>
        </w:rPr>
        <w:t>в</w:t>
      </w:r>
      <w:r w:rsidRPr="004F5844">
        <w:rPr>
          <w:lang w:val="ru-RU"/>
        </w:rPr>
        <w:t xml:space="preserve"> </w:t>
      </w:r>
      <w:r>
        <w:rPr>
          <w:lang w:val="ru-RU"/>
        </w:rPr>
        <w:t>то</w:t>
      </w:r>
      <w:r w:rsidRPr="004F5844">
        <w:rPr>
          <w:lang w:val="ru-RU"/>
        </w:rPr>
        <w:t xml:space="preserve"> </w:t>
      </w:r>
      <w:r>
        <w:rPr>
          <w:lang w:val="ru-RU"/>
        </w:rPr>
        <w:t>время</w:t>
      </w:r>
      <w:r w:rsidRPr="004F5844">
        <w:rPr>
          <w:lang w:val="ru-RU"/>
        </w:rPr>
        <w:t xml:space="preserve"> </w:t>
      </w:r>
      <w:r>
        <w:rPr>
          <w:lang w:val="ru-RU"/>
        </w:rPr>
        <w:t>как</w:t>
      </w:r>
      <w:r w:rsidRPr="004F5844">
        <w:rPr>
          <w:lang w:val="ru-RU"/>
        </w:rPr>
        <w:t xml:space="preserve"> </w:t>
      </w:r>
      <w:r>
        <w:rPr>
          <w:lang w:val="ru-RU"/>
        </w:rPr>
        <w:t>несоблюдение</w:t>
      </w:r>
      <w:r w:rsidRPr="004F5844">
        <w:rPr>
          <w:lang w:val="ru-RU"/>
        </w:rPr>
        <w:t xml:space="preserve"> </w:t>
      </w:r>
      <w:r>
        <w:rPr>
          <w:lang w:val="ru-RU"/>
        </w:rPr>
        <w:t>требования о том, чтобы в международной регистрации содержался только один образец, встречается намного чаще других и нередко является единственным основанием для отказа</w:t>
      </w:r>
      <w:r w:rsidRPr="004F5844">
        <w:rPr>
          <w:lang w:val="ru-RU"/>
        </w:rPr>
        <w:t xml:space="preserve">, </w:t>
      </w:r>
      <w:r>
        <w:rPr>
          <w:lang w:val="ru-RU"/>
        </w:rPr>
        <w:t>достигая</w:t>
      </w:r>
      <w:r w:rsidRPr="004F5844">
        <w:rPr>
          <w:lang w:val="ru-RU"/>
        </w:rPr>
        <w:t xml:space="preserve"> 76 </w:t>
      </w:r>
      <w:r>
        <w:rPr>
          <w:lang w:val="ru-RU"/>
        </w:rPr>
        <w:t>процентов от общего числа выдвигаемых оснований для отказа</w:t>
      </w:r>
      <w:r w:rsidRPr="004F5844">
        <w:rPr>
          <w:lang w:val="ru-RU"/>
        </w:rPr>
        <w:t>.</w:t>
      </w:r>
    </w:p>
    <w:p w:rsidR="009A4689" w:rsidRDefault="009A4689" w:rsidP="009A4689">
      <w:pPr>
        <w:pStyle w:val="Heading2"/>
        <w:spacing w:before="480"/>
        <w:rPr>
          <w:lang w:val="fr-CH" w:eastAsia="en-US"/>
        </w:rPr>
      </w:pPr>
      <w:r>
        <w:rPr>
          <w:lang w:val="ru-RU" w:eastAsia="en-US"/>
        </w:rPr>
        <w:t>соответствующие правила</w:t>
      </w:r>
    </w:p>
    <w:p w:rsidR="00ED2FDD" w:rsidRPr="00ED2FDD" w:rsidRDefault="00ED2FDD" w:rsidP="00ED2FDD">
      <w:pPr>
        <w:rPr>
          <w:lang w:val="fr-CH" w:eastAsia="en-US"/>
        </w:rPr>
      </w:pPr>
    </w:p>
    <w:p w:rsidR="009A4689" w:rsidRPr="0017585A" w:rsidRDefault="009A4689" w:rsidP="009A4689">
      <w:pPr>
        <w:pStyle w:val="ONUME"/>
        <w:numPr>
          <w:ilvl w:val="0"/>
          <w:numId w:val="8"/>
        </w:numPr>
        <w:rPr>
          <w:rFonts w:eastAsia="MS Mincho"/>
          <w:lang w:val="ru-RU"/>
        </w:rPr>
      </w:pPr>
      <w:r>
        <w:rPr>
          <w:rFonts w:eastAsia="MS Mincho"/>
          <w:lang w:val="ru-RU"/>
        </w:rPr>
        <w:t>Правило</w:t>
      </w:r>
      <w:r>
        <w:rPr>
          <w:rFonts w:eastAsia="MS Mincho"/>
        </w:rPr>
        <w:t> </w:t>
      </w:r>
      <w:r w:rsidRPr="00047935">
        <w:rPr>
          <w:rFonts w:eastAsia="MS Mincho"/>
          <w:lang w:val="ru-RU"/>
        </w:rPr>
        <w:t xml:space="preserve">26(1) </w:t>
      </w:r>
      <w:r>
        <w:rPr>
          <w:rFonts w:eastAsia="MS Mincho"/>
          <w:lang w:val="ru-RU"/>
        </w:rPr>
        <w:t>определяет</w:t>
      </w:r>
      <w:r w:rsidRPr="00047935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содержание, публикуемое в Бюллетене</w:t>
      </w:r>
      <w:r w:rsidRPr="00047935">
        <w:rPr>
          <w:rFonts w:eastAsia="MS Mincho"/>
          <w:lang w:val="ru-RU"/>
        </w:rPr>
        <w:t xml:space="preserve">.  </w:t>
      </w:r>
      <w:r>
        <w:rPr>
          <w:rFonts w:eastAsia="MS Mincho"/>
          <w:lang w:val="ru-RU"/>
        </w:rPr>
        <w:t>В</w:t>
      </w:r>
      <w:r w:rsidRPr="00047935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подпункте</w:t>
      </w:r>
      <w:r w:rsidRPr="00047935">
        <w:rPr>
          <w:rFonts w:eastAsia="MS Mincho"/>
          <w:lang w:val="ru-RU"/>
        </w:rPr>
        <w:t xml:space="preserve"> </w:t>
      </w:r>
      <w:r w:rsidRPr="00047935">
        <w:rPr>
          <w:lang w:val="ru-RU"/>
        </w:rPr>
        <w:t>(</w:t>
      </w:r>
      <w:r>
        <w:t>ii</w:t>
      </w:r>
      <w:r w:rsidRPr="00047935">
        <w:rPr>
          <w:lang w:val="ru-RU"/>
        </w:rPr>
        <w:t xml:space="preserve">) </w:t>
      </w:r>
      <w:r>
        <w:rPr>
          <w:lang w:val="ru-RU"/>
        </w:rPr>
        <w:t>говорится</w:t>
      </w:r>
      <w:r w:rsidRPr="00047935">
        <w:rPr>
          <w:lang w:val="ru-RU"/>
        </w:rPr>
        <w:t xml:space="preserve"> </w:t>
      </w:r>
      <w:r>
        <w:rPr>
          <w:lang w:val="ru-RU"/>
        </w:rPr>
        <w:t>об</w:t>
      </w:r>
      <w:r w:rsidRPr="00047935">
        <w:rPr>
          <w:lang w:val="ru-RU"/>
        </w:rPr>
        <w:t xml:space="preserve"> «</w:t>
      </w:r>
      <w:r>
        <w:rPr>
          <w:lang w:val="ru-RU"/>
        </w:rPr>
        <w:t xml:space="preserve">отказах </w:t>
      </w:r>
      <w:r w:rsidRPr="00047935">
        <w:rPr>
          <w:szCs w:val="22"/>
          <w:lang w:val="ru-RU"/>
        </w:rPr>
        <w:t xml:space="preserve">с указанием того, имеется ли возможность пересмотра или обжалования, </w:t>
      </w:r>
      <w:r w:rsidRPr="00047935">
        <w:rPr>
          <w:szCs w:val="22"/>
          <w:u w:val="single"/>
          <w:lang w:val="ru-RU"/>
        </w:rPr>
        <w:t>но без указания оснований для отказа</w:t>
      </w:r>
      <w:r w:rsidRPr="00047935">
        <w:rPr>
          <w:lang w:val="ru-RU"/>
        </w:rPr>
        <w:t>,…</w:t>
      </w:r>
      <w:r>
        <w:rPr>
          <w:lang w:val="ru-RU"/>
        </w:rPr>
        <w:t>»</w:t>
      </w:r>
      <w:r w:rsidRPr="00047935">
        <w:rPr>
          <w:lang w:val="ru-RU"/>
        </w:rPr>
        <w:t xml:space="preserve">.  </w:t>
      </w:r>
      <w:r>
        <w:rPr>
          <w:lang w:val="ru-RU"/>
        </w:rPr>
        <w:t>Эта</w:t>
      </w:r>
      <w:r w:rsidRPr="0017585A">
        <w:rPr>
          <w:lang w:val="ru-RU"/>
        </w:rPr>
        <w:t xml:space="preserve"> </w:t>
      </w:r>
      <w:r>
        <w:rPr>
          <w:lang w:val="ru-RU"/>
        </w:rPr>
        <w:t>фраза</w:t>
      </w:r>
      <w:r w:rsidRPr="0017585A">
        <w:rPr>
          <w:lang w:val="ru-RU"/>
        </w:rPr>
        <w:t xml:space="preserve"> </w:t>
      </w:r>
      <w:r>
        <w:rPr>
          <w:lang w:val="ru-RU"/>
        </w:rPr>
        <w:t>впервые</w:t>
      </w:r>
      <w:r w:rsidRPr="0017585A">
        <w:rPr>
          <w:lang w:val="ru-RU"/>
        </w:rPr>
        <w:t xml:space="preserve"> </w:t>
      </w:r>
      <w:r>
        <w:rPr>
          <w:lang w:val="ru-RU"/>
        </w:rPr>
        <w:t>появилась</w:t>
      </w:r>
      <w:r w:rsidRPr="0017585A">
        <w:rPr>
          <w:lang w:val="ru-RU"/>
        </w:rPr>
        <w:t xml:space="preserve"> </w:t>
      </w:r>
      <w:r>
        <w:rPr>
          <w:lang w:val="ru-RU"/>
        </w:rPr>
        <w:t>в</w:t>
      </w:r>
      <w:r w:rsidRPr="0017585A">
        <w:rPr>
          <w:lang w:val="ru-RU"/>
        </w:rPr>
        <w:t xml:space="preserve"> «</w:t>
      </w:r>
      <w:r>
        <w:rPr>
          <w:lang w:val="ru-RU"/>
        </w:rPr>
        <w:t>проекте</w:t>
      </w:r>
      <w:r w:rsidRPr="0017585A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17585A">
        <w:rPr>
          <w:lang w:val="ru-RU"/>
        </w:rPr>
        <w:t xml:space="preserve">», </w:t>
      </w:r>
      <w:r>
        <w:rPr>
          <w:lang w:val="ru-RU"/>
        </w:rPr>
        <w:t>представленном</w:t>
      </w:r>
      <w:r w:rsidRPr="0017585A">
        <w:rPr>
          <w:lang w:val="ru-RU"/>
        </w:rPr>
        <w:t xml:space="preserve"> </w:t>
      </w:r>
      <w:r>
        <w:rPr>
          <w:lang w:val="ru-RU"/>
        </w:rPr>
        <w:t>седьмой</w:t>
      </w:r>
      <w:r w:rsidRPr="0017585A">
        <w:rPr>
          <w:lang w:val="ru-RU"/>
        </w:rPr>
        <w:t xml:space="preserve"> </w:t>
      </w:r>
      <w:r>
        <w:rPr>
          <w:lang w:val="ru-RU"/>
        </w:rPr>
        <w:t>сессии</w:t>
      </w:r>
      <w:r w:rsidRPr="0017585A">
        <w:rPr>
          <w:lang w:val="ru-RU"/>
        </w:rPr>
        <w:t xml:space="preserve"> </w:t>
      </w:r>
      <w:r>
        <w:rPr>
          <w:lang w:val="ru-RU"/>
        </w:rPr>
        <w:t>Комитета</w:t>
      </w:r>
      <w:r w:rsidRPr="0017585A">
        <w:rPr>
          <w:lang w:val="ru-RU"/>
        </w:rPr>
        <w:t xml:space="preserve"> </w:t>
      </w:r>
      <w:r>
        <w:rPr>
          <w:lang w:val="ru-RU"/>
        </w:rPr>
        <w:t>экспертов</w:t>
      </w:r>
      <w:r w:rsidRPr="0017585A">
        <w:rPr>
          <w:lang w:val="ru-RU"/>
        </w:rPr>
        <w:t xml:space="preserve"> </w:t>
      </w:r>
      <w:r>
        <w:rPr>
          <w:lang w:val="ru-RU"/>
        </w:rPr>
        <w:t>по</w:t>
      </w:r>
      <w:r w:rsidRPr="0017585A">
        <w:rPr>
          <w:lang w:val="ru-RU"/>
        </w:rPr>
        <w:t xml:space="preserve"> </w:t>
      </w:r>
      <w:r>
        <w:rPr>
          <w:lang w:val="ru-RU"/>
        </w:rPr>
        <w:t>разработке</w:t>
      </w:r>
      <w:r w:rsidRPr="0017585A">
        <w:rPr>
          <w:lang w:val="ru-RU"/>
        </w:rPr>
        <w:t xml:space="preserve"> Гаагского соглашения о международном депонировании промышленных образцов (</w:t>
      </w:r>
      <w:r>
        <w:rPr>
          <w:lang w:val="ru-RU"/>
        </w:rPr>
        <w:t>ниже именуемого «Комитет экспертов»</w:t>
      </w:r>
      <w:r w:rsidRPr="0017585A">
        <w:rPr>
          <w:lang w:val="ru-RU"/>
        </w:rPr>
        <w:t xml:space="preserve">), </w:t>
      </w:r>
      <w:r>
        <w:rPr>
          <w:lang w:val="ru-RU"/>
        </w:rPr>
        <w:t>состоявшейся в ноябре</w:t>
      </w:r>
      <w:r>
        <w:t> </w:t>
      </w:r>
      <w:r w:rsidRPr="0017585A">
        <w:rPr>
          <w:lang w:val="ru-RU"/>
        </w:rPr>
        <w:t>1997</w:t>
      </w:r>
      <w:r>
        <w:rPr>
          <w:lang w:val="ru-RU"/>
        </w:rPr>
        <w:t xml:space="preserve"> г</w:t>
      </w:r>
      <w:r>
        <w:rPr>
          <w:rStyle w:val="FootnoteReference"/>
        </w:rPr>
        <w:footnoteReference w:id="7"/>
      </w:r>
      <w:r w:rsidRPr="0017585A">
        <w:rPr>
          <w:lang w:val="ru-RU"/>
        </w:rPr>
        <w:t>.</w:t>
      </w:r>
    </w:p>
    <w:p w:rsidR="009A4689" w:rsidRPr="006810F1" w:rsidRDefault="009A4689" w:rsidP="00B60191">
      <w:pPr>
        <w:pStyle w:val="ONUME"/>
        <w:numPr>
          <w:ilvl w:val="0"/>
          <w:numId w:val="8"/>
        </w:numPr>
        <w:rPr>
          <w:rFonts w:eastAsia="MS Mincho"/>
          <w:lang w:val="ru-RU"/>
        </w:rPr>
      </w:pPr>
      <w:r>
        <w:rPr>
          <w:lang w:val="ru-RU"/>
        </w:rPr>
        <w:t>Первый</w:t>
      </w:r>
      <w:r w:rsidRPr="006810F1">
        <w:rPr>
          <w:lang w:val="ru-RU"/>
        </w:rPr>
        <w:t xml:space="preserve"> </w:t>
      </w:r>
      <w:r>
        <w:rPr>
          <w:lang w:val="ru-RU"/>
        </w:rPr>
        <w:t>набор</w:t>
      </w:r>
      <w:r w:rsidRPr="006810F1">
        <w:rPr>
          <w:lang w:val="ru-RU"/>
        </w:rPr>
        <w:t xml:space="preserve"> </w:t>
      </w:r>
      <w:r>
        <w:rPr>
          <w:lang w:val="ru-RU"/>
        </w:rPr>
        <w:t>проектов</w:t>
      </w:r>
      <w:r w:rsidRPr="006810F1">
        <w:rPr>
          <w:lang w:val="ru-RU"/>
        </w:rPr>
        <w:t xml:space="preserve"> </w:t>
      </w:r>
      <w:r>
        <w:rPr>
          <w:lang w:val="ru-RU"/>
        </w:rPr>
        <w:t>положений</w:t>
      </w:r>
      <w:r w:rsidRPr="006810F1">
        <w:rPr>
          <w:lang w:val="ru-RU"/>
        </w:rPr>
        <w:t xml:space="preserve"> </w:t>
      </w:r>
      <w:r>
        <w:rPr>
          <w:lang w:val="ru-RU"/>
        </w:rPr>
        <w:t>стал</w:t>
      </w:r>
      <w:r w:rsidRPr="006810F1">
        <w:rPr>
          <w:lang w:val="ru-RU"/>
        </w:rPr>
        <w:t xml:space="preserve"> </w:t>
      </w:r>
      <w:r>
        <w:rPr>
          <w:lang w:val="ru-RU"/>
        </w:rPr>
        <w:t>проектом</w:t>
      </w:r>
      <w:r w:rsidRPr="006810F1">
        <w:rPr>
          <w:lang w:val="ru-RU"/>
        </w:rPr>
        <w:t xml:space="preserve"> </w:t>
      </w:r>
      <w:r w:rsidR="00221802">
        <w:rPr>
          <w:lang w:val="ru-RU"/>
        </w:rPr>
        <w:t>и</w:t>
      </w:r>
      <w:r>
        <w:rPr>
          <w:lang w:val="ru-RU"/>
        </w:rPr>
        <w:t>нструкции</w:t>
      </w:r>
      <w:r w:rsidRPr="006810F1">
        <w:rPr>
          <w:lang w:val="ru-RU"/>
        </w:rPr>
        <w:t xml:space="preserve"> </w:t>
      </w:r>
      <w:r>
        <w:rPr>
          <w:lang w:val="ru-RU"/>
        </w:rPr>
        <w:t>к</w:t>
      </w:r>
      <w:r w:rsidRPr="006810F1">
        <w:rPr>
          <w:lang w:val="ru-RU"/>
        </w:rPr>
        <w:t xml:space="preserve"> </w:t>
      </w:r>
      <w:r>
        <w:rPr>
          <w:lang w:val="ru-RU"/>
        </w:rPr>
        <w:t>новому</w:t>
      </w:r>
      <w:r w:rsidRPr="006810F1">
        <w:rPr>
          <w:lang w:val="ru-RU"/>
        </w:rPr>
        <w:t xml:space="preserve"> </w:t>
      </w:r>
      <w:r>
        <w:rPr>
          <w:lang w:val="ru-RU"/>
        </w:rPr>
        <w:t>Акту</w:t>
      </w:r>
      <w:r w:rsidRPr="006810F1">
        <w:rPr>
          <w:lang w:val="ru-RU"/>
        </w:rPr>
        <w:t xml:space="preserve"> </w:t>
      </w:r>
      <w:r>
        <w:rPr>
          <w:lang w:val="ru-RU"/>
        </w:rPr>
        <w:t>Гаагского</w:t>
      </w:r>
      <w:r w:rsidRPr="006810F1">
        <w:rPr>
          <w:lang w:val="ru-RU"/>
        </w:rPr>
        <w:t xml:space="preserve"> </w:t>
      </w:r>
      <w:r>
        <w:rPr>
          <w:lang w:val="ru-RU"/>
        </w:rPr>
        <w:t>соглашения</w:t>
      </w:r>
      <w:r w:rsidR="00B60191" w:rsidRPr="00B60191">
        <w:rPr>
          <w:lang w:val="ru-RU"/>
        </w:rPr>
        <w:t xml:space="preserve"> о международной регистрации промышленных образцов</w:t>
      </w:r>
      <w:r w:rsidRPr="006810F1">
        <w:rPr>
          <w:lang w:val="ru-RU"/>
        </w:rPr>
        <w:t xml:space="preserve">, </w:t>
      </w:r>
      <w:r>
        <w:rPr>
          <w:lang w:val="ru-RU"/>
        </w:rPr>
        <w:t>представленным</w:t>
      </w:r>
      <w:r w:rsidRPr="006810F1">
        <w:rPr>
          <w:lang w:val="ru-RU"/>
        </w:rPr>
        <w:t xml:space="preserve"> Дипломатическ</w:t>
      </w:r>
      <w:r>
        <w:rPr>
          <w:lang w:val="ru-RU"/>
        </w:rPr>
        <w:t>ой</w:t>
      </w:r>
      <w:r w:rsidRPr="006810F1">
        <w:rPr>
          <w:lang w:val="ru-RU"/>
        </w:rPr>
        <w:t xml:space="preserve"> конференци</w:t>
      </w:r>
      <w:r>
        <w:rPr>
          <w:lang w:val="ru-RU"/>
        </w:rPr>
        <w:t>и</w:t>
      </w:r>
      <w:r w:rsidRPr="006810F1">
        <w:rPr>
          <w:lang w:val="ru-RU"/>
        </w:rPr>
        <w:t xml:space="preserve"> по принятию </w:t>
      </w:r>
      <w:r w:rsidR="00B60191">
        <w:rPr>
          <w:lang w:val="ru-RU"/>
        </w:rPr>
        <w:t>н</w:t>
      </w:r>
      <w:r w:rsidRPr="006810F1">
        <w:rPr>
          <w:lang w:val="ru-RU"/>
        </w:rPr>
        <w:t xml:space="preserve">ового акта к Гаагскому соглашению о международном депонировании промышленных образцов </w:t>
      </w:r>
      <w:r>
        <w:rPr>
          <w:lang w:val="ru-RU"/>
        </w:rPr>
        <w:t xml:space="preserve">(Женевского акта), проходившей с 16 июня по </w:t>
      </w:r>
      <w:r w:rsidR="00B60191">
        <w:rPr>
          <w:lang w:val="ru-RU"/>
        </w:rPr>
        <w:t>6</w:t>
      </w:r>
      <w:r>
        <w:rPr>
          <w:lang w:val="ru-RU"/>
        </w:rPr>
        <w:t xml:space="preserve"> июля 1999 г. (ниже именуемой «Дипломатическая конференция»</w:t>
      </w:r>
      <w:r w:rsidRPr="006810F1">
        <w:rPr>
          <w:lang w:val="ru-RU"/>
        </w:rPr>
        <w:t>)</w:t>
      </w:r>
      <w:r>
        <w:rPr>
          <w:rStyle w:val="FootnoteReference"/>
        </w:rPr>
        <w:footnoteReference w:id="8"/>
      </w:r>
      <w:r w:rsidRPr="006810F1">
        <w:rPr>
          <w:lang w:val="ru-RU"/>
        </w:rPr>
        <w:t xml:space="preserve">.  </w:t>
      </w:r>
      <w:r>
        <w:rPr>
          <w:lang w:val="ru-RU"/>
        </w:rPr>
        <w:t>Эта часть правила остается без изменений по сегодняшний день</w:t>
      </w:r>
      <w:r w:rsidRPr="006810F1">
        <w:rPr>
          <w:lang w:val="ru-RU"/>
        </w:rPr>
        <w:t>.</w:t>
      </w:r>
    </w:p>
    <w:p w:rsidR="009A4689" w:rsidRPr="0084648A" w:rsidRDefault="009A4689" w:rsidP="009A4689">
      <w:pPr>
        <w:pStyle w:val="ONUME"/>
        <w:numPr>
          <w:ilvl w:val="0"/>
          <w:numId w:val="8"/>
        </w:numPr>
        <w:rPr>
          <w:rFonts w:eastAsia="MS Mincho"/>
          <w:lang w:val="ru-RU"/>
        </w:rPr>
      </w:pPr>
      <w:r>
        <w:rPr>
          <w:rFonts w:eastAsia="MS Mincho"/>
          <w:lang w:val="ru-RU"/>
        </w:rPr>
        <w:t>Ни</w:t>
      </w:r>
      <w:r w:rsidRPr="0084648A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в</w:t>
      </w:r>
      <w:r w:rsidRPr="0084648A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одном</w:t>
      </w:r>
      <w:r w:rsidRPr="0084648A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из</w:t>
      </w:r>
      <w:r w:rsidRPr="0084648A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документов</w:t>
      </w:r>
      <w:r w:rsidRPr="0084648A">
        <w:rPr>
          <w:rFonts w:eastAsia="MS Mincho"/>
          <w:lang w:val="ru-RU"/>
        </w:rPr>
        <w:t xml:space="preserve">, </w:t>
      </w:r>
      <w:r>
        <w:rPr>
          <w:rFonts w:eastAsia="MS Mincho"/>
          <w:lang w:val="ru-RU"/>
        </w:rPr>
        <w:t>представленных</w:t>
      </w:r>
      <w:r w:rsidRPr="0084648A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Комитету</w:t>
      </w:r>
      <w:r w:rsidRPr="0084648A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экспертов</w:t>
      </w:r>
      <w:r w:rsidRPr="0084648A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или</w:t>
      </w:r>
      <w:r w:rsidRPr="0084648A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Дипломатической</w:t>
      </w:r>
      <w:r w:rsidRPr="0084648A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конференции</w:t>
      </w:r>
      <w:r w:rsidRPr="0084648A">
        <w:rPr>
          <w:rFonts w:eastAsia="MS Mincho"/>
          <w:lang w:val="ru-RU"/>
        </w:rPr>
        <w:t xml:space="preserve">, </w:t>
      </w:r>
      <w:r>
        <w:rPr>
          <w:rFonts w:eastAsia="MS Mincho"/>
          <w:lang w:val="ru-RU"/>
        </w:rPr>
        <w:t>не</w:t>
      </w:r>
      <w:r w:rsidRPr="0084648A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было</w:t>
      </w:r>
      <w:r w:rsidRPr="0084648A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найдено</w:t>
      </w:r>
      <w:r w:rsidRPr="0084648A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никакой</w:t>
      </w:r>
      <w:r w:rsidRPr="0084648A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причины</w:t>
      </w:r>
      <w:r w:rsidRPr="0084648A">
        <w:rPr>
          <w:rFonts w:eastAsia="MS Mincho"/>
          <w:lang w:val="ru-RU"/>
        </w:rPr>
        <w:t xml:space="preserve">, </w:t>
      </w:r>
      <w:r>
        <w:rPr>
          <w:rFonts w:eastAsia="MS Mincho"/>
          <w:lang w:val="ru-RU"/>
        </w:rPr>
        <w:t>поясняющей, почему уведомление об отказе должно публиковаться без оснований для отказа</w:t>
      </w:r>
      <w:r w:rsidRPr="0084648A">
        <w:rPr>
          <w:rFonts w:eastAsia="MS Mincho"/>
          <w:lang w:val="ru-RU"/>
        </w:rPr>
        <w:t>.</w:t>
      </w:r>
    </w:p>
    <w:p w:rsidR="009A4689" w:rsidRPr="0084648A" w:rsidRDefault="009A4689" w:rsidP="009A4689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Правило</w:t>
      </w:r>
      <w:r>
        <w:t> </w:t>
      </w:r>
      <w:r w:rsidRPr="0084648A">
        <w:rPr>
          <w:lang w:val="ru-RU"/>
        </w:rPr>
        <w:t>32(1)(</w:t>
      </w:r>
      <w:r>
        <w:t>iii</w:t>
      </w:r>
      <w:r w:rsidRPr="0084648A">
        <w:rPr>
          <w:lang w:val="ru-RU"/>
        </w:rPr>
        <w:t xml:space="preserve">) </w:t>
      </w:r>
      <w:r>
        <w:rPr>
          <w:lang w:val="ru-RU"/>
        </w:rPr>
        <w:t>Общей</w:t>
      </w:r>
      <w:r w:rsidRPr="0084648A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84648A">
        <w:rPr>
          <w:lang w:val="ru-RU"/>
        </w:rPr>
        <w:t xml:space="preserve"> </w:t>
      </w:r>
      <w:r>
        <w:rPr>
          <w:lang w:val="ru-RU"/>
        </w:rPr>
        <w:t xml:space="preserve">к Мадридскому соглашению о международной регистрации знаков и Протоколу к этому Соглашению </w:t>
      </w:r>
      <w:r w:rsidRPr="0084648A">
        <w:rPr>
          <w:lang w:val="ru-RU"/>
        </w:rPr>
        <w:t>(</w:t>
      </w:r>
      <w:r>
        <w:rPr>
          <w:lang w:val="ru-RU"/>
        </w:rPr>
        <w:t>ниже</w:t>
      </w:r>
      <w:r w:rsidRPr="0084648A">
        <w:rPr>
          <w:lang w:val="ru-RU"/>
        </w:rPr>
        <w:t xml:space="preserve"> </w:t>
      </w:r>
      <w:r>
        <w:rPr>
          <w:lang w:val="ru-RU"/>
        </w:rPr>
        <w:t>именуемой</w:t>
      </w:r>
      <w:r w:rsidRPr="0084648A">
        <w:rPr>
          <w:lang w:val="ru-RU"/>
        </w:rPr>
        <w:t xml:space="preserve"> «</w:t>
      </w:r>
      <w:r>
        <w:rPr>
          <w:lang w:val="ru-RU"/>
        </w:rPr>
        <w:t>Мадридская</w:t>
      </w:r>
      <w:r w:rsidRPr="0084648A">
        <w:rPr>
          <w:lang w:val="ru-RU"/>
        </w:rPr>
        <w:t xml:space="preserve"> </w:t>
      </w:r>
      <w:r>
        <w:rPr>
          <w:lang w:val="ru-RU"/>
        </w:rPr>
        <w:t>инструкция</w:t>
      </w:r>
      <w:r w:rsidRPr="0084648A">
        <w:rPr>
          <w:lang w:val="ru-RU"/>
        </w:rPr>
        <w:t xml:space="preserve">») </w:t>
      </w:r>
      <w:r>
        <w:rPr>
          <w:lang w:val="ru-RU"/>
        </w:rPr>
        <w:t>также</w:t>
      </w:r>
      <w:r w:rsidRPr="0084648A">
        <w:rPr>
          <w:lang w:val="ru-RU"/>
        </w:rPr>
        <w:t xml:space="preserve"> </w:t>
      </w:r>
      <w:r>
        <w:rPr>
          <w:lang w:val="ru-RU"/>
        </w:rPr>
        <w:t>касается «</w:t>
      </w:r>
      <w:r w:rsidRPr="0084648A">
        <w:rPr>
          <w:lang w:val="ru-RU"/>
        </w:rPr>
        <w:t xml:space="preserve">предварительных отказов в охране, о которых сделана запись в соответствии с Правилом 17(4), </w:t>
      </w:r>
      <w:r>
        <w:rPr>
          <w:lang w:val="ru-RU"/>
        </w:rPr>
        <w:t>…</w:t>
      </w:r>
      <w:r w:rsidRPr="0084648A">
        <w:rPr>
          <w:lang w:val="ru-RU"/>
        </w:rPr>
        <w:t xml:space="preserve"> без указания мотивов отказа …</w:t>
      </w:r>
      <w:r>
        <w:rPr>
          <w:lang w:val="ru-RU"/>
        </w:rPr>
        <w:t>»</w:t>
      </w:r>
      <w:r w:rsidRPr="0084648A">
        <w:rPr>
          <w:lang w:val="ru-RU"/>
        </w:rPr>
        <w:t xml:space="preserve"> </w:t>
      </w:r>
      <w:r>
        <w:rPr>
          <w:lang w:val="ru-RU"/>
        </w:rPr>
        <w:t>в качестве информации для публикации</w:t>
      </w:r>
      <w:r w:rsidRPr="0084648A">
        <w:rPr>
          <w:lang w:val="ru-RU"/>
        </w:rPr>
        <w:t xml:space="preserve">.  </w:t>
      </w:r>
      <w:r>
        <w:rPr>
          <w:lang w:val="ru-RU"/>
        </w:rPr>
        <w:t>Эта</w:t>
      </w:r>
      <w:r w:rsidRPr="0084648A">
        <w:rPr>
          <w:lang w:val="ru-RU"/>
        </w:rPr>
        <w:t xml:space="preserve"> </w:t>
      </w:r>
      <w:r>
        <w:rPr>
          <w:lang w:val="ru-RU"/>
        </w:rPr>
        <w:t>часть</w:t>
      </w:r>
      <w:r w:rsidRPr="0084648A">
        <w:rPr>
          <w:lang w:val="ru-RU"/>
        </w:rPr>
        <w:t xml:space="preserve"> </w:t>
      </w:r>
      <w:r>
        <w:rPr>
          <w:lang w:val="ru-RU"/>
        </w:rPr>
        <w:t>правила</w:t>
      </w:r>
      <w:r w:rsidRPr="0084648A">
        <w:rPr>
          <w:lang w:val="ru-RU"/>
        </w:rPr>
        <w:t xml:space="preserve"> </w:t>
      </w:r>
      <w:r>
        <w:rPr>
          <w:lang w:val="ru-RU"/>
        </w:rPr>
        <w:t>остается</w:t>
      </w:r>
      <w:r w:rsidRPr="0084648A">
        <w:rPr>
          <w:lang w:val="ru-RU"/>
        </w:rPr>
        <w:t xml:space="preserve"> </w:t>
      </w:r>
      <w:r>
        <w:rPr>
          <w:lang w:val="ru-RU"/>
        </w:rPr>
        <w:t>неизменной</w:t>
      </w:r>
      <w:r w:rsidRPr="0084648A">
        <w:rPr>
          <w:lang w:val="ru-RU"/>
        </w:rPr>
        <w:t xml:space="preserve"> </w:t>
      </w:r>
      <w:r>
        <w:rPr>
          <w:lang w:val="ru-RU"/>
        </w:rPr>
        <w:t>с</w:t>
      </w:r>
      <w:r w:rsidRPr="0084648A">
        <w:rPr>
          <w:lang w:val="ru-RU"/>
        </w:rPr>
        <w:t xml:space="preserve"> </w:t>
      </w:r>
      <w:r>
        <w:rPr>
          <w:lang w:val="ru-RU"/>
        </w:rPr>
        <w:t>самого</w:t>
      </w:r>
      <w:r w:rsidRPr="0084648A">
        <w:rPr>
          <w:lang w:val="ru-RU"/>
        </w:rPr>
        <w:t xml:space="preserve"> </w:t>
      </w:r>
      <w:r>
        <w:rPr>
          <w:lang w:val="ru-RU"/>
        </w:rPr>
        <w:t>первого</w:t>
      </w:r>
      <w:r w:rsidRPr="0084648A">
        <w:rPr>
          <w:lang w:val="ru-RU"/>
        </w:rPr>
        <w:t xml:space="preserve"> (1996</w:t>
      </w:r>
      <w:r>
        <w:rPr>
          <w:lang w:val="ru-RU"/>
        </w:rPr>
        <w:t xml:space="preserve"> г.</w:t>
      </w:r>
      <w:r w:rsidRPr="0084648A">
        <w:rPr>
          <w:lang w:val="ru-RU"/>
        </w:rPr>
        <w:t xml:space="preserve">) </w:t>
      </w:r>
      <w:r>
        <w:rPr>
          <w:lang w:val="ru-RU"/>
        </w:rPr>
        <w:t>варианта Мадридской</w:t>
      </w:r>
      <w:r w:rsidRPr="0084648A">
        <w:rPr>
          <w:lang w:val="ru-RU"/>
        </w:rPr>
        <w:t xml:space="preserve"> (</w:t>
      </w:r>
      <w:r>
        <w:rPr>
          <w:lang w:val="ru-RU"/>
        </w:rPr>
        <w:t>Общей</w:t>
      </w:r>
      <w:r w:rsidRPr="0084648A">
        <w:rPr>
          <w:lang w:val="ru-RU"/>
        </w:rPr>
        <w:t xml:space="preserve">) </w:t>
      </w:r>
      <w:r>
        <w:rPr>
          <w:lang w:val="ru-RU"/>
        </w:rPr>
        <w:t>инструкции</w:t>
      </w:r>
      <w:r>
        <w:rPr>
          <w:rStyle w:val="FootnoteReference"/>
          <w:rFonts w:eastAsia="MS Mincho"/>
        </w:rPr>
        <w:footnoteReference w:id="9"/>
      </w:r>
      <w:r w:rsidRPr="0084648A">
        <w:rPr>
          <w:lang w:val="ru-RU"/>
        </w:rPr>
        <w:t>.</w:t>
      </w:r>
    </w:p>
    <w:p w:rsidR="009A4689" w:rsidRPr="0064636A" w:rsidRDefault="009A4689" w:rsidP="009A4689">
      <w:pPr>
        <w:pStyle w:val="ONUME"/>
        <w:numPr>
          <w:ilvl w:val="0"/>
          <w:numId w:val="8"/>
        </w:numPr>
        <w:rPr>
          <w:rFonts w:eastAsia="MS Mincho"/>
          <w:lang w:val="ru-RU"/>
        </w:rPr>
      </w:pPr>
      <w:r>
        <w:rPr>
          <w:rFonts w:eastAsia="MS Mincho"/>
          <w:lang w:val="ru-RU"/>
        </w:rPr>
        <w:t>В те дни международные регистрации и товарных знаков, и образцов в рамках Мадридской и Гаагской систем публиковались в</w:t>
      </w:r>
      <w:r w:rsidRPr="008F4FC5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бумажном формате</w:t>
      </w:r>
      <w:r w:rsidRPr="008F4FC5">
        <w:rPr>
          <w:rFonts w:eastAsia="MS Mincho"/>
          <w:lang w:val="ru-RU"/>
        </w:rPr>
        <w:t xml:space="preserve">.  </w:t>
      </w:r>
      <w:r>
        <w:rPr>
          <w:rFonts w:eastAsia="MS Mincho"/>
          <w:lang w:val="ru-RU"/>
        </w:rPr>
        <w:t>Поскольку</w:t>
      </w:r>
      <w:r w:rsidRPr="008F4FC5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так</w:t>
      </w:r>
      <w:r w:rsidRPr="008F4FC5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обстоит</w:t>
      </w:r>
      <w:r w:rsidRPr="008F4FC5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дело</w:t>
      </w:r>
      <w:r w:rsidRPr="008F4FC5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и</w:t>
      </w:r>
      <w:r w:rsidRPr="008F4FC5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сегодня</w:t>
      </w:r>
      <w:r w:rsidRPr="008F4FC5">
        <w:rPr>
          <w:rFonts w:eastAsia="MS Mincho"/>
          <w:lang w:val="ru-RU"/>
        </w:rPr>
        <w:t xml:space="preserve">, </w:t>
      </w:r>
      <w:r>
        <w:rPr>
          <w:rFonts w:eastAsia="MS Mincho"/>
          <w:lang w:val="ru-RU"/>
        </w:rPr>
        <w:t>Международное</w:t>
      </w:r>
      <w:r w:rsidRPr="008F4FC5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бюро</w:t>
      </w:r>
      <w:r w:rsidRPr="008F4FC5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не «отлавливало любые текстовые данные в отношении оснований для отказа», содержащиеся в каждом уведомлении о (предварительном) отказе</w:t>
      </w:r>
      <w:r w:rsidRPr="008F4FC5">
        <w:rPr>
          <w:rFonts w:eastAsia="MS Mincho"/>
          <w:lang w:val="ru-RU"/>
        </w:rPr>
        <w:t xml:space="preserve">.  </w:t>
      </w:r>
      <w:r>
        <w:rPr>
          <w:rFonts w:eastAsia="MS Mincho"/>
          <w:lang w:val="ru-RU"/>
        </w:rPr>
        <w:t>Таким</w:t>
      </w:r>
      <w:r w:rsidRPr="0064636A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образом</w:t>
      </w:r>
      <w:r w:rsidRPr="0064636A">
        <w:rPr>
          <w:rFonts w:eastAsia="MS Mincho"/>
          <w:lang w:val="ru-RU"/>
        </w:rPr>
        <w:t xml:space="preserve">, </w:t>
      </w:r>
      <w:r>
        <w:rPr>
          <w:rFonts w:eastAsia="MS Mincho"/>
          <w:lang w:val="ru-RU"/>
        </w:rPr>
        <w:t>не было никаких автоматизированных средств воспроизведения таких данных в публикации</w:t>
      </w:r>
      <w:r w:rsidRPr="0064636A">
        <w:rPr>
          <w:rFonts w:eastAsia="MS Mincho"/>
          <w:lang w:val="ru-RU"/>
        </w:rPr>
        <w:t xml:space="preserve">.  </w:t>
      </w:r>
      <w:r>
        <w:rPr>
          <w:rFonts w:eastAsia="MS Mincho"/>
          <w:lang w:val="ru-RU"/>
        </w:rPr>
        <w:t>В</w:t>
      </w:r>
      <w:r w:rsidRPr="0064636A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этой</w:t>
      </w:r>
      <w:r w:rsidRPr="0064636A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связи</w:t>
      </w:r>
      <w:r w:rsidRPr="0064636A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 xml:space="preserve">более ранний знак </w:t>
      </w:r>
      <w:r>
        <w:rPr>
          <w:rFonts w:eastAsia="MS Mincho"/>
          <w:lang w:val="ru-RU"/>
        </w:rPr>
        <w:lastRenderedPageBreak/>
        <w:t>или образец, на который ссылаются в качестве основания для отказа, мог быть предоставлен путем присоединения копии национальной публикации, которая может быть на каком-то местном языке</w:t>
      </w:r>
      <w:r w:rsidRPr="0064636A">
        <w:rPr>
          <w:rFonts w:eastAsia="MS Mincho"/>
          <w:lang w:val="ru-RU"/>
        </w:rPr>
        <w:t xml:space="preserve">.  </w:t>
      </w:r>
      <w:r>
        <w:rPr>
          <w:rFonts w:eastAsia="MS Mincho"/>
          <w:lang w:val="ru-RU"/>
        </w:rPr>
        <w:t>Более</w:t>
      </w:r>
      <w:r w:rsidRPr="0064636A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того</w:t>
      </w:r>
      <w:r w:rsidRPr="0064636A">
        <w:rPr>
          <w:rFonts w:eastAsia="MS Mincho"/>
          <w:lang w:val="ru-RU"/>
        </w:rPr>
        <w:t xml:space="preserve">, </w:t>
      </w:r>
      <w:r>
        <w:rPr>
          <w:rFonts w:eastAsia="MS Mincho"/>
          <w:lang w:val="ru-RU"/>
        </w:rPr>
        <w:t>в одном уведомлении могут упоминаться несколько более ранних знаков или образцов</w:t>
      </w:r>
      <w:r w:rsidRPr="0064636A">
        <w:rPr>
          <w:rFonts w:eastAsia="MS Mincho"/>
          <w:lang w:val="ru-RU"/>
        </w:rPr>
        <w:t>.</w:t>
      </w:r>
    </w:p>
    <w:p w:rsidR="009A4689" w:rsidRPr="00337E02" w:rsidRDefault="009A4689" w:rsidP="009A4689">
      <w:pPr>
        <w:pStyle w:val="ONUME"/>
        <w:numPr>
          <w:ilvl w:val="0"/>
          <w:numId w:val="8"/>
        </w:numPr>
        <w:rPr>
          <w:rFonts w:eastAsia="MS Mincho"/>
          <w:lang w:val="ru-RU"/>
        </w:rPr>
      </w:pPr>
      <w:r>
        <w:rPr>
          <w:rFonts w:eastAsia="MS Mincho"/>
          <w:lang w:val="ru-RU"/>
        </w:rPr>
        <w:t>Публикация</w:t>
      </w:r>
      <w:r w:rsidRPr="0064636A">
        <w:rPr>
          <w:rFonts w:eastAsia="MS Mincho"/>
          <w:lang w:val="ru-RU"/>
        </w:rPr>
        <w:t xml:space="preserve"> (</w:t>
      </w:r>
      <w:r>
        <w:rPr>
          <w:rFonts w:eastAsia="MS Mincho"/>
          <w:lang w:val="ru-RU"/>
        </w:rPr>
        <w:t>предварительного</w:t>
      </w:r>
      <w:r w:rsidRPr="0064636A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или</w:t>
      </w:r>
      <w:r w:rsidRPr="0064636A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окончательного</w:t>
      </w:r>
      <w:r w:rsidRPr="0064636A">
        <w:rPr>
          <w:rFonts w:eastAsia="MS Mincho"/>
          <w:lang w:val="ru-RU"/>
        </w:rPr>
        <w:t xml:space="preserve">) </w:t>
      </w:r>
      <w:r>
        <w:rPr>
          <w:rFonts w:eastAsia="MS Mincho"/>
          <w:lang w:val="ru-RU"/>
        </w:rPr>
        <w:t>отказа</w:t>
      </w:r>
      <w:r w:rsidRPr="0064636A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имеет</w:t>
      </w:r>
      <w:r w:rsidRPr="0064636A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целью</w:t>
      </w:r>
      <w:r w:rsidRPr="0064636A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объявить</w:t>
      </w:r>
      <w:r w:rsidRPr="0064636A">
        <w:rPr>
          <w:rFonts w:eastAsia="MS Mincho"/>
          <w:lang w:val="ru-RU"/>
        </w:rPr>
        <w:t xml:space="preserve">, </w:t>
      </w:r>
      <w:r>
        <w:rPr>
          <w:rFonts w:eastAsia="MS Mincho"/>
          <w:lang w:val="ru-RU"/>
        </w:rPr>
        <w:t>что</w:t>
      </w:r>
      <w:r w:rsidRPr="0064636A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та или иная конкретная указанная Договаривающаяся сторона отказала в признании действия международной регистрации</w:t>
      </w:r>
      <w:r w:rsidRPr="0064636A">
        <w:rPr>
          <w:rFonts w:eastAsia="MS Mincho"/>
          <w:lang w:val="ru-RU"/>
        </w:rPr>
        <w:t xml:space="preserve">.  </w:t>
      </w:r>
      <w:r>
        <w:rPr>
          <w:rFonts w:eastAsia="MS Mincho"/>
          <w:lang w:val="ru-RU"/>
        </w:rPr>
        <w:t>Фраза</w:t>
      </w:r>
      <w:r w:rsidRPr="00337E02">
        <w:rPr>
          <w:rFonts w:eastAsia="MS Mincho"/>
          <w:lang w:val="ru-RU"/>
        </w:rPr>
        <w:t xml:space="preserve"> «</w:t>
      </w:r>
      <w:r w:rsidRPr="0084648A">
        <w:rPr>
          <w:lang w:val="ru-RU"/>
        </w:rPr>
        <w:t>без</w:t>
      </w:r>
      <w:r w:rsidRPr="00337E02">
        <w:rPr>
          <w:lang w:val="ru-RU"/>
        </w:rPr>
        <w:t xml:space="preserve"> </w:t>
      </w:r>
      <w:r w:rsidRPr="0084648A">
        <w:rPr>
          <w:lang w:val="ru-RU"/>
        </w:rPr>
        <w:t>указания</w:t>
      </w:r>
      <w:r w:rsidRPr="00337E02">
        <w:rPr>
          <w:lang w:val="ru-RU"/>
        </w:rPr>
        <w:t xml:space="preserve"> </w:t>
      </w:r>
      <w:r w:rsidRPr="0084648A">
        <w:rPr>
          <w:lang w:val="ru-RU"/>
        </w:rPr>
        <w:t>мотивов</w:t>
      </w:r>
      <w:r w:rsidRPr="00337E02">
        <w:rPr>
          <w:lang w:val="ru-RU"/>
        </w:rPr>
        <w:t xml:space="preserve"> </w:t>
      </w:r>
      <w:r w:rsidRPr="0084648A">
        <w:rPr>
          <w:lang w:val="ru-RU"/>
        </w:rPr>
        <w:t>отказа</w:t>
      </w:r>
      <w:r w:rsidRPr="00337E02">
        <w:rPr>
          <w:lang w:val="ru-RU"/>
        </w:rPr>
        <w:t xml:space="preserve">», </w:t>
      </w:r>
      <w:r>
        <w:rPr>
          <w:lang w:val="ru-RU"/>
        </w:rPr>
        <w:t>как</w:t>
      </w:r>
      <w:r w:rsidRPr="00337E02">
        <w:rPr>
          <w:lang w:val="ru-RU"/>
        </w:rPr>
        <w:t xml:space="preserve"> </w:t>
      </w:r>
      <w:r>
        <w:rPr>
          <w:lang w:val="ru-RU"/>
        </w:rPr>
        <w:t>представляется</w:t>
      </w:r>
      <w:r w:rsidRPr="00337E02">
        <w:rPr>
          <w:lang w:val="ru-RU"/>
        </w:rPr>
        <w:t xml:space="preserve">, </w:t>
      </w:r>
      <w:r>
        <w:rPr>
          <w:lang w:val="ru-RU"/>
        </w:rPr>
        <w:t>включена</w:t>
      </w:r>
      <w:r w:rsidRPr="00337E02">
        <w:rPr>
          <w:lang w:val="ru-RU"/>
        </w:rPr>
        <w:t xml:space="preserve"> </w:t>
      </w:r>
      <w:r>
        <w:rPr>
          <w:lang w:val="ru-RU"/>
        </w:rPr>
        <w:t>в</w:t>
      </w:r>
      <w:r w:rsidRPr="00337E02">
        <w:rPr>
          <w:lang w:val="ru-RU"/>
        </w:rPr>
        <w:t xml:space="preserve"> </w:t>
      </w:r>
      <w:r>
        <w:rPr>
          <w:lang w:val="ru-RU"/>
        </w:rPr>
        <w:t>Мадридскую</w:t>
      </w:r>
      <w:r w:rsidRPr="00337E02">
        <w:rPr>
          <w:lang w:val="ru-RU"/>
        </w:rPr>
        <w:t xml:space="preserve"> </w:t>
      </w:r>
      <w:r>
        <w:rPr>
          <w:lang w:val="ru-RU"/>
        </w:rPr>
        <w:t>инструкцию</w:t>
      </w:r>
      <w:r w:rsidRPr="00337E02">
        <w:rPr>
          <w:lang w:val="ru-RU"/>
        </w:rPr>
        <w:t xml:space="preserve"> </w:t>
      </w:r>
      <w:r>
        <w:rPr>
          <w:lang w:val="ru-RU"/>
        </w:rPr>
        <w:t>для</w:t>
      </w:r>
      <w:r w:rsidRPr="00337E02">
        <w:rPr>
          <w:lang w:val="ru-RU"/>
        </w:rPr>
        <w:t xml:space="preserve"> </w:t>
      </w:r>
      <w:r>
        <w:rPr>
          <w:lang w:val="ru-RU"/>
        </w:rPr>
        <w:t>того</w:t>
      </w:r>
      <w:r w:rsidRPr="00337E02">
        <w:rPr>
          <w:lang w:val="ru-RU"/>
        </w:rPr>
        <w:t xml:space="preserve">, </w:t>
      </w:r>
      <w:r>
        <w:rPr>
          <w:lang w:val="ru-RU"/>
        </w:rPr>
        <w:t>чтобы</w:t>
      </w:r>
      <w:r w:rsidRPr="00337E02">
        <w:rPr>
          <w:lang w:val="ru-RU"/>
        </w:rPr>
        <w:t xml:space="preserve"> </w:t>
      </w:r>
      <w:r>
        <w:rPr>
          <w:lang w:val="ru-RU"/>
        </w:rPr>
        <w:t>отразить</w:t>
      </w:r>
      <w:r w:rsidRPr="00337E02">
        <w:rPr>
          <w:lang w:val="ru-RU"/>
        </w:rPr>
        <w:t xml:space="preserve"> </w:t>
      </w:r>
      <w:r>
        <w:rPr>
          <w:lang w:val="ru-RU"/>
        </w:rPr>
        <w:t>не</w:t>
      </w:r>
      <w:r w:rsidRPr="00337E02">
        <w:rPr>
          <w:lang w:val="ru-RU"/>
        </w:rPr>
        <w:t xml:space="preserve"> </w:t>
      </w:r>
      <w:r>
        <w:rPr>
          <w:lang w:val="ru-RU"/>
        </w:rPr>
        <w:t>только</w:t>
      </w:r>
      <w:r w:rsidRPr="00337E02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основную цель публикации отказа, но и</w:t>
      </w:r>
      <w:r w:rsidRPr="00337E02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техническое ограничение, связанное с тем, что Международному бюро чрезвычайно трудно отловить и опубликовать всю информацию, относящуюся к основаниям для отказа</w:t>
      </w:r>
      <w:r w:rsidRPr="00337E02">
        <w:rPr>
          <w:rFonts w:eastAsia="MS Mincho"/>
          <w:lang w:val="ru-RU"/>
        </w:rPr>
        <w:t>.</w:t>
      </w:r>
    </w:p>
    <w:p w:rsidR="009A4689" w:rsidRPr="00337E02" w:rsidRDefault="009A4689" w:rsidP="009A4689">
      <w:pPr>
        <w:pStyle w:val="ONUME"/>
        <w:numPr>
          <w:ilvl w:val="0"/>
          <w:numId w:val="8"/>
        </w:numPr>
        <w:rPr>
          <w:rFonts w:eastAsia="MS Mincho"/>
          <w:lang w:val="ru-RU"/>
        </w:rPr>
      </w:pPr>
      <w:r>
        <w:rPr>
          <w:rFonts w:eastAsia="MS Mincho"/>
          <w:lang w:val="ru-RU"/>
        </w:rPr>
        <w:t>В</w:t>
      </w:r>
      <w:r w:rsidRPr="00337E02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отсутствие</w:t>
      </w:r>
      <w:r w:rsidRPr="00337E02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каких</w:t>
      </w:r>
      <w:r w:rsidRPr="00337E02">
        <w:rPr>
          <w:rFonts w:eastAsia="MS Mincho"/>
          <w:lang w:val="ru-RU"/>
        </w:rPr>
        <w:t>-</w:t>
      </w:r>
      <w:r>
        <w:rPr>
          <w:rFonts w:eastAsia="MS Mincho"/>
          <w:lang w:val="ru-RU"/>
        </w:rPr>
        <w:t>либо</w:t>
      </w:r>
      <w:r w:rsidRPr="00337E02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замечаний</w:t>
      </w:r>
      <w:r w:rsidRPr="00337E02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в</w:t>
      </w:r>
      <w:r w:rsidRPr="00337E02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документах</w:t>
      </w:r>
      <w:r w:rsidRPr="00337E02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Комитета</w:t>
      </w:r>
      <w:r w:rsidRPr="00337E02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экспертов</w:t>
      </w:r>
      <w:r w:rsidRPr="00337E02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и</w:t>
      </w:r>
      <w:r w:rsidRPr="00337E02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Дипломатической</w:t>
      </w:r>
      <w:r w:rsidRPr="00337E02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конференции</w:t>
      </w:r>
      <w:r w:rsidRPr="00337E02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по</w:t>
      </w:r>
      <w:r w:rsidRPr="00337E02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этому</w:t>
      </w:r>
      <w:r w:rsidRPr="00337E02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вопросу</w:t>
      </w:r>
      <w:r w:rsidRPr="00337E02">
        <w:rPr>
          <w:rFonts w:eastAsia="MS Mincho"/>
          <w:lang w:val="ru-RU"/>
        </w:rPr>
        <w:t xml:space="preserve">, </w:t>
      </w:r>
      <w:r>
        <w:rPr>
          <w:rFonts w:eastAsia="MS Mincho"/>
          <w:lang w:val="ru-RU"/>
        </w:rPr>
        <w:t>можно предположить, что эта же фраза была просто скопирована из Мадридской инструкции, чтобы отразить тот же нюанс в (Гаагской) Общей инструкции</w:t>
      </w:r>
      <w:r w:rsidRPr="00337E02">
        <w:rPr>
          <w:rFonts w:eastAsia="MS Mincho"/>
          <w:lang w:val="ru-RU"/>
        </w:rPr>
        <w:t>.</w:t>
      </w:r>
    </w:p>
    <w:p w:rsidR="009A4689" w:rsidRDefault="009A4689" w:rsidP="009A4689">
      <w:pPr>
        <w:pStyle w:val="Heading2"/>
        <w:spacing w:before="480"/>
        <w:rPr>
          <w:lang w:val="fr-CH" w:eastAsia="en-US"/>
        </w:rPr>
      </w:pPr>
      <w:r>
        <w:rPr>
          <w:lang w:val="ru-RU" w:eastAsia="en-US"/>
        </w:rPr>
        <w:t>практика</w:t>
      </w:r>
      <w:r w:rsidRPr="008F4FC5">
        <w:rPr>
          <w:lang w:val="ru-RU" w:eastAsia="en-US"/>
        </w:rPr>
        <w:t xml:space="preserve"> </w:t>
      </w:r>
      <w:r>
        <w:rPr>
          <w:lang w:val="ru-RU" w:eastAsia="en-US"/>
        </w:rPr>
        <w:t>ведомств</w:t>
      </w:r>
      <w:r w:rsidRPr="008F4FC5">
        <w:rPr>
          <w:lang w:val="ru-RU" w:eastAsia="en-US"/>
        </w:rPr>
        <w:t xml:space="preserve">, </w:t>
      </w:r>
      <w:r>
        <w:rPr>
          <w:lang w:val="ru-RU" w:eastAsia="en-US"/>
        </w:rPr>
        <w:t>которые</w:t>
      </w:r>
      <w:r w:rsidRPr="008F4FC5">
        <w:rPr>
          <w:lang w:val="ru-RU" w:eastAsia="en-US"/>
        </w:rPr>
        <w:t xml:space="preserve"> </w:t>
      </w:r>
      <w:r>
        <w:rPr>
          <w:lang w:val="ru-RU" w:eastAsia="en-US"/>
        </w:rPr>
        <w:t>часто</w:t>
      </w:r>
      <w:r w:rsidRPr="008F4FC5">
        <w:rPr>
          <w:lang w:val="ru-RU" w:eastAsia="en-US"/>
        </w:rPr>
        <w:t xml:space="preserve"> </w:t>
      </w:r>
      <w:r>
        <w:rPr>
          <w:lang w:val="ru-RU" w:eastAsia="en-US"/>
        </w:rPr>
        <w:t>выдают</w:t>
      </w:r>
      <w:r w:rsidRPr="008F4FC5">
        <w:rPr>
          <w:lang w:val="ru-RU" w:eastAsia="en-US"/>
        </w:rPr>
        <w:t xml:space="preserve"> </w:t>
      </w:r>
      <w:r>
        <w:rPr>
          <w:lang w:val="ru-RU" w:eastAsia="en-US"/>
        </w:rPr>
        <w:t>уведомления</w:t>
      </w:r>
      <w:r w:rsidRPr="008F4FC5">
        <w:rPr>
          <w:lang w:val="ru-RU" w:eastAsia="en-US"/>
        </w:rPr>
        <w:t xml:space="preserve"> </w:t>
      </w:r>
      <w:r>
        <w:rPr>
          <w:lang w:val="ru-RU" w:eastAsia="en-US"/>
        </w:rPr>
        <w:t>об</w:t>
      </w:r>
      <w:r w:rsidRPr="008F4FC5">
        <w:rPr>
          <w:lang w:val="ru-RU" w:eastAsia="en-US"/>
        </w:rPr>
        <w:t xml:space="preserve"> </w:t>
      </w:r>
      <w:r>
        <w:rPr>
          <w:lang w:val="ru-RU" w:eastAsia="en-US"/>
        </w:rPr>
        <w:t>отказе</w:t>
      </w:r>
    </w:p>
    <w:p w:rsidR="00ED2FDD" w:rsidRPr="00ED2FDD" w:rsidRDefault="00ED2FDD" w:rsidP="00ED2FDD">
      <w:pPr>
        <w:rPr>
          <w:lang w:val="fr-CH" w:eastAsia="en-US"/>
        </w:rPr>
      </w:pPr>
    </w:p>
    <w:p w:rsidR="009A4689" w:rsidRPr="00337E02" w:rsidRDefault="009A4689" w:rsidP="009A4689">
      <w:pPr>
        <w:pStyle w:val="ONUME"/>
        <w:numPr>
          <w:ilvl w:val="0"/>
          <w:numId w:val="8"/>
        </w:numPr>
        <w:rPr>
          <w:rFonts w:eastAsia="MS Mincho"/>
          <w:lang w:val="ru-RU"/>
        </w:rPr>
      </w:pPr>
      <w:r>
        <w:rPr>
          <w:lang w:val="ru-RU"/>
        </w:rPr>
        <w:t>Как</w:t>
      </w:r>
      <w:r w:rsidRPr="00337E02">
        <w:rPr>
          <w:lang w:val="ru-RU"/>
        </w:rPr>
        <w:t xml:space="preserve"> </w:t>
      </w:r>
      <w:r>
        <w:rPr>
          <w:lang w:val="ru-RU"/>
        </w:rPr>
        <w:t>было</w:t>
      </w:r>
      <w:r w:rsidRPr="00337E02">
        <w:rPr>
          <w:lang w:val="ru-RU"/>
        </w:rPr>
        <w:t xml:space="preserve"> </w:t>
      </w:r>
      <w:r>
        <w:rPr>
          <w:lang w:val="ru-RU"/>
        </w:rPr>
        <w:t>упомянуто</w:t>
      </w:r>
      <w:r w:rsidRPr="00337E02">
        <w:rPr>
          <w:lang w:val="ru-RU"/>
        </w:rPr>
        <w:t xml:space="preserve"> </w:t>
      </w:r>
      <w:r>
        <w:rPr>
          <w:lang w:val="ru-RU"/>
        </w:rPr>
        <w:t>выше</w:t>
      </w:r>
      <w:r w:rsidRPr="00337E02">
        <w:rPr>
          <w:lang w:val="ru-RU"/>
        </w:rPr>
        <w:t xml:space="preserve">, </w:t>
      </w:r>
      <w:r>
        <w:rPr>
          <w:lang w:val="ru-RU"/>
        </w:rPr>
        <w:t>ЯПВ, КВИС и ВПТЗ США являются в настоящее время тремя основными ведомствами, выдающими уведомления об отказе</w:t>
      </w:r>
      <w:r w:rsidRPr="00337E02">
        <w:rPr>
          <w:lang w:val="ru-RU"/>
        </w:rPr>
        <w:t>.</w:t>
      </w:r>
    </w:p>
    <w:p w:rsidR="009A4689" w:rsidRPr="00542E0E" w:rsidRDefault="009A4689" w:rsidP="009A4689">
      <w:pPr>
        <w:pStyle w:val="ONUME"/>
        <w:numPr>
          <w:ilvl w:val="0"/>
          <w:numId w:val="8"/>
        </w:numPr>
        <w:rPr>
          <w:rFonts w:eastAsia="MS Mincho"/>
          <w:lang w:val="ru-RU"/>
        </w:rPr>
      </w:pPr>
      <w:r>
        <w:rPr>
          <w:lang w:val="ru-RU"/>
        </w:rPr>
        <w:t>На</w:t>
      </w:r>
      <w:r w:rsidRPr="00337E02">
        <w:rPr>
          <w:lang w:val="ru-RU"/>
        </w:rPr>
        <w:t xml:space="preserve"> </w:t>
      </w:r>
      <w:r>
        <w:rPr>
          <w:lang w:val="ru-RU"/>
        </w:rPr>
        <w:t>своем</w:t>
      </w:r>
      <w:r w:rsidRPr="00337E02">
        <w:rPr>
          <w:lang w:val="ru-RU"/>
        </w:rPr>
        <w:t xml:space="preserve"> </w:t>
      </w:r>
      <w:r>
        <w:rPr>
          <w:lang w:val="ru-RU"/>
        </w:rPr>
        <w:t>веб</w:t>
      </w:r>
      <w:r w:rsidRPr="00337E02">
        <w:rPr>
          <w:lang w:val="ru-RU"/>
        </w:rPr>
        <w:t>-</w:t>
      </w:r>
      <w:r>
        <w:rPr>
          <w:lang w:val="ru-RU"/>
        </w:rPr>
        <w:t>сайте</w:t>
      </w:r>
      <w:r w:rsidRPr="00337E02">
        <w:rPr>
          <w:lang w:val="ru-RU"/>
        </w:rPr>
        <w:t xml:space="preserve"> </w:t>
      </w:r>
      <w:r>
        <w:rPr>
          <w:lang w:val="ru-RU"/>
        </w:rPr>
        <w:t>ВПТЗ</w:t>
      </w:r>
      <w:r w:rsidRPr="00337E02">
        <w:rPr>
          <w:lang w:val="ru-RU"/>
        </w:rPr>
        <w:t xml:space="preserve"> </w:t>
      </w:r>
      <w:r>
        <w:rPr>
          <w:lang w:val="ru-RU"/>
        </w:rPr>
        <w:t>США</w:t>
      </w:r>
      <w:r w:rsidRPr="00337E02">
        <w:rPr>
          <w:lang w:val="ru-RU"/>
        </w:rPr>
        <w:t xml:space="preserve"> </w:t>
      </w:r>
      <w:r>
        <w:rPr>
          <w:lang w:val="ru-RU"/>
        </w:rPr>
        <w:t>предлагает</w:t>
      </w:r>
      <w:r w:rsidRPr="00337E02">
        <w:rPr>
          <w:lang w:val="ru-RU"/>
        </w:rPr>
        <w:t xml:space="preserve"> </w:t>
      </w:r>
      <w:r>
        <w:rPr>
          <w:lang w:val="ru-RU"/>
        </w:rPr>
        <w:t xml:space="preserve">систему поиска информации о патентных заявках </w:t>
      </w:r>
      <w:r w:rsidRPr="00337E02">
        <w:rPr>
          <w:lang w:val="ru-RU"/>
        </w:rPr>
        <w:t>(“</w:t>
      </w:r>
      <w:r>
        <w:t>PAIR</w:t>
      </w:r>
      <w:r w:rsidRPr="00337E02">
        <w:rPr>
          <w:lang w:val="ru-RU"/>
        </w:rPr>
        <w:t xml:space="preserve">”).  </w:t>
      </w:r>
      <w:r>
        <w:rPr>
          <w:lang w:val="ru-RU"/>
        </w:rPr>
        <w:t>Заявитель</w:t>
      </w:r>
      <w:r w:rsidRPr="00337E02">
        <w:rPr>
          <w:lang w:val="ru-RU"/>
        </w:rPr>
        <w:t xml:space="preserve"> </w:t>
      </w:r>
      <w:r>
        <w:rPr>
          <w:lang w:val="ru-RU"/>
        </w:rPr>
        <w:t>может</w:t>
      </w:r>
      <w:r w:rsidRPr="00337E02">
        <w:rPr>
          <w:lang w:val="ru-RU"/>
        </w:rPr>
        <w:t xml:space="preserve"> </w:t>
      </w:r>
      <w:r>
        <w:rPr>
          <w:lang w:val="ru-RU"/>
        </w:rPr>
        <w:t>проверить</w:t>
      </w:r>
      <w:r w:rsidRPr="00337E02">
        <w:rPr>
          <w:lang w:val="ru-RU"/>
        </w:rPr>
        <w:t xml:space="preserve"> </w:t>
      </w:r>
      <w:r>
        <w:rPr>
          <w:lang w:val="ru-RU"/>
        </w:rPr>
        <w:t>статус</w:t>
      </w:r>
      <w:r w:rsidRPr="00337E02">
        <w:rPr>
          <w:lang w:val="ru-RU"/>
        </w:rPr>
        <w:t xml:space="preserve"> </w:t>
      </w:r>
      <w:r>
        <w:rPr>
          <w:lang w:val="ru-RU"/>
        </w:rPr>
        <w:t>своих</w:t>
      </w:r>
      <w:r w:rsidRPr="00337E02">
        <w:rPr>
          <w:lang w:val="ru-RU"/>
        </w:rPr>
        <w:t xml:space="preserve"> </w:t>
      </w:r>
      <w:r>
        <w:rPr>
          <w:lang w:val="ru-RU"/>
        </w:rPr>
        <w:t>патентных</w:t>
      </w:r>
      <w:r w:rsidRPr="00337E02">
        <w:rPr>
          <w:lang w:val="ru-RU"/>
        </w:rPr>
        <w:t xml:space="preserve"> </w:t>
      </w:r>
      <w:r>
        <w:rPr>
          <w:lang w:val="ru-RU"/>
        </w:rPr>
        <w:t>заявок</w:t>
      </w:r>
      <w:r w:rsidRPr="00337E02">
        <w:rPr>
          <w:lang w:val="ru-RU"/>
        </w:rPr>
        <w:t xml:space="preserve"> </w:t>
      </w:r>
      <w:r>
        <w:rPr>
          <w:lang w:val="ru-RU"/>
        </w:rPr>
        <w:t>через</w:t>
      </w:r>
      <w:r w:rsidRPr="00337E02">
        <w:rPr>
          <w:lang w:val="ru-RU"/>
        </w:rPr>
        <w:t xml:space="preserve"> “</w:t>
      </w:r>
      <w:r>
        <w:t>Private</w:t>
      </w:r>
      <w:r w:rsidRPr="00337E02">
        <w:rPr>
          <w:lang w:val="ru-RU"/>
        </w:rPr>
        <w:t xml:space="preserve"> </w:t>
      </w:r>
      <w:r>
        <w:t>PAIR</w:t>
      </w:r>
      <w:r w:rsidRPr="00337E02">
        <w:rPr>
          <w:lang w:val="ru-RU"/>
        </w:rPr>
        <w:t>”</w:t>
      </w:r>
      <w:r>
        <w:rPr>
          <w:lang w:val="ru-RU"/>
        </w:rPr>
        <w:t xml:space="preserve"> («закрытое приложение </w:t>
      </w:r>
      <w:r>
        <w:t>PAIR</w:t>
      </w:r>
      <w:r>
        <w:rPr>
          <w:lang w:val="ru-RU"/>
        </w:rPr>
        <w:t>»)</w:t>
      </w:r>
      <w:r w:rsidRPr="00337E02">
        <w:rPr>
          <w:lang w:val="ru-RU"/>
        </w:rPr>
        <w:t xml:space="preserve">.  </w:t>
      </w:r>
      <w:r>
        <w:rPr>
          <w:lang w:val="ru-RU"/>
        </w:rPr>
        <w:t>Помимо</w:t>
      </w:r>
      <w:r w:rsidRPr="00542E0E">
        <w:rPr>
          <w:lang w:val="ru-RU"/>
        </w:rPr>
        <w:t xml:space="preserve"> </w:t>
      </w:r>
      <w:r>
        <w:rPr>
          <w:lang w:val="ru-RU"/>
        </w:rPr>
        <w:t>этого</w:t>
      </w:r>
      <w:r w:rsidRPr="00542E0E">
        <w:rPr>
          <w:lang w:val="ru-RU"/>
        </w:rPr>
        <w:t>, “</w:t>
      </w:r>
      <w:r>
        <w:t>Public</w:t>
      </w:r>
      <w:r w:rsidRPr="00542E0E">
        <w:rPr>
          <w:lang w:val="ru-RU"/>
        </w:rPr>
        <w:t xml:space="preserve"> </w:t>
      </w:r>
      <w:r>
        <w:t>PAIR</w:t>
      </w:r>
      <w:r w:rsidRPr="00542E0E">
        <w:rPr>
          <w:lang w:val="ru-RU"/>
        </w:rPr>
        <w:t>” («</w:t>
      </w:r>
      <w:r>
        <w:rPr>
          <w:lang w:val="ru-RU"/>
        </w:rPr>
        <w:t>общедоступное</w:t>
      </w:r>
      <w:r w:rsidRPr="00542E0E">
        <w:rPr>
          <w:lang w:val="ru-RU"/>
        </w:rPr>
        <w:t xml:space="preserve"> </w:t>
      </w:r>
      <w:r>
        <w:rPr>
          <w:lang w:val="ru-RU"/>
        </w:rPr>
        <w:t>приложение</w:t>
      </w:r>
      <w:r w:rsidRPr="00542E0E">
        <w:rPr>
          <w:lang w:val="ru-RU"/>
        </w:rPr>
        <w:t xml:space="preserve"> </w:t>
      </w:r>
      <w:r>
        <w:t>PAIR</w:t>
      </w:r>
      <w:r w:rsidRPr="00542E0E">
        <w:rPr>
          <w:lang w:val="ru-RU"/>
        </w:rPr>
        <w:t xml:space="preserve">») </w:t>
      </w:r>
      <w:r>
        <w:rPr>
          <w:lang w:val="ru-RU"/>
        </w:rPr>
        <w:t>позволяет третьей стороне получить доступ к соответствующей информации, включая уведомление об отказе и все другие</w:t>
      </w:r>
      <w:r w:rsidRPr="00542E0E">
        <w:rPr>
          <w:lang w:val="ru-RU"/>
        </w:rPr>
        <w:t xml:space="preserve"> </w:t>
      </w:r>
      <w:r>
        <w:rPr>
          <w:lang w:val="ru-RU"/>
        </w:rPr>
        <w:t>обмены сообщениями между заявителем и Ведомством, если патент выдается и после того как патент выдается</w:t>
      </w:r>
      <w:r w:rsidRPr="00542E0E">
        <w:rPr>
          <w:lang w:val="ru-RU"/>
        </w:rPr>
        <w:t xml:space="preserve">.  </w:t>
      </w:r>
      <w:r>
        <w:rPr>
          <w:lang w:val="ru-RU"/>
        </w:rPr>
        <w:t>Кроме</w:t>
      </w:r>
      <w:r w:rsidRPr="00542E0E">
        <w:rPr>
          <w:lang w:val="ru-RU"/>
        </w:rPr>
        <w:t xml:space="preserve"> </w:t>
      </w:r>
      <w:r>
        <w:rPr>
          <w:lang w:val="ru-RU"/>
        </w:rPr>
        <w:t>того</w:t>
      </w:r>
      <w:r w:rsidRPr="00542E0E">
        <w:rPr>
          <w:lang w:val="ru-RU"/>
        </w:rPr>
        <w:t xml:space="preserve">, </w:t>
      </w:r>
      <w:r>
        <w:rPr>
          <w:lang w:val="ru-RU"/>
        </w:rPr>
        <w:t>в случае международной регистрации с указанием Соединенных Штатов Америки все такие сообщения становятся доступными после ее публикации Международным бюро и независимо от ее судьбы</w:t>
      </w:r>
      <w:r w:rsidRPr="00542E0E">
        <w:rPr>
          <w:lang w:val="ru-RU"/>
        </w:rPr>
        <w:t>.</w:t>
      </w:r>
    </w:p>
    <w:p w:rsidR="009A4689" w:rsidRPr="00542E0E" w:rsidRDefault="009A4689" w:rsidP="009A4689">
      <w:pPr>
        <w:pStyle w:val="ONUME"/>
        <w:numPr>
          <w:ilvl w:val="0"/>
          <w:numId w:val="8"/>
        </w:numPr>
        <w:rPr>
          <w:lang w:val="ru-RU" w:eastAsia="en-US"/>
        </w:rPr>
      </w:pPr>
      <w:r>
        <w:rPr>
          <w:lang w:val="ru-RU" w:eastAsia="en-US"/>
        </w:rPr>
        <w:t>В</w:t>
      </w:r>
      <w:r w:rsidRPr="00542E0E">
        <w:rPr>
          <w:lang w:val="ru-RU" w:eastAsia="en-US"/>
        </w:rPr>
        <w:t xml:space="preserve"> </w:t>
      </w:r>
      <w:r>
        <w:rPr>
          <w:lang w:val="ru-RU" w:eastAsia="en-US"/>
        </w:rPr>
        <w:t>отличие</w:t>
      </w:r>
      <w:r w:rsidRPr="00542E0E">
        <w:rPr>
          <w:lang w:val="ru-RU" w:eastAsia="en-US"/>
        </w:rPr>
        <w:t xml:space="preserve"> </w:t>
      </w:r>
      <w:r>
        <w:rPr>
          <w:lang w:val="ru-RU" w:eastAsia="en-US"/>
        </w:rPr>
        <w:t>от</w:t>
      </w:r>
      <w:r w:rsidRPr="00542E0E">
        <w:rPr>
          <w:lang w:val="ru-RU" w:eastAsia="en-US"/>
        </w:rPr>
        <w:t xml:space="preserve"> </w:t>
      </w:r>
      <w:r>
        <w:rPr>
          <w:lang w:val="ru-RU" w:eastAsia="en-US"/>
        </w:rPr>
        <w:t>этого</w:t>
      </w:r>
      <w:r w:rsidRPr="00542E0E">
        <w:rPr>
          <w:lang w:val="ru-RU" w:eastAsia="en-US"/>
        </w:rPr>
        <w:t xml:space="preserve">, </w:t>
      </w:r>
      <w:r>
        <w:rPr>
          <w:lang w:val="ru-RU" w:eastAsia="en-US"/>
        </w:rPr>
        <w:t>базы</w:t>
      </w:r>
      <w:r w:rsidRPr="00542E0E">
        <w:rPr>
          <w:lang w:val="ru-RU" w:eastAsia="en-US"/>
        </w:rPr>
        <w:t xml:space="preserve"> </w:t>
      </w:r>
      <w:r>
        <w:rPr>
          <w:lang w:val="ru-RU" w:eastAsia="en-US"/>
        </w:rPr>
        <w:t>данных</w:t>
      </w:r>
      <w:r w:rsidRPr="00542E0E">
        <w:rPr>
          <w:lang w:val="ru-RU" w:eastAsia="en-US"/>
        </w:rPr>
        <w:t xml:space="preserve"> </w:t>
      </w:r>
      <w:r>
        <w:rPr>
          <w:lang w:val="ru-RU" w:eastAsia="en-US"/>
        </w:rPr>
        <w:t>ЯПВ</w:t>
      </w:r>
      <w:r w:rsidRPr="00542E0E">
        <w:rPr>
          <w:lang w:val="ru-RU" w:eastAsia="en-US"/>
        </w:rPr>
        <w:t xml:space="preserve"> (</w:t>
      </w:r>
      <w:r>
        <w:rPr>
          <w:lang w:eastAsia="en-US"/>
        </w:rPr>
        <w:t>J</w:t>
      </w:r>
      <w:r w:rsidRPr="00542E0E">
        <w:rPr>
          <w:lang w:val="ru-RU" w:eastAsia="en-US"/>
        </w:rPr>
        <w:t>-</w:t>
      </w:r>
      <w:r>
        <w:rPr>
          <w:lang w:eastAsia="en-US"/>
        </w:rPr>
        <w:t>PRAT</w:t>
      </w:r>
      <w:r w:rsidRPr="00542E0E">
        <w:rPr>
          <w:lang w:val="ru-RU" w:eastAsia="en-US"/>
        </w:rPr>
        <w:t>-</w:t>
      </w:r>
      <w:r>
        <w:rPr>
          <w:lang w:eastAsia="en-US"/>
        </w:rPr>
        <w:t>PAT</w:t>
      </w:r>
      <w:r w:rsidRPr="00542E0E">
        <w:rPr>
          <w:lang w:val="ru-RU" w:eastAsia="en-US"/>
        </w:rPr>
        <w:t xml:space="preserve">) </w:t>
      </w:r>
      <w:r>
        <w:rPr>
          <w:lang w:val="ru-RU" w:eastAsia="en-US"/>
        </w:rPr>
        <w:t>и</w:t>
      </w:r>
      <w:r w:rsidRPr="00542E0E">
        <w:rPr>
          <w:lang w:val="ru-RU" w:eastAsia="en-US"/>
        </w:rPr>
        <w:t xml:space="preserve"> </w:t>
      </w:r>
      <w:r>
        <w:rPr>
          <w:lang w:val="ru-RU" w:eastAsia="en-US"/>
        </w:rPr>
        <w:t>КВИС</w:t>
      </w:r>
      <w:r w:rsidRPr="00542E0E">
        <w:rPr>
          <w:lang w:val="ru-RU" w:eastAsia="en-US"/>
        </w:rPr>
        <w:t xml:space="preserve"> (</w:t>
      </w:r>
      <w:r>
        <w:rPr>
          <w:lang w:eastAsia="en-US"/>
        </w:rPr>
        <w:t>KIPRIS</w:t>
      </w:r>
      <w:r w:rsidRPr="00542E0E">
        <w:rPr>
          <w:lang w:val="ru-RU" w:eastAsia="en-US"/>
        </w:rPr>
        <w:t xml:space="preserve">) </w:t>
      </w:r>
      <w:r>
        <w:rPr>
          <w:lang w:val="ru-RU" w:eastAsia="en-US"/>
        </w:rPr>
        <w:t>не позволяют третьей стороне получать доступ к уведомлениям об отказе через свои веб-сайты</w:t>
      </w:r>
      <w:r w:rsidRPr="00542E0E">
        <w:rPr>
          <w:lang w:val="ru-RU" w:eastAsia="en-US"/>
        </w:rPr>
        <w:t xml:space="preserve">.  </w:t>
      </w:r>
      <w:r>
        <w:rPr>
          <w:lang w:val="ru-RU" w:eastAsia="en-US"/>
        </w:rPr>
        <w:t>Однако</w:t>
      </w:r>
      <w:r w:rsidRPr="00542E0E">
        <w:rPr>
          <w:lang w:val="ru-RU" w:eastAsia="en-US"/>
        </w:rPr>
        <w:t xml:space="preserve">, </w:t>
      </w:r>
      <w:r>
        <w:rPr>
          <w:lang w:val="ru-RU" w:eastAsia="en-US"/>
        </w:rPr>
        <w:t>в</w:t>
      </w:r>
      <w:r w:rsidRPr="00542E0E">
        <w:rPr>
          <w:lang w:val="ru-RU" w:eastAsia="en-US"/>
        </w:rPr>
        <w:t xml:space="preserve"> </w:t>
      </w:r>
      <w:r>
        <w:rPr>
          <w:lang w:val="ru-RU" w:eastAsia="en-US"/>
        </w:rPr>
        <w:t>принципе</w:t>
      </w:r>
      <w:r w:rsidRPr="00542E0E">
        <w:rPr>
          <w:lang w:val="ru-RU" w:eastAsia="en-US"/>
        </w:rPr>
        <w:t xml:space="preserve">, </w:t>
      </w:r>
      <w:r>
        <w:rPr>
          <w:lang w:val="ru-RU" w:eastAsia="en-US"/>
        </w:rPr>
        <w:t>все</w:t>
      </w:r>
      <w:r w:rsidRPr="00542E0E">
        <w:rPr>
          <w:lang w:val="ru-RU" w:eastAsia="en-US"/>
        </w:rPr>
        <w:t xml:space="preserve"> </w:t>
      </w:r>
      <w:r>
        <w:rPr>
          <w:lang w:val="ru-RU" w:eastAsia="en-US"/>
        </w:rPr>
        <w:t>сообщения</w:t>
      </w:r>
      <w:r w:rsidRPr="00542E0E">
        <w:rPr>
          <w:lang w:val="ru-RU" w:eastAsia="en-US"/>
        </w:rPr>
        <w:t xml:space="preserve">, </w:t>
      </w:r>
      <w:r>
        <w:rPr>
          <w:lang w:val="ru-RU" w:eastAsia="en-US"/>
        </w:rPr>
        <w:t>включая</w:t>
      </w:r>
      <w:r w:rsidRPr="00542E0E">
        <w:rPr>
          <w:lang w:val="ru-RU" w:eastAsia="en-US"/>
        </w:rPr>
        <w:t xml:space="preserve"> </w:t>
      </w:r>
      <w:r>
        <w:rPr>
          <w:lang w:val="ru-RU" w:eastAsia="en-US"/>
        </w:rPr>
        <w:t>уведомления</w:t>
      </w:r>
      <w:r w:rsidRPr="00542E0E">
        <w:rPr>
          <w:lang w:val="ru-RU" w:eastAsia="en-US"/>
        </w:rPr>
        <w:t xml:space="preserve"> </w:t>
      </w:r>
      <w:r>
        <w:rPr>
          <w:lang w:val="ru-RU" w:eastAsia="en-US"/>
        </w:rPr>
        <w:t>об</w:t>
      </w:r>
      <w:r w:rsidRPr="00542E0E">
        <w:rPr>
          <w:lang w:val="ru-RU" w:eastAsia="en-US"/>
        </w:rPr>
        <w:t xml:space="preserve"> </w:t>
      </w:r>
      <w:r>
        <w:rPr>
          <w:lang w:val="ru-RU" w:eastAsia="en-US"/>
        </w:rPr>
        <w:t>отказе</w:t>
      </w:r>
      <w:r w:rsidRPr="00542E0E">
        <w:rPr>
          <w:lang w:val="ru-RU" w:eastAsia="en-US"/>
        </w:rPr>
        <w:t xml:space="preserve">, </w:t>
      </w:r>
      <w:r>
        <w:rPr>
          <w:lang w:val="ru-RU" w:eastAsia="en-US"/>
        </w:rPr>
        <w:t>предоставляются по просьбе третьей стороны</w:t>
      </w:r>
      <w:r w:rsidRPr="00542E0E">
        <w:rPr>
          <w:lang w:val="ru-RU" w:eastAsia="en-US"/>
        </w:rPr>
        <w:t xml:space="preserve">, </w:t>
      </w:r>
      <w:r>
        <w:rPr>
          <w:lang w:val="ru-RU" w:eastAsia="en-US"/>
        </w:rPr>
        <w:t>если тот или иной промышленный образец регистрируется и после того как он регистрируется</w:t>
      </w:r>
      <w:r w:rsidRPr="00542E0E">
        <w:rPr>
          <w:lang w:val="ru-RU" w:eastAsia="en-US"/>
        </w:rPr>
        <w:t>.</w:t>
      </w:r>
    </w:p>
    <w:p w:rsidR="009A4689" w:rsidRPr="00D45EC7" w:rsidRDefault="009A4689" w:rsidP="009A4689">
      <w:pPr>
        <w:pStyle w:val="Heading1"/>
        <w:spacing w:before="480"/>
        <w:rPr>
          <w:lang w:val="ru-RU" w:eastAsia="en-US"/>
        </w:rPr>
      </w:pPr>
      <w:r w:rsidRPr="00A123C8">
        <w:rPr>
          <w:lang w:eastAsia="en-US"/>
        </w:rPr>
        <w:t>I</w:t>
      </w:r>
      <w:r>
        <w:rPr>
          <w:lang w:eastAsia="en-US"/>
        </w:rPr>
        <w:t>V</w:t>
      </w:r>
      <w:r w:rsidRPr="00542E0E">
        <w:rPr>
          <w:lang w:val="ru-RU" w:eastAsia="en-US"/>
        </w:rPr>
        <w:t>.</w:t>
      </w:r>
      <w:r w:rsidRPr="00542E0E">
        <w:rPr>
          <w:lang w:val="ru-RU" w:eastAsia="en-US"/>
        </w:rPr>
        <w:tab/>
      </w:r>
      <w:r>
        <w:rPr>
          <w:lang w:val="ru-RU" w:eastAsia="en-US"/>
        </w:rPr>
        <w:t>обсуждение</w:t>
      </w:r>
    </w:p>
    <w:p w:rsidR="009A4689" w:rsidRDefault="009A4689" w:rsidP="009A4689">
      <w:pPr>
        <w:pStyle w:val="Heading2"/>
        <w:rPr>
          <w:lang w:val="fr-CH" w:eastAsia="en-US"/>
        </w:rPr>
      </w:pPr>
      <w:r>
        <w:rPr>
          <w:lang w:val="ru-RU" w:eastAsia="en-US"/>
        </w:rPr>
        <w:t>наличие уведомления об отказе на веб-сайте воис</w:t>
      </w:r>
    </w:p>
    <w:p w:rsidR="00ED2FDD" w:rsidRPr="00ED2FDD" w:rsidRDefault="00ED2FDD" w:rsidP="00ED2FDD">
      <w:pPr>
        <w:rPr>
          <w:lang w:val="fr-CH" w:eastAsia="en-US"/>
        </w:rPr>
      </w:pPr>
    </w:p>
    <w:p w:rsidR="009A4689" w:rsidRPr="00FF589F" w:rsidRDefault="009A4689" w:rsidP="009A4689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Если</w:t>
      </w:r>
      <w:r w:rsidRPr="00FF589F">
        <w:rPr>
          <w:lang w:val="ru-RU"/>
        </w:rPr>
        <w:t xml:space="preserve"> </w:t>
      </w:r>
      <w:r>
        <w:rPr>
          <w:lang w:val="ru-RU"/>
        </w:rPr>
        <w:t>Рабочая</w:t>
      </w:r>
      <w:r w:rsidRPr="00FF589F">
        <w:rPr>
          <w:lang w:val="ru-RU"/>
        </w:rPr>
        <w:t xml:space="preserve"> </w:t>
      </w:r>
      <w:r>
        <w:rPr>
          <w:lang w:val="ru-RU"/>
        </w:rPr>
        <w:t>группа</w:t>
      </w:r>
      <w:r w:rsidRPr="00FF589F">
        <w:rPr>
          <w:lang w:val="ru-RU"/>
        </w:rPr>
        <w:t xml:space="preserve"> </w:t>
      </w:r>
      <w:r>
        <w:rPr>
          <w:lang w:val="ru-RU"/>
        </w:rPr>
        <w:t>считает</w:t>
      </w:r>
      <w:r w:rsidRPr="00FF589F">
        <w:rPr>
          <w:lang w:val="ru-RU"/>
        </w:rPr>
        <w:t xml:space="preserve">, </w:t>
      </w:r>
      <w:r>
        <w:rPr>
          <w:lang w:val="ru-RU"/>
        </w:rPr>
        <w:t>что</w:t>
      </w:r>
      <w:r w:rsidRPr="00FF589F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Pr="00FF589F">
        <w:rPr>
          <w:lang w:val="ru-RU"/>
        </w:rPr>
        <w:t xml:space="preserve"> </w:t>
      </w:r>
      <w:r>
        <w:rPr>
          <w:lang w:val="ru-RU"/>
        </w:rPr>
        <w:t>бюро</w:t>
      </w:r>
      <w:r w:rsidRPr="00FF589F">
        <w:rPr>
          <w:lang w:val="ru-RU"/>
        </w:rPr>
        <w:t xml:space="preserve"> </w:t>
      </w:r>
      <w:r>
        <w:rPr>
          <w:lang w:val="ru-RU"/>
        </w:rPr>
        <w:t>следует</w:t>
      </w:r>
      <w:r w:rsidRPr="00FF589F">
        <w:rPr>
          <w:lang w:val="ru-RU"/>
        </w:rPr>
        <w:t xml:space="preserve"> </w:t>
      </w:r>
      <w:r>
        <w:rPr>
          <w:lang w:val="ru-RU"/>
        </w:rPr>
        <w:t>прекратить</w:t>
      </w:r>
      <w:r w:rsidRPr="00FF589F">
        <w:rPr>
          <w:lang w:val="ru-RU"/>
        </w:rPr>
        <w:t xml:space="preserve"> </w:t>
      </w:r>
      <w:r>
        <w:rPr>
          <w:lang w:val="ru-RU"/>
        </w:rPr>
        <w:t>загружать</w:t>
      </w:r>
      <w:r w:rsidRPr="00FF589F">
        <w:rPr>
          <w:lang w:val="ru-RU"/>
        </w:rPr>
        <w:t xml:space="preserve"> </w:t>
      </w:r>
      <w:r>
        <w:rPr>
          <w:lang w:val="ru-RU"/>
        </w:rPr>
        <w:t>сделанную</w:t>
      </w:r>
      <w:r w:rsidRPr="00FF589F">
        <w:rPr>
          <w:lang w:val="ru-RU"/>
        </w:rPr>
        <w:t xml:space="preserve"> </w:t>
      </w:r>
      <w:r>
        <w:rPr>
          <w:lang w:val="ru-RU"/>
        </w:rPr>
        <w:t>в</w:t>
      </w:r>
      <w:r w:rsidRPr="00FF589F">
        <w:rPr>
          <w:lang w:val="ru-RU"/>
        </w:rPr>
        <w:t xml:space="preserve"> </w:t>
      </w:r>
      <w:r>
        <w:rPr>
          <w:lang w:val="ru-RU"/>
        </w:rPr>
        <w:t>формате</w:t>
      </w:r>
      <w:r w:rsidRPr="00FF589F">
        <w:rPr>
          <w:lang w:val="ru-RU"/>
        </w:rPr>
        <w:t xml:space="preserve"> </w:t>
      </w:r>
      <w:r>
        <w:t>PDF</w:t>
      </w:r>
      <w:r w:rsidRPr="00FF589F">
        <w:rPr>
          <w:lang w:val="ru-RU"/>
        </w:rPr>
        <w:t xml:space="preserve"> </w:t>
      </w:r>
      <w:r>
        <w:rPr>
          <w:lang w:val="ru-RU"/>
        </w:rPr>
        <w:t>копию любого уведомления об отказе, полученного и зарегистрированного Международным бюро, на веб-сайт ВОИС, она может указать на это</w:t>
      </w:r>
      <w:r w:rsidRPr="00FF589F">
        <w:rPr>
          <w:lang w:val="ru-RU"/>
        </w:rPr>
        <w:t>.</w:t>
      </w:r>
    </w:p>
    <w:p w:rsidR="009A4689" w:rsidRPr="00FF589F" w:rsidRDefault="009A4689" w:rsidP="009A4689">
      <w:pPr>
        <w:pStyle w:val="Heading2"/>
        <w:spacing w:before="480"/>
        <w:rPr>
          <w:lang w:val="ru-RU" w:eastAsia="en-US"/>
        </w:rPr>
      </w:pPr>
      <w:r>
        <w:rPr>
          <w:lang w:val="ru-RU" w:eastAsia="en-US"/>
        </w:rPr>
        <w:t>наличие</w:t>
      </w:r>
      <w:r w:rsidRPr="00FF589F">
        <w:rPr>
          <w:lang w:val="ru-RU" w:eastAsia="en-US"/>
        </w:rPr>
        <w:t xml:space="preserve"> </w:t>
      </w:r>
      <w:r>
        <w:rPr>
          <w:lang w:val="ru-RU" w:eastAsia="en-US"/>
        </w:rPr>
        <w:t>уведомления</w:t>
      </w:r>
      <w:r w:rsidRPr="00FF589F">
        <w:rPr>
          <w:lang w:val="ru-RU" w:eastAsia="en-US"/>
        </w:rPr>
        <w:t xml:space="preserve"> </w:t>
      </w:r>
      <w:r>
        <w:rPr>
          <w:lang w:val="ru-RU" w:eastAsia="en-US"/>
        </w:rPr>
        <w:t>об</w:t>
      </w:r>
      <w:r w:rsidRPr="00FF589F">
        <w:rPr>
          <w:lang w:val="ru-RU" w:eastAsia="en-US"/>
        </w:rPr>
        <w:t xml:space="preserve"> </w:t>
      </w:r>
      <w:r>
        <w:rPr>
          <w:lang w:val="ru-RU" w:eastAsia="en-US"/>
        </w:rPr>
        <w:t>отказе</w:t>
      </w:r>
      <w:r w:rsidRPr="00FF589F">
        <w:rPr>
          <w:lang w:val="ru-RU" w:eastAsia="en-US"/>
        </w:rPr>
        <w:t xml:space="preserve">, </w:t>
      </w:r>
      <w:r>
        <w:rPr>
          <w:lang w:val="ru-RU" w:eastAsia="en-US"/>
        </w:rPr>
        <w:t>если он не отозван по запросу</w:t>
      </w:r>
    </w:p>
    <w:p w:rsidR="009A4689" w:rsidRPr="00FF589F" w:rsidRDefault="009A4689" w:rsidP="009A4689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Международное</w:t>
      </w:r>
      <w:r w:rsidRPr="00FF589F">
        <w:rPr>
          <w:lang w:val="ru-RU"/>
        </w:rPr>
        <w:t xml:space="preserve"> </w:t>
      </w:r>
      <w:r>
        <w:rPr>
          <w:lang w:val="ru-RU"/>
        </w:rPr>
        <w:t>бюро</w:t>
      </w:r>
      <w:r w:rsidRPr="00FF589F">
        <w:rPr>
          <w:lang w:val="ru-RU"/>
        </w:rPr>
        <w:t xml:space="preserve"> </w:t>
      </w:r>
      <w:r>
        <w:rPr>
          <w:lang w:val="ru-RU"/>
        </w:rPr>
        <w:t>будет</w:t>
      </w:r>
      <w:r w:rsidRPr="00FF589F">
        <w:rPr>
          <w:lang w:val="ru-RU"/>
        </w:rPr>
        <w:t xml:space="preserve"> </w:t>
      </w:r>
      <w:r>
        <w:rPr>
          <w:lang w:val="ru-RU"/>
        </w:rPr>
        <w:t>и</w:t>
      </w:r>
      <w:r w:rsidRPr="00FF589F">
        <w:rPr>
          <w:lang w:val="ru-RU"/>
        </w:rPr>
        <w:t xml:space="preserve"> </w:t>
      </w:r>
      <w:r>
        <w:rPr>
          <w:lang w:val="ru-RU"/>
        </w:rPr>
        <w:t>дальше</w:t>
      </w:r>
      <w:r w:rsidRPr="00FF589F">
        <w:rPr>
          <w:lang w:val="ru-RU"/>
        </w:rPr>
        <w:t xml:space="preserve"> </w:t>
      </w:r>
      <w:r>
        <w:rPr>
          <w:lang w:val="ru-RU"/>
        </w:rPr>
        <w:t>предоставлять</w:t>
      </w:r>
      <w:r w:rsidRPr="00FF589F">
        <w:rPr>
          <w:lang w:val="ru-RU"/>
        </w:rPr>
        <w:t xml:space="preserve"> </w:t>
      </w:r>
      <w:r>
        <w:rPr>
          <w:lang w:val="ru-RU"/>
        </w:rPr>
        <w:t>копию</w:t>
      </w:r>
      <w:r w:rsidRPr="00FF589F">
        <w:rPr>
          <w:lang w:val="ru-RU"/>
        </w:rPr>
        <w:t xml:space="preserve"> </w:t>
      </w:r>
      <w:r>
        <w:rPr>
          <w:lang w:val="ru-RU"/>
        </w:rPr>
        <w:t>уведомления</w:t>
      </w:r>
      <w:r w:rsidRPr="00FF589F">
        <w:rPr>
          <w:lang w:val="ru-RU"/>
        </w:rPr>
        <w:t xml:space="preserve"> </w:t>
      </w:r>
      <w:r>
        <w:rPr>
          <w:lang w:val="ru-RU"/>
        </w:rPr>
        <w:t>об</w:t>
      </w:r>
      <w:r w:rsidRPr="00FF589F">
        <w:rPr>
          <w:lang w:val="ru-RU"/>
        </w:rPr>
        <w:t xml:space="preserve"> </w:t>
      </w:r>
      <w:r>
        <w:rPr>
          <w:lang w:val="ru-RU"/>
        </w:rPr>
        <w:t>отказе</w:t>
      </w:r>
      <w:r w:rsidRPr="00FF589F">
        <w:rPr>
          <w:lang w:val="ru-RU"/>
        </w:rPr>
        <w:t xml:space="preserve"> </w:t>
      </w:r>
      <w:r>
        <w:rPr>
          <w:lang w:val="ru-RU"/>
        </w:rPr>
        <w:t>третьей</w:t>
      </w:r>
      <w:r w:rsidRPr="00FF589F">
        <w:rPr>
          <w:lang w:val="ru-RU"/>
        </w:rPr>
        <w:t xml:space="preserve"> </w:t>
      </w:r>
      <w:r>
        <w:rPr>
          <w:lang w:val="ru-RU"/>
        </w:rPr>
        <w:t>стороне</w:t>
      </w:r>
      <w:r w:rsidRPr="00FF589F">
        <w:rPr>
          <w:lang w:val="ru-RU"/>
        </w:rPr>
        <w:t xml:space="preserve"> </w:t>
      </w:r>
      <w:r>
        <w:rPr>
          <w:lang w:val="ru-RU"/>
        </w:rPr>
        <w:t>при</w:t>
      </w:r>
      <w:r w:rsidRPr="00FF589F">
        <w:rPr>
          <w:lang w:val="ru-RU"/>
        </w:rPr>
        <w:t xml:space="preserve"> </w:t>
      </w:r>
      <w:r>
        <w:rPr>
          <w:lang w:val="ru-RU"/>
        </w:rPr>
        <w:t>условии</w:t>
      </w:r>
      <w:r w:rsidRPr="00FF589F">
        <w:rPr>
          <w:lang w:val="ru-RU"/>
        </w:rPr>
        <w:t xml:space="preserve"> </w:t>
      </w:r>
      <w:r>
        <w:rPr>
          <w:lang w:val="ru-RU"/>
        </w:rPr>
        <w:t>уплаты пошлины, при наличии соответствующей просьбы, согласно правилу</w:t>
      </w:r>
      <w:r>
        <w:t> </w:t>
      </w:r>
      <w:r w:rsidRPr="00FF589F">
        <w:rPr>
          <w:lang w:val="ru-RU"/>
        </w:rPr>
        <w:t>32(1)(</w:t>
      </w:r>
      <w:r w:rsidRPr="005539A6">
        <w:t>ii</w:t>
      </w:r>
      <w:r w:rsidRPr="00FF589F">
        <w:rPr>
          <w:lang w:val="ru-RU"/>
        </w:rPr>
        <w:t xml:space="preserve">) </w:t>
      </w:r>
      <w:r>
        <w:rPr>
          <w:lang w:val="ru-RU"/>
        </w:rPr>
        <w:t>или</w:t>
      </w:r>
      <w:r>
        <w:t> </w:t>
      </w:r>
      <w:r w:rsidRPr="00FF589F">
        <w:rPr>
          <w:lang w:val="ru-RU"/>
        </w:rPr>
        <w:t>(</w:t>
      </w:r>
      <w:r>
        <w:t>ii</w:t>
      </w:r>
      <w:r w:rsidRPr="005539A6">
        <w:t>i</w:t>
      </w:r>
      <w:r w:rsidRPr="00FF589F">
        <w:rPr>
          <w:lang w:val="ru-RU"/>
        </w:rPr>
        <w:t>).</w:t>
      </w:r>
    </w:p>
    <w:p w:rsidR="00ED2FDD" w:rsidRDefault="00ED2FDD">
      <w:pPr>
        <w:rPr>
          <w:lang w:val="ru-RU"/>
        </w:rPr>
      </w:pPr>
      <w:r>
        <w:rPr>
          <w:lang w:val="ru-RU"/>
        </w:rPr>
        <w:br w:type="page"/>
      </w:r>
    </w:p>
    <w:p w:rsidR="009A4689" w:rsidRPr="00283050" w:rsidRDefault="009A4689" w:rsidP="009A4689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lastRenderedPageBreak/>
        <w:t>Как</w:t>
      </w:r>
      <w:r w:rsidRPr="00283050">
        <w:rPr>
          <w:lang w:val="ru-RU"/>
        </w:rPr>
        <w:t xml:space="preserve"> </w:t>
      </w:r>
      <w:r>
        <w:rPr>
          <w:lang w:val="ru-RU"/>
        </w:rPr>
        <w:t>было</w:t>
      </w:r>
      <w:r w:rsidRPr="00283050">
        <w:rPr>
          <w:lang w:val="ru-RU"/>
        </w:rPr>
        <w:t xml:space="preserve"> </w:t>
      </w:r>
      <w:r>
        <w:rPr>
          <w:lang w:val="ru-RU"/>
        </w:rPr>
        <w:t>указано</w:t>
      </w:r>
      <w:r w:rsidRPr="00283050">
        <w:rPr>
          <w:lang w:val="ru-RU"/>
        </w:rPr>
        <w:t xml:space="preserve"> </w:t>
      </w:r>
      <w:r>
        <w:rPr>
          <w:lang w:val="ru-RU"/>
        </w:rPr>
        <w:t>в</w:t>
      </w:r>
      <w:r w:rsidRPr="00283050">
        <w:rPr>
          <w:lang w:val="ru-RU"/>
        </w:rPr>
        <w:t xml:space="preserve"> </w:t>
      </w:r>
      <w:r>
        <w:rPr>
          <w:lang w:val="ru-RU"/>
        </w:rPr>
        <w:t>предыдущем</w:t>
      </w:r>
      <w:r w:rsidRPr="00283050">
        <w:rPr>
          <w:lang w:val="ru-RU"/>
        </w:rPr>
        <w:t xml:space="preserve"> </w:t>
      </w:r>
      <w:r>
        <w:rPr>
          <w:lang w:val="ru-RU"/>
        </w:rPr>
        <w:t>разделе</w:t>
      </w:r>
      <w:r w:rsidRPr="00283050">
        <w:rPr>
          <w:lang w:val="ru-RU"/>
        </w:rPr>
        <w:t xml:space="preserve">, </w:t>
      </w:r>
      <w:r>
        <w:rPr>
          <w:lang w:val="ru-RU"/>
        </w:rPr>
        <w:t>в</w:t>
      </w:r>
      <w:r w:rsidRPr="00283050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283050">
        <w:rPr>
          <w:lang w:val="ru-RU"/>
        </w:rPr>
        <w:t xml:space="preserve"> </w:t>
      </w:r>
      <w:r>
        <w:rPr>
          <w:lang w:val="ru-RU"/>
        </w:rPr>
        <w:t>с</w:t>
      </w:r>
      <w:r w:rsidRPr="00283050">
        <w:rPr>
          <w:lang w:val="ru-RU"/>
        </w:rPr>
        <w:t xml:space="preserve"> </w:t>
      </w:r>
      <w:r>
        <w:rPr>
          <w:lang w:val="ru-RU"/>
        </w:rPr>
        <w:t>законодательством</w:t>
      </w:r>
      <w:r w:rsidRPr="00283050">
        <w:rPr>
          <w:lang w:val="ru-RU"/>
        </w:rPr>
        <w:t xml:space="preserve"> </w:t>
      </w:r>
      <w:r>
        <w:rPr>
          <w:lang w:val="ru-RU"/>
        </w:rPr>
        <w:t>Японии</w:t>
      </w:r>
      <w:r w:rsidRPr="00283050">
        <w:rPr>
          <w:lang w:val="ru-RU"/>
        </w:rPr>
        <w:t xml:space="preserve">, </w:t>
      </w:r>
      <w:r>
        <w:rPr>
          <w:lang w:val="ru-RU"/>
        </w:rPr>
        <w:t>Республики Корея и Соединенных Штатов Америки</w:t>
      </w:r>
      <w:r w:rsidRPr="00283050">
        <w:rPr>
          <w:lang w:val="ru-RU"/>
        </w:rPr>
        <w:t xml:space="preserve"> </w:t>
      </w:r>
      <w:r>
        <w:rPr>
          <w:lang w:val="ru-RU"/>
        </w:rPr>
        <w:t>все соответствующие сообщения в отношении любых внутренних заявок</w:t>
      </w:r>
      <w:r w:rsidRPr="00283050">
        <w:rPr>
          <w:lang w:val="ru-RU"/>
        </w:rPr>
        <w:t xml:space="preserve"> </w:t>
      </w:r>
      <w:r>
        <w:rPr>
          <w:lang w:val="ru-RU"/>
        </w:rPr>
        <w:t>становятся общедоступными</w:t>
      </w:r>
      <w:r w:rsidRPr="00283050">
        <w:rPr>
          <w:lang w:val="ru-RU"/>
        </w:rPr>
        <w:t xml:space="preserve">, </w:t>
      </w:r>
      <w:r>
        <w:rPr>
          <w:u w:val="single"/>
          <w:lang w:val="ru-RU"/>
        </w:rPr>
        <w:t>после того как образец зарегистрирован или запатентован</w:t>
      </w:r>
      <w:r w:rsidRPr="00283050">
        <w:rPr>
          <w:lang w:val="ru-RU"/>
        </w:rPr>
        <w:t xml:space="preserve">, </w:t>
      </w:r>
      <w:r>
        <w:rPr>
          <w:lang w:val="ru-RU"/>
        </w:rPr>
        <w:t>либо на веб-сайте, либо по запросу</w:t>
      </w:r>
      <w:r w:rsidRPr="00283050">
        <w:rPr>
          <w:lang w:val="ru-RU"/>
        </w:rPr>
        <w:t>.</w:t>
      </w:r>
    </w:p>
    <w:p w:rsidR="009A4689" w:rsidRPr="00283050" w:rsidRDefault="009A4689" w:rsidP="009A4689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Таким</w:t>
      </w:r>
      <w:r w:rsidRPr="00283050">
        <w:rPr>
          <w:lang w:val="ru-RU"/>
        </w:rPr>
        <w:t xml:space="preserve"> </w:t>
      </w:r>
      <w:r>
        <w:rPr>
          <w:lang w:val="ru-RU"/>
        </w:rPr>
        <w:t>образом</w:t>
      </w:r>
      <w:r w:rsidRPr="00283050">
        <w:rPr>
          <w:lang w:val="ru-RU"/>
        </w:rPr>
        <w:t xml:space="preserve">, </w:t>
      </w:r>
      <w:r>
        <w:rPr>
          <w:lang w:val="ru-RU"/>
        </w:rPr>
        <w:t>можно</w:t>
      </w:r>
      <w:r w:rsidRPr="00283050">
        <w:rPr>
          <w:lang w:val="ru-RU"/>
        </w:rPr>
        <w:t xml:space="preserve"> </w:t>
      </w:r>
      <w:r>
        <w:rPr>
          <w:lang w:val="ru-RU"/>
        </w:rPr>
        <w:t>воспользоваться</w:t>
      </w:r>
      <w:r w:rsidRPr="00283050">
        <w:rPr>
          <w:lang w:val="ru-RU"/>
        </w:rPr>
        <w:t xml:space="preserve"> </w:t>
      </w:r>
      <w:r>
        <w:rPr>
          <w:lang w:val="ru-RU"/>
        </w:rPr>
        <w:t>этой</w:t>
      </w:r>
      <w:r w:rsidRPr="00283050">
        <w:rPr>
          <w:lang w:val="ru-RU"/>
        </w:rPr>
        <w:t xml:space="preserve"> </w:t>
      </w:r>
      <w:r>
        <w:rPr>
          <w:lang w:val="ru-RU"/>
        </w:rPr>
        <w:t>возможностью</w:t>
      </w:r>
      <w:r w:rsidRPr="00283050">
        <w:rPr>
          <w:lang w:val="ru-RU"/>
        </w:rPr>
        <w:t xml:space="preserve"> </w:t>
      </w:r>
      <w:r>
        <w:rPr>
          <w:lang w:val="ru-RU"/>
        </w:rPr>
        <w:t>для</w:t>
      </w:r>
      <w:r w:rsidRPr="00283050">
        <w:rPr>
          <w:lang w:val="ru-RU"/>
        </w:rPr>
        <w:t xml:space="preserve"> </w:t>
      </w:r>
      <w:r>
        <w:rPr>
          <w:lang w:val="ru-RU"/>
        </w:rPr>
        <w:t>внесения ясности в вопрос о том, следует ли Международному бюро воздерживаться от раскрытия уведомлений об отказе, если только – и до тех пор пока – отказ не отозван</w:t>
      </w:r>
      <w:r w:rsidRPr="00283050">
        <w:rPr>
          <w:lang w:val="ru-RU"/>
        </w:rPr>
        <w:t xml:space="preserve"> </w:t>
      </w:r>
      <w:r>
        <w:rPr>
          <w:lang w:val="ru-RU"/>
        </w:rPr>
        <w:t>или же,</w:t>
      </w:r>
      <w:r w:rsidRPr="00283050">
        <w:rPr>
          <w:lang w:val="ru-RU"/>
        </w:rPr>
        <w:t xml:space="preserve"> </w:t>
      </w:r>
      <w:r>
        <w:rPr>
          <w:lang w:val="ru-RU"/>
        </w:rPr>
        <w:t>как альтернатива, на ним не следует заявление о предоставлении охраны согласно правилу</w:t>
      </w:r>
      <w:r w:rsidRPr="00283050">
        <w:rPr>
          <w:lang w:val="ru-RU"/>
        </w:rPr>
        <w:t xml:space="preserve"> 18</w:t>
      </w:r>
      <w:r w:rsidRPr="005539A6">
        <w:rPr>
          <w:i/>
        </w:rPr>
        <w:t>bis</w:t>
      </w:r>
      <w:r w:rsidRPr="00283050">
        <w:rPr>
          <w:lang w:val="ru-RU"/>
        </w:rPr>
        <w:t>(2).</w:t>
      </w:r>
    </w:p>
    <w:p w:rsidR="009A4689" w:rsidRPr="005A288D" w:rsidRDefault="009A4689" w:rsidP="009A4689">
      <w:pPr>
        <w:pStyle w:val="ONUME"/>
        <w:numPr>
          <w:ilvl w:val="0"/>
          <w:numId w:val="8"/>
        </w:numPr>
        <w:tabs>
          <w:tab w:val="left" w:pos="6096"/>
        </w:tabs>
        <w:ind w:left="5533"/>
        <w:rPr>
          <w:i/>
        </w:rPr>
      </w:pPr>
      <w:r>
        <w:rPr>
          <w:i/>
          <w:lang w:val="ru-RU"/>
        </w:rPr>
        <w:t>Рабочей группе предлагается</w:t>
      </w:r>
      <w:r w:rsidRPr="005A288D">
        <w:rPr>
          <w:i/>
        </w:rPr>
        <w:t>:</w:t>
      </w:r>
    </w:p>
    <w:p w:rsidR="009A4689" w:rsidRPr="000F0F3E" w:rsidRDefault="009A4689" w:rsidP="00ED2FDD">
      <w:pPr>
        <w:pStyle w:val="ONUME"/>
        <w:numPr>
          <w:ilvl w:val="0"/>
          <w:numId w:val="0"/>
        </w:numPr>
        <w:tabs>
          <w:tab w:val="left" w:pos="6663"/>
        </w:tabs>
        <w:ind w:left="6096"/>
        <w:rPr>
          <w:rFonts w:eastAsia="MS Mincho"/>
          <w:i/>
          <w:iCs/>
          <w:szCs w:val="22"/>
          <w:lang w:val="ru-RU" w:eastAsia="en-US"/>
        </w:rPr>
      </w:pPr>
      <w:r w:rsidRPr="000F0F3E">
        <w:rPr>
          <w:rFonts w:ascii="Arial,Italic" w:eastAsia="MS Mincho" w:hAnsi="Arial,Italic" w:cs="Arial,Italic"/>
          <w:i/>
          <w:iCs/>
          <w:szCs w:val="22"/>
          <w:lang w:val="ru-RU" w:eastAsia="en-US"/>
        </w:rPr>
        <w:t>(</w:t>
      </w:r>
      <w:proofErr w:type="spellStart"/>
      <w:r w:rsidRPr="00B925E8">
        <w:rPr>
          <w:rFonts w:ascii="Arial,Italic" w:eastAsia="MS Mincho" w:hAnsi="Arial,Italic" w:cs="Arial,Italic"/>
          <w:i/>
          <w:iCs/>
          <w:szCs w:val="22"/>
          <w:lang w:eastAsia="en-US"/>
        </w:rPr>
        <w:t>i</w:t>
      </w:r>
      <w:proofErr w:type="spellEnd"/>
      <w:r w:rsidRPr="000F0F3E">
        <w:rPr>
          <w:rFonts w:ascii="Arial,Italic" w:eastAsia="MS Mincho" w:hAnsi="Arial,Italic" w:cs="Arial,Italic"/>
          <w:i/>
          <w:iCs/>
          <w:szCs w:val="22"/>
          <w:lang w:val="ru-RU" w:eastAsia="en-US"/>
        </w:rPr>
        <w:t>)</w:t>
      </w:r>
      <w:r w:rsidRPr="000F0F3E">
        <w:rPr>
          <w:rFonts w:ascii="Arial,Italic" w:eastAsia="MS Mincho" w:hAnsi="Arial,Italic" w:cs="Arial,Italic"/>
          <w:i/>
          <w:iCs/>
          <w:szCs w:val="22"/>
          <w:lang w:val="ru-RU" w:eastAsia="en-US"/>
        </w:rPr>
        <w:tab/>
      </w:r>
      <w:r w:rsidRPr="000F0F3E">
        <w:rPr>
          <w:rFonts w:eastAsia="MS Mincho"/>
          <w:i/>
          <w:iCs/>
          <w:szCs w:val="22"/>
          <w:lang w:val="ru-RU" w:eastAsia="en-US"/>
        </w:rPr>
        <w:t>обсудить</w:t>
      </w:r>
      <w:r>
        <w:rPr>
          <w:rFonts w:asciiTheme="minorHAnsi" w:eastAsia="MS Mincho" w:hAnsiTheme="minorHAnsi" w:cs="Arial,Italic"/>
          <w:i/>
          <w:iCs/>
          <w:szCs w:val="22"/>
          <w:lang w:val="ru-RU" w:eastAsia="en-US"/>
        </w:rPr>
        <w:t xml:space="preserve"> </w:t>
      </w:r>
      <w:r w:rsidRPr="000F0F3E">
        <w:rPr>
          <w:rFonts w:eastAsia="MS Mincho"/>
          <w:i/>
          <w:iCs/>
          <w:szCs w:val="22"/>
          <w:lang w:val="ru-RU" w:eastAsia="en-US"/>
        </w:rPr>
        <w:t>и прокомментировать вопрос, поставленный в настоящем документе</w:t>
      </w:r>
      <w:r w:rsidRPr="000F0F3E">
        <w:rPr>
          <w:rFonts w:ascii="Arial,Italic" w:eastAsia="MS Mincho" w:hAnsi="Arial,Italic" w:cs="Arial,Italic"/>
          <w:i/>
          <w:iCs/>
          <w:szCs w:val="22"/>
          <w:lang w:val="ru-RU" w:eastAsia="en-US"/>
        </w:rPr>
        <w:t xml:space="preserve">;  </w:t>
      </w:r>
      <w:r w:rsidRPr="000F0F3E">
        <w:rPr>
          <w:rFonts w:eastAsia="MS Mincho"/>
          <w:i/>
          <w:iCs/>
          <w:szCs w:val="22"/>
          <w:lang w:val="ru-RU" w:eastAsia="en-US"/>
        </w:rPr>
        <w:t>и</w:t>
      </w:r>
    </w:p>
    <w:p w:rsidR="009A4689" w:rsidRPr="000F0F3E" w:rsidRDefault="009A4689" w:rsidP="00ED2FDD">
      <w:pPr>
        <w:pStyle w:val="ONUME"/>
        <w:numPr>
          <w:ilvl w:val="0"/>
          <w:numId w:val="0"/>
        </w:numPr>
        <w:tabs>
          <w:tab w:val="left" w:pos="6663"/>
        </w:tabs>
        <w:ind w:left="6096"/>
        <w:rPr>
          <w:rFonts w:eastAsia="Times New Roman"/>
          <w:i/>
          <w:szCs w:val="22"/>
          <w:lang w:val="ru-RU" w:eastAsia="en-US"/>
        </w:rPr>
      </w:pPr>
      <w:r w:rsidRPr="000F0F3E">
        <w:rPr>
          <w:rFonts w:eastAsia="MS Mincho"/>
          <w:i/>
          <w:iCs/>
          <w:szCs w:val="22"/>
          <w:lang w:val="ru-RU" w:eastAsia="en-US"/>
        </w:rPr>
        <w:t>(</w:t>
      </w:r>
      <w:r w:rsidRPr="000F0F3E">
        <w:rPr>
          <w:rFonts w:eastAsia="MS Mincho"/>
          <w:i/>
          <w:iCs/>
          <w:szCs w:val="22"/>
          <w:lang w:eastAsia="en-US"/>
        </w:rPr>
        <w:t>ii</w:t>
      </w:r>
      <w:r w:rsidRPr="000F0F3E">
        <w:rPr>
          <w:rFonts w:eastAsia="MS Mincho"/>
          <w:i/>
          <w:iCs/>
          <w:szCs w:val="22"/>
          <w:lang w:val="ru-RU" w:eastAsia="en-US"/>
        </w:rPr>
        <w:t>)</w:t>
      </w:r>
      <w:r w:rsidRPr="000F0F3E">
        <w:rPr>
          <w:rFonts w:eastAsia="MS Mincho"/>
          <w:i/>
          <w:iCs/>
          <w:szCs w:val="22"/>
          <w:lang w:val="ru-RU" w:eastAsia="en-US"/>
        </w:rPr>
        <w:tab/>
        <w:t>указать, будет ли она рекомендовать Международному бюро внести какое-либо изменение в свою практику в отношении общедоступности уведомлений об отказе</w:t>
      </w:r>
      <w:r w:rsidRPr="000F0F3E">
        <w:rPr>
          <w:rFonts w:ascii="Arial,Italic" w:eastAsia="MS Mincho" w:hAnsi="Arial,Italic" w:cs="Arial,Italic"/>
          <w:i/>
          <w:iCs/>
          <w:szCs w:val="22"/>
          <w:lang w:val="ru-RU" w:eastAsia="en-US"/>
        </w:rPr>
        <w:t>.</w:t>
      </w:r>
    </w:p>
    <w:p w:rsidR="009A4689" w:rsidRDefault="009A4689" w:rsidP="009A4689">
      <w:pPr>
        <w:pStyle w:val="Endofdocument-Annex"/>
        <w:spacing w:before="720"/>
      </w:pPr>
      <w:r w:rsidRPr="00D73B87">
        <w:t>[</w:t>
      </w:r>
      <w:r>
        <w:rPr>
          <w:lang w:val="ru-RU"/>
        </w:rPr>
        <w:t>Приложение следует</w:t>
      </w:r>
      <w:r w:rsidRPr="00D73B87">
        <w:t>]</w:t>
      </w:r>
    </w:p>
    <w:p w:rsidR="009A4689" w:rsidRDefault="009A4689" w:rsidP="009A4689">
      <w:pPr>
        <w:pStyle w:val="Endofdocument-Annex"/>
        <w:spacing w:before="720"/>
        <w:sectPr w:rsidR="009A4689" w:rsidSect="003D4329">
          <w:headerReference w:type="default" r:id="rId9"/>
          <w:endnotePr>
            <w:numFmt w:val="decimal"/>
          </w:endnotePr>
          <w:pgSz w:w="11907" w:h="16840" w:code="9"/>
          <w:pgMar w:top="567" w:right="1134" w:bottom="851" w:left="1418" w:header="510" w:footer="1021" w:gutter="0"/>
          <w:pgNumType w:start="1"/>
          <w:cols w:space="720"/>
          <w:titlePg/>
          <w:docGrid w:linePitch="299"/>
        </w:sectPr>
      </w:pPr>
    </w:p>
    <w:p w:rsidR="009A4689" w:rsidRDefault="009A4689" w:rsidP="009A4689">
      <w:pPr>
        <w:pStyle w:val="BodyText"/>
        <w:ind w:left="-567"/>
      </w:pPr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57017" wp14:editId="0709D7B5">
                <wp:simplePos x="0" y="0"/>
                <wp:positionH relativeFrom="column">
                  <wp:posOffset>520065</wp:posOffset>
                </wp:positionH>
                <wp:positionV relativeFrom="paragraph">
                  <wp:posOffset>4882515</wp:posOffset>
                </wp:positionV>
                <wp:extent cx="4752340" cy="553720"/>
                <wp:effectExtent l="0" t="0" r="0" b="0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340" cy="553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4689" w:rsidRPr="003577ED" w:rsidRDefault="009A4689" w:rsidP="009A4689">
                            <w:pPr>
                              <w:pStyle w:val="NormalWeb"/>
                              <w:spacing w:before="0" w:beforeAutospacing="0" w:after="0" w:afterAutospacing="0"/>
                              <w:ind w:left="284" w:hanging="284"/>
                              <w:rPr>
                                <w:lang w:val="ru-RU"/>
                              </w:rPr>
                            </w:pPr>
                            <w:r w:rsidRPr="003577E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lang w:val="ru-RU"/>
                              </w:rPr>
                              <w:t>*</w:t>
                            </w:r>
                            <w:r w:rsidRPr="003577E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 xml:space="preserve">  </w:t>
                            </w:r>
                            <w:r w:rsidRPr="003577E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lang w:val="ru-RU"/>
                              </w:rPr>
                              <w:t>Отказы ВПТЗ США</w:t>
                            </w:r>
                            <w:r w:rsidRPr="003577E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lang w:val="ru-RU"/>
                              </w:rPr>
                              <w:t>на</w:t>
                            </w:r>
                            <w:r w:rsidRPr="003577E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lang w:val="ru-RU"/>
                              </w:rPr>
                              <w:t>основании</w:t>
                            </w:r>
                            <w:r w:rsidRPr="003577E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lang w:val="ru-RU"/>
                              </w:rPr>
                              <w:t>несоблюдения</w:t>
                            </w:r>
                            <w:r w:rsidRPr="003577E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lang w:val="ru-RU"/>
                              </w:rPr>
                              <w:t>требования</w:t>
                            </w:r>
                            <w:r w:rsidRPr="003577E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lang w:val="ru-RU"/>
                              </w:rPr>
                              <w:t>об</w:t>
                            </w:r>
                            <w:r w:rsidRPr="003577E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lang w:val="ru-RU"/>
                              </w:rPr>
                              <w:t>одном</w:t>
                            </w:r>
                            <w:r w:rsidRPr="003577E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lang w:val="ru-RU"/>
                              </w:rPr>
                              <w:t>образце</w:t>
                            </w:r>
                            <w:r w:rsidRPr="003577E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lang w:val="ru-RU"/>
                              </w:rPr>
                              <w:t xml:space="preserve">: 41 %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lang w:val="ru-RU"/>
                              </w:rPr>
                              <w:t>международных регистраций, получивших отказ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0.95pt;margin-top:384.45pt;width:374.2pt;height:4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" filled="f" stroked="f">
                <v:textbox style="mso-fit-shape-to-text:t">
                  <w:txbxContent>
                    <w:p w:rsidR="009A4689" w:rsidRPr="003577ED" w:rsidRDefault="009A4689" w:rsidP="009A4689">
                      <w:pPr>
                        <w:pStyle w:val="NormalWeb"/>
                        <w:spacing w:before="0" w:beforeAutospacing="0" w:after="0" w:afterAutospacing="0"/>
                        <w:ind w:left="284" w:hanging="284"/>
                        <w:rPr>
                          <w:lang w:val="ru-RU"/>
                        </w:rPr>
                      </w:pPr>
                      <w:r w:rsidRPr="003577ED"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lang w:val="ru-RU"/>
                        </w:rPr>
                        <w:t>*</w:t>
                      </w:r>
                      <w:r w:rsidRPr="003577ED"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36"/>
                          <w:szCs w:val="36"/>
                          <w:lang w:val="ru-RU"/>
                        </w:rPr>
                        <w:t xml:space="preserve">  </w:t>
                      </w:r>
                      <w:r w:rsidRPr="003577ED"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lang w:val="ru-RU"/>
                        </w:rPr>
                        <w:t>Отказы ВПТЗ США</w:t>
                      </w:r>
                      <w:r w:rsidRPr="003577ED"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36"/>
                          <w:szCs w:val="36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lang w:val="ru-RU"/>
                        </w:rPr>
                        <w:t>на</w:t>
                      </w:r>
                      <w:r w:rsidRPr="003577ED"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lang w:val="ru-RU"/>
                        </w:rPr>
                        <w:t>основании</w:t>
                      </w:r>
                      <w:r w:rsidRPr="003577ED"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lang w:val="ru-RU"/>
                        </w:rPr>
                        <w:t>несоблюдения</w:t>
                      </w:r>
                      <w:r w:rsidRPr="003577ED"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lang w:val="ru-RU"/>
                        </w:rPr>
                        <w:t>требования</w:t>
                      </w:r>
                      <w:r w:rsidRPr="003577ED"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lang w:val="ru-RU"/>
                        </w:rPr>
                        <w:t>об</w:t>
                      </w:r>
                      <w:r w:rsidRPr="003577ED"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lang w:val="ru-RU"/>
                        </w:rPr>
                        <w:t>одном</w:t>
                      </w:r>
                      <w:r w:rsidRPr="003577ED"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lang w:val="ru-RU"/>
                        </w:rPr>
                        <w:t>образце</w:t>
                      </w:r>
                      <w:r w:rsidRPr="003577ED"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lang w:val="ru-RU"/>
                        </w:rPr>
                        <w:t xml:space="preserve">: 41 %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lang w:val="ru-RU"/>
                        </w:rPr>
                        <w:t>международных регистраций, получивших отказ</w:t>
                      </w:r>
                    </w:p>
                  </w:txbxContent>
                </v:textbox>
              </v:shape>
            </w:pict>
          </mc:Fallback>
        </mc:AlternateContent>
      </w:r>
      <w:r w:rsidRPr="00821095">
        <w:rPr>
          <w:noProof/>
          <w:lang w:eastAsia="en-US"/>
        </w:rPr>
        <w:drawing>
          <wp:inline distT="0" distB="0" distL="0" distR="0" wp14:anchorId="1FA4FAD2" wp14:editId="17370962">
            <wp:extent cx="9759461" cy="4882661"/>
            <wp:effectExtent l="0" t="0" r="13335" b="1333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F5E56" w:rsidRDefault="009A4689" w:rsidP="005B6FAD">
      <w:pPr>
        <w:pStyle w:val="Endofdocument-Annex"/>
        <w:spacing w:before="1200"/>
        <w:ind w:left="9072"/>
      </w:pPr>
      <w:r>
        <w:t>[</w:t>
      </w:r>
      <w:r>
        <w:rPr>
          <w:lang w:val="ru-RU"/>
        </w:rPr>
        <w:t>Конец приложения и документа</w:t>
      </w:r>
      <w:r>
        <w:t>]</w:t>
      </w:r>
    </w:p>
    <w:sectPr w:rsidR="000F5E56" w:rsidSect="007A747E">
      <w:headerReference w:type="first" r:id="rId11"/>
      <w:endnotePr>
        <w:numFmt w:val="decimal"/>
      </w:endnotePr>
      <w:pgSz w:w="16840" w:h="11907" w:orient="landscape" w:code="9"/>
      <w:pgMar w:top="1418" w:right="567" w:bottom="1134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689" w:rsidRDefault="009A4689" w:rsidP="009A4689">
      <w:r>
        <w:separator/>
      </w:r>
    </w:p>
  </w:endnote>
  <w:endnote w:type="continuationSeparator" w:id="0">
    <w:p w:rsidR="009A4689" w:rsidRDefault="009A4689" w:rsidP="009A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689" w:rsidRDefault="009A4689" w:rsidP="009A4689">
      <w:r>
        <w:separator/>
      </w:r>
    </w:p>
  </w:footnote>
  <w:footnote w:type="continuationSeparator" w:id="0">
    <w:p w:rsidR="009A4689" w:rsidRDefault="009A4689" w:rsidP="009A4689">
      <w:r>
        <w:continuationSeparator/>
      </w:r>
    </w:p>
  </w:footnote>
  <w:footnote w:id="1">
    <w:p w:rsidR="009A4689" w:rsidRPr="00EC3582" w:rsidRDefault="009A4689" w:rsidP="009A468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C3582">
        <w:rPr>
          <w:lang w:val="ru-RU"/>
        </w:rPr>
        <w:tab/>
      </w:r>
      <w:r>
        <w:rPr>
          <w:lang w:val="ru-RU"/>
        </w:rPr>
        <w:t>См</w:t>
      </w:r>
      <w:r w:rsidRPr="00EC3582">
        <w:rPr>
          <w:lang w:val="ru-RU"/>
        </w:rPr>
        <w:t xml:space="preserve">. </w:t>
      </w:r>
      <w:r>
        <w:rPr>
          <w:lang w:val="ru-RU"/>
        </w:rPr>
        <w:t>документ</w:t>
      </w:r>
      <w:r w:rsidRPr="00EC3582">
        <w:rPr>
          <w:lang w:val="ru-RU"/>
        </w:rPr>
        <w:t xml:space="preserve"> </w:t>
      </w:r>
      <w:r>
        <w:t>H</w:t>
      </w:r>
      <w:r w:rsidRPr="00EC3582">
        <w:rPr>
          <w:lang w:val="ru-RU"/>
        </w:rPr>
        <w:t>/</w:t>
      </w:r>
      <w:r>
        <w:t>A</w:t>
      </w:r>
      <w:r w:rsidRPr="00EC3582">
        <w:rPr>
          <w:lang w:val="ru-RU"/>
        </w:rPr>
        <w:t xml:space="preserve">/34/2, </w:t>
      </w:r>
      <w:r>
        <w:rPr>
          <w:lang w:val="ru-RU"/>
        </w:rPr>
        <w:t>пункты</w:t>
      </w:r>
      <w:r w:rsidRPr="00EC3582">
        <w:rPr>
          <w:lang w:val="ru-RU"/>
        </w:rPr>
        <w:t xml:space="preserve"> 12 </w:t>
      </w:r>
      <w:r>
        <w:rPr>
          <w:lang w:val="ru-RU"/>
        </w:rPr>
        <w:t>-</w:t>
      </w:r>
      <w:r w:rsidRPr="00EC3582">
        <w:rPr>
          <w:lang w:val="ru-RU"/>
        </w:rPr>
        <w:t xml:space="preserve"> 31.</w:t>
      </w:r>
    </w:p>
  </w:footnote>
  <w:footnote w:id="2">
    <w:p w:rsidR="009A4689" w:rsidRPr="007A0805" w:rsidRDefault="009A4689" w:rsidP="009A468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A0805">
        <w:rPr>
          <w:lang w:val="ru-RU"/>
        </w:rPr>
        <w:tab/>
      </w:r>
      <w:r>
        <w:rPr>
          <w:lang w:val="ru-RU"/>
        </w:rPr>
        <w:t>Уведомления</w:t>
      </w:r>
      <w:r w:rsidRPr="007A0805">
        <w:rPr>
          <w:lang w:val="ru-RU"/>
        </w:rPr>
        <w:t xml:space="preserve"> </w:t>
      </w:r>
      <w:r>
        <w:rPr>
          <w:lang w:val="ru-RU"/>
        </w:rPr>
        <w:t>о</w:t>
      </w:r>
      <w:r w:rsidRPr="007A0805">
        <w:rPr>
          <w:lang w:val="ru-RU"/>
        </w:rPr>
        <w:t xml:space="preserve"> </w:t>
      </w:r>
      <w:r>
        <w:rPr>
          <w:lang w:val="ru-RU"/>
        </w:rPr>
        <w:t>признании</w:t>
      </w:r>
      <w:r w:rsidRPr="007A0805">
        <w:rPr>
          <w:lang w:val="ru-RU"/>
        </w:rPr>
        <w:t xml:space="preserve"> </w:t>
      </w:r>
      <w:r>
        <w:rPr>
          <w:lang w:val="ru-RU"/>
        </w:rPr>
        <w:t>недействительности</w:t>
      </w:r>
      <w:r w:rsidRPr="007A0805">
        <w:rPr>
          <w:lang w:val="ru-RU"/>
        </w:rPr>
        <w:t xml:space="preserve"> </w:t>
      </w:r>
      <w:r>
        <w:rPr>
          <w:lang w:val="ru-RU"/>
        </w:rPr>
        <w:t>согласно</w:t>
      </w:r>
      <w:r w:rsidRPr="007A0805">
        <w:rPr>
          <w:lang w:val="ru-RU"/>
        </w:rPr>
        <w:t xml:space="preserve"> </w:t>
      </w:r>
      <w:r>
        <w:rPr>
          <w:lang w:val="ru-RU"/>
        </w:rPr>
        <w:t>правилу</w:t>
      </w:r>
      <w:r w:rsidRPr="007A0805">
        <w:rPr>
          <w:lang w:val="ru-RU"/>
        </w:rPr>
        <w:t xml:space="preserve"> 20(1) </w:t>
      </w:r>
      <w:r>
        <w:rPr>
          <w:lang w:val="ru-RU"/>
        </w:rPr>
        <w:t>и</w:t>
      </w:r>
      <w:r w:rsidRPr="007A0805">
        <w:rPr>
          <w:lang w:val="ru-RU"/>
        </w:rPr>
        <w:t xml:space="preserve"> </w:t>
      </w:r>
      <w:r>
        <w:rPr>
          <w:lang w:val="ru-RU"/>
        </w:rPr>
        <w:t>уведомления</w:t>
      </w:r>
      <w:r w:rsidRPr="007A0805">
        <w:rPr>
          <w:lang w:val="ru-RU"/>
        </w:rPr>
        <w:t xml:space="preserve"> </w:t>
      </w:r>
      <w:r>
        <w:rPr>
          <w:lang w:val="ru-RU"/>
        </w:rPr>
        <w:t>об</w:t>
      </w:r>
      <w:r w:rsidRPr="007A0805">
        <w:rPr>
          <w:lang w:val="ru-RU"/>
        </w:rPr>
        <w:t xml:space="preserve"> </w:t>
      </w:r>
      <w:r>
        <w:rPr>
          <w:lang w:val="ru-RU"/>
        </w:rPr>
        <w:t>отказе</w:t>
      </w:r>
      <w:r w:rsidRPr="007A0805">
        <w:rPr>
          <w:lang w:val="ru-RU"/>
        </w:rPr>
        <w:t xml:space="preserve"> </w:t>
      </w:r>
      <w:r>
        <w:rPr>
          <w:lang w:val="ru-RU"/>
        </w:rPr>
        <w:t>в признании действия исправления согласно правилу</w:t>
      </w:r>
      <w:r>
        <w:t> </w:t>
      </w:r>
      <w:r w:rsidRPr="007A0805">
        <w:rPr>
          <w:lang w:val="ru-RU"/>
        </w:rPr>
        <w:t xml:space="preserve">22(2) </w:t>
      </w:r>
      <w:r>
        <w:rPr>
          <w:lang w:val="ru-RU"/>
        </w:rPr>
        <w:t>также становятся общедоступными</w:t>
      </w:r>
      <w:r w:rsidRPr="007A0805">
        <w:rPr>
          <w:lang w:val="ru-RU"/>
        </w:rPr>
        <w:t xml:space="preserve"> </w:t>
      </w:r>
      <w:r>
        <w:rPr>
          <w:lang w:val="ru-RU"/>
        </w:rPr>
        <w:t>таким же образом</w:t>
      </w:r>
      <w:r w:rsidRPr="007A0805">
        <w:rPr>
          <w:lang w:val="ru-RU"/>
        </w:rPr>
        <w:t>.</w:t>
      </w:r>
    </w:p>
  </w:footnote>
  <w:footnote w:id="3">
    <w:p w:rsidR="009A4689" w:rsidRPr="00DB746E" w:rsidRDefault="009A4689" w:rsidP="009A468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B746E">
        <w:rPr>
          <w:lang w:val="ru-RU"/>
        </w:rPr>
        <w:tab/>
      </w:r>
      <w:r>
        <w:rPr>
          <w:lang w:val="ru-RU"/>
        </w:rPr>
        <w:t>Копии</w:t>
      </w:r>
      <w:r w:rsidRPr="00DB746E">
        <w:rPr>
          <w:lang w:val="ru-RU"/>
        </w:rPr>
        <w:t xml:space="preserve"> </w:t>
      </w:r>
      <w:r>
        <w:rPr>
          <w:lang w:val="ru-RU"/>
        </w:rPr>
        <w:t>записей</w:t>
      </w:r>
      <w:r w:rsidRPr="00DB746E">
        <w:rPr>
          <w:lang w:val="ru-RU"/>
        </w:rPr>
        <w:t xml:space="preserve">, </w:t>
      </w:r>
      <w:r>
        <w:rPr>
          <w:lang w:val="ru-RU"/>
        </w:rPr>
        <w:t>произведенных</w:t>
      </w:r>
      <w:r w:rsidRPr="00DB746E">
        <w:rPr>
          <w:lang w:val="ru-RU"/>
        </w:rPr>
        <w:t xml:space="preserve"> </w:t>
      </w:r>
      <w:r>
        <w:rPr>
          <w:lang w:val="ru-RU"/>
        </w:rPr>
        <w:t>в</w:t>
      </w:r>
      <w:r w:rsidRPr="00DB746E">
        <w:rPr>
          <w:lang w:val="ru-RU"/>
        </w:rPr>
        <w:t xml:space="preserve"> </w:t>
      </w:r>
      <w:r>
        <w:rPr>
          <w:lang w:val="ru-RU"/>
        </w:rPr>
        <w:t>Международном</w:t>
      </w:r>
      <w:r w:rsidRPr="00DB746E">
        <w:rPr>
          <w:lang w:val="ru-RU"/>
        </w:rPr>
        <w:t xml:space="preserve"> </w:t>
      </w:r>
      <w:r>
        <w:rPr>
          <w:lang w:val="ru-RU"/>
        </w:rPr>
        <w:t>реестре</w:t>
      </w:r>
      <w:r w:rsidRPr="00DB746E">
        <w:rPr>
          <w:lang w:val="ru-RU"/>
        </w:rPr>
        <w:t xml:space="preserve">, </w:t>
      </w:r>
      <w:r>
        <w:rPr>
          <w:lang w:val="ru-RU"/>
        </w:rPr>
        <w:t>или документов в досье международной регистрации</w:t>
      </w:r>
      <w:r w:rsidRPr="00DB746E">
        <w:rPr>
          <w:lang w:val="ru-RU"/>
        </w:rPr>
        <w:t xml:space="preserve"> </w:t>
      </w:r>
      <w:r>
        <w:rPr>
          <w:lang w:val="ru-RU"/>
        </w:rPr>
        <w:t>доступны</w:t>
      </w:r>
      <w:r w:rsidRPr="00DB746E">
        <w:rPr>
          <w:lang w:val="ru-RU"/>
        </w:rPr>
        <w:t xml:space="preserve">, </w:t>
      </w:r>
      <w:r>
        <w:rPr>
          <w:lang w:val="ru-RU"/>
        </w:rPr>
        <w:t>будь то в заверенном или незаверенном виде</w:t>
      </w:r>
      <w:r w:rsidRPr="00DB746E">
        <w:rPr>
          <w:lang w:val="ru-RU"/>
        </w:rPr>
        <w:t xml:space="preserve"> (</w:t>
      </w:r>
      <w:r>
        <w:rPr>
          <w:lang w:val="ru-RU"/>
        </w:rPr>
        <w:t>правило</w:t>
      </w:r>
      <w:r w:rsidRPr="00DB746E">
        <w:rPr>
          <w:lang w:val="ru-RU"/>
        </w:rPr>
        <w:t xml:space="preserve"> 32(1)(</w:t>
      </w:r>
      <w:r>
        <w:t>ii</w:t>
      </w:r>
      <w:r w:rsidRPr="00DB746E">
        <w:rPr>
          <w:lang w:val="ru-RU"/>
        </w:rPr>
        <w:t xml:space="preserve">) </w:t>
      </w:r>
      <w:r>
        <w:rPr>
          <w:lang w:val="ru-RU"/>
        </w:rPr>
        <w:t>или</w:t>
      </w:r>
      <w:r w:rsidRPr="00DB746E">
        <w:rPr>
          <w:lang w:val="ru-RU"/>
        </w:rPr>
        <w:t xml:space="preserve"> (</w:t>
      </w:r>
      <w:r>
        <w:t>iii</w:t>
      </w:r>
      <w:r w:rsidRPr="00DB746E">
        <w:rPr>
          <w:lang w:val="ru-RU"/>
        </w:rPr>
        <w:t>)).</w:t>
      </w:r>
    </w:p>
  </w:footnote>
  <w:footnote w:id="4">
    <w:p w:rsidR="009A4689" w:rsidRPr="006D788E" w:rsidRDefault="009A4689" w:rsidP="009A468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D788E">
        <w:rPr>
          <w:lang w:val="ru-RU"/>
        </w:rPr>
        <w:tab/>
      </w:r>
      <w:r>
        <w:rPr>
          <w:lang w:val="ru-RU"/>
        </w:rPr>
        <w:t>Можно</w:t>
      </w:r>
      <w:r w:rsidRPr="006D788E">
        <w:rPr>
          <w:lang w:val="ru-RU"/>
        </w:rPr>
        <w:t xml:space="preserve"> </w:t>
      </w:r>
      <w:r>
        <w:rPr>
          <w:lang w:val="ru-RU"/>
        </w:rPr>
        <w:t>напомнить</w:t>
      </w:r>
      <w:r w:rsidRPr="006D788E">
        <w:rPr>
          <w:lang w:val="ru-RU"/>
        </w:rPr>
        <w:t xml:space="preserve">, </w:t>
      </w:r>
      <w:r>
        <w:rPr>
          <w:lang w:val="ru-RU"/>
        </w:rPr>
        <w:t>что</w:t>
      </w:r>
      <w:r w:rsidRPr="006D788E">
        <w:rPr>
          <w:lang w:val="ru-RU"/>
        </w:rPr>
        <w:t xml:space="preserve"> </w:t>
      </w:r>
      <w:r>
        <w:rPr>
          <w:lang w:val="ru-RU"/>
        </w:rPr>
        <w:t>на</w:t>
      </w:r>
      <w:r w:rsidRPr="006D788E">
        <w:rPr>
          <w:lang w:val="ru-RU"/>
        </w:rPr>
        <w:t xml:space="preserve"> </w:t>
      </w:r>
      <w:r>
        <w:rPr>
          <w:lang w:val="ru-RU"/>
        </w:rPr>
        <w:t>своей</w:t>
      </w:r>
      <w:r w:rsidRPr="006D788E">
        <w:rPr>
          <w:lang w:val="ru-RU"/>
        </w:rPr>
        <w:t xml:space="preserve"> </w:t>
      </w:r>
      <w:r>
        <w:rPr>
          <w:lang w:val="ru-RU"/>
        </w:rPr>
        <w:t>пятой</w:t>
      </w:r>
      <w:r w:rsidRPr="006D788E">
        <w:rPr>
          <w:lang w:val="ru-RU"/>
        </w:rPr>
        <w:t xml:space="preserve"> </w:t>
      </w:r>
      <w:r>
        <w:rPr>
          <w:lang w:val="ru-RU"/>
        </w:rPr>
        <w:t>сессии</w:t>
      </w:r>
      <w:r w:rsidRPr="006D788E">
        <w:rPr>
          <w:lang w:val="ru-RU"/>
        </w:rPr>
        <w:t xml:space="preserve"> </w:t>
      </w:r>
      <w:r>
        <w:rPr>
          <w:lang w:val="ru-RU"/>
        </w:rPr>
        <w:t>Рабочая</w:t>
      </w:r>
      <w:r w:rsidRPr="006D788E">
        <w:rPr>
          <w:lang w:val="ru-RU"/>
        </w:rPr>
        <w:t xml:space="preserve"> </w:t>
      </w:r>
      <w:r>
        <w:rPr>
          <w:lang w:val="ru-RU"/>
        </w:rPr>
        <w:t>группа</w:t>
      </w:r>
      <w:r w:rsidRPr="006D788E">
        <w:rPr>
          <w:lang w:val="ru-RU"/>
        </w:rPr>
        <w:t xml:space="preserve"> </w:t>
      </w:r>
      <w:r>
        <w:rPr>
          <w:lang w:val="ru-RU"/>
        </w:rPr>
        <w:t>обсудила</w:t>
      </w:r>
      <w:r w:rsidRPr="006D788E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6D788E">
        <w:rPr>
          <w:lang w:val="ru-RU"/>
        </w:rPr>
        <w:t xml:space="preserve"> </w:t>
      </w:r>
      <w:r>
        <w:rPr>
          <w:lang w:val="ru-RU"/>
        </w:rPr>
        <w:t>относительно рекомендаций, касающихся раскрытия промышленного образца в международной заявке</w:t>
      </w:r>
      <w:r w:rsidRPr="006D788E">
        <w:rPr>
          <w:lang w:val="ru-RU"/>
        </w:rPr>
        <w:t xml:space="preserve"> (</w:t>
      </w:r>
      <w:r>
        <w:rPr>
          <w:lang w:val="ru-RU"/>
        </w:rPr>
        <w:t>документ</w:t>
      </w:r>
      <w:r w:rsidRPr="006D788E">
        <w:rPr>
          <w:lang w:val="ru-RU"/>
        </w:rPr>
        <w:t xml:space="preserve"> </w:t>
      </w:r>
      <w:r>
        <w:t>H</w:t>
      </w:r>
      <w:r w:rsidRPr="006D788E">
        <w:rPr>
          <w:lang w:val="ru-RU"/>
        </w:rPr>
        <w:t>/</w:t>
      </w:r>
      <w:r>
        <w:t>LD</w:t>
      </w:r>
      <w:r w:rsidRPr="006D788E">
        <w:rPr>
          <w:lang w:val="ru-RU"/>
        </w:rPr>
        <w:t>/</w:t>
      </w:r>
      <w:r>
        <w:t>WG</w:t>
      </w:r>
      <w:r w:rsidRPr="006D788E">
        <w:rPr>
          <w:lang w:val="ru-RU"/>
        </w:rPr>
        <w:t xml:space="preserve">/5/4).  </w:t>
      </w:r>
      <w:r>
        <w:rPr>
          <w:lang w:val="ru-RU"/>
        </w:rPr>
        <w:t>Как</w:t>
      </w:r>
      <w:r w:rsidRPr="006D788E">
        <w:rPr>
          <w:lang w:val="ru-RU"/>
        </w:rPr>
        <w:t xml:space="preserve"> </w:t>
      </w:r>
      <w:r>
        <w:rPr>
          <w:lang w:val="ru-RU"/>
        </w:rPr>
        <w:t>результат</w:t>
      </w:r>
      <w:r w:rsidRPr="006D788E">
        <w:rPr>
          <w:lang w:val="ru-RU"/>
        </w:rPr>
        <w:t xml:space="preserve">, </w:t>
      </w:r>
      <w:r>
        <w:rPr>
          <w:lang w:val="ru-RU"/>
        </w:rPr>
        <w:t>в</w:t>
      </w:r>
      <w:r w:rsidRPr="006D788E">
        <w:rPr>
          <w:lang w:val="ru-RU"/>
        </w:rPr>
        <w:t xml:space="preserve"> </w:t>
      </w:r>
      <w:r>
        <w:rPr>
          <w:lang w:val="ru-RU"/>
        </w:rPr>
        <w:t>августе</w:t>
      </w:r>
      <w:r w:rsidRPr="006D788E">
        <w:rPr>
          <w:lang w:val="ru-RU"/>
        </w:rPr>
        <w:t xml:space="preserve"> 2016 </w:t>
      </w:r>
      <w:r>
        <w:rPr>
          <w:lang w:val="ru-RU"/>
        </w:rPr>
        <w:t>г</w:t>
      </w:r>
      <w:r w:rsidRPr="006D788E">
        <w:rPr>
          <w:lang w:val="ru-RU"/>
        </w:rPr>
        <w:t xml:space="preserve">. </w:t>
      </w:r>
      <w:r>
        <w:rPr>
          <w:lang w:val="ru-RU"/>
        </w:rPr>
        <w:t>было</w:t>
      </w:r>
      <w:r w:rsidRPr="006D788E">
        <w:rPr>
          <w:lang w:val="ru-RU"/>
        </w:rPr>
        <w:t xml:space="preserve"> </w:t>
      </w:r>
      <w:r>
        <w:rPr>
          <w:lang w:val="ru-RU"/>
        </w:rPr>
        <w:t>разработано «</w:t>
      </w:r>
      <w:r w:rsidRPr="006D788E">
        <w:rPr>
          <w:lang w:val="ru-RU"/>
        </w:rPr>
        <w:t>Руководство по подготовке и представлению изображений для предотвращения возможных отказов проводящими экспертизу ведомствами на основании недостаточного раскрытия промышленного образца</w:t>
      </w:r>
      <w:r>
        <w:rPr>
          <w:lang w:val="ru-RU"/>
        </w:rPr>
        <w:t>»</w:t>
      </w:r>
      <w:r w:rsidRPr="006D788E">
        <w:rPr>
          <w:lang w:val="ru-RU"/>
        </w:rPr>
        <w:t>.</w:t>
      </w:r>
    </w:p>
  </w:footnote>
  <w:footnote w:id="5">
    <w:p w:rsidR="009A4689" w:rsidRPr="004444B1" w:rsidRDefault="009A4689" w:rsidP="009A468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444B1">
        <w:rPr>
          <w:lang w:val="ru-RU"/>
        </w:rPr>
        <w:tab/>
      </w:r>
      <w:r>
        <w:rPr>
          <w:lang w:val="ru-RU"/>
        </w:rPr>
        <w:t>Сделанные</w:t>
      </w:r>
      <w:r w:rsidRPr="004444B1">
        <w:rPr>
          <w:lang w:val="ru-RU"/>
        </w:rPr>
        <w:t xml:space="preserve"> </w:t>
      </w:r>
      <w:r>
        <w:rPr>
          <w:lang w:val="ru-RU"/>
        </w:rPr>
        <w:t>в</w:t>
      </w:r>
      <w:r w:rsidRPr="004444B1">
        <w:rPr>
          <w:lang w:val="ru-RU"/>
        </w:rPr>
        <w:t xml:space="preserve"> </w:t>
      </w:r>
      <w:r>
        <w:rPr>
          <w:lang w:val="ru-RU"/>
        </w:rPr>
        <w:t>формате</w:t>
      </w:r>
      <w:r w:rsidRPr="004444B1">
        <w:rPr>
          <w:lang w:val="ru-RU"/>
        </w:rPr>
        <w:t xml:space="preserve"> </w:t>
      </w:r>
      <w:r>
        <w:t>PDF</w:t>
      </w:r>
      <w:r w:rsidRPr="004444B1">
        <w:rPr>
          <w:lang w:val="ru-RU"/>
        </w:rPr>
        <w:t xml:space="preserve"> </w:t>
      </w:r>
      <w:r>
        <w:rPr>
          <w:lang w:val="ru-RU"/>
        </w:rPr>
        <w:t>копии</w:t>
      </w:r>
      <w:r w:rsidRPr="004444B1">
        <w:rPr>
          <w:lang w:val="ru-RU"/>
        </w:rPr>
        <w:t xml:space="preserve"> </w:t>
      </w:r>
      <w:r>
        <w:rPr>
          <w:lang w:val="ru-RU"/>
        </w:rPr>
        <w:t>различных</w:t>
      </w:r>
      <w:r w:rsidRPr="004444B1">
        <w:rPr>
          <w:lang w:val="ru-RU"/>
        </w:rPr>
        <w:t xml:space="preserve"> </w:t>
      </w:r>
      <w:r>
        <w:rPr>
          <w:lang w:val="ru-RU"/>
        </w:rPr>
        <w:t>видов</w:t>
      </w:r>
      <w:r w:rsidRPr="004444B1">
        <w:rPr>
          <w:lang w:val="ru-RU"/>
        </w:rPr>
        <w:t xml:space="preserve"> </w:t>
      </w:r>
      <w:r>
        <w:rPr>
          <w:lang w:val="ru-RU"/>
        </w:rPr>
        <w:t>уведомлений</w:t>
      </w:r>
      <w:r w:rsidRPr="004444B1">
        <w:rPr>
          <w:lang w:val="ru-RU"/>
        </w:rPr>
        <w:t xml:space="preserve">, </w:t>
      </w:r>
      <w:r>
        <w:rPr>
          <w:lang w:val="ru-RU"/>
        </w:rPr>
        <w:t>полученных</w:t>
      </w:r>
      <w:r w:rsidRPr="004444B1">
        <w:rPr>
          <w:lang w:val="ru-RU"/>
        </w:rPr>
        <w:t xml:space="preserve"> </w:t>
      </w:r>
      <w:r>
        <w:rPr>
          <w:lang w:val="ru-RU"/>
        </w:rPr>
        <w:t>от</w:t>
      </w:r>
      <w:r w:rsidRPr="004444B1">
        <w:rPr>
          <w:lang w:val="ru-RU"/>
        </w:rPr>
        <w:t xml:space="preserve"> </w:t>
      </w:r>
      <w:r>
        <w:rPr>
          <w:lang w:val="ru-RU"/>
        </w:rPr>
        <w:t>Ведомства</w:t>
      </w:r>
      <w:r w:rsidRPr="004444B1">
        <w:rPr>
          <w:lang w:val="ru-RU"/>
        </w:rPr>
        <w:t xml:space="preserve"> </w:t>
      </w:r>
      <w:r>
        <w:rPr>
          <w:lang w:val="ru-RU"/>
        </w:rPr>
        <w:t>указанной</w:t>
      </w:r>
      <w:r w:rsidRPr="004444B1">
        <w:rPr>
          <w:lang w:val="ru-RU"/>
        </w:rPr>
        <w:t xml:space="preserve"> </w:t>
      </w:r>
      <w:r>
        <w:rPr>
          <w:lang w:val="ru-RU"/>
        </w:rPr>
        <w:t>Договаривающейся</w:t>
      </w:r>
      <w:r w:rsidRPr="004444B1">
        <w:rPr>
          <w:lang w:val="ru-RU"/>
        </w:rPr>
        <w:t xml:space="preserve"> </w:t>
      </w:r>
      <w:r>
        <w:rPr>
          <w:lang w:val="ru-RU"/>
        </w:rPr>
        <w:t>стороны</w:t>
      </w:r>
      <w:r w:rsidRPr="004444B1">
        <w:rPr>
          <w:lang w:val="ru-RU"/>
        </w:rPr>
        <w:t xml:space="preserve">, </w:t>
      </w:r>
      <w:r>
        <w:rPr>
          <w:lang w:val="ru-RU"/>
        </w:rPr>
        <w:t>включая</w:t>
      </w:r>
      <w:r w:rsidRPr="004444B1">
        <w:rPr>
          <w:lang w:val="ru-RU"/>
        </w:rPr>
        <w:t xml:space="preserve"> </w:t>
      </w:r>
      <w:r>
        <w:rPr>
          <w:lang w:val="ru-RU"/>
        </w:rPr>
        <w:t>уведомление</w:t>
      </w:r>
      <w:r w:rsidRPr="004444B1">
        <w:rPr>
          <w:lang w:val="ru-RU"/>
        </w:rPr>
        <w:t xml:space="preserve"> </w:t>
      </w:r>
      <w:r>
        <w:rPr>
          <w:lang w:val="ru-RU"/>
        </w:rPr>
        <w:t>о предварительном отказе</w:t>
      </w:r>
      <w:r w:rsidRPr="004444B1">
        <w:rPr>
          <w:lang w:val="ru-RU"/>
        </w:rPr>
        <w:t xml:space="preserve">, </w:t>
      </w:r>
      <w:r>
        <w:rPr>
          <w:lang w:val="ru-RU"/>
        </w:rPr>
        <w:t>имеются на веб-сайте ВОИС в разделе, касающемся Мадридской системы, с января</w:t>
      </w:r>
      <w:r>
        <w:t> </w:t>
      </w:r>
      <w:r w:rsidRPr="004444B1">
        <w:rPr>
          <w:lang w:val="ru-RU"/>
        </w:rPr>
        <w:t>2005</w:t>
      </w:r>
      <w:r>
        <w:rPr>
          <w:lang w:val="ru-RU"/>
        </w:rPr>
        <w:t xml:space="preserve"> г</w:t>
      </w:r>
      <w:r w:rsidRPr="004444B1">
        <w:rPr>
          <w:lang w:val="ru-RU"/>
        </w:rPr>
        <w:t>.</w:t>
      </w:r>
    </w:p>
  </w:footnote>
  <w:footnote w:id="6">
    <w:p w:rsidR="009A4689" w:rsidRPr="000F28A2" w:rsidRDefault="009A4689" w:rsidP="009A468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F28A2">
        <w:rPr>
          <w:lang w:val="ru-RU"/>
        </w:rPr>
        <w:tab/>
      </w:r>
      <w:r>
        <w:rPr>
          <w:lang w:val="ru-RU"/>
        </w:rPr>
        <w:t>Следует отметить, что ЯПВ выдает одно уведомление об отказе на каждый образец, если международная регистрация содержит более одного промышленного образца</w:t>
      </w:r>
      <w:r w:rsidRPr="000F28A2">
        <w:rPr>
          <w:lang w:val="ru-RU"/>
        </w:rPr>
        <w:t>.</w:t>
      </w:r>
    </w:p>
  </w:footnote>
  <w:footnote w:id="7">
    <w:p w:rsidR="009A4689" w:rsidRPr="00047935" w:rsidRDefault="009A4689" w:rsidP="009A468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47935">
        <w:rPr>
          <w:lang w:val="ru-RU"/>
        </w:rPr>
        <w:tab/>
      </w:r>
      <w:r>
        <w:rPr>
          <w:lang w:val="ru-RU"/>
        </w:rPr>
        <w:t>См</w:t>
      </w:r>
      <w:r w:rsidRPr="00047935">
        <w:rPr>
          <w:lang w:val="ru-RU"/>
        </w:rPr>
        <w:t xml:space="preserve">. </w:t>
      </w:r>
      <w:r>
        <w:rPr>
          <w:lang w:val="ru-RU"/>
        </w:rPr>
        <w:t>документ</w:t>
      </w:r>
      <w:r w:rsidRPr="00047935">
        <w:rPr>
          <w:lang w:val="ru-RU"/>
        </w:rPr>
        <w:t xml:space="preserve"> </w:t>
      </w:r>
      <w:r>
        <w:t>H</w:t>
      </w:r>
      <w:r w:rsidRPr="00047935">
        <w:rPr>
          <w:lang w:val="ru-RU"/>
        </w:rPr>
        <w:t>/</w:t>
      </w:r>
      <w:r>
        <w:t>CE</w:t>
      </w:r>
      <w:r w:rsidRPr="00047935">
        <w:rPr>
          <w:lang w:val="ru-RU"/>
        </w:rPr>
        <w:t>/</w:t>
      </w:r>
      <w:r>
        <w:t>VII</w:t>
      </w:r>
      <w:r w:rsidRPr="00047935">
        <w:rPr>
          <w:lang w:val="ru-RU"/>
        </w:rPr>
        <w:t xml:space="preserve">/4, </w:t>
      </w:r>
      <w:r>
        <w:rPr>
          <w:lang w:val="ru-RU"/>
        </w:rPr>
        <w:t>проект правила</w:t>
      </w:r>
      <w:r w:rsidRPr="00047935">
        <w:rPr>
          <w:lang w:val="ru-RU"/>
        </w:rPr>
        <w:t xml:space="preserve"> 24(1)(</w:t>
      </w:r>
      <w:r w:rsidRPr="000A7C3B">
        <w:t>ii</w:t>
      </w:r>
      <w:r w:rsidRPr="00047935">
        <w:rPr>
          <w:lang w:val="ru-RU"/>
        </w:rPr>
        <w:t xml:space="preserve">).  </w:t>
      </w:r>
    </w:p>
  </w:footnote>
  <w:footnote w:id="8">
    <w:p w:rsidR="009A4689" w:rsidRPr="0017585A" w:rsidRDefault="009A4689" w:rsidP="009A468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47935">
        <w:rPr>
          <w:lang w:val="ru-RU"/>
        </w:rPr>
        <w:tab/>
      </w:r>
      <w:r>
        <w:rPr>
          <w:lang w:val="ru-RU"/>
        </w:rPr>
        <w:t>См</w:t>
      </w:r>
      <w:r w:rsidRPr="00047935">
        <w:rPr>
          <w:lang w:val="ru-RU"/>
        </w:rPr>
        <w:t xml:space="preserve">. </w:t>
      </w:r>
      <w:r>
        <w:rPr>
          <w:lang w:val="ru-RU"/>
        </w:rPr>
        <w:t>документ</w:t>
      </w:r>
      <w:r w:rsidRPr="00047935">
        <w:rPr>
          <w:lang w:val="ru-RU"/>
        </w:rPr>
        <w:t xml:space="preserve"> </w:t>
      </w:r>
      <w:r>
        <w:t>H</w:t>
      </w:r>
      <w:r w:rsidRPr="00047935">
        <w:rPr>
          <w:lang w:val="ru-RU"/>
        </w:rPr>
        <w:t>/</w:t>
      </w:r>
      <w:r>
        <w:t>DC</w:t>
      </w:r>
      <w:r w:rsidRPr="00047935">
        <w:rPr>
          <w:lang w:val="ru-RU"/>
        </w:rPr>
        <w:t>/4, «</w:t>
      </w:r>
      <w:r>
        <w:rPr>
          <w:lang w:val="ru-RU"/>
        </w:rPr>
        <w:t>Основное</w:t>
      </w:r>
      <w:r w:rsidRPr="00047935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047935">
        <w:rPr>
          <w:lang w:val="ru-RU"/>
        </w:rPr>
        <w:t xml:space="preserve"> </w:t>
      </w:r>
      <w:r>
        <w:rPr>
          <w:lang w:val="ru-RU"/>
        </w:rPr>
        <w:t>в</w:t>
      </w:r>
      <w:r w:rsidRPr="00047935">
        <w:rPr>
          <w:lang w:val="ru-RU"/>
        </w:rPr>
        <w:t xml:space="preserve"> </w:t>
      </w:r>
      <w:r>
        <w:rPr>
          <w:lang w:val="ru-RU"/>
        </w:rPr>
        <w:t>отношении</w:t>
      </w:r>
      <w:r w:rsidRPr="00047935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047935">
        <w:rPr>
          <w:lang w:val="ru-RU"/>
        </w:rPr>
        <w:t xml:space="preserve"> </w:t>
      </w:r>
      <w:r>
        <w:rPr>
          <w:lang w:val="ru-RU"/>
        </w:rPr>
        <w:t>к</w:t>
      </w:r>
      <w:r w:rsidRPr="00047935">
        <w:rPr>
          <w:lang w:val="ru-RU"/>
        </w:rPr>
        <w:t xml:space="preserve"> </w:t>
      </w:r>
      <w:r>
        <w:rPr>
          <w:lang w:val="ru-RU"/>
        </w:rPr>
        <w:t>новому</w:t>
      </w:r>
      <w:r w:rsidRPr="00047935">
        <w:rPr>
          <w:lang w:val="ru-RU"/>
        </w:rPr>
        <w:t xml:space="preserve"> </w:t>
      </w:r>
      <w:r>
        <w:rPr>
          <w:lang w:val="ru-RU"/>
        </w:rPr>
        <w:t>Акту</w:t>
      </w:r>
      <w:r w:rsidRPr="00047935">
        <w:rPr>
          <w:lang w:val="ru-RU"/>
        </w:rPr>
        <w:t>»</w:t>
      </w:r>
      <w:r>
        <w:rPr>
          <w:lang w:val="ru-RU"/>
        </w:rPr>
        <w:t>, в том виде, в котором оно было представлено Дипломатической конференции</w:t>
      </w:r>
      <w:r w:rsidRPr="00047935">
        <w:rPr>
          <w:lang w:val="ru-RU"/>
        </w:rPr>
        <w:t xml:space="preserve">, </w:t>
      </w:r>
      <w:r>
        <w:rPr>
          <w:lang w:val="ru-RU"/>
        </w:rPr>
        <w:t>проект правила</w:t>
      </w:r>
      <w:r>
        <w:t> </w:t>
      </w:r>
      <w:r w:rsidRPr="00047935">
        <w:rPr>
          <w:lang w:val="ru-RU"/>
        </w:rPr>
        <w:t>26(1)(</w:t>
      </w:r>
      <w:r>
        <w:t>ii</w:t>
      </w:r>
      <w:r w:rsidRPr="00047935">
        <w:rPr>
          <w:lang w:val="ru-RU"/>
        </w:rPr>
        <w:t xml:space="preserve">).  </w:t>
      </w:r>
      <w:r>
        <w:rPr>
          <w:lang w:val="ru-RU"/>
        </w:rPr>
        <w:t>В</w:t>
      </w:r>
      <w:r w:rsidRPr="0017585A">
        <w:rPr>
          <w:lang w:val="ru-RU"/>
        </w:rPr>
        <w:t xml:space="preserve"> Инструкци</w:t>
      </w:r>
      <w:r>
        <w:rPr>
          <w:lang w:val="ru-RU"/>
        </w:rPr>
        <w:t>и</w:t>
      </w:r>
      <w:r w:rsidRPr="0017585A">
        <w:rPr>
          <w:lang w:val="ru-RU"/>
        </w:rPr>
        <w:t xml:space="preserve"> к Гаагскому соглашению о международном депонировании промышленных образцов, </w:t>
      </w:r>
      <w:r>
        <w:rPr>
          <w:lang w:val="ru-RU"/>
        </w:rPr>
        <w:t>касающейся</w:t>
      </w:r>
      <w:r w:rsidRPr="0017585A">
        <w:rPr>
          <w:lang w:val="ru-RU"/>
        </w:rPr>
        <w:t xml:space="preserve"> </w:t>
      </w:r>
      <w:r>
        <w:rPr>
          <w:lang w:val="ru-RU"/>
        </w:rPr>
        <w:t>осуществления</w:t>
      </w:r>
      <w:r w:rsidRPr="0017585A">
        <w:rPr>
          <w:lang w:val="ru-RU"/>
        </w:rPr>
        <w:t xml:space="preserve"> </w:t>
      </w:r>
      <w:r>
        <w:rPr>
          <w:lang w:val="ru-RU"/>
        </w:rPr>
        <w:t>Акта</w:t>
      </w:r>
      <w:r w:rsidRPr="0017585A">
        <w:rPr>
          <w:lang w:val="ru-RU"/>
        </w:rPr>
        <w:t xml:space="preserve"> 1960 </w:t>
      </w:r>
      <w:r>
        <w:rPr>
          <w:lang w:val="ru-RU"/>
        </w:rPr>
        <w:t>г</w:t>
      </w:r>
      <w:r w:rsidRPr="0017585A">
        <w:rPr>
          <w:lang w:val="ru-RU"/>
        </w:rPr>
        <w:t xml:space="preserve">. </w:t>
      </w:r>
      <w:r>
        <w:rPr>
          <w:lang w:val="ru-RU"/>
        </w:rPr>
        <w:t>и</w:t>
      </w:r>
      <w:r w:rsidRPr="0017585A">
        <w:rPr>
          <w:lang w:val="ru-RU"/>
        </w:rPr>
        <w:t xml:space="preserve"> </w:t>
      </w:r>
      <w:r>
        <w:rPr>
          <w:lang w:val="ru-RU"/>
        </w:rPr>
        <w:t>Акта</w:t>
      </w:r>
      <w:r w:rsidRPr="0017585A">
        <w:rPr>
          <w:lang w:val="ru-RU"/>
        </w:rPr>
        <w:t xml:space="preserve"> 1934 </w:t>
      </w:r>
      <w:r>
        <w:rPr>
          <w:lang w:val="ru-RU"/>
        </w:rPr>
        <w:t>г</w:t>
      </w:r>
      <w:r w:rsidRPr="0017585A">
        <w:rPr>
          <w:lang w:val="ru-RU"/>
        </w:rPr>
        <w:t xml:space="preserve">. </w:t>
      </w:r>
      <w:r>
        <w:rPr>
          <w:lang w:val="ru-RU"/>
        </w:rPr>
        <w:t>и действующей с 1 января 2002 г., не содержится указанной фразы в применении к публикации уведомления об отказе</w:t>
      </w:r>
      <w:r w:rsidRPr="0017585A">
        <w:rPr>
          <w:lang w:val="ru-RU"/>
        </w:rPr>
        <w:t>.</w:t>
      </w:r>
    </w:p>
  </w:footnote>
  <w:footnote w:id="9">
    <w:p w:rsidR="009A4689" w:rsidRPr="006810F1" w:rsidRDefault="009A4689" w:rsidP="009A468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810F1">
        <w:rPr>
          <w:lang w:val="ru-RU"/>
        </w:rPr>
        <w:tab/>
      </w:r>
      <w:r>
        <w:rPr>
          <w:lang w:val="ru-RU"/>
        </w:rPr>
        <w:t>Такая</w:t>
      </w:r>
      <w:r w:rsidRPr="006810F1">
        <w:rPr>
          <w:lang w:val="ru-RU"/>
        </w:rPr>
        <w:t xml:space="preserve"> </w:t>
      </w:r>
      <w:r>
        <w:rPr>
          <w:lang w:val="ru-RU"/>
        </w:rPr>
        <w:t>же</w:t>
      </w:r>
      <w:r w:rsidRPr="006810F1">
        <w:rPr>
          <w:lang w:val="ru-RU"/>
        </w:rPr>
        <w:t xml:space="preserve"> </w:t>
      </w:r>
      <w:r>
        <w:rPr>
          <w:lang w:val="ru-RU"/>
        </w:rPr>
        <w:t>фраза</w:t>
      </w:r>
      <w:r w:rsidRPr="006810F1">
        <w:rPr>
          <w:lang w:val="ru-RU"/>
        </w:rPr>
        <w:t xml:space="preserve"> </w:t>
      </w:r>
      <w:r>
        <w:rPr>
          <w:lang w:val="ru-RU"/>
        </w:rPr>
        <w:t>также</w:t>
      </w:r>
      <w:r w:rsidRPr="006810F1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6810F1">
        <w:rPr>
          <w:lang w:val="ru-RU"/>
        </w:rPr>
        <w:t xml:space="preserve"> </w:t>
      </w:r>
      <w:r>
        <w:rPr>
          <w:lang w:val="ru-RU"/>
        </w:rPr>
        <w:t>в</w:t>
      </w:r>
      <w:r w:rsidRPr="006810F1">
        <w:rPr>
          <w:lang w:val="ru-RU"/>
        </w:rPr>
        <w:t xml:space="preserve"> </w:t>
      </w:r>
      <w:r>
        <w:rPr>
          <w:lang w:val="ru-RU"/>
        </w:rPr>
        <w:t>правиле</w:t>
      </w:r>
      <w:r w:rsidRPr="006810F1">
        <w:rPr>
          <w:lang w:val="ru-RU"/>
        </w:rPr>
        <w:t xml:space="preserve"> 31(1) </w:t>
      </w:r>
      <w:r>
        <w:rPr>
          <w:lang w:val="ru-RU"/>
        </w:rPr>
        <w:t>Мадридской инструкции, вступившей в силу 1</w:t>
      </w:r>
      <w:r w:rsidR="00ED2FDD">
        <w:rPr>
          <w:lang w:val="fr-CH"/>
        </w:rPr>
        <w:t> </w:t>
      </w:r>
      <w:r>
        <w:rPr>
          <w:lang w:val="ru-RU"/>
        </w:rPr>
        <w:t>апреля 1994 г., то есть до начала действия Мадридского протокола</w:t>
      </w:r>
      <w:r w:rsidRPr="006810F1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689" w:rsidRDefault="009A4689" w:rsidP="00477D6B">
    <w:pPr>
      <w:jc w:val="right"/>
    </w:pPr>
    <w:bookmarkStart w:id="6" w:name="Code2"/>
    <w:bookmarkEnd w:id="6"/>
    <w:r>
      <w:t>H/LD/WG/7/4</w:t>
    </w:r>
  </w:p>
  <w:p w:rsidR="009A4689" w:rsidRDefault="009A4689" w:rsidP="00477D6B">
    <w:pPr>
      <w:jc w:val="right"/>
      <w:rPr>
        <w:noProof/>
      </w:rPr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9A1609">
      <w:rPr>
        <w:noProof/>
      </w:rPr>
      <w:t>6</w:t>
    </w:r>
    <w:r>
      <w:rPr>
        <w:noProof/>
      </w:rPr>
      <w:fldChar w:fldCharType="end"/>
    </w:r>
  </w:p>
  <w:p w:rsidR="009A4689" w:rsidRDefault="009A468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48A" w:rsidRDefault="009A4689" w:rsidP="0043279F">
    <w:pPr>
      <w:pStyle w:val="Header"/>
      <w:jc w:val="right"/>
    </w:pPr>
    <w:r>
      <w:t>H/LD/WG/7/4</w:t>
    </w:r>
  </w:p>
  <w:p w:rsidR="0084648A" w:rsidRPr="00D45EC7" w:rsidRDefault="009A4689" w:rsidP="0043279F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84648A" w:rsidRPr="00E67B98" w:rsidRDefault="009A1609" w:rsidP="0043279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6CD29E3"/>
    <w:multiLevelType w:val="multilevel"/>
    <w:tmpl w:val="91F83FC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64333C5"/>
    <w:multiLevelType w:val="hybridMultilevel"/>
    <w:tmpl w:val="B40C9FBC"/>
    <w:lvl w:ilvl="0" w:tplc="8DB86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8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89"/>
    <w:rsid w:val="000F5E56"/>
    <w:rsid w:val="00221802"/>
    <w:rsid w:val="002609C9"/>
    <w:rsid w:val="00296AB9"/>
    <w:rsid w:val="00355970"/>
    <w:rsid w:val="00431118"/>
    <w:rsid w:val="004653E4"/>
    <w:rsid w:val="005B6FAD"/>
    <w:rsid w:val="007871E2"/>
    <w:rsid w:val="007A1837"/>
    <w:rsid w:val="007B240C"/>
    <w:rsid w:val="007D53C7"/>
    <w:rsid w:val="00804DB7"/>
    <w:rsid w:val="008E4422"/>
    <w:rsid w:val="009A1609"/>
    <w:rsid w:val="009A4689"/>
    <w:rsid w:val="00B60191"/>
    <w:rsid w:val="00C554EC"/>
    <w:rsid w:val="00ED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4689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A468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uiPriority w:val="99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1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5Char">
    <w:name w:val="Heading 5 Char"/>
    <w:basedOn w:val="DefaultParagraphFont"/>
    <w:link w:val="Heading5"/>
    <w:semiHidden/>
    <w:rsid w:val="009A4689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customStyle="1" w:styleId="Endofdocument-Annex">
    <w:name w:val="[End of document - Annex]"/>
    <w:basedOn w:val="Normal"/>
    <w:rsid w:val="009A4689"/>
    <w:pPr>
      <w:ind w:left="5534"/>
    </w:pPr>
  </w:style>
  <w:style w:type="paragraph" w:styleId="BalloonText">
    <w:name w:val="Balloon Text"/>
    <w:basedOn w:val="Normal"/>
    <w:link w:val="BalloonTextChar"/>
    <w:rsid w:val="009A46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4689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uiPriority w:val="99"/>
    <w:rsid w:val="009A4689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4689"/>
    <w:rPr>
      <w:rFonts w:ascii="Arial" w:hAnsi="Arial" w:cs="Arial"/>
      <w:sz w:val="18"/>
    </w:rPr>
  </w:style>
  <w:style w:type="paragraph" w:customStyle="1" w:styleId="indent1">
    <w:name w:val="indent_1"/>
    <w:basedOn w:val="Normal"/>
    <w:rsid w:val="009A4689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9A4689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9A4689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9A4689"/>
    <w:rPr>
      <w:sz w:val="28"/>
      <w:szCs w:val="28"/>
      <w:lang w:val="en-GB" w:eastAsia="ja-JP"/>
    </w:rPr>
  </w:style>
  <w:style w:type="paragraph" w:styleId="Title">
    <w:name w:val="Title"/>
    <w:basedOn w:val="Normal"/>
    <w:link w:val="TitleChar"/>
    <w:qFormat/>
    <w:rsid w:val="009A4689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basedOn w:val="DefaultParagraphFont"/>
    <w:link w:val="Title"/>
    <w:rsid w:val="009A4689"/>
    <w:rPr>
      <w:b/>
      <w:sz w:val="40"/>
      <w:szCs w:val="40"/>
      <w:lang w:val="en-GB" w:eastAsia="ja-JP"/>
    </w:rPr>
  </w:style>
  <w:style w:type="paragraph" w:styleId="BodyText3">
    <w:name w:val="Body Text 3"/>
    <w:basedOn w:val="Normal"/>
    <w:link w:val="BodyText3Char"/>
    <w:rsid w:val="009A4689"/>
    <w:pPr>
      <w:tabs>
        <w:tab w:val="left" w:pos="567"/>
        <w:tab w:val="left" w:pos="1276"/>
        <w:tab w:val="right" w:pos="8364"/>
      </w:tabs>
      <w:ind w:left="1276" w:right="1985" w:hanging="709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BodyText3Char">
    <w:name w:val="Body Text 3 Char"/>
    <w:basedOn w:val="DefaultParagraphFont"/>
    <w:link w:val="BodyText3"/>
    <w:rsid w:val="009A4689"/>
    <w:rPr>
      <w:sz w:val="28"/>
      <w:szCs w:val="28"/>
      <w:lang w:val="en-GB" w:eastAsia="ja-JP"/>
    </w:rPr>
  </w:style>
  <w:style w:type="paragraph" w:styleId="BodyText2">
    <w:name w:val="Body Text 2"/>
    <w:basedOn w:val="Normal"/>
    <w:link w:val="BodyText2Char"/>
    <w:autoRedefine/>
    <w:rsid w:val="009A4689"/>
    <w:pPr>
      <w:tabs>
        <w:tab w:val="right" w:pos="8363"/>
      </w:tabs>
      <w:ind w:left="567" w:right="1985" w:hanging="567"/>
      <w:jc w:val="both"/>
    </w:pPr>
    <w:rPr>
      <w:rFonts w:eastAsia="Times New Roman"/>
      <w:szCs w:val="22"/>
      <w:lang w:val="en-GB" w:eastAsia="ja-JP"/>
    </w:rPr>
  </w:style>
  <w:style w:type="character" w:customStyle="1" w:styleId="BodyText2Char">
    <w:name w:val="Body Text 2 Char"/>
    <w:basedOn w:val="DefaultParagraphFont"/>
    <w:link w:val="BodyText2"/>
    <w:rsid w:val="009A4689"/>
    <w:rPr>
      <w:rFonts w:ascii="Arial" w:hAnsi="Arial" w:cs="Arial"/>
      <w:sz w:val="22"/>
      <w:szCs w:val="22"/>
      <w:lang w:val="en-GB" w:eastAsia="ja-JP"/>
    </w:rPr>
  </w:style>
  <w:style w:type="character" w:styleId="CommentReference">
    <w:name w:val="annotation reference"/>
    <w:basedOn w:val="DefaultParagraphFont"/>
    <w:rsid w:val="009A4689"/>
    <w:rPr>
      <w:sz w:val="16"/>
      <w:szCs w:val="16"/>
    </w:rPr>
  </w:style>
  <w:style w:type="character" w:customStyle="1" w:styleId="CommentTextChar">
    <w:name w:val="Comment Text Char"/>
    <w:basedOn w:val="DefaultParagraphFont"/>
    <w:semiHidden/>
    <w:rsid w:val="009A4689"/>
    <w:rPr>
      <w:rFonts w:ascii="Arial" w:eastAsia="SimSun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9A4689"/>
    <w:rPr>
      <w:b/>
      <w:bCs/>
      <w:sz w:val="20"/>
    </w:rPr>
  </w:style>
  <w:style w:type="character" w:customStyle="1" w:styleId="CommentTextChar1">
    <w:name w:val="Comment Text Char1"/>
    <w:basedOn w:val="DefaultParagraphFont"/>
    <w:link w:val="CommentText"/>
    <w:semiHidden/>
    <w:rsid w:val="009A4689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1"/>
    <w:link w:val="CommentSubject"/>
    <w:rsid w:val="009A4689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9A4689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9A468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A4689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4689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A468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uiPriority w:val="99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1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5Char">
    <w:name w:val="Heading 5 Char"/>
    <w:basedOn w:val="DefaultParagraphFont"/>
    <w:link w:val="Heading5"/>
    <w:semiHidden/>
    <w:rsid w:val="009A4689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customStyle="1" w:styleId="Endofdocument-Annex">
    <w:name w:val="[End of document - Annex]"/>
    <w:basedOn w:val="Normal"/>
    <w:rsid w:val="009A4689"/>
    <w:pPr>
      <w:ind w:left="5534"/>
    </w:pPr>
  </w:style>
  <w:style w:type="paragraph" w:styleId="BalloonText">
    <w:name w:val="Balloon Text"/>
    <w:basedOn w:val="Normal"/>
    <w:link w:val="BalloonTextChar"/>
    <w:rsid w:val="009A46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4689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uiPriority w:val="99"/>
    <w:rsid w:val="009A4689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4689"/>
    <w:rPr>
      <w:rFonts w:ascii="Arial" w:hAnsi="Arial" w:cs="Arial"/>
      <w:sz w:val="18"/>
    </w:rPr>
  </w:style>
  <w:style w:type="paragraph" w:customStyle="1" w:styleId="indent1">
    <w:name w:val="indent_1"/>
    <w:basedOn w:val="Normal"/>
    <w:rsid w:val="009A4689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9A4689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9A4689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9A4689"/>
    <w:rPr>
      <w:sz w:val="28"/>
      <w:szCs w:val="28"/>
      <w:lang w:val="en-GB" w:eastAsia="ja-JP"/>
    </w:rPr>
  </w:style>
  <w:style w:type="paragraph" w:styleId="Title">
    <w:name w:val="Title"/>
    <w:basedOn w:val="Normal"/>
    <w:link w:val="TitleChar"/>
    <w:qFormat/>
    <w:rsid w:val="009A4689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basedOn w:val="DefaultParagraphFont"/>
    <w:link w:val="Title"/>
    <w:rsid w:val="009A4689"/>
    <w:rPr>
      <w:b/>
      <w:sz w:val="40"/>
      <w:szCs w:val="40"/>
      <w:lang w:val="en-GB" w:eastAsia="ja-JP"/>
    </w:rPr>
  </w:style>
  <w:style w:type="paragraph" w:styleId="BodyText3">
    <w:name w:val="Body Text 3"/>
    <w:basedOn w:val="Normal"/>
    <w:link w:val="BodyText3Char"/>
    <w:rsid w:val="009A4689"/>
    <w:pPr>
      <w:tabs>
        <w:tab w:val="left" w:pos="567"/>
        <w:tab w:val="left" w:pos="1276"/>
        <w:tab w:val="right" w:pos="8364"/>
      </w:tabs>
      <w:ind w:left="1276" w:right="1985" w:hanging="709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BodyText3Char">
    <w:name w:val="Body Text 3 Char"/>
    <w:basedOn w:val="DefaultParagraphFont"/>
    <w:link w:val="BodyText3"/>
    <w:rsid w:val="009A4689"/>
    <w:rPr>
      <w:sz w:val="28"/>
      <w:szCs w:val="28"/>
      <w:lang w:val="en-GB" w:eastAsia="ja-JP"/>
    </w:rPr>
  </w:style>
  <w:style w:type="paragraph" w:styleId="BodyText2">
    <w:name w:val="Body Text 2"/>
    <w:basedOn w:val="Normal"/>
    <w:link w:val="BodyText2Char"/>
    <w:autoRedefine/>
    <w:rsid w:val="009A4689"/>
    <w:pPr>
      <w:tabs>
        <w:tab w:val="right" w:pos="8363"/>
      </w:tabs>
      <w:ind w:left="567" w:right="1985" w:hanging="567"/>
      <w:jc w:val="both"/>
    </w:pPr>
    <w:rPr>
      <w:rFonts w:eastAsia="Times New Roman"/>
      <w:szCs w:val="22"/>
      <w:lang w:val="en-GB" w:eastAsia="ja-JP"/>
    </w:rPr>
  </w:style>
  <w:style w:type="character" w:customStyle="1" w:styleId="BodyText2Char">
    <w:name w:val="Body Text 2 Char"/>
    <w:basedOn w:val="DefaultParagraphFont"/>
    <w:link w:val="BodyText2"/>
    <w:rsid w:val="009A4689"/>
    <w:rPr>
      <w:rFonts w:ascii="Arial" w:hAnsi="Arial" w:cs="Arial"/>
      <w:sz w:val="22"/>
      <w:szCs w:val="22"/>
      <w:lang w:val="en-GB" w:eastAsia="ja-JP"/>
    </w:rPr>
  </w:style>
  <w:style w:type="character" w:styleId="CommentReference">
    <w:name w:val="annotation reference"/>
    <w:basedOn w:val="DefaultParagraphFont"/>
    <w:rsid w:val="009A4689"/>
    <w:rPr>
      <w:sz w:val="16"/>
      <w:szCs w:val="16"/>
    </w:rPr>
  </w:style>
  <w:style w:type="character" w:customStyle="1" w:styleId="CommentTextChar">
    <w:name w:val="Comment Text Char"/>
    <w:basedOn w:val="DefaultParagraphFont"/>
    <w:semiHidden/>
    <w:rsid w:val="009A4689"/>
    <w:rPr>
      <w:rFonts w:ascii="Arial" w:eastAsia="SimSun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9A4689"/>
    <w:rPr>
      <w:b/>
      <w:bCs/>
      <w:sz w:val="20"/>
    </w:rPr>
  </w:style>
  <w:style w:type="character" w:customStyle="1" w:styleId="CommentTextChar1">
    <w:name w:val="Comment Text Char1"/>
    <w:basedOn w:val="DefaultParagraphFont"/>
    <w:link w:val="CommentText"/>
    <w:semiHidden/>
    <w:rsid w:val="009A4689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1"/>
    <w:link w:val="CommentSubject"/>
    <w:rsid w:val="009A4689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9A4689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9A468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A4689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wipogvafs01\usr2\home\Melka\Working%20Group\3%20in%201%20US%20up%20to%202017.12.31%20Genevi&#232;v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/>
            </a:pPr>
            <a:r>
              <a:rPr lang="ru-RU" dirty="0"/>
              <a:t>ВПТЗ США</a:t>
            </a:r>
            <a:r>
              <a:rPr lang="en-US" dirty="0"/>
              <a:t>, </a:t>
            </a:r>
            <a:r>
              <a:rPr lang="ru-RU" dirty="0"/>
              <a:t>ЯПВ и</a:t>
            </a:r>
            <a:r>
              <a:rPr lang="en-US" dirty="0"/>
              <a:t> </a:t>
            </a:r>
            <a:r>
              <a:rPr lang="ru-RU" dirty="0"/>
              <a:t>КВИС</a:t>
            </a:r>
            <a:r>
              <a:rPr lang="en-US" dirty="0"/>
              <a:t/>
            </a:r>
            <a:br>
              <a:rPr lang="en-US" dirty="0"/>
            </a:br>
            <a:r>
              <a:rPr lang="ru-RU" dirty="0"/>
              <a:t>Соотношение оснований для отказа </a:t>
            </a:r>
            <a:r>
              <a:rPr lang="en-US" dirty="0"/>
              <a:t>(</a:t>
            </a:r>
            <a:r>
              <a:rPr lang="ru-RU" dirty="0"/>
              <a:t>на </a:t>
            </a:r>
            <a:r>
              <a:rPr lang="en-US" dirty="0"/>
              <a:t>100 </a:t>
            </a:r>
            <a:r>
              <a:rPr lang="ru-RU" dirty="0"/>
              <a:t>образцов, получивших отказ</a:t>
            </a:r>
            <a:r>
              <a:rPr lang="en-US" dirty="0" smtClean="0"/>
              <a:t>) </a:t>
            </a:r>
            <a:endParaRPr lang="en-US" dirty="0"/>
          </a:p>
          <a:p>
            <a:pPr algn="ctr">
              <a:defRPr/>
            </a:pPr>
            <a:r>
              <a:rPr lang="ru-RU" dirty="0"/>
              <a:t>с первого дня по 31 декабря</a:t>
            </a:r>
            <a:r>
              <a:rPr lang="en-US" dirty="0"/>
              <a:t> 2017</a:t>
            </a:r>
            <a:r>
              <a:rPr lang="ru-RU" dirty="0"/>
              <a:t> г.</a:t>
            </a:r>
            <a:endParaRPr lang="en-US" dirty="0"/>
          </a:p>
        </c:rich>
      </c:tx>
      <c:layout>
        <c:manualLayout>
          <c:xMode val="edge"/>
          <c:yMode val="edge"/>
          <c:x val="0.19613004308656481"/>
          <c:y val="1.418439452273886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9.1899170653022069E-2"/>
          <c:y val="0.18773056081014788"/>
          <c:w val="0.89086620341669986"/>
          <c:h val="0.551880767940077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Sheet2!$C$40</c:f>
              <c:strCache>
                <c:ptCount val="1"/>
                <c:pt idx="0">
                  <c:v>USPTO</c:v>
                </c:pt>
              </c:strCache>
            </c:strRef>
          </c:tx>
          <c:invertIfNegative val="0"/>
          <c:cat>
            <c:strRef>
              <c:f>Sheet2!$D$39:$I$39</c:f>
              <c:strCache>
                <c:ptCount val="6"/>
                <c:pt idx="0">
                  <c:v>Insufficient disclosure </c:v>
                </c:pt>
                <c:pt idx="1">
                  <c:v>Unity of Design </c:v>
                </c:pt>
                <c:pt idx="2">
                  <c:v>Conflict Appl/Reg</c:v>
                </c:pt>
                <c:pt idx="3">
                  <c:v>Lack of Novelty</c:v>
                </c:pt>
                <c:pt idx="4">
                  <c:v>Ambiguous Product Designation</c:v>
                </c:pt>
                <c:pt idx="5">
                  <c:v>Definition of Design </c:v>
                </c:pt>
              </c:strCache>
            </c:strRef>
          </c:cat>
          <c:val>
            <c:numRef>
              <c:f>Sheet2!$D$40:$I$40</c:f>
              <c:numCache>
                <c:formatCode>0.00%</c:formatCode>
                <c:ptCount val="6"/>
                <c:pt idx="0">
                  <c:v>0.27834816335843032</c:v>
                </c:pt>
                <c:pt idx="1">
                  <c:v>0.75929728496463611</c:v>
                </c:pt>
                <c:pt idx="2">
                  <c:v>8.2135523613963042E-3</c:v>
                </c:pt>
                <c:pt idx="3">
                  <c:v>1.0038786219484371E-2</c:v>
                </c:pt>
                <c:pt idx="4">
                  <c:v>4.4946383755418665E-2</c:v>
                </c:pt>
                <c:pt idx="5">
                  <c:v>4.3880837359098229E-2</c:v>
                </c:pt>
              </c:numCache>
            </c:numRef>
          </c:val>
        </c:ser>
        <c:ser>
          <c:idx val="1"/>
          <c:order val="1"/>
          <c:tx>
            <c:strRef>
              <c:f>Sheet2!$C$41</c:f>
              <c:strCache>
                <c:ptCount val="1"/>
                <c:pt idx="0">
                  <c:v>JPO</c:v>
                </c:pt>
              </c:strCache>
            </c:strRef>
          </c:tx>
          <c:invertIfNegative val="0"/>
          <c:cat>
            <c:strRef>
              <c:f>Sheet2!$D$39:$I$39</c:f>
              <c:strCache>
                <c:ptCount val="6"/>
                <c:pt idx="0">
                  <c:v>Insufficient disclosure </c:v>
                </c:pt>
                <c:pt idx="1">
                  <c:v>Unity of Design </c:v>
                </c:pt>
                <c:pt idx="2">
                  <c:v>Conflict Appl/Reg</c:v>
                </c:pt>
                <c:pt idx="3">
                  <c:v>Lack of Novelty</c:v>
                </c:pt>
                <c:pt idx="4">
                  <c:v>Ambiguous Product Designation</c:v>
                </c:pt>
                <c:pt idx="5">
                  <c:v>Definition of Design </c:v>
                </c:pt>
              </c:strCache>
            </c:strRef>
          </c:cat>
          <c:val>
            <c:numRef>
              <c:f>Sheet2!$D$41:$I$41</c:f>
              <c:numCache>
                <c:formatCode>0.00%</c:formatCode>
                <c:ptCount val="6"/>
                <c:pt idx="0">
                  <c:v>0.59782608695652173</c:v>
                </c:pt>
                <c:pt idx="1">
                  <c:v>2.6972624798711754E-2</c:v>
                </c:pt>
                <c:pt idx="2">
                  <c:v>0.21497584541062803</c:v>
                </c:pt>
                <c:pt idx="3">
                  <c:v>0.19847020933977455</c:v>
                </c:pt>
                <c:pt idx="4">
                  <c:v>0.13647342995169082</c:v>
                </c:pt>
                <c:pt idx="5">
                  <c:v>9.9033816425120769E-2</c:v>
                </c:pt>
              </c:numCache>
            </c:numRef>
          </c:val>
        </c:ser>
        <c:ser>
          <c:idx val="2"/>
          <c:order val="2"/>
          <c:tx>
            <c:strRef>
              <c:f>Sheet2!$C$42</c:f>
              <c:strCache>
                <c:ptCount val="1"/>
                <c:pt idx="0">
                  <c:v>KIPO</c:v>
                </c:pt>
              </c:strCache>
            </c:strRef>
          </c:tx>
          <c:invertIfNegative val="0"/>
          <c:cat>
            <c:strRef>
              <c:f>Sheet2!$D$39:$I$39</c:f>
              <c:strCache>
                <c:ptCount val="6"/>
                <c:pt idx="0">
                  <c:v>Insufficient disclosure </c:v>
                </c:pt>
                <c:pt idx="1">
                  <c:v>Unity of Design </c:v>
                </c:pt>
                <c:pt idx="2">
                  <c:v>Conflict Appl/Reg</c:v>
                </c:pt>
                <c:pt idx="3">
                  <c:v>Lack of Novelty</c:v>
                </c:pt>
                <c:pt idx="4">
                  <c:v>Ambiguous Product Designation</c:v>
                </c:pt>
                <c:pt idx="5">
                  <c:v>Definition of Design </c:v>
                </c:pt>
              </c:strCache>
            </c:strRef>
          </c:cat>
          <c:val>
            <c:numRef>
              <c:f>Sheet2!$D$42:$I$42</c:f>
              <c:numCache>
                <c:formatCode>0.00%</c:formatCode>
                <c:ptCount val="6"/>
                <c:pt idx="0">
                  <c:v>0.67143282692880546</c:v>
                </c:pt>
                <c:pt idx="1">
                  <c:v>0</c:v>
                </c:pt>
                <c:pt idx="2">
                  <c:v>0.24158474828716114</c:v>
                </c:pt>
                <c:pt idx="3">
                  <c:v>0.14030384271671134</c:v>
                </c:pt>
                <c:pt idx="4">
                  <c:v>9.5025320226392609E-2</c:v>
                </c:pt>
                <c:pt idx="5">
                  <c:v>3.4554661900506406E-2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0823936"/>
        <c:axId val="70825472"/>
      </c:barChart>
      <c:catAx>
        <c:axId val="70823936"/>
        <c:scaling>
          <c:orientation val="minMax"/>
        </c:scaling>
        <c:delete val="0"/>
        <c:axPos val="b"/>
        <c:majorTickMark val="out"/>
        <c:minorTickMark val="none"/>
        <c:tickLblPos val="nextTo"/>
        <c:crossAx val="70825472"/>
        <c:crosses val="autoZero"/>
        <c:auto val="1"/>
        <c:lblAlgn val="ctr"/>
        <c:lblOffset val="100"/>
        <c:noMultiLvlLbl val="0"/>
      </c:catAx>
      <c:valAx>
        <c:axId val="70825472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7082393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>
        <a:defRPr b="1">
          <a:solidFill>
            <a:schemeClr val="tx2"/>
          </a:solidFill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0.00616</cdr:x>
      <cdr:y>0.36171</cdr:y>
    </cdr:from>
    <cdr:to>
      <cdr:x>0.04961</cdr:x>
      <cdr:y>0.69668</cdr:y>
    </cdr:to>
    <cdr:sp macro="" textlink="">
      <cdr:nvSpPr>
        <cdr:cNvPr id="4" name="TextBox 3"/>
        <cdr:cNvSpPr txBox="1"/>
      </cdr:nvSpPr>
      <cdr:spPr>
        <a:xfrm xmlns:a="http://schemas.openxmlformats.org/drawingml/2006/main" rot="16200000">
          <a:off x="-545618" y="2371788"/>
          <a:ext cx="1635514" cy="4240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b="1" dirty="0">
              <a:solidFill>
                <a:schemeClr val="tx2"/>
              </a:solidFill>
            </a:rPr>
            <a:t>Процентная доля</a:t>
          </a:r>
          <a:r>
            <a:rPr lang="en-US" b="1" dirty="0">
              <a:solidFill>
                <a:schemeClr val="tx2"/>
              </a:solidFill>
            </a:rPr>
            <a:t> </a:t>
          </a:r>
          <a:r>
            <a:rPr lang="ru-RU" b="1" dirty="0">
              <a:solidFill>
                <a:schemeClr val="tx2"/>
              </a:solidFill>
            </a:rPr>
            <a:t>образцов, получивших отказ</a:t>
          </a:r>
          <a:endParaRPr lang="en-US" b="1" dirty="0">
            <a:solidFill>
              <a:schemeClr val="tx2"/>
            </a:solidFill>
          </a:endParaRPr>
        </a:p>
        <a:p xmlns:a="http://schemas.openxmlformats.org/drawingml/2006/main">
          <a:endParaRPr lang="en-US" sz="1100" b="1" dirty="0">
            <a:solidFill>
              <a:schemeClr val="tx2"/>
            </a:solidFill>
          </a:endParaRPr>
        </a:p>
      </cdr:txBody>
    </cdr:sp>
  </cdr:relSizeAnchor>
  <cdr:relSizeAnchor xmlns:cdr="http://schemas.openxmlformats.org/drawingml/2006/chartDrawing">
    <cdr:from>
      <cdr:x>0.32757</cdr:x>
      <cdr:y>0.80836</cdr:y>
    </cdr:from>
    <cdr:to>
      <cdr:x>0.34535</cdr:x>
      <cdr:y>0.85796</cdr:y>
    </cdr:to>
    <cdr:sp macro="" textlink="">
      <cdr:nvSpPr>
        <cdr:cNvPr id="3" name="TextBox 4"/>
        <cdr:cNvSpPr txBox="1"/>
      </cdr:nvSpPr>
      <cdr:spPr>
        <a:xfrm xmlns:a="http://schemas.openxmlformats.org/drawingml/2006/main">
          <a:off x="3196886" y="3368830"/>
          <a:ext cx="173497" cy="206708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>
          <a:noAutofit/>
        </a:bodyPr>
        <a:lstStyle xmlns:a="http://schemas.openxmlformats.org/drawingml/2006/main"/>
        <a:p xmlns:a="http://schemas.openxmlformats.org/drawingml/2006/main">
          <a:r>
            <a:rPr lang="en-US"/>
            <a:t>*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1937</Words>
  <Characters>12515</Characters>
  <Application>Microsoft Office Word</Application>
  <DocSecurity>0</DocSecurity>
  <Lines>104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RIOUKHINE Sergey</dc:creator>
  <cp:lastModifiedBy>MAILLARD Amber</cp:lastModifiedBy>
  <cp:revision>5</cp:revision>
  <cp:lastPrinted>2018-05-18T14:10:00Z</cp:lastPrinted>
  <dcterms:created xsi:type="dcterms:W3CDTF">2018-05-16T12:41:00Z</dcterms:created>
  <dcterms:modified xsi:type="dcterms:W3CDTF">2018-05-18T14:10:00Z</dcterms:modified>
</cp:coreProperties>
</file>