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C0268" w:rsidRPr="008B2CC1" w14:paraId="39ECE4F3" w14:textId="77777777" w:rsidTr="00391FE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BF0F09" w14:textId="77777777" w:rsidR="005C0268" w:rsidRPr="00EF5E9E" w:rsidRDefault="005C0268" w:rsidP="005C0268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B0A1FC" w14:textId="4B3AEE9C" w:rsidR="005C0268" w:rsidRPr="008B2CC1" w:rsidRDefault="000801EE" w:rsidP="005C0268">
            <w:r>
              <w:rPr>
                <w:noProof/>
                <w:lang w:eastAsia="en-US"/>
              </w:rPr>
              <w:drawing>
                <wp:inline distT="0" distB="0" distL="0" distR="0" wp14:anchorId="4532A07F" wp14:editId="6536A730">
                  <wp:extent cx="1731645" cy="1286510"/>
                  <wp:effectExtent l="0" t="0" r="190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4338F4" w14:textId="0C7E63FE" w:rsidR="005C0268" w:rsidRPr="008B2CC1" w:rsidRDefault="005C0268" w:rsidP="005C026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C0268" w:rsidRPr="001832A6" w14:paraId="439C3406" w14:textId="77777777" w:rsidTr="00A45A0C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017FEF1" w14:textId="77777777" w:rsidR="005C0268" w:rsidRPr="0090731E" w:rsidRDefault="005C0268" w:rsidP="005C026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H/LD/WG/8/</w:t>
            </w:r>
            <w:bookmarkStart w:id="0" w:name="Code"/>
            <w:bookmarkEnd w:id="0"/>
            <w:r w:rsidRPr="00A45A0C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C0268" w:rsidRPr="001832A6" w14:paraId="2E0DE00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A84A72A" w14:textId="368676E7" w:rsidR="005C0268" w:rsidRPr="000801EE" w:rsidRDefault="000801EE" w:rsidP="000801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C0268" w:rsidRPr="0090731E">
              <w:rPr>
                <w:rFonts w:ascii="Arial Black" w:hAnsi="Arial Black"/>
                <w:caps/>
                <w:sz w:val="15"/>
              </w:rPr>
              <w:t>:</w:t>
            </w:r>
            <w:r w:rsidR="005C0268">
              <w:rPr>
                <w:rFonts w:ascii="Arial Black" w:hAnsi="Arial Black"/>
                <w:caps/>
                <w:sz w:val="15"/>
              </w:rPr>
              <w:t xml:space="preserve"> </w:t>
            </w:r>
            <w:r w:rsidR="005C026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C0268" w:rsidRPr="001832A6" w14:paraId="318C803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596535" w14:textId="0EE81789" w:rsidR="005C0268" w:rsidRPr="000801EE" w:rsidRDefault="000801EE" w:rsidP="000801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C0268" w:rsidRPr="0090731E">
              <w:rPr>
                <w:rFonts w:ascii="Arial Black" w:hAnsi="Arial Black"/>
                <w:caps/>
                <w:sz w:val="15"/>
              </w:rPr>
              <w:t>:</w:t>
            </w:r>
            <w:r w:rsidR="005C0268">
              <w:rPr>
                <w:rFonts w:ascii="Arial Black" w:hAnsi="Arial Black"/>
                <w:caps/>
                <w:sz w:val="15"/>
              </w:rPr>
              <w:t xml:space="preserve"> </w:t>
            </w:r>
            <w:r w:rsidR="005C026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5C0268" w:rsidRPr="000801EE">
              <w:rPr>
                <w:rFonts w:ascii="Arial Black" w:hAnsi="Arial Black"/>
                <w:caps/>
                <w:sz w:val="15"/>
                <w:lang w:val="ru-RU"/>
              </w:rPr>
              <w:t>29</w:t>
            </w:r>
            <w:r w:rsidRPr="000801EE"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5C0268" w:rsidRPr="000801EE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Pr="000801EE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     </w:t>
            </w:r>
          </w:p>
        </w:tc>
      </w:tr>
    </w:tbl>
    <w:p w14:paraId="761F8F46" w14:textId="59AF1EDA" w:rsidR="003845C1" w:rsidRPr="000801EE" w:rsidRDefault="000801EE" w:rsidP="00434604">
      <w:pPr>
        <w:spacing w:before="1200"/>
        <w:rPr>
          <w:lang w:val="ru-RU"/>
        </w:rPr>
      </w:pPr>
      <w:r w:rsidRPr="008F202E">
        <w:rPr>
          <w:b/>
          <w:sz w:val="28"/>
          <w:szCs w:val="28"/>
          <w:lang w:val="ru-RU"/>
        </w:rPr>
        <w:t>Рабочая группа по право</w:t>
      </w:r>
      <w:bookmarkStart w:id="2" w:name="_GoBack"/>
      <w:bookmarkEnd w:id="2"/>
      <w:r w:rsidRPr="008F202E">
        <w:rPr>
          <w:b/>
          <w:sz w:val="28"/>
          <w:szCs w:val="28"/>
          <w:lang w:val="ru-RU"/>
        </w:rPr>
        <w:t>вому развитию Гаагской системы международной регистрации промышленных образ</w:t>
      </w:r>
      <w:r w:rsidR="006D6857">
        <w:rPr>
          <w:b/>
          <w:sz w:val="28"/>
          <w:szCs w:val="28"/>
          <w:lang w:val="ru-RU"/>
        </w:rPr>
        <w:t>ц</w:t>
      </w:r>
      <w:r w:rsidRPr="008F202E">
        <w:rPr>
          <w:b/>
          <w:sz w:val="28"/>
          <w:szCs w:val="28"/>
          <w:lang w:val="ru-RU"/>
        </w:rPr>
        <w:t>ов</w:t>
      </w:r>
    </w:p>
    <w:p w14:paraId="33C873B5" w14:textId="6B82F6E1" w:rsidR="003856A5" w:rsidRPr="000801EE" w:rsidRDefault="000801EE" w:rsidP="00434604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2C0BA339" w14:textId="5CDFF435" w:rsidR="008B2CC1" w:rsidRPr="000801EE" w:rsidRDefault="000801EE" w:rsidP="003856A5">
      <w:pPr>
        <w:rPr>
          <w:b/>
          <w:sz w:val="24"/>
          <w:szCs w:val="24"/>
          <w:lang w:val="ru-RU"/>
        </w:rPr>
      </w:pPr>
      <w:r w:rsidRPr="008F202E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3</w:t>
      </w:r>
      <w:r w:rsidRPr="008F202E"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  <w:lang w:val="ru-RU"/>
        </w:rPr>
        <w:t> октября</w:t>
      </w:r>
      <w:r w:rsidRPr="008F202E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 ноябр</w:t>
      </w:r>
      <w:r w:rsidRPr="008F202E">
        <w:rPr>
          <w:b/>
          <w:sz w:val="24"/>
          <w:szCs w:val="24"/>
          <w:lang w:val="ru-RU"/>
        </w:rPr>
        <w:t>я 201</w:t>
      </w:r>
      <w:r>
        <w:rPr>
          <w:b/>
          <w:sz w:val="24"/>
          <w:szCs w:val="24"/>
          <w:lang w:val="ru-RU"/>
        </w:rPr>
        <w:t>9 </w:t>
      </w:r>
      <w:r w:rsidRPr="008F202E">
        <w:rPr>
          <w:b/>
          <w:sz w:val="24"/>
          <w:szCs w:val="24"/>
          <w:lang w:val="ru-RU"/>
        </w:rPr>
        <w:t>г.</w:t>
      </w:r>
    </w:p>
    <w:p w14:paraId="55818B96" w14:textId="4EF7F073" w:rsidR="008B2CC1" w:rsidRPr="00D30B8E" w:rsidRDefault="00D30B8E" w:rsidP="00434604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 w:rsidRPr="00D30B8E">
        <w:rPr>
          <w:caps/>
          <w:sz w:val="24"/>
          <w:lang w:val="ru-RU"/>
        </w:rPr>
        <w:t>Положение с</w:t>
      </w:r>
      <w:r w:rsidR="0037059D" w:rsidRPr="00D30B8E">
        <w:rPr>
          <w:caps/>
          <w:sz w:val="24"/>
          <w:lang w:val="ru-RU"/>
        </w:rPr>
        <w:t xml:space="preserve"> а</w:t>
      </w:r>
      <w:r w:rsidRPr="00D30B8E">
        <w:rPr>
          <w:caps/>
          <w:sz w:val="24"/>
          <w:lang w:val="ru-RU"/>
        </w:rPr>
        <w:t>ктом</w:t>
      </w:r>
      <w:r w:rsidR="0037059D" w:rsidRPr="00D30B8E">
        <w:rPr>
          <w:caps/>
          <w:sz w:val="24"/>
          <w:lang w:val="ru-RU"/>
        </w:rPr>
        <w:t xml:space="preserve"> 1960 г.</w:t>
      </w:r>
    </w:p>
    <w:p w14:paraId="65D4D713" w14:textId="4F035734" w:rsidR="008B2CC1" w:rsidRPr="000801EE" w:rsidRDefault="000801EE" w:rsidP="00434604">
      <w:pPr>
        <w:spacing w:before="240" w:after="960"/>
        <w:rPr>
          <w:i/>
          <w:lang w:val="ru-RU"/>
        </w:rPr>
      </w:pPr>
      <w:bookmarkStart w:id="4" w:name="Prepared"/>
      <w:bookmarkEnd w:id="4"/>
      <w:r w:rsidRPr="00D30B8E">
        <w:rPr>
          <w:i/>
          <w:lang w:val="ru-RU"/>
        </w:rPr>
        <w:t>Документ подготовлен Международным</w:t>
      </w:r>
      <w:r w:rsidRPr="000801EE">
        <w:rPr>
          <w:i/>
          <w:lang w:val="ru-RU"/>
        </w:rPr>
        <w:t xml:space="preserve"> бюро</w:t>
      </w:r>
    </w:p>
    <w:p w14:paraId="314BEF16" w14:textId="0CE828FA" w:rsidR="00F23DE3" w:rsidRPr="00EA2738" w:rsidRDefault="00A80FA6" w:rsidP="00A80FA6">
      <w:pPr>
        <w:pStyle w:val="Heading1"/>
        <w:numPr>
          <w:ilvl w:val="0"/>
          <w:numId w:val="0"/>
        </w:numPr>
        <w:spacing w:after="240"/>
        <w:rPr>
          <w:lang w:val="ru-RU"/>
        </w:rPr>
      </w:pPr>
      <w:r>
        <w:t>I</w:t>
      </w:r>
      <w:r w:rsidRPr="00424C04">
        <w:rPr>
          <w:lang w:val="ru-RU"/>
        </w:rPr>
        <w:t>.</w:t>
      </w:r>
      <w:r w:rsidRPr="00424C04">
        <w:rPr>
          <w:lang w:val="ru-RU"/>
        </w:rPr>
        <w:tab/>
      </w:r>
      <w:r w:rsidR="0037059D" w:rsidRPr="00EA2738">
        <w:rPr>
          <w:lang w:val="ru-RU"/>
        </w:rPr>
        <w:t>ВВЕДЕНИЕ</w:t>
      </w:r>
    </w:p>
    <w:p w14:paraId="1A874346" w14:textId="114EB605" w:rsidR="0026502E" w:rsidRPr="0037059D" w:rsidRDefault="0037059D" w:rsidP="00EA2738">
      <w:pPr>
        <w:pStyle w:val="ONUME"/>
        <w:rPr>
          <w:lang w:val="ru-RU" w:eastAsia="en-US"/>
        </w:rPr>
      </w:pPr>
      <w:r w:rsidRPr="0037059D">
        <w:rPr>
          <w:lang w:val="ru-RU"/>
        </w:rPr>
        <w:t>Гаагское соглашение о международной регистрации промышленных образцов (далее</w:t>
      </w:r>
      <w:r>
        <w:rPr>
          <w:lang w:val="ru-RU"/>
        </w:rPr>
        <w:t xml:space="preserve"> именуемое</w:t>
      </w:r>
      <w:r w:rsidRPr="0037059D">
        <w:rPr>
          <w:lang w:val="ru-RU"/>
        </w:rPr>
        <w:t xml:space="preserve"> </w:t>
      </w:r>
      <w:r>
        <w:rPr>
          <w:lang w:val="ru-RU"/>
        </w:rPr>
        <w:t>«</w:t>
      </w:r>
      <w:r w:rsidRPr="0037059D">
        <w:rPr>
          <w:lang w:val="ru-RU"/>
        </w:rPr>
        <w:t>Гаагско</w:t>
      </w:r>
      <w:r>
        <w:rPr>
          <w:lang w:val="ru-RU"/>
        </w:rPr>
        <w:t>е</w:t>
      </w:r>
      <w:r w:rsidRPr="0037059D">
        <w:rPr>
          <w:lang w:val="ru-RU"/>
        </w:rPr>
        <w:t xml:space="preserve"> соглашение</w:t>
      </w:r>
      <w:r>
        <w:rPr>
          <w:lang w:val="ru-RU"/>
        </w:rPr>
        <w:t>»</w:t>
      </w:r>
      <w:r w:rsidRPr="0037059D">
        <w:rPr>
          <w:lang w:val="ru-RU"/>
        </w:rPr>
        <w:t>)</w:t>
      </w:r>
      <w:r>
        <w:rPr>
          <w:lang w:val="ru-RU"/>
        </w:rPr>
        <w:t xml:space="preserve"> на сегодняшний день включает в себя два самостоятельных акта</w:t>
      </w:r>
      <w:r w:rsidR="008115AA">
        <w:rPr>
          <w:lang w:val="ru-RU"/>
        </w:rPr>
        <w:t xml:space="preserve">:  </w:t>
      </w:r>
      <w:r w:rsidRPr="0037059D">
        <w:rPr>
          <w:lang w:val="ru-RU"/>
        </w:rPr>
        <w:t>Гаагский акт (19</w:t>
      </w:r>
      <w:r w:rsidR="00EA2738">
        <w:rPr>
          <w:lang w:val="ru-RU"/>
        </w:rPr>
        <w:t>60 г.)</w:t>
      </w:r>
      <w:r w:rsidR="00EA2738" w:rsidRPr="00942ED1">
        <w:rPr>
          <w:lang w:val="ru-RU"/>
        </w:rPr>
        <w:t>,</w:t>
      </w:r>
      <w:r w:rsidR="00EA2738">
        <w:rPr>
          <w:lang w:val="ru-RU"/>
        </w:rPr>
        <w:t xml:space="preserve"> принятый 28 ноября 1960 </w:t>
      </w:r>
      <w:r w:rsidRPr="0037059D">
        <w:rPr>
          <w:lang w:val="ru-RU"/>
        </w:rPr>
        <w:t>г.</w:t>
      </w:r>
      <w:r w:rsidR="00EA2738">
        <w:rPr>
          <w:lang w:val="ru-RU"/>
        </w:rPr>
        <w:t xml:space="preserve"> (далее именуемый «Акт 1960 г</w:t>
      </w:r>
      <w:r w:rsidR="00EA2738" w:rsidRPr="00424C04">
        <w:rPr>
          <w:lang w:val="ru-RU"/>
        </w:rPr>
        <w:t>.»)</w:t>
      </w:r>
      <w:r w:rsidR="00942ED1" w:rsidRPr="00424C04">
        <w:rPr>
          <w:lang w:val="ru-RU"/>
        </w:rPr>
        <w:t>,</w:t>
      </w:r>
      <w:r w:rsidR="00EA2738" w:rsidRPr="00424C04">
        <w:rPr>
          <w:lang w:val="ru-RU"/>
        </w:rPr>
        <w:t xml:space="preserve"> и</w:t>
      </w:r>
      <w:r w:rsidR="00EA2738">
        <w:rPr>
          <w:lang w:val="ru-RU"/>
        </w:rPr>
        <w:t xml:space="preserve"> Женевский акт (1999 </w:t>
      </w:r>
      <w:r w:rsidR="00EA2738" w:rsidRPr="00EA2738">
        <w:rPr>
          <w:lang w:val="ru-RU"/>
        </w:rPr>
        <w:t>г</w:t>
      </w:r>
      <w:r w:rsidR="00EA2738">
        <w:rPr>
          <w:lang w:val="ru-RU"/>
        </w:rPr>
        <w:t>.), принятый 2 июля 1999 </w:t>
      </w:r>
      <w:r w:rsidR="00EA2738" w:rsidRPr="00EA2738">
        <w:rPr>
          <w:lang w:val="ru-RU"/>
        </w:rPr>
        <w:t>г.</w:t>
      </w:r>
      <w:r w:rsidR="00EA2738">
        <w:rPr>
          <w:lang w:val="ru-RU"/>
        </w:rPr>
        <w:t xml:space="preserve"> (далее именуемый «Акт 1999 г»).</w:t>
      </w:r>
      <w:r w:rsidR="0087217C">
        <w:rPr>
          <w:lang w:val="ru-RU"/>
        </w:rPr>
        <w:t xml:space="preserve">  </w:t>
      </w:r>
    </w:p>
    <w:p w14:paraId="3AFD7848" w14:textId="4ECBB1F7" w:rsidR="00722B2A" w:rsidRPr="00424C04" w:rsidRDefault="00424C04" w:rsidP="00A82D02">
      <w:pPr>
        <w:pStyle w:val="ONUME"/>
        <w:rPr>
          <w:lang w:val="ru-RU" w:eastAsia="en-US"/>
        </w:rPr>
      </w:pPr>
      <w:r w:rsidRPr="00424C04">
        <w:rPr>
          <w:szCs w:val="24"/>
          <w:lang w:val="ru-RU"/>
        </w:rPr>
        <w:t xml:space="preserve">Настоящий документ призван проинформировать Рабочую группу по правовому развитию Гаагской системы </w:t>
      </w:r>
      <w:r w:rsidRPr="00D30B8E">
        <w:rPr>
          <w:szCs w:val="24"/>
          <w:lang w:val="ru-RU"/>
        </w:rPr>
        <w:t>международной регистрации промышленных образ</w:t>
      </w:r>
      <w:r w:rsidR="006D6857">
        <w:rPr>
          <w:szCs w:val="24"/>
          <w:lang w:val="ru-RU"/>
        </w:rPr>
        <w:t>ц</w:t>
      </w:r>
      <w:r w:rsidRPr="00D30B8E">
        <w:rPr>
          <w:szCs w:val="24"/>
          <w:lang w:val="ru-RU"/>
        </w:rPr>
        <w:t xml:space="preserve">ов (далее именуемую «Рабочая группа») о </w:t>
      </w:r>
      <w:r w:rsidR="00D30B8E" w:rsidRPr="00D30B8E">
        <w:rPr>
          <w:szCs w:val="24"/>
          <w:lang w:val="ru-RU"/>
        </w:rPr>
        <w:t>положении</w:t>
      </w:r>
      <w:r w:rsidR="00D30B8E">
        <w:rPr>
          <w:szCs w:val="24"/>
          <w:lang w:val="ru-RU"/>
        </w:rPr>
        <w:t xml:space="preserve"> с</w:t>
      </w:r>
      <w:r w:rsidRPr="00424C04">
        <w:rPr>
          <w:szCs w:val="24"/>
          <w:lang w:val="ru-RU"/>
        </w:rPr>
        <w:t xml:space="preserve"> Акт</w:t>
      </w:r>
      <w:r w:rsidR="00D30B8E">
        <w:rPr>
          <w:szCs w:val="24"/>
          <w:lang w:val="ru-RU"/>
        </w:rPr>
        <w:t>ом</w:t>
      </w:r>
      <w:r w:rsidRPr="00424C04">
        <w:rPr>
          <w:szCs w:val="24"/>
          <w:lang w:val="ru-RU"/>
        </w:rPr>
        <w:t xml:space="preserve"> 1960 г. и может послужить основой для рассмотрения </w:t>
      </w:r>
      <w:r w:rsidR="00D50074">
        <w:rPr>
          <w:szCs w:val="24"/>
          <w:lang w:val="ru-RU"/>
        </w:rPr>
        <w:t>вопроса об изменении</w:t>
      </w:r>
      <w:r w:rsidRPr="00424C04">
        <w:rPr>
          <w:szCs w:val="24"/>
          <w:lang w:val="ru-RU"/>
        </w:rPr>
        <w:t xml:space="preserve"> правовой базы Гаагской системы в долгосрочной перспективе.</w:t>
      </w:r>
      <w:r w:rsidR="0087217C">
        <w:rPr>
          <w:szCs w:val="24"/>
          <w:lang w:val="ru-RU"/>
        </w:rPr>
        <w:t xml:space="preserve">  </w:t>
      </w:r>
    </w:p>
    <w:p w14:paraId="397B06F4" w14:textId="6234E38A" w:rsidR="001F7B3E" w:rsidRPr="00424C04" w:rsidRDefault="00A80FA6" w:rsidP="00A80FA6">
      <w:pPr>
        <w:pStyle w:val="Heading1"/>
        <w:numPr>
          <w:ilvl w:val="0"/>
          <w:numId w:val="0"/>
        </w:numPr>
        <w:spacing w:before="480" w:after="240"/>
        <w:rPr>
          <w:lang w:val="ru-RU"/>
        </w:rPr>
      </w:pPr>
      <w:r w:rsidRPr="00424C04">
        <w:t>II</w:t>
      </w:r>
      <w:r w:rsidRPr="00424C04">
        <w:rPr>
          <w:lang w:val="ru-RU"/>
        </w:rPr>
        <w:t>.</w:t>
      </w:r>
      <w:r w:rsidRPr="00424C04">
        <w:rPr>
          <w:lang w:val="ru-RU"/>
        </w:rPr>
        <w:tab/>
      </w:r>
      <w:r w:rsidR="00424C04" w:rsidRPr="00424C04">
        <w:rPr>
          <w:lang w:val="ru-RU"/>
        </w:rPr>
        <w:t>Нынешний</w:t>
      </w:r>
      <w:r w:rsidR="0018799E" w:rsidRPr="00424C04">
        <w:rPr>
          <w:lang w:val="ru-RU"/>
        </w:rPr>
        <w:t xml:space="preserve"> состав участников гаагского </w:t>
      </w:r>
      <w:r w:rsidR="0018799E">
        <w:rPr>
          <w:lang w:val="ru-RU"/>
        </w:rPr>
        <w:t>соглашения</w:t>
      </w:r>
    </w:p>
    <w:p w14:paraId="3B6E13E3" w14:textId="5A5D2CB6" w:rsidR="000849CB" w:rsidRPr="005855DD" w:rsidRDefault="00424C04" w:rsidP="00FA7355">
      <w:pPr>
        <w:pStyle w:val="ONUME"/>
        <w:rPr>
          <w:lang w:val="ru-RU" w:eastAsia="en-US"/>
        </w:rPr>
      </w:pPr>
      <w:r>
        <w:rPr>
          <w:lang w:val="ru-RU"/>
        </w:rPr>
        <w:t>После того как Акт 1999 г.</w:t>
      </w:r>
      <w:r w:rsidRPr="00FD72E3">
        <w:rPr>
          <w:lang w:val="ru-RU"/>
        </w:rPr>
        <w:t xml:space="preserve"> </w:t>
      </w:r>
      <w:r>
        <w:rPr>
          <w:lang w:val="ru-RU"/>
        </w:rPr>
        <w:t>вступил в силу</w:t>
      </w:r>
      <w:r w:rsidR="004546C0">
        <w:rPr>
          <w:lang w:val="ru-RU"/>
        </w:rPr>
        <w:t xml:space="preserve"> 1 апреля 2004 г.</w:t>
      </w:r>
      <w:r>
        <w:rPr>
          <w:lang w:val="ru-RU"/>
        </w:rPr>
        <w:t>, количество присоединившихся к нему сторон быстро возросло, превысив число участников Акта</w:t>
      </w:r>
      <w:r w:rsidR="00FE01F3">
        <w:rPr>
          <w:lang w:val="fr-CH"/>
        </w:rPr>
        <w:t> </w:t>
      </w:r>
      <w:r>
        <w:rPr>
          <w:lang w:val="ru-RU"/>
        </w:rPr>
        <w:t>1960 г., при этом состав участников этих двух актов в значительной мере совпадал.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50074">
        <w:rPr>
          <w:lang w:val="ru-RU"/>
        </w:rPr>
        <w:t>Помимо</w:t>
      </w:r>
      <w:r w:rsidRPr="005855DD">
        <w:rPr>
          <w:lang w:val="ru-RU"/>
        </w:rPr>
        <w:t xml:space="preserve"> 11 </w:t>
      </w:r>
      <w:r w:rsidR="00D50074">
        <w:rPr>
          <w:lang w:val="ru-RU"/>
        </w:rPr>
        <w:t>государств</w:t>
      </w:r>
      <w:r w:rsidRPr="005855DD">
        <w:rPr>
          <w:lang w:val="ru-RU"/>
        </w:rPr>
        <w:t xml:space="preserve">, </w:t>
      </w:r>
      <w:r>
        <w:rPr>
          <w:lang w:val="ru-RU"/>
        </w:rPr>
        <w:t>которые изначально ратифицировали</w:t>
      </w:r>
      <w:r w:rsidRPr="005855DD">
        <w:rPr>
          <w:lang w:val="ru-RU"/>
        </w:rPr>
        <w:t xml:space="preserve"> </w:t>
      </w:r>
      <w:r>
        <w:rPr>
          <w:lang w:val="ru-RU"/>
        </w:rPr>
        <w:t>Акт</w:t>
      </w:r>
      <w:r w:rsidRPr="005855DD">
        <w:rPr>
          <w:lang w:val="ru-RU"/>
        </w:rPr>
        <w:t xml:space="preserve"> 1999</w:t>
      </w:r>
      <w:r w:rsidRPr="005855DD">
        <w:t> </w:t>
      </w:r>
      <w:r>
        <w:rPr>
          <w:lang w:val="ru-RU"/>
        </w:rPr>
        <w:t>г</w:t>
      </w:r>
      <w:r w:rsidRPr="005855DD">
        <w:rPr>
          <w:lang w:val="ru-RU"/>
        </w:rPr>
        <w:t>.</w:t>
      </w:r>
      <w:r>
        <w:rPr>
          <w:lang w:val="ru-RU"/>
        </w:rPr>
        <w:t xml:space="preserve"> или</w:t>
      </w:r>
      <w:r w:rsidRPr="005855DD">
        <w:rPr>
          <w:lang w:val="ru-RU"/>
        </w:rPr>
        <w:t xml:space="preserve"> </w:t>
      </w:r>
      <w:r>
        <w:rPr>
          <w:lang w:val="ru-RU"/>
        </w:rPr>
        <w:t>присоединились к нему, обеспечив его вступление в силу</w:t>
      </w:r>
      <w:r w:rsidRPr="005855DD">
        <w:rPr>
          <w:rStyle w:val="FootnoteReference"/>
        </w:rPr>
        <w:footnoteReference w:id="2"/>
      </w:r>
      <w:r w:rsidRPr="005855DD">
        <w:rPr>
          <w:lang w:val="ru-RU"/>
        </w:rPr>
        <w:t xml:space="preserve">, </w:t>
      </w:r>
      <w:r>
        <w:rPr>
          <w:lang w:val="ru-RU"/>
        </w:rPr>
        <w:t xml:space="preserve">участниками Акта 1999 г. стало еще 47 государств (некоторые из которых уже были </w:t>
      </w:r>
      <w:r w:rsidR="004546C0">
        <w:rPr>
          <w:lang w:val="ru-RU"/>
        </w:rPr>
        <w:t>сторонами</w:t>
      </w:r>
      <w:r>
        <w:rPr>
          <w:lang w:val="ru-RU"/>
        </w:rPr>
        <w:t xml:space="preserve"> Акта 1960 г.). </w:t>
      </w:r>
      <w:r w:rsidR="0087217C">
        <w:rPr>
          <w:lang w:val="ru-RU"/>
        </w:rPr>
        <w:t xml:space="preserve"> </w:t>
      </w:r>
      <w:r>
        <w:rPr>
          <w:lang w:val="ru-RU"/>
        </w:rPr>
        <w:lastRenderedPageBreak/>
        <w:t xml:space="preserve">К </w:t>
      </w:r>
      <w:r w:rsidR="00311792">
        <w:rPr>
          <w:lang w:val="fr-CH"/>
        </w:rPr>
        <w:t> </w:t>
      </w:r>
      <w:r>
        <w:rPr>
          <w:lang w:val="ru-RU"/>
        </w:rPr>
        <w:t>кту 1999 г. также присоединились две межправительственные организации</w:t>
      </w:r>
      <w:r w:rsidR="008115AA">
        <w:rPr>
          <w:lang w:val="ru-RU"/>
        </w:rPr>
        <w:t xml:space="preserve">:  </w:t>
      </w:r>
      <w:r w:rsidRPr="00FA7355">
        <w:rPr>
          <w:lang w:val="ru-RU"/>
        </w:rPr>
        <w:t>Африканская организация интелл</w:t>
      </w:r>
      <w:r>
        <w:rPr>
          <w:lang w:val="ru-RU"/>
        </w:rPr>
        <w:t>ектуальной собственности (АОИС) и Европейский союз, которые</w:t>
      </w:r>
      <w:r w:rsidRPr="00B5324B">
        <w:rPr>
          <w:lang w:val="ru-RU"/>
        </w:rPr>
        <w:t xml:space="preserve"> </w:t>
      </w:r>
      <w:r>
        <w:rPr>
          <w:lang w:val="ru-RU"/>
        </w:rPr>
        <w:t>охватывают в общей сложности 45 государств.</w:t>
      </w:r>
      <w:r w:rsidR="0087217C">
        <w:rPr>
          <w:lang w:val="ru-RU"/>
        </w:rPr>
        <w:t xml:space="preserve">  </w:t>
      </w:r>
    </w:p>
    <w:p w14:paraId="5A7026F7" w14:textId="68FFC7B4" w:rsidR="000849CB" w:rsidRPr="0035743C" w:rsidRDefault="00424C04" w:rsidP="0035743C">
      <w:pPr>
        <w:pStyle w:val="ONUME"/>
        <w:rPr>
          <w:lang w:val="ru-RU"/>
        </w:rPr>
      </w:pPr>
      <w:r>
        <w:rPr>
          <w:lang w:val="ru-RU"/>
        </w:rPr>
        <w:t xml:space="preserve">В то же время, несмотря на то, что Акт 1960 г. остается открытым для присоединения государств – участников </w:t>
      </w:r>
      <w:r w:rsidRPr="0035743C">
        <w:rPr>
          <w:szCs w:val="24"/>
          <w:lang w:val="ru-RU"/>
        </w:rPr>
        <w:t>Парижской конвенции об охране промышленной собственности</w:t>
      </w:r>
      <w:r>
        <w:rPr>
          <w:szCs w:val="24"/>
          <w:lang w:val="ru-RU"/>
        </w:rPr>
        <w:t xml:space="preserve">, с 2007 г. не было ни одного случая ратификации или </w:t>
      </w:r>
      <w:r w:rsidRPr="0035743C">
        <w:rPr>
          <w:szCs w:val="24"/>
          <w:lang w:val="ru-RU"/>
        </w:rPr>
        <w:t>присоединения</w:t>
      </w:r>
      <w:r w:rsidRPr="0035743C">
        <w:rPr>
          <w:rStyle w:val="FootnoteReference"/>
          <w:szCs w:val="24"/>
        </w:rPr>
        <w:footnoteReference w:id="3"/>
      </w:r>
      <w:r w:rsidRPr="0035743C">
        <w:rPr>
          <w:szCs w:val="24"/>
          <w:lang w:val="ru-RU"/>
        </w:rPr>
        <w:t>.</w:t>
      </w:r>
      <w:r w:rsidR="0087217C">
        <w:rPr>
          <w:szCs w:val="24"/>
          <w:lang w:val="ru-RU"/>
        </w:rPr>
        <w:t xml:space="preserve">  </w:t>
      </w:r>
    </w:p>
    <w:p w14:paraId="3E0B986E" w14:textId="502A8580" w:rsidR="00667011" w:rsidRPr="00F14760" w:rsidRDefault="00424C04" w:rsidP="00924D0E">
      <w:pPr>
        <w:pStyle w:val="ONUME"/>
        <w:rPr>
          <w:lang w:val="ru-RU"/>
        </w:rPr>
      </w:pPr>
      <w:r>
        <w:rPr>
          <w:lang w:val="ru-RU"/>
        </w:rPr>
        <w:t xml:space="preserve">На момент составления настоящего документа общее количество </w:t>
      </w:r>
      <w:r w:rsidR="006D6857">
        <w:rPr>
          <w:lang w:val="ru-RU"/>
        </w:rPr>
        <w:t xml:space="preserve">договаривающихся </w:t>
      </w:r>
      <w:r>
        <w:rPr>
          <w:lang w:val="ru-RU"/>
        </w:rPr>
        <w:t xml:space="preserve">сторон Гаагского соглашения составляло 70. 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В приложениях </w:t>
      </w:r>
      <w:r>
        <w:t>I</w:t>
      </w:r>
      <w:r w:rsidRPr="00E51BEF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t>II</w:t>
      </w:r>
      <w:r w:rsidRPr="00E51BEF">
        <w:rPr>
          <w:lang w:val="ru-RU"/>
        </w:rPr>
        <w:t xml:space="preserve"> </w:t>
      </w:r>
      <w:r>
        <w:rPr>
          <w:lang w:val="ru-RU"/>
        </w:rPr>
        <w:t>к настоящему документу представлен</w:t>
      </w:r>
      <w:r w:rsidR="009556CA">
        <w:rPr>
          <w:lang w:val="ru-RU"/>
        </w:rPr>
        <w:t xml:space="preserve"> список членов </w:t>
      </w:r>
      <w:r w:rsidR="009556CA" w:rsidRPr="006D6857">
        <w:rPr>
          <w:lang w:val="ru-RU"/>
        </w:rPr>
        <w:t>Гаагского союза, а также</w:t>
      </w:r>
      <w:r w:rsidRPr="006D6857">
        <w:rPr>
          <w:lang w:val="ru-RU"/>
        </w:rPr>
        <w:t xml:space="preserve"> </w:t>
      </w:r>
      <w:r w:rsidR="00EF5E9E">
        <w:rPr>
          <w:lang w:val="ru-RU"/>
        </w:rPr>
        <w:t>диаграмма</w:t>
      </w:r>
      <w:r w:rsidRPr="006D6857">
        <w:rPr>
          <w:lang w:val="ru-RU"/>
        </w:rPr>
        <w:t xml:space="preserve">, </w:t>
      </w:r>
      <w:r w:rsidR="009556CA" w:rsidRPr="006D6857">
        <w:rPr>
          <w:lang w:val="ru-RU"/>
        </w:rPr>
        <w:t>на</w:t>
      </w:r>
      <w:r w:rsidR="00EF5E9E">
        <w:rPr>
          <w:lang w:val="ru-RU"/>
        </w:rPr>
        <w:t xml:space="preserve"> которой</w:t>
      </w:r>
      <w:r w:rsidRPr="006D6857">
        <w:rPr>
          <w:lang w:val="ru-RU"/>
        </w:rPr>
        <w:t xml:space="preserve"> </w:t>
      </w:r>
      <w:r w:rsidR="005153CD">
        <w:rPr>
          <w:lang w:val="ru-RU"/>
        </w:rPr>
        <w:t>показано</w:t>
      </w:r>
      <w:r w:rsidRPr="006D6857">
        <w:rPr>
          <w:lang w:val="ru-RU"/>
        </w:rPr>
        <w:t xml:space="preserve"> </w:t>
      </w:r>
      <w:r w:rsidR="005153CD">
        <w:rPr>
          <w:lang w:val="ru-RU"/>
        </w:rPr>
        <w:t>количество</w:t>
      </w:r>
      <w:r w:rsidRPr="006D6857">
        <w:rPr>
          <w:lang w:val="ru-RU"/>
        </w:rPr>
        <w:t xml:space="preserve"> </w:t>
      </w:r>
      <w:r w:rsidR="006D6857" w:rsidRPr="006D6857">
        <w:rPr>
          <w:lang w:val="ru-RU"/>
        </w:rPr>
        <w:t xml:space="preserve">договаривающихся </w:t>
      </w:r>
      <w:r w:rsidRPr="006D6857">
        <w:rPr>
          <w:lang w:val="ru-RU"/>
        </w:rPr>
        <w:t xml:space="preserve">сторон в соответствии с последним </w:t>
      </w:r>
      <w:r w:rsidR="005153CD">
        <w:rPr>
          <w:lang w:val="ru-RU"/>
        </w:rPr>
        <w:t>А</w:t>
      </w:r>
      <w:r w:rsidRPr="006D6857">
        <w:rPr>
          <w:lang w:val="ru-RU"/>
        </w:rPr>
        <w:t>ктом.</w:t>
      </w:r>
      <w:r>
        <w:rPr>
          <w:lang w:val="ru-RU"/>
        </w:rPr>
        <w:t xml:space="preserve"> </w:t>
      </w:r>
      <w:r w:rsidR="0087217C">
        <w:rPr>
          <w:lang w:val="ru-RU"/>
        </w:rPr>
        <w:t xml:space="preserve"> </w:t>
      </w:r>
      <w:r>
        <w:rPr>
          <w:lang w:val="ru-RU"/>
        </w:rPr>
        <w:t>Состав участников можно разделить на следующие категории:</w:t>
      </w:r>
      <w:r w:rsidR="00A42509">
        <w:rPr>
          <w:lang w:val="ru-RU"/>
        </w:rPr>
        <w:t xml:space="preserve">  </w:t>
      </w:r>
    </w:p>
    <w:p w14:paraId="39DF632D" w14:textId="5305A962" w:rsidR="00F2580F" w:rsidRPr="00E51BEF" w:rsidRDefault="00A45A0C" w:rsidP="00A45A0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51BEF">
        <w:rPr>
          <w:lang w:val="ru-RU"/>
        </w:rPr>
        <w:t>–</w:t>
      </w:r>
      <w:r w:rsidRPr="00E51BEF">
        <w:rPr>
          <w:lang w:val="ru-RU"/>
        </w:rPr>
        <w:tab/>
      </w:r>
      <w:r w:rsidR="00424C04">
        <w:rPr>
          <w:lang w:val="ru-RU"/>
        </w:rPr>
        <w:t>С</w:t>
      </w:r>
      <w:r w:rsidR="00424C04" w:rsidRPr="00E51BEF">
        <w:rPr>
          <w:lang w:val="ru-RU"/>
        </w:rPr>
        <w:t xml:space="preserve">торонами Акта 1999 г. </w:t>
      </w:r>
      <w:r w:rsidR="00424C04">
        <w:rPr>
          <w:lang w:val="ru-RU"/>
        </w:rPr>
        <w:t xml:space="preserve">являются </w:t>
      </w:r>
      <w:r w:rsidR="00424C04" w:rsidRPr="00E51BEF">
        <w:rPr>
          <w:lang w:val="ru-RU"/>
        </w:rPr>
        <w:t xml:space="preserve">60 </w:t>
      </w:r>
      <w:r w:rsidR="00424C04">
        <w:rPr>
          <w:lang w:val="ru-RU"/>
        </w:rPr>
        <w:t>государств</w:t>
      </w:r>
      <w:r w:rsidR="00424C04" w:rsidRPr="00E51BEF">
        <w:rPr>
          <w:lang w:val="ru-RU"/>
        </w:rPr>
        <w:t xml:space="preserve"> </w:t>
      </w:r>
      <w:r w:rsidR="00F1267F">
        <w:rPr>
          <w:lang w:val="ru-RU"/>
        </w:rPr>
        <w:t>или</w:t>
      </w:r>
      <w:r w:rsidR="00F1267F" w:rsidRPr="00E51BEF">
        <w:rPr>
          <w:lang w:val="ru-RU"/>
        </w:rPr>
        <w:t xml:space="preserve"> </w:t>
      </w:r>
      <w:r w:rsidR="00424C04">
        <w:rPr>
          <w:lang w:val="ru-RU"/>
        </w:rPr>
        <w:t>межправительственных</w:t>
      </w:r>
      <w:r w:rsidR="00424C04" w:rsidRPr="00E51BEF">
        <w:rPr>
          <w:lang w:val="ru-RU"/>
        </w:rPr>
        <w:t xml:space="preserve"> </w:t>
      </w:r>
      <w:r w:rsidR="00424C04">
        <w:rPr>
          <w:lang w:val="ru-RU"/>
        </w:rPr>
        <w:t>организаций.</w:t>
      </w:r>
      <w:r w:rsidR="0087217C">
        <w:rPr>
          <w:lang w:val="ru-RU"/>
        </w:rPr>
        <w:t xml:space="preserve">  </w:t>
      </w:r>
    </w:p>
    <w:p w14:paraId="618BC683" w14:textId="3EB668FD" w:rsidR="00A45A0C" w:rsidRPr="00424C04" w:rsidRDefault="00A45A0C" w:rsidP="00A45A0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24C04">
        <w:rPr>
          <w:lang w:val="ru-RU"/>
        </w:rPr>
        <w:t>–</w:t>
      </w:r>
      <w:r w:rsidRPr="00424C04">
        <w:rPr>
          <w:lang w:val="ru-RU"/>
        </w:rPr>
        <w:tab/>
      </w:r>
      <w:r w:rsidR="00424C04">
        <w:rPr>
          <w:lang w:val="ru-RU"/>
        </w:rPr>
        <w:t>Сторонами</w:t>
      </w:r>
      <w:r w:rsidR="00424C04" w:rsidRPr="00E51BEF">
        <w:rPr>
          <w:lang w:val="ru-RU"/>
        </w:rPr>
        <w:t xml:space="preserve"> </w:t>
      </w:r>
      <w:r w:rsidR="00424C04">
        <w:rPr>
          <w:lang w:val="ru-RU"/>
        </w:rPr>
        <w:t>Акта</w:t>
      </w:r>
      <w:r w:rsidR="00424C04" w:rsidRPr="00E51BEF">
        <w:rPr>
          <w:lang w:val="ru-RU"/>
        </w:rPr>
        <w:t xml:space="preserve"> 1960</w:t>
      </w:r>
      <w:r w:rsidR="00424C04" w:rsidRPr="00E51BEF">
        <w:t> </w:t>
      </w:r>
      <w:r w:rsidR="00424C04">
        <w:rPr>
          <w:lang w:val="ru-RU"/>
        </w:rPr>
        <w:t>г</w:t>
      </w:r>
      <w:r w:rsidR="00424C04" w:rsidRPr="00E51BEF">
        <w:rPr>
          <w:lang w:val="ru-RU"/>
        </w:rPr>
        <w:t xml:space="preserve">. </w:t>
      </w:r>
      <w:r w:rsidR="00D30B8E">
        <w:rPr>
          <w:lang w:val="ru-RU"/>
        </w:rPr>
        <w:t>являются 34 государства, из которых</w:t>
      </w:r>
    </w:p>
    <w:p w14:paraId="1A3A8A7F" w14:textId="0BD645C5" w:rsidR="00A45A0C" w:rsidRPr="00424C04" w:rsidRDefault="00A45A0C" w:rsidP="00A45A0C">
      <w:pPr>
        <w:pStyle w:val="ONUME"/>
        <w:numPr>
          <w:ilvl w:val="0"/>
          <w:numId w:val="0"/>
        </w:numPr>
        <w:ind w:left="1134"/>
        <w:rPr>
          <w:szCs w:val="24"/>
          <w:lang w:val="ru-RU"/>
        </w:rPr>
      </w:pPr>
      <w:r w:rsidRPr="00424C04">
        <w:rPr>
          <w:lang w:val="ru-RU"/>
        </w:rPr>
        <w:t>–</w:t>
      </w:r>
      <w:r w:rsidRPr="00424C04">
        <w:rPr>
          <w:lang w:val="ru-RU"/>
        </w:rPr>
        <w:tab/>
      </w:r>
      <w:r w:rsidR="00424C04" w:rsidRPr="00424C04">
        <w:rPr>
          <w:szCs w:val="24"/>
          <w:lang w:val="ru-RU"/>
        </w:rPr>
        <w:t xml:space="preserve">24 </w:t>
      </w:r>
      <w:r w:rsidR="00424C04">
        <w:rPr>
          <w:szCs w:val="24"/>
          <w:lang w:val="ru-RU"/>
        </w:rPr>
        <w:t>также</w:t>
      </w:r>
      <w:r w:rsidR="00424C04" w:rsidRPr="00424C04">
        <w:rPr>
          <w:szCs w:val="24"/>
          <w:lang w:val="ru-RU"/>
        </w:rPr>
        <w:t xml:space="preserve"> </w:t>
      </w:r>
      <w:r w:rsidR="00424C04">
        <w:rPr>
          <w:szCs w:val="24"/>
          <w:lang w:val="ru-RU"/>
        </w:rPr>
        <w:t>являются</w:t>
      </w:r>
      <w:r w:rsidR="00424C04" w:rsidRPr="00424C04">
        <w:rPr>
          <w:szCs w:val="24"/>
          <w:lang w:val="ru-RU"/>
        </w:rPr>
        <w:t xml:space="preserve"> </w:t>
      </w:r>
      <w:r w:rsidR="00424C04">
        <w:rPr>
          <w:szCs w:val="24"/>
          <w:lang w:val="ru-RU"/>
        </w:rPr>
        <w:t>сторонами</w:t>
      </w:r>
      <w:r w:rsidR="00424C04" w:rsidRPr="00424C04">
        <w:rPr>
          <w:szCs w:val="24"/>
          <w:lang w:val="ru-RU"/>
        </w:rPr>
        <w:t xml:space="preserve"> </w:t>
      </w:r>
      <w:r w:rsidR="00424C04">
        <w:rPr>
          <w:szCs w:val="24"/>
          <w:lang w:val="ru-RU"/>
        </w:rPr>
        <w:t>Акта</w:t>
      </w:r>
      <w:r w:rsidR="00424C04" w:rsidRPr="00424C04">
        <w:rPr>
          <w:szCs w:val="24"/>
          <w:lang w:val="ru-RU"/>
        </w:rPr>
        <w:t xml:space="preserve"> 1999</w:t>
      </w:r>
      <w:r w:rsidR="00424C04" w:rsidRPr="00652195">
        <w:rPr>
          <w:szCs w:val="24"/>
        </w:rPr>
        <w:t> </w:t>
      </w:r>
      <w:r w:rsidR="00424C04">
        <w:rPr>
          <w:szCs w:val="24"/>
          <w:lang w:val="ru-RU"/>
        </w:rPr>
        <w:t>г</w:t>
      </w:r>
      <w:r w:rsidR="00E90463">
        <w:rPr>
          <w:szCs w:val="24"/>
          <w:lang w:val="ru-RU"/>
        </w:rPr>
        <w:t>.</w:t>
      </w:r>
      <w:r w:rsidR="00D30B8E">
        <w:rPr>
          <w:szCs w:val="24"/>
          <w:lang w:val="ru-RU"/>
        </w:rPr>
        <w:t>;</w:t>
      </w:r>
      <w:r w:rsidR="009026EB" w:rsidRPr="00424C04">
        <w:rPr>
          <w:szCs w:val="24"/>
          <w:lang w:val="ru-RU"/>
        </w:rPr>
        <w:t xml:space="preserve"> </w:t>
      </w:r>
      <w:r w:rsidR="0087217C">
        <w:rPr>
          <w:szCs w:val="24"/>
          <w:lang w:val="ru-RU"/>
        </w:rPr>
        <w:t xml:space="preserve"> </w:t>
      </w:r>
    </w:p>
    <w:p w14:paraId="00928FE8" w14:textId="6565174E" w:rsidR="00A45A0C" w:rsidRPr="009026EB" w:rsidRDefault="00A45A0C" w:rsidP="00A45A0C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424C04">
        <w:rPr>
          <w:lang w:val="ru-RU"/>
        </w:rPr>
        <w:t>–</w:t>
      </w:r>
      <w:r w:rsidRPr="00424C04">
        <w:rPr>
          <w:lang w:val="ru-RU"/>
        </w:rPr>
        <w:tab/>
      </w:r>
      <w:r w:rsidR="00424C04">
        <w:rPr>
          <w:lang w:val="ru-RU"/>
        </w:rPr>
        <w:t xml:space="preserve">10 государств остаются </w:t>
      </w:r>
      <w:r w:rsidR="00D30B8E">
        <w:rPr>
          <w:lang w:val="ru-RU"/>
        </w:rPr>
        <w:t>сторонами</w:t>
      </w:r>
      <w:r w:rsidR="00424C04">
        <w:rPr>
          <w:lang w:val="ru-RU"/>
        </w:rPr>
        <w:t xml:space="preserve"> только Акта 1960 г.</w:t>
      </w:r>
      <w:r w:rsidR="00D30B8E">
        <w:rPr>
          <w:lang w:val="ru-RU"/>
        </w:rPr>
        <w:t>, из которых</w:t>
      </w:r>
    </w:p>
    <w:p w14:paraId="5F393B1C" w14:textId="674C3AC5" w:rsidR="00A45A0C" w:rsidRPr="009026EB" w:rsidRDefault="00A45A0C" w:rsidP="00A45A0C">
      <w:pPr>
        <w:pStyle w:val="ONUME"/>
        <w:numPr>
          <w:ilvl w:val="0"/>
          <w:numId w:val="0"/>
        </w:numPr>
        <w:ind w:left="1701"/>
        <w:rPr>
          <w:szCs w:val="24"/>
          <w:lang w:val="ru-RU"/>
        </w:rPr>
      </w:pPr>
      <w:r w:rsidRPr="009026EB">
        <w:rPr>
          <w:lang w:val="ru-RU"/>
        </w:rPr>
        <w:t>–</w:t>
      </w:r>
      <w:r w:rsidRPr="009026EB">
        <w:rPr>
          <w:lang w:val="ru-RU"/>
        </w:rPr>
        <w:tab/>
      </w:r>
      <w:r w:rsidR="00424C04" w:rsidRPr="009026EB">
        <w:rPr>
          <w:szCs w:val="24"/>
          <w:lang w:val="ru-RU"/>
        </w:rPr>
        <w:t>6, а именно Бенин, Кот-д'Ивуар</w:t>
      </w:r>
      <w:r w:rsidR="00424C04">
        <w:rPr>
          <w:szCs w:val="24"/>
          <w:lang w:val="ru-RU"/>
        </w:rPr>
        <w:t xml:space="preserve">, Габон, Мали, Нигер и Сенегал, входят в состав </w:t>
      </w:r>
      <w:r w:rsidR="00424C04">
        <w:rPr>
          <w:lang w:val="ru-RU"/>
        </w:rPr>
        <w:t xml:space="preserve">АОИС, </w:t>
      </w:r>
      <w:r w:rsidR="00D30B8E">
        <w:rPr>
          <w:lang w:val="ru-RU"/>
        </w:rPr>
        <w:t>являющейся стороной Акта 1999 г</w:t>
      </w:r>
      <w:r w:rsidR="003F6A68">
        <w:rPr>
          <w:lang w:val="ru-RU"/>
        </w:rPr>
        <w:t>.</w:t>
      </w:r>
      <w:r w:rsidR="00D30B8E">
        <w:rPr>
          <w:lang w:val="ru-RU"/>
        </w:rPr>
        <w:t>;</w:t>
      </w:r>
      <w:r w:rsidR="0087217C">
        <w:rPr>
          <w:lang w:val="ru-RU"/>
        </w:rPr>
        <w:t xml:space="preserve">  </w:t>
      </w:r>
    </w:p>
    <w:p w14:paraId="578D0233" w14:textId="3728E8D9" w:rsidR="00A45A0C" w:rsidRPr="009026EB" w:rsidRDefault="00A45A0C" w:rsidP="00A45A0C">
      <w:pPr>
        <w:pStyle w:val="ONUME"/>
        <w:numPr>
          <w:ilvl w:val="0"/>
          <w:numId w:val="0"/>
        </w:numPr>
        <w:ind w:left="1701"/>
        <w:rPr>
          <w:lang w:val="ru-RU"/>
        </w:rPr>
      </w:pPr>
      <w:r w:rsidRPr="009026EB">
        <w:rPr>
          <w:szCs w:val="24"/>
          <w:lang w:val="ru-RU"/>
        </w:rPr>
        <w:t>–</w:t>
      </w:r>
      <w:r w:rsidRPr="009026EB">
        <w:rPr>
          <w:szCs w:val="24"/>
          <w:lang w:val="ru-RU"/>
        </w:rPr>
        <w:tab/>
      </w:r>
      <w:r w:rsidR="00424C04">
        <w:rPr>
          <w:szCs w:val="24"/>
          <w:lang w:val="ru-RU"/>
        </w:rPr>
        <w:t xml:space="preserve">2 государства, а именно Греция и Италия, входят в состав Европейского союза, </w:t>
      </w:r>
      <w:r w:rsidR="00D30B8E">
        <w:rPr>
          <w:szCs w:val="24"/>
          <w:lang w:val="ru-RU"/>
        </w:rPr>
        <w:t>являющегося</w:t>
      </w:r>
      <w:r w:rsidR="00424C04">
        <w:rPr>
          <w:szCs w:val="24"/>
          <w:lang w:val="ru-RU"/>
        </w:rPr>
        <w:t xml:space="preserve"> стороной Акта 1999 г.</w:t>
      </w:r>
      <w:r w:rsidR="0087217C">
        <w:rPr>
          <w:szCs w:val="24"/>
          <w:lang w:val="ru-RU"/>
        </w:rPr>
        <w:t xml:space="preserve">  </w:t>
      </w:r>
    </w:p>
    <w:p w14:paraId="7DB5DF10" w14:textId="11BE5858" w:rsidR="0080295C" w:rsidRPr="00424C04" w:rsidRDefault="00424C04" w:rsidP="00424C04">
      <w:pPr>
        <w:pStyle w:val="ONUME"/>
        <w:rPr>
          <w:lang w:val="ru-RU"/>
        </w:rPr>
      </w:pPr>
      <w:r>
        <w:rPr>
          <w:szCs w:val="24"/>
          <w:lang w:val="ru-RU"/>
        </w:rPr>
        <w:t xml:space="preserve">Что касается вышеупомянутых восьми государств – участников Акта 1960 г., которые не связаны положениями Акта 1999 г., но являются членами АОИС или Европейского союза, то их членство в межправительственной организации имеет </w:t>
      </w:r>
      <w:r w:rsidR="005153CD">
        <w:rPr>
          <w:szCs w:val="24"/>
          <w:lang w:val="ru-RU"/>
        </w:rPr>
        <w:t>два</w:t>
      </w:r>
      <w:r>
        <w:rPr>
          <w:szCs w:val="24"/>
          <w:lang w:val="ru-RU"/>
        </w:rPr>
        <w:t xml:space="preserve"> следстви</w:t>
      </w:r>
      <w:r w:rsidR="005153CD">
        <w:rPr>
          <w:szCs w:val="24"/>
          <w:lang w:val="ru-RU"/>
        </w:rPr>
        <w:t>я</w:t>
      </w:r>
      <w:r>
        <w:rPr>
          <w:szCs w:val="24"/>
          <w:lang w:val="ru-RU"/>
        </w:rPr>
        <w:t xml:space="preserve"> с точки зрения применимости Акта 1999 г. </w:t>
      </w:r>
      <w:r w:rsidR="0087217C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 одной стороны, заявители из этих стран имеют </w:t>
      </w:r>
      <w:r w:rsidRPr="00963393">
        <w:rPr>
          <w:szCs w:val="24"/>
          <w:lang w:val="ru-RU"/>
        </w:rPr>
        <w:t xml:space="preserve">право </w:t>
      </w:r>
      <w:r>
        <w:rPr>
          <w:szCs w:val="24"/>
          <w:lang w:val="ru-RU"/>
        </w:rPr>
        <w:t xml:space="preserve">также </w:t>
      </w:r>
      <w:r w:rsidRPr="00963393">
        <w:rPr>
          <w:szCs w:val="24"/>
          <w:lang w:val="ru-RU"/>
        </w:rPr>
        <w:t xml:space="preserve">указывать </w:t>
      </w:r>
      <w:r w:rsidR="006D6857" w:rsidRPr="00963393">
        <w:rPr>
          <w:szCs w:val="24"/>
          <w:lang w:val="ru-RU"/>
        </w:rPr>
        <w:t>договаривающиеся</w:t>
      </w:r>
      <w:r w:rsidR="006D6857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стороны Акта 1999 г. </w:t>
      </w:r>
      <w:r w:rsidR="0087217C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 другой стороны, охрана промышленных образцов на территории этих государств может быть обеспечена </w:t>
      </w:r>
      <w:r w:rsidRPr="00963393">
        <w:rPr>
          <w:szCs w:val="24"/>
          <w:lang w:val="ru-RU"/>
        </w:rPr>
        <w:t>путем указания межправительственной</w:t>
      </w:r>
      <w:r>
        <w:rPr>
          <w:szCs w:val="24"/>
          <w:lang w:val="ru-RU"/>
        </w:rPr>
        <w:t xml:space="preserve"> организации, член</w:t>
      </w:r>
      <w:r w:rsidR="005153CD">
        <w:rPr>
          <w:szCs w:val="24"/>
          <w:lang w:val="ru-RU"/>
        </w:rPr>
        <w:t>ами</w:t>
      </w:r>
      <w:r>
        <w:rPr>
          <w:szCs w:val="24"/>
          <w:lang w:val="ru-RU"/>
        </w:rPr>
        <w:t xml:space="preserve"> которой они являются. </w:t>
      </w:r>
      <w:r w:rsidR="00EA1AFB" w:rsidRPr="00424C04">
        <w:rPr>
          <w:szCs w:val="24"/>
          <w:lang w:val="ru-RU"/>
        </w:rPr>
        <w:t xml:space="preserve"> </w:t>
      </w:r>
    </w:p>
    <w:p w14:paraId="05B98A6B" w14:textId="1D02697E" w:rsidR="00635F27" w:rsidRPr="00424C04" w:rsidRDefault="00424C04" w:rsidP="00424C04">
      <w:pPr>
        <w:pStyle w:val="ONUME"/>
        <w:rPr>
          <w:lang w:val="ru-RU"/>
        </w:rPr>
      </w:pPr>
      <w:r>
        <w:rPr>
          <w:lang w:val="ru-RU"/>
        </w:rPr>
        <w:t xml:space="preserve">Остальные два государства – члена Гаагского союза, а именно Марокко и Суринам, </w:t>
      </w:r>
      <w:r w:rsidR="00EF5E9E">
        <w:rPr>
          <w:lang w:val="ru-RU"/>
        </w:rPr>
        <w:t>находятся полностью вне рамок</w:t>
      </w:r>
      <w:r w:rsidR="005153CD">
        <w:rPr>
          <w:lang w:val="ru-RU"/>
        </w:rPr>
        <w:t xml:space="preserve"> </w:t>
      </w:r>
      <w:r>
        <w:rPr>
          <w:lang w:val="ru-RU"/>
        </w:rPr>
        <w:t>Акт</w:t>
      </w:r>
      <w:r w:rsidR="00EF5E9E">
        <w:rPr>
          <w:lang w:val="ru-RU"/>
        </w:rPr>
        <w:t>а</w:t>
      </w:r>
      <w:r>
        <w:rPr>
          <w:lang w:val="ru-RU"/>
        </w:rPr>
        <w:t xml:space="preserve"> 1999 г.</w:t>
      </w:r>
      <w:r w:rsidR="0087217C">
        <w:rPr>
          <w:lang w:val="ru-RU"/>
        </w:rPr>
        <w:t xml:space="preserve">  </w:t>
      </w:r>
    </w:p>
    <w:p w14:paraId="1B9D8A65" w14:textId="77777777" w:rsidR="00311792" w:rsidRPr="00C62AA4" w:rsidRDefault="00311792">
      <w:pPr>
        <w:rPr>
          <w:b/>
          <w:bCs/>
          <w:caps/>
          <w:kern w:val="32"/>
          <w:szCs w:val="32"/>
          <w:lang w:val="ru-RU"/>
        </w:rPr>
      </w:pPr>
      <w:r w:rsidRPr="00C62AA4">
        <w:rPr>
          <w:lang w:val="ru-RU"/>
        </w:rPr>
        <w:br w:type="page"/>
      </w:r>
    </w:p>
    <w:p w14:paraId="46D2B7FA" w14:textId="13A427F4" w:rsidR="00991EA1" w:rsidRPr="00FF5AD3" w:rsidRDefault="00A80FA6" w:rsidP="00A80FA6">
      <w:pPr>
        <w:pStyle w:val="Heading1"/>
        <w:numPr>
          <w:ilvl w:val="0"/>
          <w:numId w:val="0"/>
        </w:numPr>
        <w:spacing w:before="480" w:after="240"/>
        <w:ind w:left="567" w:hanging="567"/>
        <w:rPr>
          <w:lang w:val="ru-RU"/>
        </w:rPr>
      </w:pPr>
      <w:r>
        <w:lastRenderedPageBreak/>
        <w:t>III</w:t>
      </w:r>
      <w:r w:rsidRPr="00FF5AD3">
        <w:rPr>
          <w:lang w:val="ru-RU"/>
        </w:rPr>
        <w:t>.</w:t>
      </w:r>
      <w:r w:rsidRPr="00FF5AD3">
        <w:rPr>
          <w:lang w:val="ru-RU"/>
        </w:rPr>
        <w:tab/>
      </w:r>
      <w:r w:rsidR="00CA413E">
        <w:rPr>
          <w:lang w:val="ru-RU"/>
        </w:rPr>
        <w:t>Менее</w:t>
      </w:r>
      <w:r w:rsidR="00CA413E" w:rsidRPr="00FF5AD3">
        <w:rPr>
          <w:lang w:val="ru-RU"/>
        </w:rPr>
        <w:t xml:space="preserve"> </w:t>
      </w:r>
      <w:r w:rsidR="00CA413E">
        <w:rPr>
          <w:lang w:val="ru-RU"/>
        </w:rPr>
        <w:t>активное</w:t>
      </w:r>
      <w:r w:rsidR="00CA413E" w:rsidRPr="00FF5AD3">
        <w:rPr>
          <w:lang w:val="ru-RU"/>
        </w:rPr>
        <w:t xml:space="preserve"> </w:t>
      </w:r>
      <w:r w:rsidR="00CA413E">
        <w:rPr>
          <w:lang w:val="ru-RU"/>
        </w:rPr>
        <w:t>использование</w:t>
      </w:r>
      <w:r w:rsidR="00CA413E" w:rsidRPr="00FF5AD3">
        <w:rPr>
          <w:lang w:val="ru-RU"/>
        </w:rPr>
        <w:t xml:space="preserve"> </w:t>
      </w:r>
      <w:r w:rsidR="00CA413E">
        <w:rPr>
          <w:lang w:val="ru-RU"/>
        </w:rPr>
        <w:t>акта</w:t>
      </w:r>
      <w:r w:rsidR="00CA413E" w:rsidRPr="00FF5AD3">
        <w:rPr>
          <w:lang w:val="ru-RU"/>
        </w:rPr>
        <w:t xml:space="preserve"> 1960</w:t>
      </w:r>
      <w:r w:rsidR="00CA413E" w:rsidRPr="00CA413E">
        <w:t> </w:t>
      </w:r>
      <w:r w:rsidR="00CA413E">
        <w:rPr>
          <w:lang w:val="ru-RU"/>
        </w:rPr>
        <w:t>г</w:t>
      </w:r>
      <w:r w:rsidR="00CA413E" w:rsidRPr="00FF5AD3">
        <w:rPr>
          <w:lang w:val="ru-RU"/>
        </w:rPr>
        <w:t xml:space="preserve">. </w:t>
      </w:r>
      <w:r w:rsidR="00CA413E">
        <w:rPr>
          <w:lang w:val="ru-RU"/>
        </w:rPr>
        <w:t>и</w:t>
      </w:r>
      <w:r w:rsidR="00CA413E" w:rsidRPr="00FF5AD3">
        <w:rPr>
          <w:lang w:val="ru-RU"/>
        </w:rPr>
        <w:t xml:space="preserve"> </w:t>
      </w:r>
      <w:r w:rsidR="00CA413E">
        <w:rPr>
          <w:lang w:val="ru-RU"/>
        </w:rPr>
        <w:t>расширение</w:t>
      </w:r>
      <w:r w:rsidR="00CA413E" w:rsidRPr="00FF5AD3">
        <w:rPr>
          <w:lang w:val="ru-RU"/>
        </w:rPr>
        <w:t xml:space="preserve"> </w:t>
      </w:r>
      <w:r w:rsidR="00CA413E">
        <w:rPr>
          <w:lang w:val="ru-RU"/>
        </w:rPr>
        <w:t>акта</w:t>
      </w:r>
      <w:r w:rsidR="00CA413E" w:rsidRPr="00FF5AD3">
        <w:rPr>
          <w:lang w:val="ru-RU"/>
        </w:rPr>
        <w:t xml:space="preserve"> 1999</w:t>
      </w:r>
      <w:r w:rsidR="00CA413E" w:rsidRPr="00CA413E">
        <w:t> </w:t>
      </w:r>
      <w:r w:rsidR="00CA413E">
        <w:rPr>
          <w:lang w:val="ru-RU"/>
        </w:rPr>
        <w:t>г</w:t>
      </w:r>
      <w:r w:rsidR="00CA413E" w:rsidRPr="00FF5AD3">
        <w:rPr>
          <w:lang w:val="ru-RU"/>
        </w:rPr>
        <w:t>.</w:t>
      </w:r>
    </w:p>
    <w:p w14:paraId="3BB2716E" w14:textId="664635C8" w:rsidR="0076279A" w:rsidRPr="00CA413E" w:rsidRDefault="00424C04" w:rsidP="00CA413E">
      <w:pPr>
        <w:pStyle w:val="ONUME"/>
        <w:rPr>
          <w:lang w:val="ru-RU"/>
        </w:rPr>
      </w:pPr>
      <w:r>
        <w:rPr>
          <w:lang w:val="ru-RU"/>
        </w:rPr>
        <w:t>Активность р</w:t>
      </w:r>
      <w:r w:rsidRPr="00CA413E">
        <w:rPr>
          <w:lang w:val="ru-RU"/>
        </w:rPr>
        <w:t>егистрационн</w:t>
      </w:r>
      <w:r>
        <w:rPr>
          <w:lang w:val="ru-RU"/>
        </w:rPr>
        <w:t xml:space="preserve">ой </w:t>
      </w:r>
      <w:r w:rsidRPr="00CA413E">
        <w:rPr>
          <w:lang w:val="ru-RU"/>
        </w:rPr>
        <w:t>деятельност</w:t>
      </w:r>
      <w:r>
        <w:rPr>
          <w:lang w:val="ru-RU"/>
        </w:rPr>
        <w:t>и</w:t>
      </w:r>
      <w:r w:rsidRPr="00CA413E">
        <w:rPr>
          <w:lang w:val="ru-RU"/>
        </w:rPr>
        <w:t xml:space="preserve"> </w:t>
      </w:r>
      <w:r w:rsidR="00FF5AD3">
        <w:rPr>
          <w:lang w:val="ru-RU"/>
        </w:rPr>
        <w:t>в соответствии с</w:t>
      </w:r>
      <w:r w:rsidRPr="00CA413E">
        <w:rPr>
          <w:lang w:val="ru-RU"/>
        </w:rPr>
        <w:t xml:space="preserve"> Акт</w:t>
      </w:r>
      <w:r w:rsidR="00FF5AD3">
        <w:rPr>
          <w:lang w:val="ru-RU"/>
        </w:rPr>
        <w:t>ом</w:t>
      </w:r>
      <w:r w:rsidRPr="00CA413E">
        <w:rPr>
          <w:lang w:val="ru-RU"/>
        </w:rPr>
        <w:t xml:space="preserve"> 1960 г. </w:t>
      </w:r>
      <w:r>
        <w:rPr>
          <w:lang w:val="ru-RU"/>
        </w:rPr>
        <w:t xml:space="preserve">значительно снизилась после вступления в силу Акта 1999 г. 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Таким образом, лишь одна из 4 767 международных регистраций, </w:t>
      </w:r>
      <w:r w:rsidRPr="00CA413E">
        <w:rPr>
          <w:szCs w:val="22"/>
          <w:lang w:val="ru-RU"/>
        </w:rPr>
        <w:t xml:space="preserve">занесенных в Международный реестр </w:t>
      </w:r>
      <w:r>
        <w:rPr>
          <w:szCs w:val="22"/>
          <w:lang w:val="ru-RU"/>
        </w:rPr>
        <w:t>в 2018 г., регулировалась исключительно Актом 1960 г</w:t>
      </w:r>
      <w:r w:rsidRPr="00CA413E">
        <w:rPr>
          <w:szCs w:val="22"/>
          <w:lang w:val="ru-RU"/>
        </w:rPr>
        <w:t>.</w:t>
      </w:r>
      <w:r w:rsidRPr="00CA413E">
        <w:rPr>
          <w:rStyle w:val="FootnoteReference"/>
          <w:szCs w:val="22"/>
        </w:rPr>
        <w:footnoteReference w:id="4"/>
      </w:r>
      <w:r>
        <w:rPr>
          <w:szCs w:val="22"/>
          <w:lang w:val="ru-RU"/>
        </w:rPr>
        <w:t xml:space="preserve"> </w:t>
      </w:r>
      <w:r w:rsidR="008721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 16 873 указаний, за</w:t>
      </w:r>
      <w:r w:rsidR="00475C7C">
        <w:rPr>
          <w:szCs w:val="22"/>
          <w:lang w:val="ru-RU"/>
        </w:rPr>
        <w:t>писан</w:t>
      </w:r>
      <w:r>
        <w:rPr>
          <w:szCs w:val="22"/>
          <w:lang w:val="ru-RU"/>
        </w:rPr>
        <w:t xml:space="preserve">ных в том же году, к Акту 1960 г. относилось </w:t>
      </w:r>
      <w:r w:rsidR="00FF5AD3">
        <w:rPr>
          <w:szCs w:val="22"/>
          <w:lang w:val="ru-RU"/>
        </w:rPr>
        <w:t xml:space="preserve">лишь </w:t>
      </w:r>
      <w:r>
        <w:rPr>
          <w:szCs w:val="22"/>
          <w:lang w:val="ru-RU"/>
        </w:rPr>
        <w:t>605, что соответствует 3,6 процента от общего числа указаний.</w:t>
      </w:r>
      <w:r w:rsidR="0087217C">
        <w:rPr>
          <w:szCs w:val="22"/>
          <w:lang w:val="ru-RU"/>
        </w:rPr>
        <w:t xml:space="preserve">  </w:t>
      </w:r>
    </w:p>
    <w:p w14:paraId="22022844" w14:textId="66601D67" w:rsidR="00BC4D94" w:rsidRPr="00424C04" w:rsidRDefault="00424C04" w:rsidP="00825577">
      <w:pPr>
        <w:pStyle w:val="ONUME"/>
        <w:rPr>
          <w:szCs w:val="22"/>
          <w:lang w:val="ru-RU"/>
        </w:rPr>
      </w:pPr>
      <w:r w:rsidRPr="00424C04">
        <w:rPr>
          <w:szCs w:val="22"/>
          <w:lang w:val="ru-RU"/>
        </w:rPr>
        <w:t xml:space="preserve">Безусловно, подобное положение во многом объясняется быстрым расширением Акта 1999 г. </w:t>
      </w:r>
      <w:r w:rsidR="0087217C">
        <w:rPr>
          <w:szCs w:val="22"/>
          <w:lang w:val="ru-RU"/>
        </w:rPr>
        <w:t xml:space="preserve"> </w:t>
      </w:r>
      <w:r w:rsidRPr="00424C04">
        <w:rPr>
          <w:szCs w:val="22"/>
          <w:lang w:val="ru-RU"/>
        </w:rPr>
        <w:t>Однако, даже если не брать во внимание тех членов Гаагского союза, которые связаны исключительно положениями Акта 1999 г., очевиден тот факт, что Акт</w:t>
      </w:r>
      <w:r w:rsidR="00C62AA4">
        <w:rPr>
          <w:szCs w:val="22"/>
          <w:lang w:val="fr-CH"/>
        </w:rPr>
        <w:t> </w:t>
      </w:r>
      <w:r w:rsidRPr="00424C04">
        <w:rPr>
          <w:szCs w:val="22"/>
          <w:lang w:val="ru-RU"/>
        </w:rPr>
        <w:t>1960 г. применяется все реже даже среди своих участников.</w:t>
      </w:r>
      <w:r w:rsidR="0087217C">
        <w:rPr>
          <w:szCs w:val="22"/>
          <w:lang w:val="ru-RU"/>
        </w:rPr>
        <w:t xml:space="preserve">  </w:t>
      </w:r>
    </w:p>
    <w:p w14:paraId="42AA3728" w14:textId="62F09B81" w:rsidR="00084447" w:rsidRPr="00424C04" w:rsidRDefault="00424C04" w:rsidP="00424C04">
      <w:pPr>
        <w:pStyle w:val="ONUME"/>
        <w:rPr>
          <w:lang w:val="ru-RU"/>
        </w:rPr>
      </w:pPr>
      <w:r>
        <w:rPr>
          <w:lang w:val="ru-RU"/>
        </w:rPr>
        <w:t>Это</w:t>
      </w:r>
      <w:r w:rsidRPr="00652195">
        <w:rPr>
          <w:lang w:val="ru-RU"/>
        </w:rPr>
        <w:t xml:space="preserve"> </w:t>
      </w:r>
      <w:r>
        <w:rPr>
          <w:lang w:val="ru-RU"/>
        </w:rPr>
        <w:t>происходит</w:t>
      </w:r>
      <w:r w:rsidRPr="00652195">
        <w:rPr>
          <w:lang w:val="ru-RU"/>
        </w:rPr>
        <w:t xml:space="preserve"> </w:t>
      </w:r>
      <w:r>
        <w:rPr>
          <w:lang w:val="ru-RU"/>
        </w:rPr>
        <w:t>по</w:t>
      </w:r>
      <w:r w:rsidRPr="00652195">
        <w:rPr>
          <w:lang w:val="ru-RU"/>
        </w:rPr>
        <w:t xml:space="preserve"> </w:t>
      </w:r>
      <w:r>
        <w:rPr>
          <w:lang w:val="ru-RU"/>
        </w:rPr>
        <w:t>двум</w:t>
      </w:r>
      <w:r w:rsidRPr="00652195">
        <w:rPr>
          <w:lang w:val="ru-RU"/>
        </w:rPr>
        <w:t xml:space="preserve"> </w:t>
      </w:r>
      <w:r>
        <w:rPr>
          <w:lang w:val="ru-RU"/>
        </w:rPr>
        <w:t>очевидным</w:t>
      </w:r>
      <w:r w:rsidRPr="00652195">
        <w:rPr>
          <w:lang w:val="ru-RU"/>
        </w:rPr>
        <w:t xml:space="preserve"> </w:t>
      </w:r>
      <w:r>
        <w:rPr>
          <w:lang w:val="ru-RU"/>
        </w:rPr>
        <w:t>причинам</w:t>
      </w:r>
      <w:r w:rsidRPr="00652195">
        <w:rPr>
          <w:lang w:val="ru-RU"/>
        </w:rPr>
        <w:t xml:space="preserve">, </w:t>
      </w:r>
      <w:r>
        <w:rPr>
          <w:lang w:val="ru-RU"/>
        </w:rPr>
        <w:t>имеющим</w:t>
      </w:r>
      <w:r w:rsidRPr="00652195">
        <w:rPr>
          <w:lang w:val="ru-RU"/>
        </w:rPr>
        <w:t xml:space="preserve"> </w:t>
      </w:r>
      <w:r>
        <w:rPr>
          <w:lang w:val="ru-RU"/>
        </w:rPr>
        <w:t>правовой</w:t>
      </w:r>
      <w:r w:rsidRPr="00652195">
        <w:rPr>
          <w:lang w:val="ru-RU"/>
        </w:rPr>
        <w:t xml:space="preserve"> </w:t>
      </w:r>
      <w:r>
        <w:rPr>
          <w:lang w:val="ru-RU"/>
        </w:rPr>
        <w:t>характер</w:t>
      </w:r>
      <w:r w:rsidR="008115AA">
        <w:rPr>
          <w:lang w:val="ru-RU"/>
        </w:rPr>
        <w:t xml:space="preserve">.  </w:t>
      </w:r>
      <w:r>
        <w:rPr>
          <w:lang w:val="ru-RU"/>
        </w:rPr>
        <w:t>Во</w:t>
      </w:r>
      <w:r w:rsidRPr="00E63CD4">
        <w:rPr>
          <w:lang w:val="ru-RU"/>
        </w:rPr>
        <w:t>-</w:t>
      </w:r>
      <w:r>
        <w:rPr>
          <w:lang w:val="ru-RU"/>
        </w:rPr>
        <w:t>первых</w:t>
      </w:r>
      <w:r w:rsidRPr="00E63CD4">
        <w:rPr>
          <w:lang w:val="ru-RU"/>
        </w:rPr>
        <w:t>,</w:t>
      </w:r>
      <w:r>
        <w:rPr>
          <w:lang w:val="ru-RU"/>
        </w:rPr>
        <w:t xml:space="preserve"> согласно</w:t>
      </w:r>
      <w:r w:rsidRPr="00E63CD4">
        <w:rPr>
          <w:lang w:val="ru-RU"/>
        </w:rPr>
        <w:t xml:space="preserve"> </w:t>
      </w:r>
      <w:r>
        <w:rPr>
          <w:lang w:val="ru-RU"/>
        </w:rPr>
        <w:t>пункту</w:t>
      </w:r>
      <w:r w:rsidRPr="00E63CD4">
        <w:rPr>
          <w:lang w:val="ru-RU"/>
        </w:rPr>
        <w:t xml:space="preserve"> 1 </w:t>
      </w:r>
      <w:r>
        <w:rPr>
          <w:lang w:val="ru-RU"/>
        </w:rPr>
        <w:t>статьи</w:t>
      </w:r>
      <w:r w:rsidRPr="00E63CD4">
        <w:rPr>
          <w:lang w:val="ru-RU"/>
        </w:rPr>
        <w:t xml:space="preserve"> 31 </w:t>
      </w:r>
      <w:r>
        <w:rPr>
          <w:lang w:val="ru-RU"/>
        </w:rPr>
        <w:t>Акта</w:t>
      </w:r>
      <w:r w:rsidRPr="00E63CD4">
        <w:rPr>
          <w:lang w:val="ru-RU"/>
        </w:rPr>
        <w:t xml:space="preserve"> 1999</w:t>
      </w:r>
      <w:r w:rsidRPr="00E63CD4">
        <w:t> </w:t>
      </w:r>
      <w:r>
        <w:rPr>
          <w:lang w:val="ru-RU"/>
        </w:rPr>
        <w:t>г</w:t>
      </w:r>
      <w:r w:rsidRPr="00E63CD4">
        <w:rPr>
          <w:lang w:val="ru-RU"/>
        </w:rPr>
        <w:t>.</w:t>
      </w:r>
      <w:r>
        <w:rPr>
          <w:lang w:val="ru-RU"/>
        </w:rPr>
        <w:t>, этот акт</w:t>
      </w:r>
      <w:r w:rsidRPr="00E63CD4">
        <w:rPr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E63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преимущественную</w:t>
      </w:r>
      <w:r w:rsidRPr="00E63CD4">
        <w:rPr>
          <w:szCs w:val="22"/>
          <w:lang w:val="ru-RU"/>
        </w:rPr>
        <w:t xml:space="preserve"> силу</w:t>
      </w:r>
      <w:r>
        <w:rPr>
          <w:szCs w:val="22"/>
          <w:lang w:val="ru-RU"/>
        </w:rPr>
        <w:t xml:space="preserve"> в отношениях между государствами, являющимися сторонами одновременно Акта 1960 г. и Акта 1999 г. </w:t>
      </w:r>
      <w:r w:rsidR="008721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Следовательно, если заявитель относится к договаривающейся стороне, связанной положениями </w:t>
      </w:r>
      <w:r w:rsidRPr="009A1656">
        <w:rPr>
          <w:szCs w:val="22"/>
          <w:lang w:val="ru-RU"/>
        </w:rPr>
        <w:t>как Акта 1960 г., так и Акта 1999 г.</w:t>
      </w:r>
      <w:r>
        <w:rPr>
          <w:szCs w:val="22"/>
          <w:lang w:val="ru-RU"/>
        </w:rPr>
        <w:t>, и указывает договаривающуюся сторону, также связанную этими двумя актами, то такое указание регулируется Актом 1999 г.</w:t>
      </w:r>
      <w:r w:rsidR="0087217C">
        <w:rPr>
          <w:szCs w:val="22"/>
          <w:lang w:val="ru-RU"/>
        </w:rPr>
        <w:t xml:space="preserve">  </w:t>
      </w:r>
    </w:p>
    <w:p w14:paraId="6FBE6C58" w14:textId="7137C0FA" w:rsidR="00206C54" w:rsidRPr="009A1656" w:rsidRDefault="00E90463" w:rsidP="004B4360">
      <w:pPr>
        <w:pStyle w:val="ONUME"/>
        <w:rPr>
          <w:szCs w:val="22"/>
          <w:lang w:val="ru-RU"/>
        </w:rPr>
      </w:pPr>
      <w:r>
        <w:rPr>
          <w:lang w:val="ru-RU"/>
        </w:rPr>
        <w:t xml:space="preserve">Кроме </w:t>
      </w:r>
      <w:r w:rsidR="008F1774">
        <w:rPr>
          <w:lang w:val="ru-RU"/>
        </w:rPr>
        <w:t xml:space="preserve">того, указание договаривающейся стороны, связанной </w:t>
      </w:r>
      <w:r w:rsidR="004B4360">
        <w:rPr>
          <w:lang w:val="ru-RU"/>
        </w:rPr>
        <w:t>обоими актами</w:t>
      </w:r>
      <w:r w:rsidR="008F1774">
        <w:rPr>
          <w:lang w:val="ru-RU"/>
        </w:rPr>
        <w:t xml:space="preserve">, также регулируется Актом 1999 г., </w:t>
      </w:r>
      <w:r w:rsidR="009A1656" w:rsidRPr="009A1656">
        <w:rPr>
          <w:szCs w:val="22"/>
          <w:lang w:val="ru-RU"/>
        </w:rPr>
        <w:t xml:space="preserve">если в рамках положений каждого из этих Актов право заявителя на подачу заявки было обусловлено </w:t>
      </w:r>
      <w:r w:rsidR="0029516B">
        <w:rPr>
          <w:szCs w:val="22"/>
          <w:lang w:val="ru-RU"/>
        </w:rPr>
        <w:t>кумулятивно действующими</w:t>
      </w:r>
      <w:r w:rsidR="009A1656" w:rsidRPr="009A1656">
        <w:rPr>
          <w:szCs w:val="22"/>
          <w:lang w:val="ru-RU"/>
        </w:rPr>
        <w:t xml:space="preserve">, но </w:t>
      </w:r>
      <w:r w:rsidR="009A1656" w:rsidRPr="009A1656">
        <w:rPr>
          <w:i/>
          <w:szCs w:val="22"/>
          <w:lang w:val="ru-RU"/>
        </w:rPr>
        <w:t>независимыми</w:t>
      </w:r>
      <w:r w:rsidR="009A1656" w:rsidRPr="009A1656">
        <w:rPr>
          <w:szCs w:val="22"/>
          <w:lang w:val="ru-RU"/>
        </w:rPr>
        <w:t xml:space="preserve"> св</w:t>
      </w:r>
      <w:r w:rsidR="00915B68">
        <w:rPr>
          <w:szCs w:val="22"/>
          <w:lang w:val="ru-RU"/>
        </w:rPr>
        <w:t xml:space="preserve">язями. </w:t>
      </w:r>
      <w:r w:rsidR="0087217C">
        <w:rPr>
          <w:szCs w:val="22"/>
          <w:lang w:val="ru-RU"/>
        </w:rPr>
        <w:t xml:space="preserve"> </w:t>
      </w:r>
      <w:r w:rsidR="00915B68">
        <w:rPr>
          <w:szCs w:val="22"/>
          <w:lang w:val="ru-RU"/>
        </w:rPr>
        <w:t xml:space="preserve">Например, если заявитель </w:t>
      </w:r>
      <w:r w:rsidR="00915B68" w:rsidRPr="00475C7C">
        <w:rPr>
          <w:szCs w:val="22"/>
          <w:lang w:val="ru-RU"/>
        </w:rPr>
        <w:t>имеет право, обусловленное двумя</w:t>
      </w:r>
      <w:r w:rsidR="004B4360" w:rsidRPr="00475C7C">
        <w:rPr>
          <w:szCs w:val="22"/>
          <w:lang w:val="ru-RU"/>
        </w:rPr>
        <w:t xml:space="preserve"> независимыми связями, </w:t>
      </w:r>
      <w:r w:rsidR="00932DAA">
        <w:rPr>
          <w:szCs w:val="22"/>
          <w:lang w:val="ru-RU"/>
        </w:rPr>
        <w:t>на</w:t>
      </w:r>
      <w:r w:rsidR="00915B68" w:rsidRPr="00475C7C">
        <w:rPr>
          <w:szCs w:val="22"/>
          <w:lang w:val="ru-RU"/>
        </w:rPr>
        <w:t xml:space="preserve"> пода</w:t>
      </w:r>
      <w:r w:rsidR="00932DAA">
        <w:rPr>
          <w:szCs w:val="22"/>
          <w:lang w:val="ru-RU"/>
        </w:rPr>
        <w:t>чу</w:t>
      </w:r>
      <w:r w:rsidR="00915B68" w:rsidRPr="00475C7C">
        <w:rPr>
          <w:szCs w:val="22"/>
          <w:lang w:val="ru-RU"/>
        </w:rPr>
        <w:t xml:space="preserve"> заявк</w:t>
      </w:r>
      <w:r w:rsidR="00932DAA">
        <w:rPr>
          <w:szCs w:val="22"/>
          <w:lang w:val="ru-RU"/>
        </w:rPr>
        <w:t>и</w:t>
      </w:r>
      <w:r w:rsidR="00915B68" w:rsidRPr="00475C7C">
        <w:rPr>
          <w:szCs w:val="22"/>
          <w:lang w:val="ru-RU"/>
        </w:rPr>
        <w:t xml:space="preserve"> </w:t>
      </w:r>
      <w:r w:rsidR="004B4360" w:rsidRPr="00475C7C">
        <w:rPr>
          <w:szCs w:val="22"/>
          <w:lang w:val="ru-RU"/>
        </w:rPr>
        <w:t xml:space="preserve">через </w:t>
      </w:r>
      <w:r w:rsidR="00932DAA" w:rsidRPr="00475C7C">
        <w:rPr>
          <w:szCs w:val="22"/>
          <w:lang w:val="ru-RU"/>
        </w:rPr>
        <w:t>договаривающуюся</w:t>
      </w:r>
      <w:r w:rsidR="00932DAA" w:rsidRPr="009A1656">
        <w:rPr>
          <w:szCs w:val="22"/>
          <w:lang w:val="ru-RU"/>
        </w:rPr>
        <w:t xml:space="preserve"> </w:t>
      </w:r>
      <w:r w:rsidR="009A1656" w:rsidRPr="009A1656">
        <w:rPr>
          <w:szCs w:val="22"/>
          <w:lang w:val="ru-RU"/>
        </w:rPr>
        <w:t>сторон</w:t>
      </w:r>
      <w:r w:rsidR="004B4360">
        <w:rPr>
          <w:szCs w:val="22"/>
          <w:lang w:val="ru-RU"/>
        </w:rPr>
        <w:t>у</w:t>
      </w:r>
      <w:r w:rsidR="009A1656" w:rsidRPr="009A1656">
        <w:rPr>
          <w:szCs w:val="22"/>
          <w:lang w:val="ru-RU"/>
        </w:rPr>
        <w:t xml:space="preserve"> A, связанн</w:t>
      </w:r>
      <w:r w:rsidR="004B4360">
        <w:rPr>
          <w:szCs w:val="22"/>
          <w:lang w:val="ru-RU"/>
        </w:rPr>
        <w:t>ую</w:t>
      </w:r>
      <w:r w:rsidR="00BD7E43" w:rsidRPr="00BD7E43">
        <w:rPr>
          <w:szCs w:val="22"/>
          <w:lang w:val="ru-RU"/>
        </w:rPr>
        <w:t xml:space="preserve"> </w:t>
      </w:r>
      <w:r w:rsidR="00BD7E43">
        <w:rPr>
          <w:szCs w:val="22"/>
          <w:lang w:val="ru-RU"/>
        </w:rPr>
        <w:t>исключительно</w:t>
      </w:r>
      <w:r w:rsidR="004B4360">
        <w:rPr>
          <w:szCs w:val="22"/>
          <w:lang w:val="ru-RU"/>
        </w:rPr>
        <w:t xml:space="preserve"> положениями Акта 1960 г.</w:t>
      </w:r>
      <w:r w:rsidR="00BD7E43" w:rsidRPr="00BD7E43">
        <w:rPr>
          <w:szCs w:val="22"/>
          <w:lang w:val="ru-RU"/>
        </w:rPr>
        <w:t>,</w:t>
      </w:r>
      <w:r w:rsidR="004B4360">
        <w:rPr>
          <w:szCs w:val="22"/>
          <w:lang w:val="ru-RU"/>
        </w:rPr>
        <w:t xml:space="preserve"> и </w:t>
      </w:r>
      <w:r w:rsidR="00932DAA" w:rsidRPr="009A1656">
        <w:rPr>
          <w:szCs w:val="22"/>
          <w:lang w:val="ru-RU"/>
        </w:rPr>
        <w:t>договаривающ</w:t>
      </w:r>
      <w:r w:rsidR="00932DAA">
        <w:rPr>
          <w:szCs w:val="22"/>
          <w:lang w:val="ru-RU"/>
        </w:rPr>
        <w:t>уюся</w:t>
      </w:r>
      <w:r w:rsidR="00932DAA" w:rsidRPr="009A1656">
        <w:rPr>
          <w:szCs w:val="22"/>
          <w:lang w:val="ru-RU"/>
        </w:rPr>
        <w:t xml:space="preserve"> </w:t>
      </w:r>
      <w:r w:rsidR="009A1656" w:rsidRPr="009A1656">
        <w:rPr>
          <w:szCs w:val="22"/>
          <w:lang w:val="ru-RU"/>
        </w:rPr>
        <w:t>сторон</w:t>
      </w:r>
      <w:r w:rsidR="004B4360">
        <w:rPr>
          <w:szCs w:val="22"/>
          <w:lang w:val="ru-RU"/>
        </w:rPr>
        <w:t>у</w:t>
      </w:r>
      <w:r w:rsidR="009A1656" w:rsidRPr="009A1656">
        <w:rPr>
          <w:szCs w:val="22"/>
          <w:lang w:val="ru-RU"/>
        </w:rPr>
        <w:t xml:space="preserve"> </w:t>
      </w:r>
      <w:r w:rsidR="004B4360">
        <w:rPr>
          <w:szCs w:val="22"/>
          <w:lang w:val="ru-RU"/>
        </w:rPr>
        <w:t>В,</w:t>
      </w:r>
      <w:r w:rsidR="009A1656" w:rsidRPr="009A1656">
        <w:rPr>
          <w:szCs w:val="22"/>
          <w:lang w:val="ru-RU"/>
        </w:rPr>
        <w:t xml:space="preserve"> </w:t>
      </w:r>
      <w:r w:rsidR="00BD7E43" w:rsidRPr="009A1656">
        <w:rPr>
          <w:szCs w:val="22"/>
          <w:lang w:val="ru-RU"/>
        </w:rPr>
        <w:t>связанн</w:t>
      </w:r>
      <w:r w:rsidR="00BD7E43">
        <w:rPr>
          <w:szCs w:val="22"/>
          <w:lang w:val="ru-RU"/>
        </w:rPr>
        <w:t>ую</w:t>
      </w:r>
      <w:r w:rsidR="00BD7E43" w:rsidRPr="00BD7E43">
        <w:rPr>
          <w:szCs w:val="22"/>
          <w:lang w:val="ru-RU"/>
        </w:rPr>
        <w:t xml:space="preserve"> </w:t>
      </w:r>
      <w:r w:rsidR="00BD7E43">
        <w:rPr>
          <w:szCs w:val="22"/>
          <w:lang w:val="ru-RU"/>
        </w:rPr>
        <w:t>исключительно положениями Акта 1999 г.</w:t>
      </w:r>
      <w:r w:rsidR="00BD7E43" w:rsidRPr="00BD7E43">
        <w:rPr>
          <w:szCs w:val="22"/>
          <w:lang w:val="ru-RU"/>
        </w:rPr>
        <w:t>,</w:t>
      </w:r>
      <w:r w:rsidR="008115AA">
        <w:rPr>
          <w:szCs w:val="22"/>
          <w:lang w:val="ru-RU"/>
        </w:rPr>
        <w:t xml:space="preserve"> </w:t>
      </w:r>
      <w:r w:rsidR="00BD7E43">
        <w:rPr>
          <w:szCs w:val="22"/>
          <w:lang w:val="ru-RU"/>
        </w:rPr>
        <w:t>то указание договаривающейся стороны С, связанной обоими актами, регулируется Актом 1999 г</w:t>
      </w:r>
      <w:r w:rsidR="008115AA">
        <w:rPr>
          <w:szCs w:val="22"/>
          <w:lang w:val="ru-RU"/>
        </w:rPr>
        <w:t xml:space="preserve">.  </w:t>
      </w:r>
      <w:r w:rsidR="00BD7E43">
        <w:rPr>
          <w:szCs w:val="22"/>
          <w:lang w:val="ru-RU"/>
        </w:rPr>
        <w:t xml:space="preserve">Аналогичным образом, если заявитель относится к договаривающейся стороне </w:t>
      </w:r>
      <w:r w:rsidR="00BD7E43">
        <w:rPr>
          <w:szCs w:val="22"/>
        </w:rPr>
        <w:t>D</w:t>
      </w:r>
      <w:r w:rsidR="00BD7E43">
        <w:rPr>
          <w:szCs w:val="22"/>
          <w:lang w:val="ru-RU"/>
        </w:rPr>
        <w:t>, которая связана</w:t>
      </w:r>
      <w:r w:rsidR="00BD7E43" w:rsidRPr="00BD7E43">
        <w:rPr>
          <w:szCs w:val="22"/>
          <w:lang w:val="ru-RU"/>
        </w:rPr>
        <w:t xml:space="preserve"> </w:t>
      </w:r>
      <w:r w:rsidR="00BD7E43">
        <w:rPr>
          <w:szCs w:val="22"/>
          <w:lang w:val="ru-RU"/>
        </w:rPr>
        <w:t>исключительно положениями Акта 1960 г.</w:t>
      </w:r>
      <w:r w:rsidR="00BD7E43" w:rsidRPr="00BD7E43">
        <w:rPr>
          <w:szCs w:val="22"/>
          <w:lang w:val="ru-RU"/>
        </w:rPr>
        <w:t>,</w:t>
      </w:r>
      <w:r w:rsidR="00BD7E43">
        <w:rPr>
          <w:szCs w:val="22"/>
          <w:lang w:val="ru-RU"/>
        </w:rPr>
        <w:t xml:space="preserve"> но при этом </w:t>
      </w:r>
      <w:r w:rsidR="009A1656" w:rsidRPr="009A1656">
        <w:rPr>
          <w:szCs w:val="22"/>
          <w:lang w:val="ru-RU"/>
        </w:rPr>
        <w:t>также является государством – членом межправительственной организации, связанной положениями Акта 1999 г.</w:t>
      </w:r>
      <w:r w:rsidR="00BD7E43">
        <w:rPr>
          <w:szCs w:val="22"/>
          <w:lang w:val="ru-RU"/>
        </w:rPr>
        <w:t xml:space="preserve"> (договаривающаяся сторона </w:t>
      </w:r>
      <w:r w:rsidR="00BD7E43">
        <w:rPr>
          <w:szCs w:val="22"/>
        </w:rPr>
        <w:t>E</w:t>
      </w:r>
      <w:r w:rsidR="00BD7E43" w:rsidRPr="00BD7E43">
        <w:rPr>
          <w:szCs w:val="22"/>
          <w:lang w:val="ru-RU"/>
        </w:rPr>
        <w:t>)</w:t>
      </w:r>
      <w:r w:rsidR="009A1656" w:rsidRPr="009A1656">
        <w:rPr>
          <w:szCs w:val="22"/>
          <w:lang w:val="ru-RU"/>
        </w:rPr>
        <w:t xml:space="preserve">, то указание </w:t>
      </w:r>
      <w:r w:rsidR="00932DAA" w:rsidRPr="009A1656">
        <w:rPr>
          <w:szCs w:val="22"/>
          <w:lang w:val="ru-RU"/>
        </w:rPr>
        <w:t xml:space="preserve">договаривающейся </w:t>
      </w:r>
      <w:r w:rsidR="009A1656" w:rsidRPr="009A1656">
        <w:rPr>
          <w:szCs w:val="22"/>
          <w:lang w:val="ru-RU"/>
        </w:rPr>
        <w:t xml:space="preserve">стороны C, связанной обоими </w:t>
      </w:r>
      <w:r w:rsidR="00BD7E43">
        <w:rPr>
          <w:szCs w:val="22"/>
          <w:lang w:val="ru-RU"/>
        </w:rPr>
        <w:t>актами</w:t>
      </w:r>
      <w:r w:rsidR="009A1656" w:rsidRPr="009A16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также </w:t>
      </w:r>
      <w:r w:rsidR="009A1656" w:rsidRPr="009A1656">
        <w:rPr>
          <w:szCs w:val="22"/>
          <w:lang w:val="ru-RU"/>
        </w:rPr>
        <w:t>регулируется в соответствии с Актом 1999 г</w:t>
      </w:r>
      <w:r w:rsidR="00A42509">
        <w:rPr>
          <w:szCs w:val="22"/>
          <w:lang w:val="ru-RU"/>
        </w:rPr>
        <w:t xml:space="preserve">. </w:t>
      </w:r>
      <w:r w:rsidR="0087217C">
        <w:rPr>
          <w:szCs w:val="22"/>
          <w:lang w:val="ru-RU"/>
        </w:rPr>
        <w:t xml:space="preserve"> </w:t>
      </w:r>
    </w:p>
    <w:p w14:paraId="66717961" w14:textId="6BA086B7" w:rsidR="00A80FA6" w:rsidRPr="00424C04" w:rsidRDefault="00932DAA" w:rsidP="00424C04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 п</w:t>
      </w:r>
      <w:r w:rsidR="00424C04">
        <w:rPr>
          <w:szCs w:val="22"/>
          <w:lang w:val="ru-RU"/>
        </w:rPr>
        <w:t xml:space="preserve">риложении </w:t>
      </w:r>
      <w:r w:rsidR="00424C04">
        <w:rPr>
          <w:szCs w:val="22"/>
        </w:rPr>
        <w:t>III</w:t>
      </w:r>
      <w:r w:rsidR="00424C04" w:rsidRPr="0090408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 xml:space="preserve">приводится статистика указаний всех государств, связанных – в том числе исключительно – Актом 1960 г., за 2004, 2010 и 2018 гг. </w:t>
      </w:r>
      <w:r w:rsidR="0087217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>Из этих данных следует, ч</w:t>
      </w:r>
      <w:r w:rsidR="008115AA">
        <w:rPr>
          <w:szCs w:val="22"/>
          <w:lang w:val="ru-RU"/>
        </w:rPr>
        <w:t>то за 2004 г., то есть</w:t>
      </w:r>
      <w:r w:rsidR="00424C04">
        <w:rPr>
          <w:szCs w:val="22"/>
          <w:lang w:val="ru-RU"/>
        </w:rPr>
        <w:t xml:space="preserve"> в течение первого года после </w:t>
      </w:r>
      <w:r>
        <w:rPr>
          <w:szCs w:val="22"/>
          <w:lang w:val="ru-RU"/>
        </w:rPr>
        <w:t>вступления в силу</w:t>
      </w:r>
      <w:r w:rsidR="00424C04">
        <w:rPr>
          <w:szCs w:val="22"/>
          <w:lang w:val="ru-RU"/>
        </w:rPr>
        <w:t xml:space="preserve"> Акта</w:t>
      </w:r>
      <w:r w:rsidR="005E2B47">
        <w:rPr>
          <w:szCs w:val="22"/>
          <w:lang w:val="fr-CH"/>
        </w:rPr>
        <w:t> </w:t>
      </w:r>
      <w:r w:rsidR="00424C04">
        <w:rPr>
          <w:szCs w:val="22"/>
          <w:lang w:val="ru-RU"/>
        </w:rPr>
        <w:t>1999 г., большинство указаний по-прежнему регулировалось Актом 1960 г.</w:t>
      </w:r>
      <w:r w:rsidR="0087217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 xml:space="preserve"> Однако в последующие годы наметилась обратная тенденция. </w:t>
      </w:r>
      <w:r w:rsidR="0087217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>Так, уже в 2010 г. Акт 1960 г. применялся в отношении</w:t>
      </w:r>
      <w:r>
        <w:rPr>
          <w:szCs w:val="22"/>
          <w:lang w:val="ru-RU"/>
        </w:rPr>
        <w:t xml:space="preserve"> лишь 23,9 </w:t>
      </w:r>
      <w:r w:rsidR="00424C04">
        <w:rPr>
          <w:szCs w:val="22"/>
          <w:lang w:val="ru-RU"/>
        </w:rPr>
        <w:t xml:space="preserve">процента от всех указаний государств – участников Акта 1960 г., а в 2018 г. этот показатель снизился </w:t>
      </w:r>
      <w:r w:rsidR="005A0A7E">
        <w:rPr>
          <w:szCs w:val="22"/>
          <w:lang w:val="ru-RU"/>
        </w:rPr>
        <w:t>до</w:t>
      </w:r>
      <w:r w:rsidR="00424C04">
        <w:rPr>
          <w:szCs w:val="22"/>
          <w:lang w:val="ru-RU"/>
        </w:rPr>
        <w:t xml:space="preserve"> 13,4 процента. </w:t>
      </w:r>
      <w:r w:rsidR="0087217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 xml:space="preserve">В </w:t>
      </w:r>
      <w:r w:rsidR="005A0A7E">
        <w:rPr>
          <w:szCs w:val="22"/>
          <w:lang w:val="ru-RU"/>
        </w:rPr>
        <w:t>п</w:t>
      </w:r>
      <w:r w:rsidR="00424C04">
        <w:rPr>
          <w:szCs w:val="22"/>
          <w:lang w:val="ru-RU"/>
        </w:rPr>
        <w:t xml:space="preserve">риложении </w:t>
      </w:r>
      <w:r w:rsidR="00424C04">
        <w:rPr>
          <w:szCs w:val="22"/>
        </w:rPr>
        <w:t>IV</w:t>
      </w:r>
      <w:r w:rsidR="00424C04" w:rsidRPr="00901313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>представлен</w:t>
      </w:r>
      <w:r w:rsidR="00EF5E9E">
        <w:rPr>
          <w:szCs w:val="22"/>
          <w:lang w:val="ru-RU"/>
        </w:rPr>
        <w:t>а</w:t>
      </w:r>
      <w:r w:rsidR="00424C04">
        <w:rPr>
          <w:szCs w:val="22"/>
          <w:lang w:val="ru-RU"/>
        </w:rPr>
        <w:t xml:space="preserve"> </w:t>
      </w:r>
      <w:r w:rsidR="00EF5E9E">
        <w:rPr>
          <w:szCs w:val="22"/>
          <w:lang w:val="ru-RU"/>
        </w:rPr>
        <w:t>диаграмма</w:t>
      </w:r>
      <w:r w:rsidR="00424C04">
        <w:rPr>
          <w:szCs w:val="22"/>
          <w:lang w:val="ru-RU"/>
        </w:rPr>
        <w:t>, на которо</w:t>
      </w:r>
      <w:r w:rsidR="00EF5E9E">
        <w:rPr>
          <w:szCs w:val="22"/>
          <w:lang w:val="ru-RU"/>
        </w:rPr>
        <w:t>й</w:t>
      </w:r>
      <w:r w:rsidR="00424C04">
        <w:rPr>
          <w:szCs w:val="22"/>
          <w:lang w:val="ru-RU"/>
        </w:rPr>
        <w:t xml:space="preserve"> наглядным образом показано, насколько редко на сегодняшний день применяется Акт 1960 г. </w:t>
      </w:r>
      <w:r w:rsidR="0087217C">
        <w:rPr>
          <w:szCs w:val="22"/>
          <w:lang w:val="ru-RU"/>
        </w:rPr>
        <w:t xml:space="preserve"> </w:t>
      </w:r>
      <w:r w:rsidR="00424C04">
        <w:rPr>
          <w:szCs w:val="22"/>
          <w:lang w:val="ru-RU"/>
        </w:rPr>
        <w:t>На графике видно, что Акт 1960 г. практически не применялся в отношении за</w:t>
      </w:r>
      <w:r w:rsidR="005A0A7E">
        <w:rPr>
          <w:szCs w:val="22"/>
          <w:lang w:val="ru-RU"/>
        </w:rPr>
        <w:t>писанных</w:t>
      </w:r>
      <w:r w:rsidR="00424C04">
        <w:rPr>
          <w:szCs w:val="22"/>
          <w:lang w:val="ru-RU"/>
        </w:rPr>
        <w:t xml:space="preserve"> за первую половину 2019 г. указаний государств – сторон этого акта, если эти государства также являлись договаривающимися сторонами Акта 1999 г. </w:t>
      </w:r>
      <w:r w:rsidR="0087217C">
        <w:rPr>
          <w:szCs w:val="22"/>
          <w:lang w:val="ru-RU"/>
        </w:rPr>
        <w:t xml:space="preserve"> </w:t>
      </w:r>
    </w:p>
    <w:p w14:paraId="51399835" w14:textId="14F7FCC6" w:rsidR="00FB7387" w:rsidRPr="00424C04" w:rsidRDefault="00424C04" w:rsidP="00825577">
      <w:pPr>
        <w:pStyle w:val="ONUME"/>
        <w:rPr>
          <w:lang w:val="ru-RU"/>
        </w:rPr>
      </w:pPr>
      <w:r>
        <w:rPr>
          <w:lang w:val="ru-RU"/>
        </w:rPr>
        <w:lastRenderedPageBreak/>
        <w:t>Кроме того, как было упомянуто в пункте 6, охрана на территории государств – участников Акта 1960 г., которые также входят в состав межправительственной организации, являющейся стороной Акта 1999 г., может быть обеспечена путем указания соответствующей организации вместо указания каждого из этих государств – участников Акта 1960 г. по отдельности.</w:t>
      </w:r>
      <w:r w:rsidR="008115AA">
        <w:rPr>
          <w:lang w:val="ru-RU"/>
        </w:rPr>
        <w:t xml:space="preserve">  </w:t>
      </w:r>
    </w:p>
    <w:p w14:paraId="0AA940CC" w14:textId="419A7904" w:rsidR="006E1408" w:rsidRPr="00424C04" w:rsidRDefault="00424C04" w:rsidP="00825577">
      <w:pPr>
        <w:pStyle w:val="ONUME"/>
        <w:rPr>
          <w:lang w:val="ru-RU"/>
        </w:rPr>
      </w:pPr>
      <w:r w:rsidRPr="0079595F">
        <w:rPr>
          <w:lang w:val="ru-RU"/>
        </w:rPr>
        <w:t xml:space="preserve">Так, например, </w:t>
      </w:r>
      <w:r>
        <w:rPr>
          <w:lang w:val="ru-RU"/>
        </w:rPr>
        <w:t>в 2007 г., за год до присоединения Европейского союза к Акту</w:t>
      </w:r>
      <w:r w:rsidR="005E2B47">
        <w:rPr>
          <w:lang w:val="fr-CH"/>
        </w:rPr>
        <w:t> </w:t>
      </w:r>
      <w:r>
        <w:rPr>
          <w:lang w:val="ru-RU"/>
        </w:rPr>
        <w:t xml:space="preserve">1999 г., Италия была указана в 42 процентах всех международных регистраций. </w:t>
      </w:r>
      <w:r w:rsidR="0087217C">
        <w:rPr>
          <w:lang w:val="ru-RU"/>
        </w:rPr>
        <w:t xml:space="preserve"> </w:t>
      </w:r>
      <w:r>
        <w:rPr>
          <w:lang w:val="ru-RU"/>
        </w:rPr>
        <w:t>В</w:t>
      </w:r>
      <w:r w:rsidR="00C62AA4">
        <w:rPr>
          <w:lang w:val="fr-CH"/>
        </w:rPr>
        <w:t> </w:t>
      </w:r>
      <w:r>
        <w:rPr>
          <w:lang w:val="ru-RU"/>
        </w:rPr>
        <w:t>2018 г., несмотря на то, что заявител</w:t>
      </w:r>
      <w:r w:rsidR="004F4A85">
        <w:rPr>
          <w:lang w:val="ru-RU"/>
        </w:rPr>
        <w:t>и</w:t>
      </w:r>
      <w:r>
        <w:rPr>
          <w:lang w:val="ru-RU"/>
        </w:rPr>
        <w:t xml:space="preserve">, не </w:t>
      </w:r>
      <w:r w:rsidR="004F4A85">
        <w:rPr>
          <w:lang w:val="ru-RU"/>
        </w:rPr>
        <w:t xml:space="preserve">обладающие </w:t>
      </w:r>
      <w:r>
        <w:rPr>
          <w:lang w:val="ru-RU"/>
        </w:rPr>
        <w:t xml:space="preserve">правом на подачу заявки </w:t>
      </w:r>
      <w:r w:rsidR="004F4A85">
        <w:rPr>
          <w:lang w:val="ru-RU"/>
        </w:rPr>
        <w:t>в</w:t>
      </w:r>
      <w:r w:rsidR="005E2B47">
        <w:rPr>
          <w:lang w:val="fr-CH"/>
        </w:rPr>
        <w:t> </w:t>
      </w:r>
      <w:r w:rsidR="004F4A85">
        <w:rPr>
          <w:lang w:val="ru-RU"/>
        </w:rPr>
        <w:t>соответствии с</w:t>
      </w:r>
      <w:r>
        <w:rPr>
          <w:lang w:val="ru-RU"/>
        </w:rPr>
        <w:t xml:space="preserve"> Акт</w:t>
      </w:r>
      <w:r w:rsidR="004F4A85">
        <w:rPr>
          <w:lang w:val="ru-RU"/>
        </w:rPr>
        <w:t>ом</w:t>
      </w:r>
      <w:r>
        <w:rPr>
          <w:lang w:val="ru-RU"/>
        </w:rPr>
        <w:t xml:space="preserve"> 1999 г., по-прежнему мог</w:t>
      </w:r>
      <w:r w:rsidR="004F4A85">
        <w:rPr>
          <w:lang w:val="ru-RU"/>
        </w:rPr>
        <w:t>ли</w:t>
      </w:r>
      <w:r>
        <w:rPr>
          <w:lang w:val="ru-RU"/>
        </w:rPr>
        <w:t xml:space="preserve"> испрашивать охрану в Италии исключительно путем указания этой страны </w:t>
      </w:r>
      <w:r w:rsidR="004F4A85">
        <w:rPr>
          <w:lang w:val="ru-RU"/>
        </w:rPr>
        <w:t>в соответствии с</w:t>
      </w:r>
      <w:r>
        <w:rPr>
          <w:lang w:val="ru-RU"/>
        </w:rPr>
        <w:t xml:space="preserve"> Акт</w:t>
      </w:r>
      <w:r w:rsidR="004F4A85">
        <w:rPr>
          <w:lang w:val="ru-RU"/>
        </w:rPr>
        <w:t>ом</w:t>
      </w:r>
      <w:r>
        <w:rPr>
          <w:lang w:val="ru-RU"/>
        </w:rPr>
        <w:t xml:space="preserve"> 1960 г., доля соответствующих указаний снизилась до 1,1 процента от всех международных регистраций, то есть Италия была указана лишь в 54 международных заявках.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 При</w:t>
      </w:r>
      <w:r w:rsidRPr="00A908B0">
        <w:rPr>
          <w:lang w:val="ru-RU"/>
        </w:rPr>
        <w:t xml:space="preserve"> </w:t>
      </w:r>
      <w:r>
        <w:rPr>
          <w:lang w:val="ru-RU"/>
        </w:rPr>
        <w:t>этом</w:t>
      </w:r>
      <w:r w:rsidR="005E2B47">
        <w:rPr>
          <w:lang w:val="fr-CH"/>
        </w:rPr>
        <w:t> </w:t>
      </w:r>
      <w:r>
        <w:rPr>
          <w:lang w:val="ru-RU"/>
        </w:rPr>
        <w:t>в</w:t>
      </w:r>
      <w:r w:rsidRPr="00A908B0">
        <w:rPr>
          <w:lang w:val="ru-RU"/>
        </w:rPr>
        <w:t xml:space="preserve"> 2018</w:t>
      </w:r>
      <w:r w:rsidRPr="00A908B0">
        <w:t> </w:t>
      </w:r>
      <w:r>
        <w:rPr>
          <w:lang w:val="ru-RU"/>
        </w:rPr>
        <w:t>г</w:t>
      </w:r>
      <w:r w:rsidRPr="00A908B0">
        <w:rPr>
          <w:lang w:val="ru-RU"/>
        </w:rPr>
        <w:t xml:space="preserve">. </w:t>
      </w:r>
      <w:r>
        <w:rPr>
          <w:lang w:val="ru-RU"/>
        </w:rPr>
        <w:t>Европейский</w:t>
      </w:r>
      <w:r w:rsidRPr="00A908B0">
        <w:rPr>
          <w:lang w:val="ru-RU"/>
        </w:rPr>
        <w:t xml:space="preserve"> </w:t>
      </w:r>
      <w:r>
        <w:rPr>
          <w:lang w:val="ru-RU"/>
        </w:rPr>
        <w:t>союз</w:t>
      </w:r>
      <w:r w:rsidRPr="00A908B0">
        <w:rPr>
          <w:lang w:val="ru-RU"/>
        </w:rPr>
        <w:t xml:space="preserve"> </w:t>
      </w:r>
      <w:r w:rsidR="00EF5E9E">
        <w:rPr>
          <w:lang w:val="ru-RU"/>
        </w:rPr>
        <w:t>указывался чаще других договаривающихся сторон</w:t>
      </w:r>
      <w:r>
        <w:rPr>
          <w:lang w:val="ru-RU"/>
        </w:rPr>
        <w:t>: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 на </w:t>
      </w:r>
      <w:r w:rsidR="00EF5E9E">
        <w:rPr>
          <w:lang w:val="ru-RU"/>
        </w:rPr>
        <w:t>его</w:t>
      </w:r>
      <w:r w:rsidR="005E2B47">
        <w:rPr>
          <w:lang w:val="fr-CH"/>
        </w:rPr>
        <w:t> </w:t>
      </w:r>
      <w:r w:rsidR="00EF5E9E">
        <w:rPr>
          <w:lang w:val="ru-RU"/>
        </w:rPr>
        <w:t xml:space="preserve"> долю </w:t>
      </w:r>
      <w:r>
        <w:rPr>
          <w:lang w:val="ru-RU"/>
        </w:rPr>
        <w:t xml:space="preserve">пришлось </w:t>
      </w:r>
      <w:r w:rsidR="00EF5E9E">
        <w:rPr>
          <w:lang w:val="ru-RU"/>
        </w:rPr>
        <w:t>69,4 процента, или 3 307 указаний</w:t>
      </w:r>
      <w:r>
        <w:rPr>
          <w:lang w:val="ru-RU"/>
        </w:rPr>
        <w:t>.</w:t>
      </w:r>
      <w:r w:rsidR="00A42509">
        <w:rPr>
          <w:lang w:val="ru-RU"/>
        </w:rPr>
        <w:t xml:space="preserve">  </w:t>
      </w:r>
    </w:p>
    <w:p w14:paraId="654B69CC" w14:textId="4BAECC35" w:rsidR="00C2147B" w:rsidRPr="00424C04" w:rsidRDefault="00871B59" w:rsidP="00915681">
      <w:pPr>
        <w:pStyle w:val="Heading1"/>
        <w:numPr>
          <w:ilvl w:val="0"/>
          <w:numId w:val="0"/>
        </w:numPr>
        <w:tabs>
          <w:tab w:val="left" w:pos="567"/>
        </w:tabs>
        <w:spacing w:before="480" w:after="240"/>
        <w:rPr>
          <w:lang w:val="ru-RU"/>
        </w:rPr>
      </w:pPr>
      <w:r>
        <w:t>IV</w:t>
      </w:r>
      <w:r w:rsidRPr="00424C04">
        <w:rPr>
          <w:lang w:val="ru-RU"/>
        </w:rPr>
        <w:t>.</w:t>
      </w:r>
      <w:r w:rsidRPr="00424C04">
        <w:rPr>
          <w:lang w:val="ru-RU"/>
        </w:rPr>
        <w:tab/>
      </w:r>
      <w:r w:rsidR="00424C04">
        <w:rPr>
          <w:lang w:val="ru-RU"/>
        </w:rPr>
        <w:t>сложности в связи с продолжением действия акта 1960 г.</w:t>
      </w:r>
    </w:p>
    <w:p w14:paraId="220F5519" w14:textId="065B4F39" w:rsidR="00D576CE" w:rsidRPr="0026398D" w:rsidRDefault="00424C04" w:rsidP="0026398D">
      <w:pPr>
        <w:pStyle w:val="ONUME"/>
        <w:rPr>
          <w:szCs w:val="22"/>
          <w:lang w:val="ru-RU" w:eastAsia="en-US"/>
        </w:rPr>
      </w:pPr>
      <w:r w:rsidRPr="00A908B0">
        <w:rPr>
          <w:szCs w:val="22"/>
          <w:lang w:val="ru-RU" w:eastAsia="en-US"/>
        </w:rPr>
        <w:t xml:space="preserve">Существует ряд требований, которые должны быть соблюдены </w:t>
      </w:r>
      <w:r>
        <w:rPr>
          <w:szCs w:val="22"/>
          <w:lang w:val="ru-RU" w:eastAsia="en-US"/>
        </w:rPr>
        <w:t>при подаче</w:t>
      </w:r>
      <w:r w:rsidRPr="00A908B0">
        <w:rPr>
          <w:szCs w:val="22"/>
          <w:lang w:val="ru-RU" w:eastAsia="en-US"/>
        </w:rPr>
        <w:t xml:space="preserve"> международной заявки,</w:t>
      </w:r>
      <w:r>
        <w:rPr>
          <w:szCs w:val="22"/>
          <w:lang w:val="ru-RU" w:eastAsia="en-US"/>
        </w:rPr>
        <w:t xml:space="preserve"> однако они могут различаться в зависимости от того, каким актом регулируется каждое из указаний, содержащихся в международной заявке.</w:t>
      </w:r>
      <w:r w:rsidR="0087217C">
        <w:rPr>
          <w:szCs w:val="22"/>
          <w:lang w:val="ru-RU" w:eastAsia="en-US"/>
        </w:rPr>
        <w:t xml:space="preserve">  </w:t>
      </w:r>
    </w:p>
    <w:p w14:paraId="01CFDB93" w14:textId="1943B35F" w:rsidR="000327EB" w:rsidRPr="008911CE" w:rsidRDefault="00915B68" w:rsidP="00C2147B">
      <w:pPr>
        <w:pStyle w:val="ONUME"/>
        <w:rPr>
          <w:szCs w:val="22"/>
          <w:lang w:val="ru-RU" w:eastAsia="en-US"/>
        </w:rPr>
      </w:pPr>
      <w:r>
        <w:rPr>
          <w:szCs w:val="22"/>
          <w:lang w:val="ru-RU" w:eastAsia="en-US"/>
        </w:rPr>
        <w:t xml:space="preserve">Например, </w:t>
      </w:r>
      <w:r w:rsidR="008911CE">
        <w:rPr>
          <w:lang w:val="ru-RU"/>
        </w:rPr>
        <w:t>д</w:t>
      </w:r>
      <w:r w:rsidRPr="008911CE">
        <w:rPr>
          <w:lang w:val="ru-RU"/>
        </w:rPr>
        <w:t>ополнительное обязательное содержание международной заявки</w:t>
      </w:r>
      <w:r w:rsidR="008911CE">
        <w:rPr>
          <w:lang w:val="ru-RU"/>
        </w:rPr>
        <w:t xml:space="preserve">, предусмотренное </w:t>
      </w:r>
      <w:r w:rsidR="0026398D">
        <w:rPr>
          <w:lang w:val="ru-RU"/>
        </w:rPr>
        <w:t>правилом</w:t>
      </w:r>
      <w:r w:rsidR="008911CE">
        <w:rPr>
          <w:lang w:val="ru-RU"/>
        </w:rPr>
        <w:t xml:space="preserve"> 7</w:t>
      </w:r>
      <w:r w:rsidR="0026398D">
        <w:rPr>
          <w:lang w:val="ru-RU"/>
        </w:rPr>
        <w:t xml:space="preserve"> </w:t>
      </w:r>
      <w:r w:rsidR="0026398D" w:rsidRPr="0026398D">
        <w:rPr>
          <w:lang w:val="ru-RU"/>
        </w:rPr>
        <w:t>(</w:t>
      </w:r>
      <w:r w:rsidR="0026398D">
        <w:rPr>
          <w:lang w:val="ru-RU"/>
        </w:rPr>
        <w:t xml:space="preserve">пункт </w:t>
      </w:r>
      <w:r w:rsidR="0026398D" w:rsidRPr="0026398D">
        <w:rPr>
          <w:lang w:val="ru-RU"/>
        </w:rPr>
        <w:t>4)</w:t>
      </w:r>
      <w:r w:rsidR="008911CE">
        <w:rPr>
          <w:lang w:val="ru-RU"/>
        </w:rPr>
        <w:t xml:space="preserve"> </w:t>
      </w:r>
      <w:r w:rsidR="008911CE" w:rsidRPr="008911CE">
        <w:rPr>
          <w:lang w:val="ru-RU"/>
        </w:rPr>
        <w:t>Общ</w:t>
      </w:r>
      <w:r w:rsidR="008911CE">
        <w:rPr>
          <w:lang w:val="ru-RU"/>
        </w:rPr>
        <w:t>ей</w:t>
      </w:r>
      <w:r w:rsidR="008911CE" w:rsidRPr="008911CE">
        <w:rPr>
          <w:lang w:val="ru-RU"/>
        </w:rPr>
        <w:t xml:space="preserve"> инструкци</w:t>
      </w:r>
      <w:r w:rsidR="008911CE">
        <w:rPr>
          <w:lang w:val="ru-RU"/>
        </w:rPr>
        <w:t>и</w:t>
      </w:r>
      <w:r w:rsidR="008911CE" w:rsidRPr="008911CE">
        <w:rPr>
          <w:lang w:val="ru-RU"/>
        </w:rPr>
        <w:t xml:space="preserve"> к Акту 1999 г. и Акту 1960 г. Гаагского соглашения</w:t>
      </w:r>
      <w:r w:rsidR="008911CE">
        <w:rPr>
          <w:lang w:val="ru-RU"/>
        </w:rPr>
        <w:t xml:space="preserve"> (далее именуемой «Общая инструкция»), применимо только в том случае, если соответствующее указание регулируется Актом 1999 г.</w:t>
      </w:r>
      <w:r w:rsidR="0087217C">
        <w:rPr>
          <w:lang w:val="ru-RU"/>
        </w:rPr>
        <w:t xml:space="preserve">  </w:t>
      </w:r>
    </w:p>
    <w:p w14:paraId="3A10A9D0" w14:textId="6485C4B0" w:rsidR="00980081" w:rsidRPr="008911CE" w:rsidRDefault="008911CE" w:rsidP="0026398D">
      <w:pPr>
        <w:pStyle w:val="ONUME"/>
        <w:rPr>
          <w:lang w:val="ru-RU" w:eastAsia="en-US"/>
        </w:rPr>
      </w:pPr>
      <w:r>
        <w:rPr>
          <w:lang w:val="ru-RU" w:eastAsia="en-US"/>
        </w:rPr>
        <w:t>Например</w:t>
      </w:r>
      <w:r w:rsidRPr="008911CE">
        <w:rPr>
          <w:lang w:val="ru-RU" w:eastAsia="en-US"/>
        </w:rPr>
        <w:t xml:space="preserve">, </w:t>
      </w:r>
      <w:r w:rsidR="0026398D">
        <w:rPr>
          <w:lang w:val="ru-RU" w:eastAsia="en-US"/>
        </w:rPr>
        <w:t>если</w:t>
      </w:r>
      <w:r w:rsidR="008803C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911CE">
        <w:rPr>
          <w:lang w:val="ru-RU" w:eastAsia="en-US"/>
        </w:rPr>
        <w:t xml:space="preserve"> </w:t>
      </w:r>
      <w:r>
        <w:rPr>
          <w:lang w:val="ru-RU" w:eastAsia="en-US"/>
        </w:rPr>
        <w:t>заявке</w:t>
      </w:r>
      <w:r w:rsidRPr="008911CE">
        <w:rPr>
          <w:lang w:val="ru-RU" w:eastAsia="en-US"/>
        </w:rPr>
        <w:t xml:space="preserve"> </w:t>
      </w:r>
      <w:r w:rsidR="004E51DB">
        <w:rPr>
          <w:lang w:val="ru-RU" w:eastAsia="en-US"/>
        </w:rPr>
        <w:t xml:space="preserve">указана Румыния </w:t>
      </w:r>
      <w:r>
        <w:rPr>
          <w:lang w:val="ru-RU" w:eastAsia="en-US"/>
        </w:rPr>
        <w:t>в</w:t>
      </w:r>
      <w:r w:rsidRPr="008911CE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8911CE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8911CE">
        <w:rPr>
          <w:lang w:val="ru-RU" w:eastAsia="en-US"/>
        </w:rPr>
        <w:t xml:space="preserve"> </w:t>
      </w:r>
      <w:r>
        <w:rPr>
          <w:lang w:val="ru-RU" w:eastAsia="en-US"/>
        </w:rPr>
        <w:t>Актом</w:t>
      </w:r>
      <w:r w:rsidRPr="008911CE">
        <w:rPr>
          <w:lang w:val="ru-RU" w:eastAsia="en-US"/>
        </w:rPr>
        <w:t xml:space="preserve"> 1999</w:t>
      </w:r>
      <w:r w:rsidRPr="008911CE">
        <w:rPr>
          <w:lang w:eastAsia="en-US"/>
        </w:rPr>
        <w:t> </w:t>
      </w:r>
      <w:r>
        <w:rPr>
          <w:lang w:val="ru-RU" w:eastAsia="en-US"/>
        </w:rPr>
        <w:t>г</w:t>
      </w:r>
      <w:r w:rsidR="0026398D">
        <w:rPr>
          <w:lang w:val="ru-RU" w:eastAsia="en-US"/>
        </w:rPr>
        <w:t>.,</w:t>
      </w:r>
      <w:r w:rsidR="004E51DB">
        <w:rPr>
          <w:lang w:val="ru-RU" w:eastAsia="en-US"/>
        </w:rPr>
        <w:t xml:space="preserve"> </w:t>
      </w:r>
      <w:r w:rsidR="0026398D">
        <w:rPr>
          <w:lang w:val="ru-RU" w:eastAsia="en-US"/>
        </w:rPr>
        <w:t>то</w:t>
      </w:r>
      <w:r w:rsidRPr="008911CE">
        <w:rPr>
          <w:lang w:val="ru-RU" w:eastAsia="en-US"/>
        </w:rPr>
        <w:t xml:space="preserve"> </w:t>
      </w:r>
      <w:r w:rsidR="008803C7">
        <w:rPr>
          <w:lang w:val="ru-RU" w:eastAsia="en-US"/>
        </w:rPr>
        <w:t>Международное бюро рассмотрит элементы</w:t>
      </w:r>
      <w:r w:rsidRPr="008911CE">
        <w:rPr>
          <w:lang w:val="ru-RU" w:eastAsia="en-US"/>
        </w:rPr>
        <w:t>, упомянуты</w:t>
      </w:r>
      <w:r w:rsidR="008803C7">
        <w:rPr>
          <w:lang w:val="ru-RU" w:eastAsia="en-US"/>
        </w:rPr>
        <w:t>е</w:t>
      </w:r>
      <w:r w:rsidRPr="008911CE">
        <w:rPr>
          <w:lang w:val="ru-RU" w:eastAsia="en-US"/>
        </w:rPr>
        <w:t xml:space="preserve"> в</w:t>
      </w:r>
      <w:r w:rsidR="0026398D">
        <w:rPr>
          <w:lang w:val="ru-RU" w:eastAsia="en-US"/>
        </w:rPr>
        <w:t xml:space="preserve"> пунктах</w:t>
      </w:r>
      <w:r w:rsidRPr="008911CE">
        <w:rPr>
          <w:lang w:val="ru-RU" w:eastAsia="en-US"/>
        </w:rPr>
        <w:t xml:space="preserve"> </w:t>
      </w:r>
      <w:r w:rsidR="0026398D">
        <w:rPr>
          <w:lang w:val="ru-RU" w:eastAsia="en-US"/>
        </w:rPr>
        <w:t xml:space="preserve">2 </w:t>
      </w:r>
      <w:r w:rsidR="0026398D" w:rsidRPr="008911CE">
        <w:rPr>
          <w:lang w:val="ru-RU" w:eastAsia="en-US"/>
        </w:rPr>
        <w:t>b)</w:t>
      </w:r>
      <w:r w:rsidR="0026398D">
        <w:rPr>
          <w:lang w:val="ru-RU" w:eastAsia="en-US"/>
        </w:rPr>
        <w:t xml:space="preserve"> </w:t>
      </w:r>
      <w:r w:rsidR="0026398D" w:rsidRPr="008803C7">
        <w:rPr>
          <w:lang w:val="ru-RU" w:eastAsia="en-US"/>
        </w:rPr>
        <w:t xml:space="preserve">i) </w:t>
      </w:r>
      <w:r w:rsidR="0026398D">
        <w:rPr>
          <w:lang w:val="ru-RU" w:eastAsia="en-US"/>
        </w:rPr>
        <w:t>и</w:t>
      </w:r>
      <w:r w:rsidR="0026398D" w:rsidRPr="008911CE">
        <w:rPr>
          <w:lang w:val="ru-RU" w:eastAsia="en-US"/>
        </w:rPr>
        <w:t xml:space="preserve"> </w:t>
      </w:r>
      <w:proofErr w:type="spellStart"/>
      <w:r w:rsidR="0026398D">
        <w:rPr>
          <w:lang w:eastAsia="en-US"/>
        </w:rPr>
        <w:t>i</w:t>
      </w:r>
      <w:proofErr w:type="spellEnd"/>
      <w:r w:rsidR="0026398D" w:rsidRPr="008803C7">
        <w:rPr>
          <w:lang w:val="ru-RU" w:eastAsia="en-US"/>
        </w:rPr>
        <w:t xml:space="preserve">i) </w:t>
      </w:r>
      <w:r w:rsidR="0026398D">
        <w:rPr>
          <w:lang w:val="ru-RU" w:eastAsia="en-US"/>
        </w:rPr>
        <w:t>статьи</w:t>
      </w:r>
      <w:r w:rsidRPr="008911CE">
        <w:rPr>
          <w:lang w:val="ru-RU" w:eastAsia="en-US"/>
        </w:rPr>
        <w:t xml:space="preserve"> 5</w:t>
      </w:r>
      <w:r w:rsidR="0026398D">
        <w:rPr>
          <w:lang w:val="ru-RU" w:eastAsia="en-US"/>
        </w:rPr>
        <w:t xml:space="preserve"> </w:t>
      </w:r>
      <w:r w:rsidRPr="008911CE">
        <w:rPr>
          <w:lang w:val="ru-RU" w:eastAsia="en-US"/>
        </w:rPr>
        <w:t>Акта 1999 г.,</w:t>
      </w:r>
      <w:r w:rsidR="008803C7" w:rsidRPr="008803C7">
        <w:rPr>
          <w:lang w:val="ru-RU" w:eastAsia="en-US"/>
        </w:rPr>
        <w:t xml:space="preserve"> </w:t>
      </w:r>
      <w:r w:rsidR="00845901">
        <w:rPr>
          <w:lang w:val="ru-RU" w:eastAsia="en-US"/>
        </w:rPr>
        <w:t>согласно правилу</w:t>
      </w:r>
      <w:r w:rsidR="008803C7">
        <w:rPr>
          <w:lang w:val="ru-RU" w:eastAsia="en-US"/>
        </w:rPr>
        <w:t xml:space="preserve"> 7</w:t>
      </w:r>
      <w:r w:rsidR="0026398D">
        <w:rPr>
          <w:lang w:val="ru-RU" w:eastAsia="en-US"/>
        </w:rPr>
        <w:t xml:space="preserve"> (пункт 4 b))</w:t>
      </w:r>
      <w:r w:rsidR="008803C7">
        <w:rPr>
          <w:lang w:val="ru-RU" w:eastAsia="en-US"/>
        </w:rPr>
        <w:t xml:space="preserve">. </w:t>
      </w:r>
      <w:r w:rsidR="0087217C">
        <w:rPr>
          <w:lang w:val="ru-RU" w:eastAsia="en-US"/>
        </w:rPr>
        <w:t xml:space="preserve"> </w:t>
      </w:r>
      <w:r w:rsidR="008803C7">
        <w:rPr>
          <w:lang w:val="ru-RU" w:eastAsia="en-US"/>
        </w:rPr>
        <w:t xml:space="preserve">Если же Румыния </w:t>
      </w:r>
      <w:r w:rsidR="004E51DB">
        <w:rPr>
          <w:lang w:val="ru-RU" w:eastAsia="en-US"/>
        </w:rPr>
        <w:t xml:space="preserve">указана </w:t>
      </w:r>
      <w:r w:rsidR="008803C7">
        <w:rPr>
          <w:lang w:val="ru-RU" w:eastAsia="en-US"/>
        </w:rPr>
        <w:t xml:space="preserve">в соответствии с </w:t>
      </w:r>
      <w:r w:rsidR="005D4950">
        <w:rPr>
          <w:lang w:val="ru-RU" w:eastAsia="en-US"/>
        </w:rPr>
        <w:t xml:space="preserve">Актом 1960 г., то это правило не </w:t>
      </w:r>
      <w:r w:rsidR="0026398D">
        <w:rPr>
          <w:lang w:val="ru-RU" w:eastAsia="en-US"/>
        </w:rPr>
        <w:t>применя</w:t>
      </w:r>
      <w:r w:rsidR="00B4781E">
        <w:rPr>
          <w:lang w:val="ru-RU" w:eastAsia="en-US"/>
        </w:rPr>
        <w:t>е</w:t>
      </w:r>
      <w:r w:rsidR="0026398D">
        <w:rPr>
          <w:lang w:val="ru-RU" w:eastAsia="en-US"/>
        </w:rPr>
        <w:t>тся</w:t>
      </w:r>
      <w:r w:rsidR="005D4950">
        <w:rPr>
          <w:lang w:val="ru-RU" w:eastAsia="en-US"/>
        </w:rPr>
        <w:t xml:space="preserve">. </w:t>
      </w:r>
      <w:r w:rsidR="0087217C">
        <w:rPr>
          <w:lang w:val="ru-RU" w:eastAsia="en-US"/>
        </w:rPr>
        <w:t xml:space="preserve"> </w:t>
      </w:r>
      <w:r w:rsidR="00B4781E">
        <w:rPr>
          <w:lang w:val="ru-RU" w:eastAsia="en-US"/>
        </w:rPr>
        <w:t>Кроме</w:t>
      </w:r>
      <w:r w:rsidR="005D4950">
        <w:rPr>
          <w:lang w:val="ru-RU" w:eastAsia="en-US"/>
        </w:rPr>
        <w:t xml:space="preserve"> того, если в этом случае </w:t>
      </w:r>
      <w:r w:rsidR="004E51DB">
        <w:rPr>
          <w:lang w:val="ru-RU" w:eastAsia="en-US"/>
        </w:rPr>
        <w:t xml:space="preserve">в международной регистрации отсутствуют </w:t>
      </w:r>
      <w:r w:rsidR="005D4950">
        <w:rPr>
          <w:lang w:val="ru-RU" w:eastAsia="en-US"/>
        </w:rPr>
        <w:t>соответствующие элементы, Ведомство Румынии не может</w:t>
      </w:r>
      <w:r w:rsidR="005D4950" w:rsidRPr="005D4950">
        <w:rPr>
          <w:lang w:val="ru-RU"/>
        </w:rPr>
        <w:t xml:space="preserve"> </w:t>
      </w:r>
      <w:r w:rsidR="005D4950" w:rsidRPr="005D4950">
        <w:rPr>
          <w:lang w:val="ru-RU" w:eastAsia="en-US"/>
        </w:rPr>
        <w:t>отказать в</w:t>
      </w:r>
      <w:r w:rsidR="005D4950">
        <w:rPr>
          <w:lang w:val="ru-RU" w:eastAsia="en-US"/>
        </w:rPr>
        <w:t xml:space="preserve"> </w:t>
      </w:r>
      <w:r w:rsidR="005D4950" w:rsidRPr="005D4950">
        <w:rPr>
          <w:lang w:val="ru-RU" w:eastAsia="en-US"/>
        </w:rPr>
        <w:t>признании</w:t>
      </w:r>
      <w:r w:rsidR="005D4950">
        <w:rPr>
          <w:lang w:val="ru-RU" w:eastAsia="en-US"/>
        </w:rPr>
        <w:t xml:space="preserve"> </w:t>
      </w:r>
      <w:r w:rsidR="00B4781E">
        <w:rPr>
          <w:lang w:val="ru-RU" w:eastAsia="en-US"/>
        </w:rPr>
        <w:t xml:space="preserve">ее действия </w:t>
      </w:r>
      <w:r w:rsidR="005D4950">
        <w:rPr>
          <w:lang w:val="ru-RU" w:eastAsia="en-US"/>
        </w:rPr>
        <w:t xml:space="preserve">и </w:t>
      </w:r>
      <w:r w:rsidR="004E51DB">
        <w:rPr>
          <w:lang w:val="ru-RU" w:eastAsia="en-US"/>
        </w:rPr>
        <w:t>по</w:t>
      </w:r>
      <w:r w:rsidR="005D4950">
        <w:rPr>
          <w:lang w:val="ru-RU" w:eastAsia="en-US"/>
        </w:rPr>
        <w:t>требовать включения этих элементов (пункт 1 статьи 8 Акта 1960 г. и пункт 1 статьи 12 Акта 1999 г.).</w:t>
      </w:r>
      <w:r w:rsidR="0087217C">
        <w:rPr>
          <w:lang w:val="ru-RU" w:eastAsia="en-US"/>
        </w:rPr>
        <w:t xml:space="preserve">  </w:t>
      </w:r>
    </w:p>
    <w:p w14:paraId="57EF8AC0" w14:textId="5ACF8DA0" w:rsidR="00621BF2" w:rsidRPr="004E51DB" w:rsidRDefault="004E51DB" w:rsidP="004E51DB">
      <w:pPr>
        <w:pStyle w:val="ONUME"/>
        <w:rPr>
          <w:lang w:val="ru-RU" w:eastAsia="en-US"/>
        </w:rPr>
      </w:pPr>
      <w:r w:rsidRPr="004E51DB">
        <w:rPr>
          <w:lang w:val="ru-RU" w:eastAsia="en-US"/>
        </w:rPr>
        <w:t>Существуют также различия в отношении</w:t>
      </w:r>
      <w:r w:rsidR="00B4781E">
        <w:rPr>
          <w:lang w:val="ru-RU" w:eastAsia="en-US"/>
        </w:rPr>
        <w:t xml:space="preserve"> максимального периода </w:t>
      </w:r>
      <w:r w:rsidRPr="004E51DB">
        <w:rPr>
          <w:szCs w:val="22"/>
          <w:lang w:val="ru-RU" w:eastAsia="en-US"/>
        </w:rPr>
        <w:t>отсрочки публикации</w:t>
      </w:r>
      <w:r>
        <w:rPr>
          <w:szCs w:val="22"/>
          <w:lang w:val="ru-RU" w:eastAsia="en-US"/>
        </w:rPr>
        <w:t xml:space="preserve"> (правил</w:t>
      </w:r>
      <w:r w:rsidR="00B4781E">
        <w:rPr>
          <w:szCs w:val="22"/>
          <w:lang w:val="ru-RU" w:eastAsia="en-US"/>
        </w:rPr>
        <w:t>о</w:t>
      </w:r>
      <w:r>
        <w:rPr>
          <w:szCs w:val="22"/>
          <w:lang w:val="ru-RU" w:eastAsia="en-US"/>
        </w:rPr>
        <w:t xml:space="preserve"> 16</w:t>
      </w:r>
      <w:r w:rsidR="00B4781E">
        <w:rPr>
          <w:szCs w:val="22"/>
          <w:lang w:val="ru-RU" w:eastAsia="en-US"/>
        </w:rPr>
        <w:t xml:space="preserve"> (пункт 1)</w:t>
      </w:r>
      <w:r>
        <w:rPr>
          <w:szCs w:val="22"/>
          <w:lang w:val="ru-RU" w:eastAsia="en-US"/>
        </w:rPr>
        <w:t>)</w:t>
      </w:r>
      <w:r w:rsidR="008115AA">
        <w:rPr>
          <w:szCs w:val="22"/>
          <w:lang w:val="ru-RU" w:eastAsia="en-US"/>
        </w:rPr>
        <w:t xml:space="preserve">.  </w:t>
      </w:r>
      <w:r>
        <w:rPr>
          <w:szCs w:val="22"/>
          <w:lang w:val="ru-RU" w:eastAsia="en-US"/>
        </w:rPr>
        <w:t>Например, если международная заявка регулируется исключительно Актом 1999 г., при указании (только</w:t>
      </w:r>
      <w:r w:rsidRPr="004E51DB">
        <w:rPr>
          <w:rStyle w:val="FootnoteReference"/>
          <w:szCs w:val="22"/>
          <w:lang w:eastAsia="en-US"/>
        </w:rPr>
        <w:footnoteReference w:id="5"/>
      </w:r>
      <w:r>
        <w:rPr>
          <w:szCs w:val="22"/>
          <w:lang w:val="ru-RU" w:eastAsia="en-US"/>
        </w:rPr>
        <w:t xml:space="preserve">) Швейцарии заявитель может отсрочить публикацию на </w:t>
      </w:r>
      <w:r w:rsidR="00B4781E">
        <w:rPr>
          <w:szCs w:val="22"/>
          <w:lang w:val="ru-RU" w:eastAsia="en-US"/>
        </w:rPr>
        <w:t>период</w:t>
      </w:r>
      <w:r>
        <w:rPr>
          <w:szCs w:val="22"/>
          <w:lang w:val="ru-RU" w:eastAsia="en-US"/>
        </w:rPr>
        <w:t xml:space="preserve"> до 30 месяцев с даты подачи или, в случае притязания на приоритет, с даты приоритета. </w:t>
      </w:r>
      <w:r w:rsidR="0087217C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Если же Швейцария указана в</w:t>
      </w:r>
      <w:r w:rsidR="00B4781E">
        <w:rPr>
          <w:szCs w:val="22"/>
          <w:lang w:val="ru-RU" w:eastAsia="en-US"/>
        </w:rPr>
        <w:t xml:space="preserve"> соответствии с Актом</w:t>
      </w:r>
      <w:r w:rsidR="005E2B47">
        <w:rPr>
          <w:szCs w:val="22"/>
          <w:lang w:val="fr-CH" w:eastAsia="en-US"/>
        </w:rPr>
        <w:t> </w:t>
      </w:r>
      <w:r w:rsidR="00B4781E">
        <w:rPr>
          <w:szCs w:val="22"/>
          <w:lang w:val="ru-RU" w:eastAsia="en-US"/>
        </w:rPr>
        <w:t>1960 г., период</w:t>
      </w:r>
      <w:r>
        <w:rPr>
          <w:szCs w:val="22"/>
          <w:lang w:val="ru-RU" w:eastAsia="en-US"/>
        </w:rPr>
        <w:t xml:space="preserve"> отсрочки не должен превышать 12 месяцев.</w:t>
      </w:r>
      <w:r w:rsidR="0087217C">
        <w:rPr>
          <w:szCs w:val="22"/>
          <w:lang w:val="ru-RU" w:eastAsia="en-US"/>
        </w:rPr>
        <w:t xml:space="preserve">  </w:t>
      </w:r>
    </w:p>
    <w:p w14:paraId="328AEF7D" w14:textId="40B251FC" w:rsidR="003B4528" w:rsidRPr="00D9622F" w:rsidRDefault="00513688" w:rsidP="00C42E46">
      <w:pPr>
        <w:pStyle w:val="ONUME"/>
        <w:rPr>
          <w:lang w:val="ru-RU" w:eastAsia="en-US"/>
        </w:rPr>
      </w:pPr>
      <w:r>
        <w:rPr>
          <w:lang w:val="ru-RU" w:eastAsia="en-US"/>
        </w:rPr>
        <w:t>Аналогичным образом</w:t>
      </w:r>
      <w:r w:rsidR="00C42E46">
        <w:rPr>
          <w:lang w:val="ru-RU" w:eastAsia="en-US"/>
        </w:rPr>
        <w:t>,</w:t>
      </w:r>
      <w:r>
        <w:rPr>
          <w:lang w:val="ru-RU" w:eastAsia="en-US"/>
        </w:rPr>
        <w:t xml:space="preserve"> </w:t>
      </w:r>
      <w:r w:rsidR="00D9622F">
        <w:rPr>
          <w:lang w:val="ru-RU" w:eastAsia="en-US"/>
        </w:rPr>
        <w:t xml:space="preserve">в зависимости от того, каким актом регулируется то или иное указание, могут применяться различные сроки для уведомления об отказе. </w:t>
      </w:r>
      <w:r w:rsidR="0087217C">
        <w:rPr>
          <w:lang w:val="ru-RU" w:eastAsia="en-US"/>
        </w:rPr>
        <w:t xml:space="preserve"> </w:t>
      </w:r>
      <w:r w:rsidR="00D9622F">
        <w:rPr>
          <w:lang w:val="ru-RU" w:eastAsia="en-US"/>
        </w:rPr>
        <w:t xml:space="preserve">Например, если </w:t>
      </w:r>
      <w:r w:rsidR="00D9622F" w:rsidRPr="00D9622F">
        <w:rPr>
          <w:szCs w:val="22"/>
          <w:lang w:val="ru-RU" w:eastAsia="en-US"/>
        </w:rPr>
        <w:t>Республика Молдова</w:t>
      </w:r>
      <w:r w:rsidR="00D9622F">
        <w:rPr>
          <w:szCs w:val="22"/>
          <w:lang w:val="ru-RU" w:eastAsia="en-US"/>
        </w:rPr>
        <w:t xml:space="preserve"> указана в соответствии с Актом 1960 г.,</w:t>
      </w:r>
      <w:r w:rsidR="00B4781E">
        <w:rPr>
          <w:szCs w:val="22"/>
          <w:lang w:val="ru-RU" w:eastAsia="en-US"/>
        </w:rPr>
        <w:t xml:space="preserve"> то</w:t>
      </w:r>
      <w:r w:rsidR="00D9622F">
        <w:rPr>
          <w:szCs w:val="22"/>
          <w:lang w:val="ru-RU" w:eastAsia="en-US"/>
        </w:rPr>
        <w:t xml:space="preserve"> для уведомления об отказе</w:t>
      </w:r>
      <w:r w:rsidR="00B4781E">
        <w:rPr>
          <w:szCs w:val="22"/>
          <w:lang w:val="ru-RU" w:eastAsia="en-US"/>
        </w:rPr>
        <w:t xml:space="preserve"> по умолчанию будет де</w:t>
      </w:r>
      <w:r w:rsidR="00845901">
        <w:rPr>
          <w:szCs w:val="22"/>
          <w:lang w:val="ru-RU" w:eastAsia="en-US"/>
        </w:rPr>
        <w:t>йствовать шестимесячный период</w:t>
      </w:r>
      <w:r w:rsidR="00D9622F">
        <w:rPr>
          <w:szCs w:val="22"/>
          <w:lang w:val="ru-RU" w:eastAsia="en-US"/>
        </w:rPr>
        <w:t xml:space="preserve">; </w:t>
      </w:r>
      <w:r w:rsidR="00845901">
        <w:rPr>
          <w:szCs w:val="22"/>
          <w:lang w:val="ru-RU" w:eastAsia="en-US"/>
        </w:rPr>
        <w:t xml:space="preserve"> </w:t>
      </w:r>
      <w:r w:rsidR="00C42E46">
        <w:rPr>
          <w:szCs w:val="22"/>
          <w:lang w:val="ru-RU" w:eastAsia="en-US"/>
        </w:rPr>
        <w:t xml:space="preserve">при этом, </w:t>
      </w:r>
      <w:r w:rsidR="00D9622F">
        <w:rPr>
          <w:szCs w:val="22"/>
          <w:lang w:val="ru-RU" w:eastAsia="en-US"/>
        </w:rPr>
        <w:t>если та же договаривающая</w:t>
      </w:r>
      <w:r w:rsidR="00845901">
        <w:rPr>
          <w:szCs w:val="22"/>
          <w:lang w:val="ru-RU" w:eastAsia="en-US"/>
        </w:rPr>
        <w:t>ся</w:t>
      </w:r>
      <w:r w:rsidR="00D9622F">
        <w:rPr>
          <w:szCs w:val="22"/>
          <w:lang w:val="ru-RU" w:eastAsia="en-US"/>
        </w:rPr>
        <w:t xml:space="preserve"> сторона будет указана в соответствии с Актом 1999 г., будет действовать срок, равный 12 месяцам, </w:t>
      </w:r>
      <w:r w:rsidR="00845901">
        <w:rPr>
          <w:szCs w:val="22"/>
          <w:lang w:val="ru-RU" w:eastAsia="en-US"/>
        </w:rPr>
        <w:t>на основании</w:t>
      </w:r>
      <w:r w:rsidR="00123005">
        <w:rPr>
          <w:szCs w:val="22"/>
          <w:lang w:val="ru-RU" w:eastAsia="en-US"/>
        </w:rPr>
        <w:t xml:space="preserve"> </w:t>
      </w:r>
      <w:r w:rsidR="00C42E46">
        <w:rPr>
          <w:szCs w:val="22"/>
          <w:lang w:val="ru-RU" w:eastAsia="en-US"/>
        </w:rPr>
        <w:t>заявлени</w:t>
      </w:r>
      <w:r w:rsidR="00845901">
        <w:rPr>
          <w:szCs w:val="22"/>
          <w:lang w:val="ru-RU" w:eastAsia="en-US"/>
        </w:rPr>
        <w:t>я</w:t>
      </w:r>
      <w:r w:rsidR="00123005">
        <w:rPr>
          <w:szCs w:val="22"/>
          <w:lang w:val="ru-RU" w:eastAsia="en-US"/>
        </w:rPr>
        <w:t>, направленн</w:t>
      </w:r>
      <w:r w:rsidR="00845901">
        <w:rPr>
          <w:szCs w:val="22"/>
          <w:lang w:val="ru-RU" w:eastAsia="en-US"/>
        </w:rPr>
        <w:t>ого</w:t>
      </w:r>
      <w:r w:rsidR="00123005">
        <w:rPr>
          <w:szCs w:val="22"/>
          <w:lang w:val="ru-RU" w:eastAsia="en-US"/>
        </w:rPr>
        <w:t xml:space="preserve"> этой стороной </w:t>
      </w:r>
      <w:r w:rsidR="00C42E46">
        <w:rPr>
          <w:szCs w:val="22"/>
          <w:lang w:val="ru-RU" w:eastAsia="en-US"/>
        </w:rPr>
        <w:t>согласно правил</w:t>
      </w:r>
      <w:r w:rsidR="00123005">
        <w:rPr>
          <w:szCs w:val="22"/>
          <w:lang w:val="ru-RU" w:eastAsia="en-US"/>
        </w:rPr>
        <w:t xml:space="preserve">у </w:t>
      </w:r>
      <w:r w:rsidR="00C42E46">
        <w:rPr>
          <w:szCs w:val="22"/>
          <w:lang w:val="ru-RU" w:eastAsia="en-US"/>
        </w:rPr>
        <w:t>18</w:t>
      </w:r>
      <w:r w:rsidR="00123005">
        <w:rPr>
          <w:szCs w:val="22"/>
          <w:lang w:val="ru-RU" w:eastAsia="en-US"/>
        </w:rPr>
        <w:t xml:space="preserve"> (пункт 1 </w:t>
      </w:r>
      <w:r w:rsidR="00123005" w:rsidRPr="00C42E46">
        <w:rPr>
          <w:szCs w:val="22"/>
          <w:lang w:val="ru-RU" w:eastAsia="en-US"/>
        </w:rPr>
        <w:t>b)</w:t>
      </w:r>
      <w:r w:rsidR="00123005">
        <w:rPr>
          <w:szCs w:val="22"/>
          <w:lang w:val="ru-RU" w:eastAsia="en-US"/>
        </w:rPr>
        <w:t>)</w:t>
      </w:r>
      <w:r w:rsidR="00C42E46" w:rsidRPr="00C42E46">
        <w:rPr>
          <w:szCs w:val="22"/>
          <w:lang w:val="ru-RU" w:eastAsia="en-US"/>
        </w:rPr>
        <w:t>.</w:t>
      </w:r>
      <w:r w:rsidR="0087217C">
        <w:rPr>
          <w:szCs w:val="22"/>
          <w:lang w:val="ru-RU" w:eastAsia="en-US"/>
        </w:rPr>
        <w:t xml:space="preserve">  </w:t>
      </w:r>
    </w:p>
    <w:p w14:paraId="76E01B52" w14:textId="77777777" w:rsidR="00311792" w:rsidRDefault="00311792">
      <w:pPr>
        <w:rPr>
          <w:lang w:val="ru-RU" w:eastAsia="en-US"/>
        </w:rPr>
      </w:pPr>
      <w:r>
        <w:rPr>
          <w:lang w:val="ru-RU" w:eastAsia="en-US"/>
        </w:rPr>
        <w:br w:type="page"/>
      </w:r>
    </w:p>
    <w:p w14:paraId="4FD4C842" w14:textId="6B157CCA" w:rsidR="00886B21" w:rsidRPr="002D1233" w:rsidRDefault="00754606" w:rsidP="006D24CC">
      <w:pPr>
        <w:pStyle w:val="ONUME"/>
        <w:rPr>
          <w:lang w:val="ru-RU" w:eastAsia="en-US"/>
        </w:rPr>
      </w:pPr>
      <w:r>
        <w:rPr>
          <w:lang w:val="ru-RU" w:eastAsia="en-US"/>
        </w:rPr>
        <w:lastRenderedPageBreak/>
        <w:t>Имеются</w:t>
      </w:r>
      <w:r w:rsidRPr="00B017A1">
        <w:rPr>
          <w:lang w:val="ru-RU" w:eastAsia="en-US"/>
        </w:rPr>
        <w:t xml:space="preserve"> </w:t>
      </w:r>
      <w:r>
        <w:rPr>
          <w:lang w:val="ru-RU" w:eastAsia="en-US"/>
        </w:rPr>
        <w:t>также</w:t>
      </w:r>
      <w:r w:rsidRPr="00B017A1">
        <w:rPr>
          <w:lang w:val="ru-RU" w:eastAsia="en-US"/>
        </w:rPr>
        <w:t xml:space="preserve"> </w:t>
      </w:r>
      <w:r>
        <w:rPr>
          <w:lang w:val="ru-RU" w:eastAsia="en-US"/>
        </w:rPr>
        <w:t>различия</w:t>
      </w:r>
      <w:r w:rsidRPr="00B017A1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="00B017A1" w:rsidRPr="00B017A1">
        <w:rPr>
          <w:lang w:val="ru-RU" w:eastAsia="en-US"/>
        </w:rPr>
        <w:t xml:space="preserve"> </w:t>
      </w:r>
      <w:r w:rsidR="00B017A1">
        <w:rPr>
          <w:lang w:val="ru-RU" w:eastAsia="en-US"/>
        </w:rPr>
        <w:t>размере</w:t>
      </w:r>
      <w:r w:rsidRPr="00B017A1">
        <w:rPr>
          <w:lang w:val="ru-RU" w:eastAsia="en-US"/>
        </w:rPr>
        <w:t xml:space="preserve"> </w:t>
      </w:r>
      <w:r w:rsidRPr="00754606">
        <w:rPr>
          <w:szCs w:val="22"/>
          <w:lang w:val="ru-RU" w:eastAsia="en-US"/>
        </w:rPr>
        <w:t>пошлин</w:t>
      </w:r>
      <w:r w:rsidRPr="00B017A1">
        <w:rPr>
          <w:szCs w:val="22"/>
          <w:lang w:val="ru-RU" w:eastAsia="en-US"/>
        </w:rPr>
        <w:t xml:space="preserve"> </w:t>
      </w:r>
      <w:r w:rsidRPr="00754606">
        <w:rPr>
          <w:szCs w:val="22"/>
          <w:lang w:val="ru-RU" w:eastAsia="en-US"/>
        </w:rPr>
        <w:t>за</w:t>
      </w:r>
      <w:r w:rsidRPr="00B017A1">
        <w:rPr>
          <w:szCs w:val="22"/>
          <w:lang w:val="ru-RU" w:eastAsia="en-US"/>
        </w:rPr>
        <w:t xml:space="preserve"> </w:t>
      </w:r>
      <w:r w:rsidRPr="00754606">
        <w:rPr>
          <w:szCs w:val="22"/>
          <w:lang w:val="ru-RU" w:eastAsia="en-US"/>
        </w:rPr>
        <w:t>указание</w:t>
      </w:r>
      <w:r w:rsidR="00B017A1" w:rsidRPr="00B017A1">
        <w:rPr>
          <w:szCs w:val="22"/>
          <w:lang w:val="ru-RU" w:eastAsia="en-US"/>
        </w:rPr>
        <w:t xml:space="preserve"> </w:t>
      </w:r>
      <w:r w:rsidR="00B017A1">
        <w:rPr>
          <w:szCs w:val="22"/>
          <w:lang w:val="ru-RU" w:eastAsia="en-US"/>
        </w:rPr>
        <w:t>при продлении международной регистрации.</w:t>
      </w:r>
      <w:r w:rsidR="0087217C">
        <w:rPr>
          <w:szCs w:val="22"/>
          <w:lang w:val="ru-RU" w:eastAsia="en-US"/>
        </w:rPr>
        <w:t xml:space="preserve"> </w:t>
      </w:r>
      <w:r w:rsidR="00F10C3A" w:rsidRPr="00B017A1">
        <w:rPr>
          <w:lang w:val="ru-RU" w:eastAsia="en-US"/>
        </w:rPr>
        <w:t xml:space="preserve"> </w:t>
      </w:r>
      <w:r w:rsidR="00B017A1">
        <w:rPr>
          <w:lang w:val="ru-RU" w:eastAsia="en-US"/>
        </w:rPr>
        <w:t>В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соответствии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с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Актом</w:t>
      </w:r>
      <w:r w:rsidR="00B017A1" w:rsidRPr="0050602F">
        <w:rPr>
          <w:lang w:val="ru-RU" w:eastAsia="en-US"/>
        </w:rPr>
        <w:t xml:space="preserve"> 1999</w:t>
      </w:r>
      <w:r w:rsidR="00B017A1" w:rsidRPr="00B017A1">
        <w:rPr>
          <w:lang w:eastAsia="en-US"/>
        </w:rPr>
        <w:t> </w:t>
      </w:r>
      <w:r w:rsidR="00B017A1">
        <w:rPr>
          <w:lang w:val="ru-RU" w:eastAsia="en-US"/>
        </w:rPr>
        <w:t>г</w:t>
      </w:r>
      <w:r w:rsidR="00B017A1" w:rsidRPr="0050602F">
        <w:rPr>
          <w:lang w:val="ru-RU" w:eastAsia="en-US"/>
        </w:rPr>
        <w:t xml:space="preserve">. </w:t>
      </w:r>
      <w:r w:rsidR="00B017A1">
        <w:rPr>
          <w:lang w:val="ru-RU" w:eastAsia="en-US"/>
        </w:rPr>
        <w:t>и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Актом</w:t>
      </w:r>
      <w:r w:rsidR="00B017A1" w:rsidRPr="0050602F">
        <w:rPr>
          <w:lang w:val="ru-RU" w:eastAsia="en-US"/>
        </w:rPr>
        <w:t xml:space="preserve"> 1960</w:t>
      </w:r>
      <w:r w:rsidR="00B017A1" w:rsidRPr="00B017A1">
        <w:rPr>
          <w:lang w:eastAsia="en-US"/>
        </w:rPr>
        <w:t> </w:t>
      </w:r>
      <w:r w:rsidR="00B017A1">
        <w:rPr>
          <w:lang w:val="ru-RU" w:eastAsia="en-US"/>
        </w:rPr>
        <w:t>г</w:t>
      </w:r>
      <w:r w:rsidR="00B017A1" w:rsidRPr="0050602F">
        <w:rPr>
          <w:lang w:val="ru-RU" w:eastAsia="en-US"/>
        </w:rPr>
        <w:t xml:space="preserve">. </w:t>
      </w:r>
      <w:r w:rsidR="00B017A1">
        <w:rPr>
          <w:lang w:val="ru-RU" w:eastAsia="en-US"/>
        </w:rPr>
        <w:t>л</w:t>
      </w:r>
      <w:r w:rsidR="00B017A1" w:rsidRPr="00B017A1">
        <w:rPr>
          <w:lang w:val="ru-RU" w:eastAsia="en-US"/>
        </w:rPr>
        <w:t>юбая</w:t>
      </w:r>
      <w:r w:rsidR="00B017A1" w:rsidRPr="0050602F">
        <w:rPr>
          <w:lang w:val="ru-RU" w:eastAsia="en-US"/>
        </w:rPr>
        <w:t xml:space="preserve"> </w:t>
      </w:r>
      <w:r w:rsidR="00932DAA" w:rsidRPr="00B017A1">
        <w:rPr>
          <w:lang w:val="ru-RU" w:eastAsia="en-US"/>
        </w:rPr>
        <w:t>договаривающаяся</w:t>
      </w:r>
      <w:r w:rsidR="00932DAA" w:rsidRPr="0050602F">
        <w:rPr>
          <w:lang w:val="ru-RU" w:eastAsia="en-US"/>
        </w:rPr>
        <w:t xml:space="preserve"> </w:t>
      </w:r>
      <w:r w:rsidR="00B017A1" w:rsidRPr="00B017A1">
        <w:rPr>
          <w:lang w:val="ru-RU" w:eastAsia="en-US"/>
        </w:rPr>
        <w:t>сторона</w:t>
      </w:r>
      <w:r w:rsidR="00B017A1" w:rsidRPr="0050602F">
        <w:rPr>
          <w:lang w:val="ru-RU" w:eastAsia="en-US"/>
        </w:rPr>
        <w:t xml:space="preserve">, </w:t>
      </w:r>
      <w:r w:rsidR="00123005">
        <w:rPr>
          <w:lang w:val="ru-RU" w:eastAsia="en-US"/>
        </w:rPr>
        <w:t>в</w:t>
      </w:r>
      <w:r w:rsidR="00B017A1" w:rsidRPr="00B017A1">
        <w:rPr>
          <w:lang w:val="ru-RU" w:eastAsia="en-US"/>
        </w:rPr>
        <w:t>едомство</w:t>
      </w:r>
      <w:r w:rsidR="00B017A1" w:rsidRPr="0050602F">
        <w:rPr>
          <w:lang w:val="ru-RU" w:eastAsia="en-US"/>
        </w:rPr>
        <w:t xml:space="preserve"> </w:t>
      </w:r>
      <w:r w:rsidR="00B017A1" w:rsidRPr="00B017A1">
        <w:rPr>
          <w:lang w:val="ru-RU" w:eastAsia="en-US"/>
        </w:rPr>
        <w:t>которой</w:t>
      </w:r>
      <w:r w:rsidR="00B017A1" w:rsidRPr="0050602F">
        <w:rPr>
          <w:lang w:val="ru-RU" w:eastAsia="en-US"/>
        </w:rPr>
        <w:t xml:space="preserve"> </w:t>
      </w:r>
      <w:r w:rsidR="00B017A1" w:rsidRPr="00B017A1">
        <w:rPr>
          <w:lang w:val="ru-RU" w:eastAsia="en-US"/>
        </w:rPr>
        <w:t>является</w:t>
      </w:r>
      <w:r w:rsidR="00B017A1" w:rsidRPr="0050602F">
        <w:rPr>
          <w:lang w:val="ru-RU" w:eastAsia="en-US"/>
        </w:rPr>
        <w:t xml:space="preserve"> </w:t>
      </w:r>
      <w:r w:rsidR="00123005">
        <w:rPr>
          <w:lang w:val="ru-RU" w:eastAsia="en-US"/>
        </w:rPr>
        <w:t>в</w:t>
      </w:r>
      <w:r w:rsidR="00B017A1" w:rsidRPr="00B017A1">
        <w:rPr>
          <w:lang w:val="ru-RU" w:eastAsia="en-US"/>
        </w:rPr>
        <w:t>едомством</w:t>
      </w:r>
      <w:r w:rsidR="00B017A1" w:rsidRPr="0050602F">
        <w:rPr>
          <w:lang w:val="ru-RU" w:eastAsia="en-US"/>
        </w:rPr>
        <w:t xml:space="preserve">, </w:t>
      </w:r>
      <w:r w:rsidR="00B017A1" w:rsidRPr="00B017A1">
        <w:rPr>
          <w:lang w:val="ru-RU" w:eastAsia="en-US"/>
        </w:rPr>
        <w:t>проводящим</w:t>
      </w:r>
      <w:r w:rsidR="00B017A1" w:rsidRPr="0050602F">
        <w:rPr>
          <w:lang w:val="ru-RU" w:eastAsia="en-US"/>
        </w:rPr>
        <w:t xml:space="preserve"> </w:t>
      </w:r>
      <w:r w:rsidR="00B017A1" w:rsidRPr="00B017A1">
        <w:rPr>
          <w:lang w:val="ru-RU" w:eastAsia="en-US"/>
        </w:rPr>
        <w:t>экспертизу</w:t>
      </w:r>
      <w:r w:rsidR="00B017A1" w:rsidRPr="0050602F">
        <w:rPr>
          <w:lang w:val="ru-RU" w:eastAsia="en-US"/>
        </w:rPr>
        <w:t xml:space="preserve">, </w:t>
      </w:r>
      <w:r w:rsidR="00B017A1">
        <w:rPr>
          <w:lang w:val="ru-RU" w:eastAsia="en-US"/>
        </w:rPr>
        <w:t>может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направить</w:t>
      </w:r>
      <w:r w:rsidR="00B017A1" w:rsidRPr="0050602F">
        <w:rPr>
          <w:lang w:val="ru-RU" w:eastAsia="en-US"/>
        </w:rPr>
        <w:t xml:space="preserve"> </w:t>
      </w:r>
      <w:r w:rsidR="00B017A1">
        <w:rPr>
          <w:lang w:val="ru-RU" w:eastAsia="en-US"/>
        </w:rPr>
        <w:t>заявление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о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замене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стандартной</w:t>
      </w:r>
      <w:r w:rsidR="0050602F" w:rsidRPr="0050602F">
        <w:rPr>
          <w:lang w:val="ru-RU" w:eastAsia="en-US"/>
        </w:rPr>
        <w:t xml:space="preserve"> пошлин</w:t>
      </w:r>
      <w:r w:rsidR="0050602F">
        <w:rPr>
          <w:lang w:val="ru-RU" w:eastAsia="en-US"/>
        </w:rPr>
        <w:t>ы</w:t>
      </w:r>
      <w:r w:rsidR="00123005" w:rsidRPr="00123005">
        <w:rPr>
          <w:lang w:val="ru-RU" w:eastAsia="en-US"/>
        </w:rPr>
        <w:t xml:space="preserve"> </w:t>
      </w:r>
      <w:r w:rsidR="00123005" w:rsidRPr="0050602F">
        <w:rPr>
          <w:lang w:val="ru-RU" w:eastAsia="en-US"/>
        </w:rPr>
        <w:t>за указание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индивидуальной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пошлинной</w:t>
      </w:r>
      <w:r w:rsidR="00123005">
        <w:rPr>
          <w:lang w:val="ru-RU" w:eastAsia="en-US"/>
        </w:rPr>
        <w:t xml:space="preserve"> </w:t>
      </w:r>
      <w:r w:rsidR="0050602F" w:rsidRPr="0050602F">
        <w:rPr>
          <w:lang w:val="ru-RU" w:eastAsia="en-US"/>
        </w:rPr>
        <w:t>(</w:t>
      </w:r>
      <w:r w:rsidR="0050602F">
        <w:rPr>
          <w:lang w:val="ru-RU" w:eastAsia="en-US"/>
        </w:rPr>
        <w:t>пункт</w:t>
      </w:r>
      <w:r w:rsidR="0087217C">
        <w:rPr>
          <w:lang w:val="ru-RU" w:eastAsia="en-US"/>
        </w:rPr>
        <w:t> </w:t>
      </w:r>
      <w:r w:rsidR="0050602F" w:rsidRPr="0050602F">
        <w:rPr>
          <w:lang w:val="ru-RU" w:eastAsia="en-US"/>
        </w:rPr>
        <w:t xml:space="preserve">2 </w:t>
      </w:r>
      <w:r w:rsidR="0050602F">
        <w:rPr>
          <w:lang w:val="ru-RU" w:eastAsia="en-US"/>
        </w:rPr>
        <w:t>статьи</w:t>
      </w:r>
      <w:r w:rsidR="0087217C">
        <w:rPr>
          <w:lang w:val="ru-RU" w:eastAsia="en-US"/>
        </w:rPr>
        <w:t> </w:t>
      </w:r>
      <w:r w:rsidR="0050602F" w:rsidRPr="0050602F">
        <w:rPr>
          <w:lang w:val="ru-RU" w:eastAsia="en-US"/>
        </w:rPr>
        <w:t xml:space="preserve">7 </w:t>
      </w:r>
      <w:r w:rsidR="0050602F">
        <w:rPr>
          <w:lang w:val="ru-RU" w:eastAsia="en-US"/>
        </w:rPr>
        <w:t>Акта</w:t>
      </w:r>
      <w:r w:rsidR="0050602F" w:rsidRPr="0050602F">
        <w:rPr>
          <w:lang w:val="ru-RU" w:eastAsia="en-US"/>
        </w:rPr>
        <w:t xml:space="preserve"> 1999</w:t>
      </w:r>
      <w:r w:rsidR="0050602F" w:rsidRPr="0050602F">
        <w:rPr>
          <w:lang w:eastAsia="en-US"/>
        </w:rPr>
        <w:t> </w:t>
      </w:r>
      <w:r w:rsidR="0050602F">
        <w:rPr>
          <w:lang w:val="ru-RU" w:eastAsia="en-US"/>
        </w:rPr>
        <w:t>г</w:t>
      </w:r>
      <w:r w:rsidR="0050602F" w:rsidRPr="0050602F">
        <w:rPr>
          <w:lang w:val="ru-RU" w:eastAsia="en-US"/>
        </w:rPr>
        <w:t xml:space="preserve">. </w:t>
      </w:r>
      <w:r w:rsidR="0050602F">
        <w:rPr>
          <w:lang w:val="ru-RU" w:eastAsia="en-US"/>
        </w:rPr>
        <w:t>и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правил</w:t>
      </w:r>
      <w:r w:rsidR="00123005">
        <w:rPr>
          <w:lang w:val="ru-RU" w:eastAsia="en-US"/>
        </w:rPr>
        <w:t>о</w:t>
      </w:r>
      <w:r w:rsidR="0050602F" w:rsidRPr="0050602F">
        <w:rPr>
          <w:lang w:val="ru-RU" w:eastAsia="en-US"/>
        </w:rPr>
        <w:t xml:space="preserve"> 36</w:t>
      </w:r>
      <w:r w:rsidR="00123005">
        <w:rPr>
          <w:lang w:val="ru-RU" w:eastAsia="en-US"/>
        </w:rPr>
        <w:t xml:space="preserve"> (пункт</w:t>
      </w:r>
      <w:r w:rsidR="0087217C">
        <w:rPr>
          <w:lang w:val="ru-RU" w:eastAsia="en-US"/>
        </w:rPr>
        <w:t> </w:t>
      </w:r>
      <w:r w:rsidR="00123005" w:rsidRPr="0050602F">
        <w:rPr>
          <w:lang w:val="ru-RU" w:eastAsia="en-US"/>
        </w:rPr>
        <w:t>1</w:t>
      </w:r>
      <w:r w:rsidR="00123005">
        <w:rPr>
          <w:lang w:val="ru-RU" w:eastAsia="en-US"/>
        </w:rPr>
        <w:t>)</w:t>
      </w:r>
      <w:r w:rsidR="0050602F" w:rsidRPr="0050602F">
        <w:rPr>
          <w:lang w:val="ru-RU" w:eastAsia="en-US"/>
        </w:rPr>
        <w:t xml:space="preserve"> </w:t>
      </w:r>
      <w:r w:rsidR="0050602F">
        <w:rPr>
          <w:lang w:val="ru-RU" w:eastAsia="en-US"/>
        </w:rPr>
        <w:t>Общей инструкции)</w:t>
      </w:r>
      <w:r w:rsidR="008115AA">
        <w:rPr>
          <w:lang w:val="ru-RU" w:eastAsia="en-US"/>
        </w:rPr>
        <w:t xml:space="preserve">.  </w:t>
      </w:r>
      <w:r w:rsidR="0050602F">
        <w:rPr>
          <w:lang w:val="ru-RU" w:eastAsia="en-US"/>
        </w:rPr>
        <w:t>Таким</w:t>
      </w:r>
      <w:r w:rsidR="0050602F" w:rsidRPr="00CC77E4">
        <w:rPr>
          <w:lang w:val="ru-RU" w:eastAsia="en-US"/>
        </w:rPr>
        <w:t xml:space="preserve"> </w:t>
      </w:r>
      <w:r w:rsidR="0050602F">
        <w:rPr>
          <w:lang w:val="ru-RU" w:eastAsia="en-US"/>
        </w:rPr>
        <w:t>образом</w:t>
      </w:r>
      <w:r w:rsidR="0050602F" w:rsidRPr="00CC77E4">
        <w:rPr>
          <w:lang w:val="ru-RU" w:eastAsia="en-US"/>
        </w:rPr>
        <w:t xml:space="preserve">, </w:t>
      </w:r>
      <w:r w:rsidR="0050602F">
        <w:rPr>
          <w:lang w:val="ru-RU" w:eastAsia="en-US"/>
        </w:rPr>
        <w:t>согласно</w:t>
      </w:r>
      <w:r w:rsidR="0050602F" w:rsidRPr="00CC77E4">
        <w:rPr>
          <w:lang w:val="ru-RU" w:eastAsia="en-US"/>
        </w:rPr>
        <w:t xml:space="preserve"> </w:t>
      </w:r>
      <w:r w:rsidR="0050602F">
        <w:rPr>
          <w:lang w:val="ru-RU" w:eastAsia="en-US"/>
        </w:rPr>
        <w:t>пункту</w:t>
      </w:r>
      <w:r w:rsidR="0087217C">
        <w:rPr>
          <w:lang w:val="ru-RU" w:eastAsia="en-US"/>
        </w:rPr>
        <w:t> </w:t>
      </w:r>
      <w:r w:rsidR="0050602F" w:rsidRPr="00CC77E4">
        <w:rPr>
          <w:lang w:val="ru-RU" w:eastAsia="en-US"/>
        </w:rPr>
        <w:t xml:space="preserve">2 </w:t>
      </w:r>
      <w:r w:rsidR="0050602F">
        <w:rPr>
          <w:lang w:val="ru-RU" w:eastAsia="en-US"/>
        </w:rPr>
        <w:t>статьи</w:t>
      </w:r>
      <w:r w:rsidR="0087217C">
        <w:rPr>
          <w:lang w:val="ru-RU" w:eastAsia="en-US"/>
        </w:rPr>
        <w:t> </w:t>
      </w:r>
      <w:r w:rsidR="0050602F" w:rsidRPr="00CC77E4">
        <w:rPr>
          <w:lang w:val="ru-RU" w:eastAsia="en-US"/>
        </w:rPr>
        <w:t xml:space="preserve">7 </w:t>
      </w:r>
      <w:r w:rsidR="0050602F">
        <w:rPr>
          <w:lang w:val="ru-RU" w:eastAsia="en-US"/>
        </w:rPr>
        <w:t>Акта</w:t>
      </w:r>
      <w:r w:rsidR="0050602F" w:rsidRPr="00CC77E4">
        <w:rPr>
          <w:lang w:val="ru-RU" w:eastAsia="en-US"/>
        </w:rPr>
        <w:t xml:space="preserve"> 1999</w:t>
      </w:r>
      <w:r w:rsidR="0050602F" w:rsidRPr="0050602F">
        <w:rPr>
          <w:lang w:eastAsia="en-US"/>
        </w:rPr>
        <w:t> </w:t>
      </w:r>
      <w:r w:rsidR="0050602F">
        <w:rPr>
          <w:lang w:val="ru-RU" w:eastAsia="en-US"/>
        </w:rPr>
        <w:t>г</w:t>
      </w:r>
      <w:r w:rsidR="0050602F" w:rsidRPr="00CC77E4">
        <w:rPr>
          <w:lang w:val="ru-RU" w:eastAsia="en-US"/>
        </w:rPr>
        <w:t xml:space="preserve">. </w:t>
      </w:r>
      <w:r w:rsidR="00932DAA">
        <w:rPr>
          <w:lang w:val="ru-RU" w:eastAsia="en-US"/>
        </w:rPr>
        <w:t>договаривающ</w:t>
      </w:r>
      <w:r w:rsidR="00123005">
        <w:rPr>
          <w:lang w:val="ru-RU" w:eastAsia="en-US"/>
        </w:rPr>
        <w:t>ая</w:t>
      </w:r>
      <w:r w:rsidR="00932DAA">
        <w:rPr>
          <w:lang w:val="ru-RU" w:eastAsia="en-US"/>
        </w:rPr>
        <w:t>ся</w:t>
      </w:r>
      <w:r w:rsidR="00932DAA" w:rsidRPr="00CC77E4">
        <w:rPr>
          <w:lang w:val="ru-RU" w:eastAsia="en-US"/>
        </w:rPr>
        <w:t xml:space="preserve"> </w:t>
      </w:r>
      <w:r w:rsidR="00CC77E4">
        <w:rPr>
          <w:lang w:val="ru-RU" w:eastAsia="en-US"/>
        </w:rPr>
        <w:t>сторон</w:t>
      </w:r>
      <w:r w:rsidR="00123005">
        <w:rPr>
          <w:lang w:val="ru-RU" w:eastAsia="en-US"/>
        </w:rPr>
        <w:t>а</w:t>
      </w:r>
      <w:r w:rsidR="00CC77E4" w:rsidRPr="00CC77E4">
        <w:rPr>
          <w:lang w:val="ru-RU" w:eastAsia="en-US"/>
        </w:rPr>
        <w:t xml:space="preserve"> </w:t>
      </w:r>
      <w:r w:rsidR="00CC77E4">
        <w:rPr>
          <w:lang w:val="ru-RU" w:eastAsia="en-US"/>
        </w:rPr>
        <w:t>может</w:t>
      </w:r>
      <w:r w:rsidR="00CC77E4" w:rsidRPr="00CC77E4">
        <w:rPr>
          <w:lang w:val="ru-RU" w:eastAsia="en-US"/>
        </w:rPr>
        <w:t xml:space="preserve"> </w:t>
      </w:r>
      <w:r w:rsidR="00845901">
        <w:rPr>
          <w:lang w:val="ru-RU" w:eastAsia="en-US"/>
        </w:rPr>
        <w:t>получить</w:t>
      </w:r>
      <w:r w:rsidR="00CC77E4" w:rsidRPr="00CC77E4">
        <w:rPr>
          <w:lang w:val="ru-RU" w:eastAsia="en-US"/>
        </w:rPr>
        <w:t xml:space="preserve"> </w:t>
      </w:r>
      <w:r w:rsidR="00CC77E4">
        <w:rPr>
          <w:lang w:val="ru-RU" w:eastAsia="en-US"/>
        </w:rPr>
        <w:t>индивидуальн</w:t>
      </w:r>
      <w:r w:rsidR="00123005">
        <w:rPr>
          <w:lang w:val="ru-RU" w:eastAsia="en-US"/>
        </w:rPr>
        <w:t>ую</w:t>
      </w:r>
      <w:r w:rsidR="00CC77E4" w:rsidRPr="00CC77E4">
        <w:rPr>
          <w:lang w:val="ru-RU" w:eastAsia="en-US"/>
        </w:rPr>
        <w:t xml:space="preserve"> </w:t>
      </w:r>
      <w:r w:rsidR="00CC77E4">
        <w:rPr>
          <w:lang w:val="ru-RU" w:eastAsia="en-US"/>
        </w:rPr>
        <w:t>пошлин</w:t>
      </w:r>
      <w:r w:rsidR="00123005">
        <w:rPr>
          <w:lang w:val="ru-RU" w:eastAsia="en-US"/>
        </w:rPr>
        <w:t>у</w:t>
      </w:r>
      <w:r w:rsidR="00CC77E4" w:rsidRPr="00CC77E4">
        <w:rPr>
          <w:lang w:val="ru-RU" w:eastAsia="en-US"/>
        </w:rPr>
        <w:t xml:space="preserve"> в связи с любой международной заявкой, в которой он</w:t>
      </w:r>
      <w:r w:rsidR="00CC77E4">
        <w:rPr>
          <w:lang w:val="ru-RU" w:eastAsia="en-US"/>
        </w:rPr>
        <w:t>а</w:t>
      </w:r>
      <w:r w:rsidR="00CC77E4" w:rsidRPr="00CC77E4">
        <w:rPr>
          <w:lang w:val="ru-RU" w:eastAsia="en-US"/>
        </w:rPr>
        <w:t xml:space="preserve"> указан</w:t>
      </w:r>
      <w:r w:rsidR="00CC77E4">
        <w:rPr>
          <w:lang w:val="ru-RU" w:eastAsia="en-US"/>
        </w:rPr>
        <w:t>а</w:t>
      </w:r>
      <w:r w:rsidR="00CC77E4" w:rsidRPr="00CC77E4">
        <w:rPr>
          <w:lang w:val="ru-RU" w:eastAsia="en-US"/>
        </w:rPr>
        <w:t xml:space="preserve">, </w:t>
      </w:r>
      <w:r w:rsidR="00CC77E4">
        <w:rPr>
          <w:lang w:val="ru-RU" w:eastAsia="en-US"/>
        </w:rPr>
        <w:t>а также</w:t>
      </w:r>
      <w:r w:rsidR="00CC77E4" w:rsidRPr="00CC77E4">
        <w:rPr>
          <w:lang w:val="ru-RU" w:eastAsia="en-US"/>
        </w:rPr>
        <w:t xml:space="preserve"> в связи с продлением любой международной регистрации, осуществленной в результате по</w:t>
      </w:r>
      <w:r w:rsidR="002D1233">
        <w:rPr>
          <w:lang w:val="ru-RU" w:eastAsia="en-US"/>
        </w:rPr>
        <w:t>дачи такой международной заявки.</w:t>
      </w:r>
      <w:r w:rsidR="00CC77E4" w:rsidRPr="00CC77E4">
        <w:rPr>
          <w:lang w:val="ru-RU" w:eastAsia="en-US"/>
        </w:rPr>
        <w:t xml:space="preserve"> </w:t>
      </w:r>
      <w:r w:rsidR="0087217C">
        <w:rPr>
          <w:lang w:val="ru-RU" w:eastAsia="en-US"/>
        </w:rPr>
        <w:t xml:space="preserve"> </w:t>
      </w:r>
      <w:r w:rsidR="00CC77E4">
        <w:rPr>
          <w:lang w:val="ru-RU" w:eastAsia="en-US"/>
        </w:rPr>
        <w:t>В то же время</w:t>
      </w:r>
      <w:r w:rsidR="006D24CC">
        <w:rPr>
          <w:lang w:val="ru-RU" w:eastAsia="en-US"/>
        </w:rPr>
        <w:t>,</w:t>
      </w:r>
      <w:r w:rsidR="00CC77E4">
        <w:rPr>
          <w:lang w:val="ru-RU" w:eastAsia="en-US"/>
        </w:rPr>
        <w:t xml:space="preserve"> </w:t>
      </w:r>
      <w:r w:rsidR="006D24CC">
        <w:rPr>
          <w:lang w:val="ru-RU" w:eastAsia="en-US"/>
        </w:rPr>
        <w:t xml:space="preserve">согласно </w:t>
      </w:r>
      <w:r w:rsidR="00CC77E4">
        <w:rPr>
          <w:lang w:val="ru-RU" w:eastAsia="en-US"/>
        </w:rPr>
        <w:t>подпункт</w:t>
      </w:r>
      <w:r w:rsidR="006D24CC">
        <w:rPr>
          <w:lang w:val="ru-RU" w:eastAsia="en-US"/>
        </w:rPr>
        <w:t>у</w:t>
      </w:r>
      <w:r w:rsidR="00CC77E4">
        <w:rPr>
          <w:lang w:val="ru-RU" w:eastAsia="en-US"/>
        </w:rPr>
        <w:t xml:space="preserve"> </w:t>
      </w:r>
      <w:r w:rsidR="00091556">
        <w:rPr>
          <w:lang w:val="ru-RU" w:eastAsia="en-US"/>
        </w:rPr>
        <w:t xml:space="preserve">2 </w:t>
      </w:r>
      <w:r w:rsidR="00CC77E4" w:rsidRPr="00CC77E4">
        <w:rPr>
          <w:lang w:val="ru-RU" w:eastAsia="en-US"/>
        </w:rPr>
        <w:t>b)</w:t>
      </w:r>
      <w:r w:rsidR="00CC77E4">
        <w:rPr>
          <w:lang w:val="ru-RU" w:eastAsia="en-US"/>
        </w:rPr>
        <w:t xml:space="preserve"> пункта 1 статьи 15 Акта 1960 г.</w:t>
      </w:r>
      <w:r w:rsidR="006D24CC">
        <w:rPr>
          <w:lang w:val="ru-RU" w:eastAsia="en-US"/>
        </w:rPr>
        <w:t>,</w:t>
      </w:r>
      <w:r w:rsidR="00CC77E4">
        <w:rPr>
          <w:lang w:val="ru-RU" w:eastAsia="en-US"/>
        </w:rPr>
        <w:t xml:space="preserve"> </w:t>
      </w:r>
      <w:r w:rsidR="00932DAA">
        <w:rPr>
          <w:lang w:val="ru-RU" w:eastAsia="en-US"/>
        </w:rPr>
        <w:t xml:space="preserve">договаривающаяся </w:t>
      </w:r>
      <w:r w:rsidR="00CC77E4">
        <w:rPr>
          <w:lang w:val="ru-RU" w:eastAsia="en-US"/>
        </w:rPr>
        <w:t>сторон</w:t>
      </w:r>
      <w:r w:rsidR="006D24CC">
        <w:rPr>
          <w:lang w:val="ru-RU" w:eastAsia="en-US"/>
        </w:rPr>
        <w:t>а может</w:t>
      </w:r>
      <w:r w:rsidR="00CC77E4">
        <w:rPr>
          <w:lang w:val="ru-RU" w:eastAsia="en-US"/>
        </w:rPr>
        <w:t xml:space="preserve"> получ</w:t>
      </w:r>
      <w:r w:rsidR="006D24CC">
        <w:rPr>
          <w:lang w:val="ru-RU" w:eastAsia="en-US"/>
        </w:rPr>
        <w:t>и</w:t>
      </w:r>
      <w:r w:rsidR="00CC77E4">
        <w:rPr>
          <w:lang w:val="ru-RU" w:eastAsia="en-US"/>
        </w:rPr>
        <w:t>ть индивидуальную пошлину за указа</w:t>
      </w:r>
      <w:r w:rsidR="006D24CC">
        <w:rPr>
          <w:lang w:val="ru-RU" w:eastAsia="en-US"/>
        </w:rPr>
        <w:t xml:space="preserve">ние только для </w:t>
      </w:r>
      <w:r w:rsidR="00CC77E4" w:rsidRPr="00CC77E4">
        <w:rPr>
          <w:lang w:val="ru-RU" w:eastAsia="en-US"/>
        </w:rPr>
        <w:t>проведени</w:t>
      </w:r>
      <w:r w:rsidR="00CC77E4">
        <w:rPr>
          <w:lang w:val="ru-RU" w:eastAsia="en-US"/>
        </w:rPr>
        <w:t>я</w:t>
      </w:r>
      <w:r w:rsidR="00CC77E4" w:rsidRPr="00CC77E4">
        <w:rPr>
          <w:lang w:val="ru-RU" w:eastAsia="en-US"/>
        </w:rPr>
        <w:t xml:space="preserve"> экспертизы </w:t>
      </w:r>
      <w:r w:rsidR="006D24CC">
        <w:rPr>
          <w:lang w:val="ru-RU" w:eastAsia="en-US"/>
        </w:rPr>
        <w:t>на новизну (что не распространяется на продление международной регистрации), направив заявление в соответствии с правил</w:t>
      </w:r>
      <w:r w:rsidR="00091556">
        <w:rPr>
          <w:lang w:val="ru-RU" w:eastAsia="en-US"/>
        </w:rPr>
        <w:t>ом</w:t>
      </w:r>
      <w:r w:rsidR="002D1233">
        <w:rPr>
          <w:lang w:val="ru-RU" w:eastAsia="en-US"/>
        </w:rPr>
        <w:t> </w:t>
      </w:r>
      <w:r w:rsidR="006D24CC">
        <w:rPr>
          <w:lang w:val="ru-RU" w:eastAsia="en-US"/>
        </w:rPr>
        <w:t>36</w:t>
      </w:r>
      <w:r w:rsidR="00091556">
        <w:rPr>
          <w:lang w:val="ru-RU" w:eastAsia="en-US"/>
        </w:rPr>
        <w:t xml:space="preserve"> (пункт 1)</w:t>
      </w:r>
      <w:r w:rsidR="006D24CC">
        <w:rPr>
          <w:lang w:val="ru-RU" w:eastAsia="en-US"/>
        </w:rPr>
        <w:t xml:space="preserve">. </w:t>
      </w:r>
      <w:r w:rsidR="0087217C">
        <w:rPr>
          <w:lang w:val="ru-RU" w:eastAsia="en-US"/>
        </w:rPr>
        <w:t xml:space="preserve"> </w:t>
      </w:r>
      <w:r w:rsidR="006D24CC">
        <w:rPr>
          <w:lang w:val="ru-RU" w:eastAsia="en-US"/>
        </w:rPr>
        <w:t xml:space="preserve">Некоторые </w:t>
      </w:r>
      <w:r w:rsidR="006D6857">
        <w:rPr>
          <w:lang w:val="ru-RU" w:eastAsia="en-US"/>
        </w:rPr>
        <w:t xml:space="preserve">договаривающиеся </w:t>
      </w:r>
      <w:r w:rsidR="006D24CC">
        <w:rPr>
          <w:lang w:val="ru-RU" w:eastAsia="en-US"/>
        </w:rPr>
        <w:t xml:space="preserve">стороны Акта 1999 г. и Акта 1960 г., </w:t>
      </w:r>
      <w:r w:rsidR="00091556">
        <w:rPr>
          <w:lang w:val="ru-RU" w:eastAsia="en-US"/>
        </w:rPr>
        <w:t xml:space="preserve">такие как </w:t>
      </w:r>
      <w:r w:rsidR="006D24CC">
        <w:rPr>
          <w:lang w:val="ru-RU" w:eastAsia="en-US"/>
        </w:rPr>
        <w:t>Венгри</w:t>
      </w:r>
      <w:r w:rsidR="00091556">
        <w:rPr>
          <w:lang w:val="ru-RU" w:eastAsia="en-US"/>
        </w:rPr>
        <w:t>я</w:t>
      </w:r>
      <w:r w:rsidR="006D24CC">
        <w:rPr>
          <w:lang w:val="ru-RU" w:eastAsia="en-US"/>
        </w:rPr>
        <w:t>, Кыргызстан и Республик</w:t>
      </w:r>
      <w:r w:rsidR="00091556">
        <w:rPr>
          <w:lang w:val="ru-RU" w:eastAsia="en-US"/>
        </w:rPr>
        <w:t>а</w:t>
      </w:r>
      <w:r w:rsidR="006D24CC">
        <w:rPr>
          <w:lang w:val="ru-RU" w:eastAsia="en-US"/>
        </w:rPr>
        <w:t xml:space="preserve"> Молдов</w:t>
      </w:r>
      <w:r w:rsidR="002D1233">
        <w:rPr>
          <w:lang w:val="ru-RU" w:eastAsia="en-US"/>
        </w:rPr>
        <w:t>а</w:t>
      </w:r>
      <w:r w:rsidR="006D24CC">
        <w:rPr>
          <w:lang w:val="ru-RU" w:eastAsia="en-US"/>
        </w:rPr>
        <w:t xml:space="preserve">, </w:t>
      </w:r>
      <w:r w:rsidR="002D1233">
        <w:rPr>
          <w:lang w:val="ru-RU" w:eastAsia="en-US"/>
        </w:rPr>
        <w:t xml:space="preserve">направили два соответствующих заявления. </w:t>
      </w:r>
      <w:r w:rsidR="0087217C">
        <w:rPr>
          <w:lang w:val="ru-RU" w:eastAsia="en-US"/>
        </w:rPr>
        <w:t xml:space="preserve"> </w:t>
      </w:r>
      <w:r w:rsidR="002D1233">
        <w:rPr>
          <w:lang w:val="ru-RU" w:eastAsia="en-US"/>
        </w:rPr>
        <w:t xml:space="preserve">Таким образом, при продлении международной регистрации </w:t>
      </w:r>
      <w:r w:rsidR="004540E8">
        <w:rPr>
          <w:lang w:val="ru-RU" w:eastAsia="en-US"/>
        </w:rPr>
        <w:t>в отношении</w:t>
      </w:r>
      <w:r w:rsidR="002D1233">
        <w:rPr>
          <w:lang w:val="ru-RU" w:eastAsia="en-US"/>
        </w:rPr>
        <w:t xml:space="preserve"> указани</w:t>
      </w:r>
      <w:r w:rsidR="004540E8">
        <w:rPr>
          <w:lang w:val="ru-RU" w:eastAsia="en-US"/>
        </w:rPr>
        <w:t>я</w:t>
      </w:r>
      <w:r w:rsidR="002D1233">
        <w:rPr>
          <w:lang w:val="ru-RU" w:eastAsia="en-US"/>
        </w:rPr>
        <w:t xml:space="preserve"> этих договаривающихся сторон могут быть предусмотрены разные размеры пошлин (стандартный или индивидуальный) в зависимости от того, каким актом регулиру</w:t>
      </w:r>
      <w:r w:rsidR="004540E8">
        <w:rPr>
          <w:lang w:val="ru-RU" w:eastAsia="en-US"/>
        </w:rPr>
        <w:t>ю</w:t>
      </w:r>
      <w:r w:rsidR="002D1233">
        <w:rPr>
          <w:lang w:val="ru-RU" w:eastAsia="en-US"/>
        </w:rPr>
        <w:t xml:space="preserve">тся </w:t>
      </w:r>
      <w:r w:rsidR="004540E8">
        <w:rPr>
          <w:lang w:val="ru-RU" w:eastAsia="en-US"/>
        </w:rPr>
        <w:t xml:space="preserve">эти </w:t>
      </w:r>
      <w:r w:rsidR="002D1233">
        <w:rPr>
          <w:lang w:val="ru-RU" w:eastAsia="en-US"/>
        </w:rPr>
        <w:t>указания (правил</w:t>
      </w:r>
      <w:r w:rsidR="00091556">
        <w:rPr>
          <w:lang w:val="ru-RU" w:eastAsia="en-US"/>
        </w:rPr>
        <w:t>о</w:t>
      </w:r>
      <w:r w:rsidR="005E2B47">
        <w:rPr>
          <w:lang w:val="fr-CH" w:eastAsia="en-US"/>
        </w:rPr>
        <w:t> </w:t>
      </w:r>
      <w:r w:rsidR="002D1233">
        <w:rPr>
          <w:lang w:val="ru-RU" w:eastAsia="en-US"/>
        </w:rPr>
        <w:t>24</w:t>
      </w:r>
      <w:r w:rsidR="00091556">
        <w:rPr>
          <w:lang w:val="ru-RU" w:eastAsia="en-US"/>
        </w:rPr>
        <w:t xml:space="preserve"> (пункты 1</w:t>
      </w:r>
      <w:r w:rsidR="00091556" w:rsidRPr="00091556">
        <w:rPr>
          <w:lang w:val="ru-RU" w:eastAsia="en-US"/>
        </w:rPr>
        <w:t xml:space="preserve"> </w:t>
      </w:r>
      <w:r w:rsidR="00091556" w:rsidRPr="002D1233">
        <w:rPr>
          <w:lang w:eastAsia="en-US"/>
        </w:rPr>
        <w:t>a</w:t>
      </w:r>
      <w:r w:rsidR="00091556">
        <w:rPr>
          <w:lang w:val="ru-RU" w:eastAsia="en-US"/>
        </w:rPr>
        <w:t xml:space="preserve">) </w:t>
      </w:r>
      <w:r w:rsidR="00091556" w:rsidRPr="002D1233">
        <w:rPr>
          <w:lang w:eastAsia="en-US"/>
        </w:rPr>
        <w:t>ii</w:t>
      </w:r>
      <w:r w:rsidR="00091556" w:rsidRPr="002D1233">
        <w:rPr>
          <w:lang w:val="ru-RU" w:eastAsia="en-US"/>
        </w:rPr>
        <w:t xml:space="preserve">) </w:t>
      </w:r>
      <w:r w:rsidR="00091556">
        <w:rPr>
          <w:lang w:val="ru-RU" w:eastAsia="en-US"/>
        </w:rPr>
        <w:t>и</w:t>
      </w:r>
      <w:r w:rsidR="00091556" w:rsidRPr="002D1233">
        <w:rPr>
          <w:lang w:eastAsia="en-US"/>
        </w:rPr>
        <w:t> iii</w:t>
      </w:r>
      <w:r w:rsidR="00091556" w:rsidRPr="002D1233">
        <w:rPr>
          <w:lang w:val="ru-RU" w:eastAsia="en-US"/>
        </w:rPr>
        <w:t>)</w:t>
      </w:r>
      <w:r w:rsidR="002D1233">
        <w:rPr>
          <w:lang w:val="ru-RU" w:eastAsia="en-US"/>
        </w:rPr>
        <w:t>).</w:t>
      </w:r>
      <w:r w:rsidR="00A42509">
        <w:rPr>
          <w:lang w:val="ru-RU" w:eastAsia="en-US"/>
        </w:rPr>
        <w:t xml:space="preserve">  </w:t>
      </w:r>
    </w:p>
    <w:p w14:paraId="5B7237A9" w14:textId="602E0478" w:rsidR="00AB283A" w:rsidRPr="004540E8" w:rsidRDefault="004540E8" w:rsidP="00B511B2">
      <w:pPr>
        <w:pStyle w:val="ONUME"/>
        <w:rPr>
          <w:rFonts w:eastAsia="Times New Roman"/>
          <w:lang w:val="ru-RU" w:eastAsia="en-US"/>
        </w:rPr>
      </w:pPr>
      <w:r>
        <w:rPr>
          <w:lang w:val="ru-RU" w:eastAsia="en-US"/>
        </w:rPr>
        <w:t xml:space="preserve">И наконец, </w:t>
      </w:r>
      <w:r w:rsidRPr="004540E8">
        <w:rPr>
          <w:lang w:val="ru-RU"/>
        </w:rPr>
        <w:t xml:space="preserve">если международная заявка регулируется исключительно </w:t>
      </w:r>
      <w:r>
        <w:rPr>
          <w:lang w:val="ru-RU"/>
        </w:rPr>
        <w:t xml:space="preserve">Актом 1999 г., то </w:t>
      </w:r>
      <w:r w:rsidRPr="004540E8">
        <w:rPr>
          <w:lang w:val="ru-RU"/>
        </w:rPr>
        <w:t>датой подачи международной заявки, подан</w:t>
      </w:r>
      <w:r>
        <w:rPr>
          <w:lang w:val="ru-RU"/>
        </w:rPr>
        <w:t xml:space="preserve">ной через </w:t>
      </w:r>
      <w:r w:rsidR="00091556">
        <w:rPr>
          <w:lang w:val="ru-RU"/>
        </w:rPr>
        <w:t>в</w:t>
      </w:r>
      <w:r>
        <w:rPr>
          <w:lang w:val="ru-RU"/>
        </w:rPr>
        <w:t xml:space="preserve">едомство, является </w:t>
      </w:r>
      <w:r w:rsidRPr="004540E8">
        <w:rPr>
          <w:lang w:val="ru-RU"/>
        </w:rPr>
        <w:t xml:space="preserve">дата получения международной заявки этим </w:t>
      </w:r>
      <w:r w:rsidR="00091556">
        <w:rPr>
          <w:lang w:val="ru-RU"/>
        </w:rPr>
        <w:t>в</w:t>
      </w:r>
      <w:r w:rsidRPr="004540E8">
        <w:rPr>
          <w:lang w:val="ru-RU"/>
        </w:rPr>
        <w:t>едомством при условии, что она получена Международным бюро в те</w:t>
      </w:r>
      <w:r>
        <w:rPr>
          <w:lang w:val="ru-RU"/>
        </w:rPr>
        <w:t>чение одного месяца с этой даты (правил</w:t>
      </w:r>
      <w:r w:rsidR="00091556">
        <w:rPr>
          <w:lang w:val="ru-RU"/>
        </w:rPr>
        <w:t>о</w:t>
      </w:r>
      <w:r>
        <w:rPr>
          <w:lang w:val="ru-RU"/>
        </w:rPr>
        <w:t xml:space="preserve"> 13</w:t>
      </w:r>
      <w:r w:rsidR="00091556">
        <w:rPr>
          <w:lang w:val="ru-RU"/>
        </w:rPr>
        <w:t>(3)(</w:t>
      </w:r>
      <w:r w:rsidR="00091556" w:rsidRPr="004540E8">
        <w:rPr>
          <w:lang w:val="ru-RU"/>
        </w:rPr>
        <w:t>i)</w:t>
      </w:r>
      <w:r>
        <w:rPr>
          <w:lang w:val="ru-RU"/>
        </w:rPr>
        <w:t xml:space="preserve">). </w:t>
      </w:r>
      <w:r w:rsidR="0087217C">
        <w:rPr>
          <w:lang w:val="ru-RU"/>
        </w:rPr>
        <w:t xml:space="preserve"> </w:t>
      </w:r>
      <w:r w:rsidR="00091556">
        <w:rPr>
          <w:lang w:val="ru-RU"/>
        </w:rPr>
        <w:t>Е</w:t>
      </w:r>
      <w:r>
        <w:rPr>
          <w:lang w:val="ru-RU"/>
        </w:rPr>
        <w:t xml:space="preserve">сли </w:t>
      </w:r>
      <w:r w:rsidR="00091556">
        <w:rPr>
          <w:lang w:val="ru-RU"/>
        </w:rPr>
        <w:t xml:space="preserve">же </w:t>
      </w:r>
      <w:r>
        <w:rPr>
          <w:lang w:val="ru-RU"/>
        </w:rPr>
        <w:t xml:space="preserve">какая-либо из договаривающихся сторон указана в соответствии с Актом 1960 г., то есть международная заявка регулируется исключительно или частично Актом 1960 г., </w:t>
      </w:r>
      <w:r w:rsidR="00B511B2">
        <w:rPr>
          <w:lang w:val="ru-RU"/>
        </w:rPr>
        <w:t>датой подачи будет считаться дата получения международной з</w:t>
      </w:r>
      <w:r w:rsidR="00091556">
        <w:rPr>
          <w:lang w:val="ru-RU"/>
        </w:rPr>
        <w:t>аявки Международным бюро (</w:t>
      </w:r>
      <w:r w:rsidR="00B511B2">
        <w:rPr>
          <w:lang w:val="ru-RU"/>
        </w:rPr>
        <w:t>правил</w:t>
      </w:r>
      <w:r w:rsidR="00091556">
        <w:rPr>
          <w:lang w:val="ru-RU"/>
        </w:rPr>
        <w:t>о</w:t>
      </w:r>
      <w:r w:rsidR="00B511B2">
        <w:rPr>
          <w:lang w:val="ru-RU"/>
        </w:rPr>
        <w:t xml:space="preserve"> 13</w:t>
      </w:r>
      <w:r w:rsidR="00091556">
        <w:rPr>
          <w:lang w:val="ru-RU"/>
        </w:rPr>
        <w:t>(3)</w:t>
      </w:r>
      <w:r w:rsidR="00091556" w:rsidRPr="004540E8">
        <w:rPr>
          <w:lang w:val="ru-RU"/>
        </w:rPr>
        <w:t>(</w:t>
      </w:r>
      <w:r w:rsidR="00091556" w:rsidRPr="00B511B2">
        <w:rPr>
          <w:lang w:val="ru-RU"/>
        </w:rPr>
        <w:t>ii</w:t>
      </w:r>
      <w:r w:rsidR="00091556" w:rsidRPr="004540E8">
        <w:rPr>
          <w:lang w:val="ru-RU"/>
        </w:rPr>
        <w:t>)</w:t>
      </w:r>
      <w:r w:rsidR="00B511B2">
        <w:rPr>
          <w:lang w:val="ru-RU"/>
        </w:rPr>
        <w:t>).</w:t>
      </w:r>
      <w:r w:rsidR="00A42509">
        <w:rPr>
          <w:lang w:val="ru-RU"/>
        </w:rPr>
        <w:t xml:space="preserve">  </w:t>
      </w:r>
    </w:p>
    <w:p w14:paraId="18DD0DB3" w14:textId="29C7CA8B" w:rsidR="00CD5EAC" w:rsidRPr="00B511B2" w:rsidRDefault="00CD5EAC" w:rsidP="005C54DD">
      <w:pPr>
        <w:pStyle w:val="Heading1"/>
        <w:numPr>
          <w:ilvl w:val="0"/>
          <w:numId w:val="0"/>
        </w:numPr>
        <w:spacing w:before="480" w:after="240"/>
        <w:rPr>
          <w:lang w:val="ru-RU"/>
        </w:rPr>
      </w:pPr>
      <w:r>
        <w:t>V.</w:t>
      </w:r>
      <w:r>
        <w:tab/>
      </w:r>
      <w:r w:rsidR="00B511B2">
        <w:rPr>
          <w:lang w:val="ru-RU"/>
        </w:rPr>
        <w:t>Выводы</w:t>
      </w:r>
    </w:p>
    <w:p w14:paraId="57AED8C0" w14:textId="60620D49" w:rsidR="00311792" w:rsidRDefault="00B511B2" w:rsidP="00581B37">
      <w:pPr>
        <w:pStyle w:val="ONUME"/>
        <w:rPr>
          <w:lang w:val="ru-RU"/>
        </w:rPr>
      </w:pPr>
      <w:r>
        <w:rPr>
          <w:lang w:val="ru-RU"/>
        </w:rPr>
        <w:t xml:space="preserve">Несмотря на то, что Акт 1960 г. используется все реже, он продолжает учитываться в полной мере. 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Однако одновременное существование двух актов, предусматривающих параллельные процедуры, не только создает трудности правового и процедурного характера, как было описано в предыдущих пунктах, но и повышает расходы, связанные с управлением. </w:t>
      </w:r>
      <w:r w:rsidR="0087217C">
        <w:rPr>
          <w:lang w:val="ru-RU"/>
        </w:rPr>
        <w:t xml:space="preserve"> </w:t>
      </w:r>
      <w:r w:rsidR="00581B37">
        <w:rPr>
          <w:lang w:val="ru-RU"/>
        </w:rPr>
        <w:t>В связи с этим в предложенном варианте Программы и бюджета на</w:t>
      </w:r>
      <w:r w:rsidR="005E2B47">
        <w:rPr>
          <w:lang w:val="fr-CH"/>
        </w:rPr>
        <w:t> </w:t>
      </w:r>
      <w:r w:rsidR="00581B37">
        <w:rPr>
          <w:lang w:val="ru-RU"/>
        </w:rPr>
        <w:t>2020</w:t>
      </w:r>
      <w:r w:rsidR="005E2B47">
        <w:rPr>
          <w:lang w:val="ru-RU"/>
        </w:rPr>
        <w:noBreakHyphen/>
      </w:r>
      <w:r w:rsidR="00581B37">
        <w:rPr>
          <w:lang w:val="ru-RU"/>
        </w:rPr>
        <w:t>2021</w:t>
      </w:r>
      <w:r w:rsidR="00581B37" w:rsidRPr="00581B37">
        <w:rPr>
          <w:lang w:val="ru-RU"/>
        </w:rPr>
        <w:t xml:space="preserve"> гг.</w:t>
      </w:r>
      <w:r w:rsidR="0087217C">
        <w:rPr>
          <w:lang w:val="ru-RU"/>
        </w:rPr>
        <w:t xml:space="preserve"> </w:t>
      </w:r>
      <w:r w:rsidR="00581B37">
        <w:rPr>
          <w:lang w:val="ru-RU"/>
        </w:rPr>
        <w:t>обеспечение преимущественной силы Акта 1999 г. в Гаагской системе по</w:t>
      </w:r>
      <w:r w:rsidR="005E2B47">
        <w:rPr>
          <w:lang w:val="ru-RU"/>
        </w:rPr>
        <w:noBreakHyphen/>
      </w:r>
      <w:r w:rsidR="00581B37">
        <w:rPr>
          <w:lang w:val="ru-RU"/>
        </w:rPr>
        <w:t>прежнему рассматривается в качестве одного из показателей результативности, связанных с ожидаемым</w:t>
      </w:r>
      <w:r w:rsidR="00581B37" w:rsidRPr="00581B37">
        <w:rPr>
          <w:lang w:val="ru-RU"/>
        </w:rPr>
        <w:t xml:space="preserve"> </w:t>
      </w:r>
      <w:r w:rsidR="00581B37">
        <w:rPr>
          <w:lang w:val="ru-RU"/>
        </w:rPr>
        <w:t>«п</w:t>
      </w:r>
      <w:r w:rsidR="00581B37" w:rsidRPr="00581B37">
        <w:rPr>
          <w:lang w:val="ru-RU"/>
        </w:rPr>
        <w:t>овышение</w:t>
      </w:r>
      <w:r w:rsidR="00581B37">
        <w:rPr>
          <w:lang w:val="ru-RU"/>
        </w:rPr>
        <w:t>м</w:t>
      </w:r>
      <w:r w:rsidR="00581B37" w:rsidRPr="00581B37">
        <w:rPr>
          <w:lang w:val="ru-RU"/>
        </w:rPr>
        <w:t xml:space="preserve"> продуктивности и качества услуг в рамках операций Гаагской системы»</w:t>
      </w:r>
      <w:r w:rsidR="00581B37" w:rsidRPr="00581B37">
        <w:rPr>
          <w:rStyle w:val="FootnoteReference"/>
          <w:lang w:val="ru-RU"/>
        </w:rPr>
        <w:t xml:space="preserve"> </w:t>
      </w:r>
      <w:r w:rsidR="00581B37" w:rsidRPr="00581B37">
        <w:rPr>
          <w:rStyle w:val="FootnoteReference"/>
        </w:rPr>
        <w:footnoteReference w:id="6"/>
      </w:r>
      <w:r w:rsidR="00581B37" w:rsidRPr="00581B37">
        <w:rPr>
          <w:lang w:val="ru-RU"/>
        </w:rPr>
        <w:t>.</w:t>
      </w:r>
      <w:r w:rsidR="00581B37">
        <w:rPr>
          <w:lang w:val="ru-RU"/>
        </w:rPr>
        <w:t xml:space="preserve"> </w:t>
      </w:r>
      <w:r w:rsidR="0087217C">
        <w:rPr>
          <w:lang w:val="ru-RU"/>
        </w:rPr>
        <w:t xml:space="preserve"> </w:t>
      </w:r>
      <w:r w:rsidR="00581B37">
        <w:rPr>
          <w:lang w:val="ru-RU"/>
        </w:rPr>
        <w:t xml:space="preserve">По мере </w:t>
      </w:r>
      <w:r w:rsidR="00EF5E9E">
        <w:rPr>
          <w:lang w:val="ru-RU"/>
        </w:rPr>
        <w:t>присоединения</w:t>
      </w:r>
      <w:r w:rsidR="00581B37">
        <w:rPr>
          <w:lang w:val="ru-RU"/>
        </w:rPr>
        <w:t xml:space="preserve"> к Акту 1999 г. все больше</w:t>
      </w:r>
      <w:r w:rsidR="00EF5E9E">
        <w:rPr>
          <w:lang w:val="ru-RU"/>
        </w:rPr>
        <w:t>го числа</w:t>
      </w:r>
      <w:r w:rsidR="00845901">
        <w:rPr>
          <w:lang w:val="ru-RU"/>
        </w:rPr>
        <w:t xml:space="preserve"> участников Акта 1960 г.</w:t>
      </w:r>
      <w:r w:rsidR="00581B37">
        <w:rPr>
          <w:lang w:val="ru-RU"/>
        </w:rPr>
        <w:t xml:space="preserve"> </w:t>
      </w:r>
      <w:r w:rsidR="00472CF4">
        <w:rPr>
          <w:lang w:val="ru-RU"/>
        </w:rPr>
        <w:t xml:space="preserve">практическая значимость Акта 1960 г., как ожидается, будет уменьшаться, что в конечном итоге </w:t>
      </w:r>
      <w:r w:rsidR="00845901">
        <w:rPr>
          <w:lang w:val="ru-RU"/>
        </w:rPr>
        <w:t>позволит</w:t>
      </w:r>
      <w:r w:rsidR="00472CF4">
        <w:rPr>
          <w:lang w:val="ru-RU"/>
        </w:rPr>
        <w:t xml:space="preserve"> принять активные меры </w:t>
      </w:r>
      <w:r w:rsidR="00A42509">
        <w:rPr>
          <w:lang w:val="ru-RU"/>
        </w:rPr>
        <w:t>для</w:t>
      </w:r>
      <w:r w:rsidR="00472CF4">
        <w:rPr>
          <w:lang w:val="ru-RU"/>
        </w:rPr>
        <w:t xml:space="preserve"> </w:t>
      </w:r>
      <w:r w:rsidR="00845901">
        <w:rPr>
          <w:lang w:val="ru-RU"/>
        </w:rPr>
        <w:t>обеспечени</w:t>
      </w:r>
      <w:r w:rsidR="00A42509">
        <w:rPr>
          <w:lang w:val="ru-RU"/>
        </w:rPr>
        <w:t>я</w:t>
      </w:r>
      <w:r w:rsidR="00845901">
        <w:rPr>
          <w:lang w:val="ru-RU"/>
        </w:rPr>
        <w:t xml:space="preserve"> центральной роли </w:t>
      </w:r>
      <w:r w:rsidR="00472CF4">
        <w:rPr>
          <w:lang w:val="ru-RU"/>
        </w:rPr>
        <w:t xml:space="preserve">Акта 1999 г. в Гаагской </w:t>
      </w:r>
      <w:r w:rsidR="00472CF4" w:rsidRPr="00845901">
        <w:rPr>
          <w:lang w:val="ru-RU"/>
        </w:rPr>
        <w:t>систем</w:t>
      </w:r>
      <w:r w:rsidR="00845901" w:rsidRPr="00845901">
        <w:rPr>
          <w:lang w:val="ru-RU"/>
        </w:rPr>
        <w:t>е</w:t>
      </w:r>
      <w:r w:rsidR="00472CF4" w:rsidRPr="00845901">
        <w:rPr>
          <w:rStyle w:val="FootnoteReference"/>
        </w:rPr>
        <w:footnoteReference w:id="7"/>
      </w:r>
      <w:r w:rsidR="00472CF4" w:rsidRPr="00845901">
        <w:rPr>
          <w:lang w:val="ru-RU"/>
        </w:rPr>
        <w:t>.</w:t>
      </w:r>
      <w:r w:rsidR="00472CF4">
        <w:rPr>
          <w:lang w:val="ru-RU"/>
        </w:rPr>
        <w:t xml:space="preserve"> </w:t>
      </w:r>
      <w:r w:rsidR="0087217C">
        <w:rPr>
          <w:lang w:val="ru-RU"/>
        </w:rPr>
        <w:t xml:space="preserve"> </w:t>
      </w:r>
      <w:r w:rsidR="00472CF4">
        <w:rPr>
          <w:lang w:val="ru-RU"/>
        </w:rPr>
        <w:t>Международное бюро будет и дальше следить за ситуацией и</w:t>
      </w:r>
      <w:r w:rsidR="00A42509">
        <w:rPr>
          <w:lang w:val="ru-RU"/>
        </w:rPr>
        <w:t xml:space="preserve"> информировать Рабочую группу о</w:t>
      </w:r>
      <w:r w:rsidR="00472CF4">
        <w:rPr>
          <w:lang w:val="ru-RU"/>
        </w:rPr>
        <w:t xml:space="preserve"> происходящих изменениях. </w:t>
      </w:r>
      <w:r w:rsidR="0087217C">
        <w:rPr>
          <w:lang w:val="ru-RU"/>
        </w:rPr>
        <w:t xml:space="preserve"> </w:t>
      </w:r>
    </w:p>
    <w:p w14:paraId="466F33D6" w14:textId="7ECA29B1" w:rsidR="00C2147B" w:rsidRPr="00311792" w:rsidRDefault="00311792" w:rsidP="00311792">
      <w:pPr>
        <w:rPr>
          <w:lang w:val="ru-RU"/>
        </w:rPr>
      </w:pPr>
      <w:r>
        <w:rPr>
          <w:lang w:val="ru-RU"/>
        </w:rPr>
        <w:br w:type="page"/>
      </w:r>
    </w:p>
    <w:p w14:paraId="1B38E5CA" w14:textId="4425DEF9" w:rsidR="00131EDE" w:rsidRPr="005A4FDE" w:rsidRDefault="00131EDE" w:rsidP="00131EDE">
      <w:pPr>
        <w:pStyle w:val="ONUME"/>
        <w:tabs>
          <w:tab w:val="left" w:pos="6237"/>
        </w:tabs>
        <w:ind w:left="5533"/>
        <w:rPr>
          <w:i/>
          <w:lang w:val="ru-RU"/>
        </w:rPr>
      </w:pPr>
      <w:r w:rsidRPr="00131EDE">
        <w:rPr>
          <w:i/>
          <w:lang w:val="ru-RU"/>
        </w:rPr>
        <w:lastRenderedPageBreak/>
        <w:t>Рабочей группе предлагается принять к сведению содержание настоящего документа</w:t>
      </w:r>
      <w:r>
        <w:rPr>
          <w:i/>
          <w:lang w:val="ru-RU"/>
        </w:rPr>
        <w:t>.</w:t>
      </w:r>
    </w:p>
    <w:p w14:paraId="155B591A" w14:textId="363C5593" w:rsidR="00F23DE3" w:rsidRPr="00472CF4" w:rsidRDefault="00F23DE3" w:rsidP="007C5AFA">
      <w:pPr>
        <w:pStyle w:val="Endofdocument-Annex"/>
        <w:spacing w:before="720"/>
        <w:rPr>
          <w:lang w:val="ru-RU"/>
        </w:rPr>
      </w:pPr>
      <w:r w:rsidRPr="00472CF4">
        <w:rPr>
          <w:lang w:val="ru-RU"/>
        </w:rPr>
        <w:t>[</w:t>
      </w:r>
      <w:r w:rsidR="00131EDE" w:rsidRPr="005A4FDE">
        <w:rPr>
          <w:lang w:val="ru-RU"/>
        </w:rPr>
        <w:t>Приложения следуют</w:t>
      </w:r>
      <w:r w:rsidRPr="00472CF4">
        <w:rPr>
          <w:lang w:val="ru-RU"/>
        </w:rPr>
        <w:t>]</w:t>
      </w:r>
    </w:p>
    <w:p w14:paraId="60474AF7" w14:textId="1363C73F" w:rsidR="005E3A93" w:rsidRPr="00472CF4" w:rsidRDefault="005E3A93" w:rsidP="00F23DE3">
      <w:pPr>
        <w:rPr>
          <w:lang w:val="ru-RU"/>
        </w:rPr>
      </w:pPr>
    </w:p>
    <w:p w14:paraId="75DF7893" w14:textId="77777777" w:rsidR="005E3A93" w:rsidRPr="00472CF4" w:rsidRDefault="005E3A93" w:rsidP="00F23DE3">
      <w:pPr>
        <w:rPr>
          <w:lang w:val="ru-RU"/>
        </w:rPr>
        <w:sectPr w:rsidR="005E3A93" w:rsidRPr="00472CF4" w:rsidSect="00532629">
          <w:headerReference w:type="even" r:id="rId9"/>
          <w:headerReference w:type="default" r:id="rId10"/>
          <w:endnotePr>
            <w:numFmt w:val="decimal"/>
          </w:endnotePr>
          <w:type w:val="nextColumn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B75A08E" w14:textId="2C3054E7" w:rsidR="005E3A93" w:rsidRPr="00EF5E9E" w:rsidRDefault="005A4FDE" w:rsidP="005E3A93">
      <w:pPr>
        <w:outlineLvl w:val="0"/>
        <w:rPr>
          <w:b/>
          <w:lang w:val="ru-RU"/>
        </w:rPr>
      </w:pPr>
      <w:bookmarkStart w:id="5" w:name="RANGE!A1:E27"/>
      <w:bookmarkEnd w:id="5"/>
      <w:r>
        <w:rPr>
          <w:b/>
          <w:lang w:val="ru-RU"/>
        </w:rPr>
        <w:lastRenderedPageBreak/>
        <w:t>ЧЛЕНЫ</w:t>
      </w:r>
      <w:r w:rsidRPr="00EF5E9E">
        <w:rPr>
          <w:b/>
          <w:lang w:val="ru-RU"/>
        </w:rPr>
        <w:t xml:space="preserve"> </w:t>
      </w:r>
      <w:r>
        <w:rPr>
          <w:b/>
          <w:lang w:val="ru-RU"/>
        </w:rPr>
        <w:t>ГААГСКОГО</w:t>
      </w:r>
      <w:r w:rsidRPr="00EF5E9E">
        <w:rPr>
          <w:b/>
          <w:lang w:val="ru-RU"/>
        </w:rPr>
        <w:t xml:space="preserve"> </w:t>
      </w:r>
      <w:r>
        <w:rPr>
          <w:b/>
          <w:lang w:val="ru-RU"/>
        </w:rPr>
        <w:t>СОЮЗА</w:t>
      </w:r>
      <w:r w:rsidR="005E3A93">
        <w:rPr>
          <w:rStyle w:val="FootnoteReference"/>
          <w:b/>
        </w:rPr>
        <w:footnoteReference w:id="8"/>
      </w:r>
    </w:p>
    <w:p w14:paraId="153D36C5" w14:textId="32CBD3E1" w:rsidR="005E3A93" w:rsidRPr="006430DE" w:rsidRDefault="005A4FDE" w:rsidP="006430DE">
      <w:pPr>
        <w:spacing w:before="240"/>
        <w:outlineLvl w:val="0"/>
        <w:rPr>
          <w:b/>
          <w:lang w:val="ru-RU"/>
        </w:rPr>
      </w:pPr>
      <w:r>
        <w:rPr>
          <w:b/>
          <w:lang w:val="ru-RU"/>
        </w:rPr>
        <w:t>Связанные</w:t>
      </w:r>
      <w:r w:rsidRPr="006430DE">
        <w:rPr>
          <w:b/>
          <w:lang w:val="ru-RU"/>
        </w:rPr>
        <w:t xml:space="preserve"> </w:t>
      </w:r>
      <w:r>
        <w:rPr>
          <w:b/>
          <w:lang w:val="ru-RU"/>
        </w:rPr>
        <w:t>только</w:t>
      </w:r>
      <w:r w:rsidRPr="006430DE">
        <w:rPr>
          <w:b/>
          <w:lang w:val="ru-RU"/>
        </w:rPr>
        <w:t xml:space="preserve"> </w:t>
      </w:r>
      <w:r>
        <w:rPr>
          <w:b/>
          <w:lang w:val="ru-RU"/>
        </w:rPr>
        <w:t>положениями</w:t>
      </w:r>
      <w:r w:rsidRPr="006430DE">
        <w:rPr>
          <w:b/>
          <w:lang w:val="ru-RU"/>
        </w:rPr>
        <w:t xml:space="preserve"> </w:t>
      </w:r>
      <w:r>
        <w:rPr>
          <w:b/>
          <w:lang w:val="ru-RU"/>
        </w:rPr>
        <w:t>Акта</w:t>
      </w:r>
      <w:r w:rsidRPr="006430DE">
        <w:rPr>
          <w:b/>
          <w:lang w:val="ru-RU"/>
        </w:rPr>
        <w:t xml:space="preserve"> 1999</w:t>
      </w:r>
      <w:r w:rsidRPr="005A4FDE">
        <w:rPr>
          <w:b/>
        </w:rPr>
        <w:t> </w:t>
      </w:r>
      <w:r>
        <w:rPr>
          <w:b/>
          <w:lang w:val="ru-RU"/>
        </w:rPr>
        <w:t>г</w:t>
      </w:r>
      <w:r w:rsidRPr="006430DE">
        <w:rPr>
          <w:b/>
          <w:lang w:val="ru-RU"/>
        </w:rPr>
        <w:t xml:space="preserve">. </w:t>
      </w:r>
    </w:p>
    <w:p w14:paraId="2AE8DF9C" w14:textId="0E06AAD4" w:rsidR="006430DE" w:rsidRPr="006430DE" w:rsidRDefault="006430DE" w:rsidP="005E3A93">
      <w:pPr>
        <w:spacing w:before="240"/>
        <w:rPr>
          <w:lang w:val="ru-RU"/>
        </w:rPr>
      </w:pPr>
      <w:r>
        <w:rPr>
          <w:lang w:val="ru-RU"/>
        </w:rPr>
        <w:t xml:space="preserve">Азербайджан, Армения, </w:t>
      </w:r>
      <w:r w:rsidRPr="006430DE">
        <w:rPr>
          <w:lang w:val="ru-RU"/>
        </w:rPr>
        <w:t>Африканск</w:t>
      </w:r>
      <w:r w:rsidR="003F6A68">
        <w:rPr>
          <w:lang w:val="ru-RU"/>
        </w:rPr>
        <w:t>ая</w:t>
      </w:r>
      <w:r w:rsidRPr="006430DE">
        <w:rPr>
          <w:lang w:val="ru-RU"/>
        </w:rPr>
        <w:t xml:space="preserve"> организаци</w:t>
      </w:r>
      <w:r w:rsidR="003F6A68">
        <w:rPr>
          <w:lang w:val="ru-RU"/>
        </w:rPr>
        <w:t>я</w:t>
      </w:r>
      <w:r w:rsidRPr="006430DE">
        <w:rPr>
          <w:lang w:val="ru-RU"/>
        </w:rPr>
        <w:t xml:space="preserve"> интеллектуальной собственности</w:t>
      </w:r>
      <w:r w:rsidR="005E2B47">
        <w:rPr>
          <w:lang w:val="fr-CH"/>
        </w:rPr>
        <w:t> </w:t>
      </w:r>
      <w:r w:rsidRPr="006430DE">
        <w:rPr>
          <w:lang w:val="ru-RU"/>
        </w:rPr>
        <w:t>(АОИС)</w:t>
      </w:r>
      <w:r>
        <w:rPr>
          <w:lang w:val="ru-RU"/>
        </w:rPr>
        <w:t xml:space="preserve">, Босния и Герцеговина, Ботсвана, </w:t>
      </w:r>
      <w:r w:rsidRPr="006430DE">
        <w:rPr>
          <w:lang w:val="ru-RU"/>
        </w:rPr>
        <w:t>Бруней-Даруссалам</w:t>
      </w:r>
      <w:r>
        <w:rPr>
          <w:lang w:val="ru-RU"/>
        </w:rPr>
        <w:t xml:space="preserve">, Гана, Дания, Европейский союз, Египет, Исландия, Камбоджа, Канада, Латвия, Литва, Намибия, Норвегия, Оман, Польша, Республика Корея, Российская Федерация, Руанда, Сан-Марино, </w:t>
      </w:r>
      <w:r w:rsidRPr="006430DE">
        <w:rPr>
          <w:lang w:val="ru-RU"/>
        </w:rPr>
        <w:t>Сан-Томе и Принсипи</w:t>
      </w:r>
      <w:r>
        <w:rPr>
          <w:lang w:val="ru-RU"/>
        </w:rPr>
        <w:t>, Сингапур, Испания, Сирийская Арабская Республика, Соединенное Королевство, Соединенные Штаты Америки</w:t>
      </w:r>
      <w:r w:rsidR="00733CD8">
        <w:rPr>
          <w:lang w:val="ru-RU"/>
        </w:rPr>
        <w:t>,</w:t>
      </w:r>
      <w:r>
        <w:rPr>
          <w:lang w:val="ru-RU"/>
        </w:rPr>
        <w:t xml:space="preserve"> Таджикистан, Тунис, Туркменистан, Турция, Финляндия, Эстония и Япония (36)</w:t>
      </w:r>
    </w:p>
    <w:p w14:paraId="6524BA0A" w14:textId="4D8BA0D7" w:rsidR="005E3A93" w:rsidRPr="005A4FDE" w:rsidRDefault="005A4FDE" w:rsidP="005E3A93">
      <w:pPr>
        <w:spacing w:before="240"/>
        <w:outlineLvl w:val="0"/>
        <w:rPr>
          <w:b/>
          <w:lang w:val="ru-RU"/>
        </w:rPr>
      </w:pPr>
      <w:r>
        <w:rPr>
          <w:b/>
          <w:lang w:val="ru-RU"/>
        </w:rPr>
        <w:t>Связанные положениями Акта 1999 г. и Акта 1960 г.</w:t>
      </w:r>
    </w:p>
    <w:p w14:paraId="4CC654EE" w14:textId="7157EE81" w:rsidR="00733CD8" w:rsidRDefault="00733CD8" w:rsidP="005E3A93">
      <w:pPr>
        <w:spacing w:before="240"/>
        <w:rPr>
          <w:lang w:val="ru-RU"/>
        </w:rPr>
      </w:pPr>
      <w:r>
        <w:rPr>
          <w:lang w:val="ru-RU"/>
        </w:rPr>
        <w:t xml:space="preserve">Албания, Белиз, Бельгия, Болгария, Венгрия, Германия, Грузия, </w:t>
      </w:r>
      <w:r w:rsidRPr="00733CD8">
        <w:rPr>
          <w:lang w:val="ru-RU"/>
        </w:rPr>
        <w:t>Корейская Народно-Демократическая Республика</w:t>
      </w:r>
      <w:r>
        <w:rPr>
          <w:lang w:val="ru-RU"/>
        </w:rPr>
        <w:t>, Кыргызстан, Лихтенштейн, Люксембург, Монако, Монголия, Нидерланды, Республика Молдова, Румыния, Северная Македония, Сербия, Словения, Украина, Франция, Хорватия, Черногория и Швейцария (24)</w:t>
      </w:r>
    </w:p>
    <w:p w14:paraId="53E63885" w14:textId="273F72AD" w:rsidR="005E3A93" w:rsidRPr="005A4FDE" w:rsidRDefault="005A4FDE" w:rsidP="005E3A93">
      <w:pPr>
        <w:spacing w:before="240"/>
        <w:outlineLvl w:val="0"/>
        <w:rPr>
          <w:b/>
          <w:lang w:val="ru-RU"/>
        </w:rPr>
      </w:pPr>
      <w:r>
        <w:rPr>
          <w:b/>
          <w:lang w:val="ru-RU"/>
        </w:rPr>
        <w:t>Связанные</w:t>
      </w:r>
      <w:r w:rsidRPr="005A4FDE">
        <w:rPr>
          <w:b/>
          <w:lang w:val="ru-RU"/>
        </w:rPr>
        <w:t xml:space="preserve"> </w:t>
      </w:r>
      <w:r>
        <w:rPr>
          <w:b/>
          <w:lang w:val="ru-RU"/>
        </w:rPr>
        <w:t>только</w:t>
      </w:r>
      <w:r w:rsidRPr="005A4FDE">
        <w:rPr>
          <w:b/>
          <w:lang w:val="ru-RU"/>
        </w:rPr>
        <w:t xml:space="preserve"> </w:t>
      </w:r>
      <w:r>
        <w:rPr>
          <w:b/>
          <w:lang w:val="ru-RU"/>
        </w:rPr>
        <w:t>положениями</w:t>
      </w:r>
      <w:r w:rsidRPr="005A4FDE">
        <w:rPr>
          <w:b/>
          <w:lang w:val="ru-RU"/>
        </w:rPr>
        <w:t xml:space="preserve"> </w:t>
      </w:r>
      <w:r>
        <w:rPr>
          <w:b/>
          <w:lang w:val="ru-RU"/>
        </w:rPr>
        <w:t>Акта</w:t>
      </w:r>
      <w:r w:rsidRPr="005A4FDE">
        <w:rPr>
          <w:b/>
          <w:lang w:val="ru-RU"/>
        </w:rPr>
        <w:t xml:space="preserve"> 19</w:t>
      </w:r>
      <w:r>
        <w:rPr>
          <w:b/>
          <w:lang w:val="ru-RU"/>
        </w:rPr>
        <w:t>60</w:t>
      </w:r>
      <w:r w:rsidRPr="005A4FDE">
        <w:rPr>
          <w:b/>
        </w:rPr>
        <w:t> </w:t>
      </w:r>
      <w:r>
        <w:rPr>
          <w:b/>
          <w:lang w:val="ru-RU"/>
        </w:rPr>
        <w:t>г</w:t>
      </w:r>
      <w:r w:rsidRPr="005A4FDE">
        <w:rPr>
          <w:b/>
          <w:lang w:val="ru-RU"/>
        </w:rPr>
        <w:t>.</w:t>
      </w:r>
    </w:p>
    <w:p w14:paraId="7512B5B0" w14:textId="77777777" w:rsidR="005E3A93" w:rsidRPr="00733CD8" w:rsidRDefault="00733CD8" w:rsidP="005E3A93">
      <w:pPr>
        <w:spacing w:before="240" w:after="720"/>
        <w:rPr>
          <w:lang w:val="ru-RU"/>
        </w:rPr>
      </w:pPr>
      <w:r>
        <w:rPr>
          <w:lang w:val="ru-RU"/>
        </w:rPr>
        <w:t>Бенин</w:t>
      </w:r>
      <w:r w:rsidRPr="004D07C9">
        <w:rPr>
          <w:rStyle w:val="FootnoteReference"/>
        </w:rPr>
        <w:footnoteReference w:id="9"/>
      </w:r>
      <w:r w:rsidRPr="00733CD8">
        <w:rPr>
          <w:rStyle w:val="FootnoteReference"/>
          <w:vertAlign w:val="baseline"/>
          <w:lang w:val="ru-RU"/>
        </w:rPr>
        <w:t>,</w:t>
      </w:r>
      <w:r w:rsidRPr="00733CD8">
        <w:rPr>
          <w:lang w:val="ru-RU"/>
        </w:rPr>
        <w:t xml:space="preserve"> </w:t>
      </w:r>
      <w:r>
        <w:rPr>
          <w:lang w:val="ru-RU"/>
        </w:rPr>
        <w:t>Габон</w:t>
      </w:r>
      <w:r w:rsidRPr="004D07C9">
        <w:rPr>
          <w:rStyle w:val="FootnoteReference"/>
        </w:rPr>
        <w:footnoteReference w:id="10"/>
      </w:r>
      <w:r w:rsidRPr="00733CD8">
        <w:rPr>
          <w:lang w:val="ru-RU"/>
        </w:rPr>
        <w:t xml:space="preserve">, </w:t>
      </w:r>
      <w:r>
        <w:rPr>
          <w:lang w:val="ru-RU"/>
        </w:rPr>
        <w:t>Греция</w:t>
      </w:r>
      <w:r w:rsidRPr="004D07C9">
        <w:rPr>
          <w:rStyle w:val="FootnoteReference"/>
        </w:rPr>
        <w:footnoteReference w:id="11"/>
      </w:r>
      <w:r w:rsidRPr="00733CD8">
        <w:rPr>
          <w:lang w:val="ru-RU"/>
        </w:rPr>
        <w:t xml:space="preserve">, </w:t>
      </w:r>
      <w:r>
        <w:rPr>
          <w:lang w:val="ru-RU"/>
        </w:rPr>
        <w:t>Италия</w:t>
      </w:r>
      <w:r w:rsidRPr="004D07C9">
        <w:rPr>
          <w:rStyle w:val="FootnoteReference"/>
        </w:rPr>
        <w:footnoteReference w:id="12"/>
      </w:r>
      <w:r w:rsidRPr="00733CD8">
        <w:rPr>
          <w:rStyle w:val="FootnoteReference"/>
          <w:vertAlign w:val="baseline"/>
          <w:lang w:val="ru-RU"/>
        </w:rPr>
        <w:t>,</w:t>
      </w:r>
      <w:r w:rsidRPr="00733CD8">
        <w:rPr>
          <w:lang w:val="ru-RU"/>
        </w:rPr>
        <w:t xml:space="preserve"> Кот-д'Ивуар</w:t>
      </w:r>
      <w:r w:rsidRPr="004D07C9">
        <w:rPr>
          <w:rStyle w:val="FootnoteReference"/>
        </w:rPr>
        <w:footnoteReference w:id="13"/>
      </w:r>
      <w:r w:rsidRPr="00733CD8">
        <w:rPr>
          <w:rStyle w:val="FootnoteReference"/>
          <w:vertAlign w:val="baseline"/>
          <w:lang w:val="ru-RU"/>
        </w:rPr>
        <w:t>,</w:t>
      </w:r>
      <w:r w:rsidRPr="00733CD8">
        <w:rPr>
          <w:lang w:val="ru-RU"/>
        </w:rPr>
        <w:t xml:space="preserve"> </w:t>
      </w:r>
      <w:r>
        <w:rPr>
          <w:lang w:val="ru-RU"/>
        </w:rPr>
        <w:t>Мали</w:t>
      </w:r>
      <w:r w:rsidRPr="004D07C9">
        <w:rPr>
          <w:rStyle w:val="FootnoteReference"/>
        </w:rPr>
        <w:footnoteReference w:id="14"/>
      </w:r>
      <w:r w:rsidRPr="00733CD8">
        <w:rPr>
          <w:lang w:val="ru-RU"/>
        </w:rPr>
        <w:t xml:space="preserve">, </w:t>
      </w:r>
      <w:r>
        <w:rPr>
          <w:lang w:val="ru-RU"/>
        </w:rPr>
        <w:t>Марокко</w:t>
      </w:r>
      <w:r w:rsidRPr="00733CD8">
        <w:rPr>
          <w:lang w:val="ru-RU"/>
        </w:rPr>
        <w:t xml:space="preserve">, </w:t>
      </w:r>
      <w:r>
        <w:rPr>
          <w:lang w:val="ru-RU"/>
        </w:rPr>
        <w:t>Нигер</w:t>
      </w:r>
      <w:r w:rsidRPr="004D07C9">
        <w:rPr>
          <w:rStyle w:val="FootnoteReference"/>
        </w:rPr>
        <w:footnoteReference w:id="15"/>
      </w:r>
      <w:r w:rsidRPr="00733CD8">
        <w:rPr>
          <w:lang w:val="ru-RU"/>
        </w:rPr>
        <w:t xml:space="preserve">, </w:t>
      </w:r>
      <w:r>
        <w:rPr>
          <w:lang w:val="ru-RU"/>
        </w:rPr>
        <w:t>Сенегал</w:t>
      </w:r>
      <w:r w:rsidRPr="004D07C9">
        <w:rPr>
          <w:rStyle w:val="FootnoteReference"/>
        </w:rPr>
        <w:footnoteReference w:id="16"/>
      </w:r>
      <w:r w:rsidRPr="00733CD8">
        <w:rPr>
          <w:rStyle w:val="FootnoteReference"/>
          <w:vertAlign w:val="baseline"/>
          <w:lang w:val="ru-RU"/>
        </w:rPr>
        <w:t>,</w:t>
      </w:r>
      <w:r w:rsidRPr="00733CD8">
        <w:rPr>
          <w:lang w:val="ru-RU"/>
        </w:rPr>
        <w:t xml:space="preserve"> </w:t>
      </w:r>
      <w:r>
        <w:rPr>
          <w:lang w:val="ru-RU"/>
        </w:rPr>
        <w:t>Суринам</w:t>
      </w:r>
      <w:r>
        <w:t> </w:t>
      </w:r>
      <w:r w:rsidR="005E3A93" w:rsidRPr="00733CD8">
        <w:rPr>
          <w:lang w:val="ru-RU"/>
        </w:rPr>
        <w:t>(10)</w:t>
      </w:r>
    </w:p>
    <w:p w14:paraId="568629D1" w14:textId="43F8F9A3" w:rsidR="00F23DE3" w:rsidRPr="00733CD8" w:rsidRDefault="005E3A93" w:rsidP="005E3A93">
      <w:pPr>
        <w:pStyle w:val="Endofdocument-Annex"/>
        <w:rPr>
          <w:lang w:val="ru-RU"/>
        </w:rPr>
      </w:pPr>
      <w:r w:rsidRPr="00733CD8">
        <w:rPr>
          <w:lang w:val="ru-RU"/>
        </w:rPr>
        <w:t>[</w:t>
      </w:r>
      <w:r w:rsidR="00733CD8" w:rsidRPr="006473A9">
        <w:rPr>
          <w:lang w:val="ru-RU"/>
        </w:rPr>
        <w:t xml:space="preserve">Приложение </w:t>
      </w:r>
      <w:r w:rsidR="00733CD8" w:rsidRPr="00733CD8">
        <w:t>II</w:t>
      </w:r>
      <w:r w:rsidR="00733CD8" w:rsidRPr="006473A9">
        <w:rPr>
          <w:lang w:val="ru-RU"/>
        </w:rPr>
        <w:t xml:space="preserve"> следует</w:t>
      </w:r>
      <w:r w:rsidRPr="00733CD8">
        <w:rPr>
          <w:lang w:val="ru-RU"/>
        </w:rPr>
        <w:t>]</w:t>
      </w:r>
    </w:p>
    <w:p w14:paraId="224BB306" w14:textId="77777777" w:rsidR="004132A7" w:rsidRPr="00733CD8" w:rsidRDefault="004132A7" w:rsidP="005E3A93">
      <w:pPr>
        <w:pStyle w:val="Endofdocument-Annex"/>
        <w:rPr>
          <w:lang w:val="ru-RU"/>
        </w:rPr>
        <w:sectPr w:rsidR="004132A7" w:rsidRPr="00733CD8" w:rsidSect="00532629">
          <w:headerReference w:type="first" r:id="rId11"/>
          <w:footnotePr>
            <w:numRestart w:val="eachSect"/>
          </w:footnotePr>
          <w:endnotePr>
            <w:numFmt w:val="decimal"/>
          </w:endnotePr>
          <w:type w:val="nextColumn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0D799022" w14:textId="5EFA4E52" w:rsidR="004132A7" w:rsidRPr="006473A9" w:rsidRDefault="006473A9" w:rsidP="004132A7">
      <w:pPr>
        <w:outlineLvl w:val="0"/>
        <w:rPr>
          <w:b/>
          <w:lang w:val="ru-RU"/>
        </w:rPr>
      </w:pPr>
      <w:r w:rsidRPr="006473A9">
        <w:rPr>
          <w:b/>
          <w:lang w:val="ru-RU"/>
        </w:rPr>
        <w:lastRenderedPageBreak/>
        <w:t>ЧЛЕНСКИЙ СОСТАВ ГААГСКОГО СОЮЗА</w:t>
      </w:r>
      <w:r w:rsidRPr="006473A9">
        <w:rPr>
          <w:rStyle w:val="FootnoteReference"/>
          <w:b/>
          <w:vertAlign w:val="baseline"/>
          <w:lang w:val="ru-RU"/>
        </w:rPr>
        <w:t xml:space="preserve"> </w:t>
      </w:r>
      <w:r w:rsidRPr="006473A9">
        <w:rPr>
          <w:b/>
          <w:lang w:val="ru-RU"/>
        </w:rPr>
        <w:t>В СООТВЕТСТВИИ С ПОСЛЕДНИМ АКТОМ</w:t>
      </w:r>
      <w:r w:rsidR="00C3523E">
        <w:rPr>
          <w:rStyle w:val="FootnoteReference"/>
          <w:b/>
        </w:rPr>
        <w:footnoteReference w:id="17"/>
      </w:r>
    </w:p>
    <w:p w14:paraId="0B9B30A9" w14:textId="77777777" w:rsidR="004132A7" w:rsidRPr="006473A9" w:rsidRDefault="004132A7" w:rsidP="004132A7">
      <w:pPr>
        <w:outlineLvl w:val="0"/>
        <w:rPr>
          <w:b/>
          <w:lang w:val="ru-RU"/>
        </w:rPr>
      </w:pPr>
    </w:p>
    <w:p w14:paraId="5BA681BC" w14:textId="0C45AA6C" w:rsidR="004132A7" w:rsidRDefault="004132A7" w:rsidP="004132A7">
      <w:pPr>
        <w:ind w:left="993"/>
      </w:pPr>
      <w:r w:rsidRPr="0067502F">
        <w:rPr>
          <w:noProof/>
          <w:lang w:eastAsia="en-US"/>
        </w:rPr>
        <w:drawing>
          <wp:inline distT="0" distB="0" distL="0" distR="0" wp14:anchorId="38D99017" wp14:editId="6241AAE3">
            <wp:extent cx="8065770" cy="433197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77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BE7EF" w14:textId="77777777" w:rsidR="004132A7" w:rsidRDefault="004132A7" w:rsidP="004132A7">
      <w:pPr>
        <w:ind w:left="993"/>
      </w:pPr>
    </w:p>
    <w:p w14:paraId="4CC087D5" w14:textId="0632D600" w:rsidR="00077054" w:rsidRDefault="00077054" w:rsidP="004132A7"/>
    <w:p w14:paraId="67487F56" w14:textId="6539ABAD" w:rsidR="00077054" w:rsidRDefault="00077054" w:rsidP="004132A7"/>
    <w:p w14:paraId="707BFCD6" w14:textId="4B6F790B" w:rsidR="00077054" w:rsidRPr="00EF5E9E" w:rsidRDefault="00077054" w:rsidP="00077054">
      <w:pPr>
        <w:pStyle w:val="Endofdocument-Annex"/>
        <w:ind w:left="8789"/>
        <w:rPr>
          <w:lang w:val="ru-RU"/>
        </w:rPr>
      </w:pPr>
      <w:r w:rsidRPr="00EF5E9E">
        <w:rPr>
          <w:lang w:val="ru-RU"/>
        </w:rPr>
        <w:t>[</w:t>
      </w:r>
      <w:r w:rsidR="006473A9" w:rsidRPr="00EF5E9E">
        <w:rPr>
          <w:lang w:val="ru-RU"/>
        </w:rPr>
        <w:t xml:space="preserve">Приложение </w:t>
      </w:r>
      <w:r w:rsidR="006473A9" w:rsidRPr="006473A9">
        <w:t>II</w:t>
      </w:r>
      <w:r w:rsidR="006473A9">
        <w:t>I</w:t>
      </w:r>
      <w:r w:rsidR="006473A9" w:rsidRPr="00EF5E9E">
        <w:rPr>
          <w:lang w:val="ru-RU"/>
        </w:rPr>
        <w:t xml:space="preserve"> следует</w:t>
      </w:r>
      <w:r w:rsidRPr="00EF5E9E">
        <w:rPr>
          <w:lang w:val="ru-RU"/>
        </w:rPr>
        <w:t>]</w:t>
      </w:r>
    </w:p>
    <w:p w14:paraId="2D0A8B1D" w14:textId="6BA8CD62" w:rsidR="00077054" w:rsidRPr="00EF5E9E" w:rsidRDefault="00077054" w:rsidP="004132A7">
      <w:pPr>
        <w:rPr>
          <w:lang w:val="ru-RU"/>
        </w:rPr>
      </w:pPr>
    </w:p>
    <w:p w14:paraId="45DC1F5D" w14:textId="77777777" w:rsidR="00077054" w:rsidRPr="00EF5E9E" w:rsidRDefault="00077054" w:rsidP="004132A7">
      <w:pPr>
        <w:rPr>
          <w:lang w:val="ru-RU"/>
        </w:rPr>
        <w:sectPr w:rsidR="00077054" w:rsidRPr="00EF5E9E" w:rsidSect="00532629">
          <w:headerReference w:type="first" r:id="rId13"/>
          <w:footnotePr>
            <w:numFmt w:val="chicago"/>
            <w:numRestart w:val="eachSect"/>
          </w:footnotePr>
          <w:endnotePr>
            <w:numFmt w:val="decimal"/>
          </w:endnotePr>
          <w:type w:val="nextColumn"/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14:paraId="7B63C819" w14:textId="49236CE6" w:rsidR="00D56070" w:rsidRPr="008C73D7" w:rsidRDefault="00DB4715" w:rsidP="00D56070">
      <w:pPr>
        <w:outlineLvl w:val="0"/>
        <w:rPr>
          <w:lang w:val="ru-RU"/>
        </w:rPr>
      </w:pPr>
      <w:r>
        <w:rPr>
          <w:lang w:val="ru-RU"/>
        </w:rPr>
        <w:lastRenderedPageBreak/>
        <w:t>УКАЗАНИЯ</w:t>
      </w:r>
      <w:r w:rsidRPr="00DB4715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DB4715">
        <w:rPr>
          <w:lang w:val="ru-RU"/>
        </w:rPr>
        <w:t xml:space="preserve"> </w:t>
      </w:r>
      <w:r>
        <w:rPr>
          <w:lang w:val="ru-RU"/>
        </w:rPr>
        <w:t>СТОРОН</w:t>
      </w:r>
      <w:r w:rsidRPr="00DB4715">
        <w:rPr>
          <w:lang w:val="ru-RU"/>
        </w:rPr>
        <w:t xml:space="preserve"> </w:t>
      </w:r>
      <w:r>
        <w:rPr>
          <w:lang w:val="ru-RU"/>
        </w:rPr>
        <w:t>АКТА</w:t>
      </w:r>
      <w:r w:rsidRPr="00DB4715">
        <w:rPr>
          <w:lang w:val="ru-RU"/>
        </w:rPr>
        <w:t xml:space="preserve"> 1960</w:t>
      </w:r>
      <w:r w:rsidRPr="00DB4715">
        <w:t> </w:t>
      </w:r>
      <w:r>
        <w:rPr>
          <w:lang w:val="ru-RU"/>
        </w:rPr>
        <w:t>Г</w:t>
      </w:r>
      <w:r w:rsidRPr="00DB4715">
        <w:rPr>
          <w:lang w:val="ru-RU"/>
        </w:rPr>
        <w:t>.:</w:t>
      </w:r>
      <w:r w:rsidR="008C73D7">
        <w:rPr>
          <w:lang w:val="ru-RU"/>
        </w:rPr>
        <w:t xml:space="preserve"> </w:t>
      </w:r>
      <w:r w:rsidR="0087217C">
        <w:rPr>
          <w:lang w:val="ru-RU"/>
        </w:rPr>
        <w:t xml:space="preserve"> </w:t>
      </w:r>
      <w:r w:rsidR="008C73D7">
        <w:rPr>
          <w:lang w:val="ru-RU"/>
        </w:rPr>
        <w:t>УКАЗАНИЯ, ЗАПИСАННЫЕ</w:t>
      </w:r>
      <w:r>
        <w:rPr>
          <w:lang w:val="ru-RU"/>
        </w:rPr>
        <w:t xml:space="preserve"> В 2004, 2010 И 2018 ГГ. </w:t>
      </w:r>
      <w:r w:rsidR="0087217C">
        <w:rPr>
          <w:lang w:val="ru-RU"/>
        </w:rPr>
        <w:t xml:space="preserve"> </w:t>
      </w:r>
    </w:p>
    <w:p w14:paraId="2FE8E819" w14:textId="77777777" w:rsidR="00D56070" w:rsidRPr="008C73D7" w:rsidRDefault="00D56070" w:rsidP="00D56070">
      <w:pPr>
        <w:outlineLvl w:val="0"/>
        <w:rPr>
          <w:lang w:val="ru-RU"/>
        </w:rPr>
      </w:pPr>
    </w:p>
    <w:tbl>
      <w:tblPr>
        <w:tblW w:w="7922" w:type="dxa"/>
        <w:tblInd w:w="-23" w:type="dxa"/>
        <w:tblLook w:val="0000" w:firstRow="0" w:lastRow="0" w:firstColumn="0" w:lastColumn="0" w:noHBand="0" w:noVBand="0"/>
      </w:tblPr>
      <w:tblGrid>
        <w:gridCol w:w="2850"/>
        <w:gridCol w:w="851"/>
        <w:gridCol w:w="849"/>
        <w:gridCol w:w="846"/>
        <w:gridCol w:w="844"/>
        <w:gridCol w:w="842"/>
        <w:gridCol w:w="840"/>
      </w:tblGrid>
      <w:tr w:rsidR="00D56070" w:rsidRPr="00C62AA4" w14:paraId="30844D79" w14:textId="77777777" w:rsidTr="00D56070">
        <w:trPr>
          <w:trHeight w:val="270"/>
        </w:trPr>
        <w:tc>
          <w:tcPr>
            <w:tcW w:w="79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3E006736" w14:textId="6A6CC316" w:rsidR="00D56070" w:rsidRPr="006D6857" w:rsidRDefault="00DB4715" w:rsidP="008C73D7">
            <w:pPr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Количество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bCs/>
                <w:sz w:val="21"/>
                <w:szCs w:val="21"/>
                <w:lang w:val="ru-RU"/>
              </w:rPr>
              <w:t>указаний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8C73D7">
              <w:rPr>
                <w:bCs/>
                <w:sz w:val="21"/>
                <w:szCs w:val="21"/>
                <w:lang w:val="ru-RU"/>
              </w:rPr>
              <w:t>договаривающихся</w:t>
            </w:r>
            <w:r w:rsidR="006D6857"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bCs/>
                <w:sz w:val="21"/>
                <w:szCs w:val="21"/>
                <w:lang w:val="ru-RU"/>
              </w:rPr>
              <w:t>сторон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bCs/>
                <w:sz w:val="21"/>
                <w:szCs w:val="21"/>
                <w:lang w:val="ru-RU"/>
              </w:rPr>
              <w:t>Акта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1960</w:t>
            </w:r>
            <w:r w:rsidRPr="00DB4715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  <w:lang w:val="ru-RU"/>
              </w:rPr>
              <w:t>г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. </w:t>
            </w:r>
            <w:r w:rsidR="008C73D7">
              <w:rPr>
                <w:bCs/>
                <w:sz w:val="21"/>
                <w:szCs w:val="21"/>
                <w:lang w:val="ru-RU"/>
              </w:rPr>
              <w:t>в соответствии с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8C73D7">
              <w:rPr>
                <w:bCs/>
                <w:sz w:val="21"/>
                <w:szCs w:val="21"/>
                <w:lang w:val="ru-RU"/>
              </w:rPr>
              <w:t>каждым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bCs/>
                <w:sz w:val="21"/>
                <w:szCs w:val="21"/>
                <w:lang w:val="ru-RU"/>
              </w:rPr>
              <w:t>акт</w:t>
            </w:r>
            <w:r w:rsidR="008C73D7">
              <w:rPr>
                <w:bCs/>
                <w:sz w:val="21"/>
                <w:szCs w:val="21"/>
                <w:lang w:val="ru-RU"/>
              </w:rPr>
              <w:t>ом</w:t>
            </w:r>
            <w:r w:rsidRPr="006D6857">
              <w:rPr>
                <w:bCs/>
                <w:sz w:val="21"/>
                <w:szCs w:val="21"/>
                <w:lang w:val="ru-RU"/>
              </w:rPr>
              <w:t xml:space="preserve"> </w:t>
            </w:r>
          </w:p>
        </w:tc>
      </w:tr>
      <w:tr w:rsidR="00D56070" w:rsidRPr="00730A9C" w14:paraId="786D3408" w14:textId="77777777" w:rsidTr="00D56070">
        <w:trPr>
          <w:trHeight w:val="270"/>
        </w:trPr>
        <w:tc>
          <w:tcPr>
            <w:tcW w:w="2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CE00A" w14:textId="76BA9296" w:rsidR="00DB4715" w:rsidRPr="00DB4715" w:rsidRDefault="00DB4715" w:rsidP="008C73D7">
            <w:pPr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Указанные ДС (</w:t>
            </w:r>
            <w:r w:rsidR="008C73D7">
              <w:rPr>
                <w:bCs/>
                <w:sz w:val="21"/>
                <w:szCs w:val="21"/>
                <w:lang w:val="ru-RU"/>
              </w:rPr>
              <w:t>связанные по</w:t>
            </w:r>
            <w:r>
              <w:rPr>
                <w:bCs/>
                <w:sz w:val="21"/>
                <w:szCs w:val="21"/>
                <w:lang w:val="ru-RU"/>
              </w:rPr>
              <w:t xml:space="preserve"> </w:t>
            </w:r>
            <w:r w:rsidR="00BB09B6">
              <w:rPr>
                <w:bCs/>
                <w:sz w:val="21"/>
                <w:szCs w:val="21"/>
                <w:lang w:val="ru-RU"/>
              </w:rPr>
              <w:t>меньшей</w:t>
            </w:r>
            <w:r>
              <w:rPr>
                <w:bCs/>
                <w:sz w:val="21"/>
                <w:szCs w:val="21"/>
                <w:lang w:val="ru-RU"/>
              </w:rPr>
              <w:t xml:space="preserve"> мере Акт</w:t>
            </w:r>
            <w:r w:rsidR="008C73D7">
              <w:rPr>
                <w:bCs/>
                <w:sz w:val="21"/>
                <w:szCs w:val="21"/>
                <w:lang w:val="ru-RU"/>
              </w:rPr>
              <w:t>ом</w:t>
            </w:r>
            <w:r>
              <w:rPr>
                <w:bCs/>
                <w:sz w:val="21"/>
                <w:szCs w:val="21"/>
                <w:lang w:val="ru-RU"/>
              </w:rPr>
              <w:t xml:space="preserve"> 1960 г.)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4BCB9B" w14:textId="20727ED5" w:rsidR="00D56070" w:rsidRPr="00BB09B6" w:rsidRDefault="00D56070" w:rsidP="00F14760">
            <w:pPr>
              <w:jc w:val="center"/>
              <w:rPr>
                <w:bCs/>
                <w:sz w:val="21"/>
                <w:szCs w:val="21"/>
                <w:lang w:val="ru-RU"/>
              </w:rPr>
            </w:pPr>
            <w:r w:rsidRPr="00730A9C">
              <w:rPr>
                <w:bCs/>
                <w:sz w:val="21"/>
                <w:szCs w:val="21"/>
              </w:rPr>
              <w:t>2004</w:t>
            </w:r>
            <w:r w:rsidR="00BB09B6">
              <w:rPr>
                <w:bCs/>
                <w:sz w:val="21"/>
                <w:szCs w:val="21"/>
                <w:lang w:val="ru-RU"/>
              </w:rPr>
              <w:t xml:space="preserve"> г.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CEC955" w14:textId="2DCC2197" w:rsidR="00D56070" w:rsidRPr="00BB09B6" w:rsidRDefault="00D56070" w:rsidP="00F14760">
            <w:pPr>
              <w:jc w:val="center"/>
              <w:rPr>
                <w:bCs/>
                <w:sz w:val="21"/>
                <w:szCs w:val="21"/>
                <w:lang w:val="ru-RU"/>
              </w:rPr>
            </w:pPr>
            <w:r w:rsidRPr="00730A9C">
              <w:rPr>
                <w:bCs/>
                <w:sz w:val="21"/>
                <w:szCs w:val="21"/>
              </w:rPr>
              <w:t>2010</w:t>
            </w:r>
            <w:r w:rsidR="00BB09B6">
              <w:rPr>
                <w:bCs/>
                <w:sz w:val="21"/>
                <w:szCs w:val="21"/>
                <w:lang w:val="ru-RU"/>
              </w:rPr>
              <w:t xml:space="preserve"> г.</w:t>
            </w:r>
          </w:p>
        </w:tc>
        <w:tc>
          <w:tcPr>
            <w:tcW w:w="1682" w:type="dxa"/>
            <w:gridSpan w:val="2"/>
            <w:tcBorders>
              <w:top w:val="single" w:sz="18" w:space="0" w:color="auto"/>
              <w:left w:val="doub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0E9B6C" w14:textId="7356A5D5" w:rsidR="00D56070" w:rsidRPr="00BB09B6" w:rsidRDefault="00D56070" w:rsidP="00F14760">
            <w:pPr>
              <w:jc w:val="center"/>
              <w:rPr>
                <w:bCs/>
                <w:sz w:val="21"/>
                <w:szCs w:val="21"/>
                <w:lang w:val="ru-RU"/>
              </w:rPr>
            </w:pPr>
            <w:r w:rsidRPr="00730A9C">
              <w:rPr>
                <w:bCs/>
                <w:sz w:val="21"/>
                <w:szCs w:val="21"/>
              </w:rPr>
              <w:t>2018</w:t>
            </w:r>
            <w:r w:rsidR="00BB09B6">
              <w:rPr>
                <w:bCs/>
                <w:sz w:val="21"/>
                <w:szCs w:val="21"/>
                <w:lang w:val="ru-RU"/>
              </w:rPr>
              <w:t xml:space="preserve"> г.</w:t>
            </w:r>
          </w:p>
        </w:tc>
      </w:tr>
      <w:tr w:rsidR="00D56070" w:rsidRPr="00730A9C" w14:paraId="05DF1AE0" w14:textId="77777777" w:rsidTr="00D5607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200C8" w14:textId="77777777" w:rsidR="00D56070" w:rsidRPr="00730A9C" w:rsidRDefault="00D56070" w:rsidP="00F14760">
            <w:pPr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C576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7FA4F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99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9C9D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71843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99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AB63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DE821" w14:textId="77777777" w:rsidR="00D56070" w:rsidRPr="00730A9C" w:rsidRDefault="00D56070" w:rsidP="00F14760">
            <w:pPr>
              <w:jc w:val="center"/>
              <w:rPr>
                <w:bCs/>
                <w:sz w:val="21"/>
                <w:szCs w:val="21"/>
              </w:rPr>
            </w:pPr>
            <w:r w:rsidRPr="00730A9C">
              <w:rPr>
                <w:bCs/>
                <w:sz w:val="21"/>
                <w:szCs w:val="21"/>
              </w:rPr>
              <w:t>99</w:t>
            </w:r>
          </w:p>
        </w:tc>
      </w:tr>
      <w:tr w:rsidR="00D56070" w:rsidRPr="00D56070" w14:paraId="5AE194D3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16B188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AL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A5840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38C7B1C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F7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5917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176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C67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CB89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133</w:t>
            </w:r>
          </w:p>
        </w:tc>
      </w:tr>
      <w:tr w:rsidR="00D56070" w:rsidRPr="00D56070" w14:paraId="3281329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7500D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BG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BDB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888074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9EF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EF6D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43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C38F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63</w:t>
            </w:r>
          </w:p>
        </w:tc>
      </w:tr>
      <w:tr w:rsidR="00D56070" w:rsidRPr="00D56070" w14:paraId="535233E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FB2AA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BJ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06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5AD9AB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DA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5F3888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CDD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48DE9E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2B2FA6C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D2219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BX</w:t>
            </w:r>
            <w:r w:rsidRPr="00D56070">
              <w:rPr>
                <w:rStyle w:val="FootnoteReference"/>
                <w:bCs/>
                <w:sz w:val="18"/>
                <w:szCs w:val="18"/>
              </w:rPr>
              <w:footnoteReference w:id="18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70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6ACA53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203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EC3C36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972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2025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</w:tr>
      <w:tr w:rsidR="00D56070" w:rsidRPr="00D56070" w14:paraId="278C979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1E19E6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BZ</w:t>
            </w:r>
            <w:r w:rsidRPr="00D56070">
              <w:rPr>
                <w:rStyle w:val="FootnoteReference"/>
                <w:bCs/>
                <w:sz w:val="18"/>
                <w:szCs w:val="18"/>
              </w:rPr>
              <w:footnoteReference w:id="19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53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B066D3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843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615E6E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4ED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E04570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3664CA65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A05E16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CH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50D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785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8936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416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0EC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31C58" w14:textId="1D2913C5" w:rsidR="00D56070" w:rsidRPr="00D56070" w:rsidRDefault="00BB09B6" w:rsidP="00F14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070" w:rsidRPr="00D56070">
              <w:rPr>
                <w:sz w:val="18"/>
                <w:szCs w:val="18"/>
              </w:rPr>
              <w:t>508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485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A17EE" w14:textId="73D95B56" w:rsidR="00D56070" w:rsidRPr="00D56070" w:rsidRDefault="00BB09B6" w:rsidP="00F14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070" w:rsidRPr="00D56070">
              <w:rPr>
                <w:sz w:val="18"/>
                <w:szCs w:val="18"/>
              </w:rPr>
              <w:t>705</w:t>
            </w:r>
          </w:p>
        </w:tc>
      </w:tr>
      <w:tr w:rsidR="00D56070" w:rsidRPr="00D56070" w14:paraId="2E0B91A0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562BA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CI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51D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4E5578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DFB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noWrap/>
            <w:vAlign w:val="center"/>
          </w:tcPr>
          <w:p w14:paraId="38A1304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659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21D61C6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0A56050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DE7F8B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DE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7D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1CD4DE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C49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C4EFD5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116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67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F0D8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163</w:t>
            </w:r>
          </w:p>
        </w:tc>
      </w:tr>
      <w:tr w:rsidR="00D56070" w:rsidRPr="00D56070" w14:paraId="674EC17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AA380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187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9C9E16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D5E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3D71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54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0B7F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173</w:t>
            </w:r>
          </w:p>
        </w:tc>
      </w:tr>
      <w:tr w:rsidR="00D56070" w:rsidRPr="00D56070" w14:paraId="3922AD69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60F5A7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GA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F86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193A25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287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E69114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69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7B2959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0237915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6354EA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GE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83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2CAC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223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56F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7026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203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AD2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7013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111</w:t>
            </w:r>
          </w:p>
        </w:tc>
      </w:tr>
      <w:tr w:rsidR="00D56070" w:rsidRPr="00D56070" w14:paraId="7FA8575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CEE2EA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GR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E29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8793C9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008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37BABA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95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21D0DD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70BCE7C6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1F22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HR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1A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7B96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BA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B04A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463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32D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22B1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57</w:t>
            </w:r>
          </w:p>
        </w:tc>
      </w:tr>
      <w:tr w:rsidR="00D56070" w:rsidRPr="00D56070" w14:paraId="02B4E7B6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49AE2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HU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EA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9B4DEF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D34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8C02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A00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59F1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23</w:t>
            </w:r>
          </w:p>
        </w:tc>
      </w:tr>
      <w:tr w:rsidR="00D56070" w:rsidRPr="00D56070" w14:paraId="3AD61A2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29E6FD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IT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68C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6BB293C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D14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E5648D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5AF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FFFFFF"/>
            <w:vAlign w:val="center"/>
          </w:tcPr>
          <w:p w14:paraId="734BB7C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7E8BD6D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B6CB8C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13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F2FF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051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07F4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132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8F8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2D61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77</w:t>
            </w:r>
          </w:p>
        </w:tc>
      </w:tr>
      <w:tr w:rsidR="00D56070" w:rsidRPr="00D56070" w14:paraId="109B3A8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BEEA6C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KP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11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22E6C38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E1A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625669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54B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7001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43</w:t>
            </w:r>
          </w:p>
        </w:tc>
      </w:tr>
      <w:tr w:rsidR="00D56070" w:rsidRPr="00D56070" w14:paraId="48CDB48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208A6F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LI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BC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F429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330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66A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D60B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303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379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231D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194</w:t>
            </w:r>
          </w:p>
        </w:tc>
      </w:tr>
      <w:tr w:rsidR="00D56070" w:rsidRPr="00D56070" w14:paraId="0707D5DF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929EB2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06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2986CEB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98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C0B1AB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6A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BD1B48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26A475B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A48747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MC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A2A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6F9F3A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2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F632D1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5F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81B8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227</w:t>
            </w:r>
          </w:p>
        </w:tc>
      </w:tr>
      <w:tr w:rsidR="00D56070" w:rsidRPr="00D56070" w14:paraId="0E273AC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5A4E3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MD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480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FB4F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231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97C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4B4C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184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864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6A7F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102</w:t>
            </w:r>
          </w:p>
        </w:tc>
      </w:tr>
      <w:tr w:rsidR="00D56070" w:rsidRPr="00D56070" w14:paraId="5C74223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05A72D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7DEB3180" w14:textId="77777777" w:rsidR="00D56070" w:rsidRPr="00D56070" w:rsidRDefault="00D56070" w:rsidP="00F14760">
            <w:pPr>
              <w:jc w:val="right"/>
              <w:rPr>
                <w:sz w:val="16"/>
                <w:szCs w:val="16"/>
              </w:rPr>
            </w:pPr>
            <w:r w:rsidRPr="00D56070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2D6F8A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1F8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7EDB6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C19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35AE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168</w:t>
            </w:r>
          </w:p>
        </w:tc>
      </w:tr>
      <w:tr w:rsidR="00D56070" w:rsidRPr="00D56070" w14:paraId="1BDC93F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519C4D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MK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DA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58717CD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078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1254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0C9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234B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161</w:t>
            </w:r>
          </w:p>
        </w:tc>
      </w:tr>
      <w:tr w:rsidR="00D56070" w:rsidRPr="00D56070" w14:paraId="44D8839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44104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ML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21DF26B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8DC586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3D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CC2A57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4A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4380F23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0C6ACF6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C37E1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MN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834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9116B7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E6A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0C15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DC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261B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82</w:t>
            </w:r>
          </w:p>
        </w:tc>
      </w:tr>
      <w:tr w:rsidR="00D56070" w:rsidRPr="00D56070" w14:paraId="0AB04A7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A408F8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0EC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38B8A55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5B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DF73D8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486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59436CC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017ACB2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264220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RO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9F9D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302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F29A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243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01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1F15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0E9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07FF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92</w:t>
            </w:r>
          </w:p>
        </w:tc>
      </w:tr>
      <w:tr w:rsidR="00D56070" w:rsidRPr="00D56070" w14:paraId="126E170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D15516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RS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21B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2ACE81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61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E87D3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A1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73F2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192</w:t>
            </w:r>
          </w:p>
        </w:tc>
      </w:tr>
      <w:tr w:rsidR="00D56070" w:rsidRPr="00D56070" w14:paraId="5347A26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7738CC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 xml:space="preserve">SI 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33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4B0FCA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900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80A2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69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1E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268B4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60</w:t>
            </w:r>
          </w:p>
        </w:tc>
      </w:tr>
      <w:tr w:rsidR="00D56070" w:rsidRPr="00D56070" w14:paraId="4288F5C0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2EEBC3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SN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929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85ED94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9A3B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346C0CC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1339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67145A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1B7B3E7B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488C70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SR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555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415D9D8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002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99DCB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6F7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460A7D71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</w:p>
        </w:tc>
      </w:tr>
      <w:tr w:rsidR="00D56070" w:rsidRPr="00D56070" w14:paraId="19D852DA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18B3C5" w14:textId="77777777" w:rsidR="00D56070" w:rsidRPr="00D56070" w:rsidRDefault="00D56070" w:rsidP="00F14760">
            <w:pPr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UA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A8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FF71F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258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1BD5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07D5E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509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4176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A1C30" w14:textId="77777777" w:rsidR="00D56070" w:rsidRPr="00D56070" w:rsidRDefault="00D56070" w:rsidP="00F14760">
            <w:pPr>
              <w:jc w:val="right"/>
              <w:rPr>
                <w:sz w:val="18"/>
                <w:szCs w:val="18"/>
              </w:rPr>
            </w:pPr>
            <w:r w:rsidRPr="00D56070">
              <w:rPr>
                <w:sz w:val="18"/>
                <w:szCs w:val="18"/>
              </w:rPr>
              <w:t>521</w:t>
            </w:r>
          </w:p>
        </w:tc>
      </w:tr>
      <w:tr w:rsidR="00D56070" w:rsidRPr="00D56070" w14:paraId="506F9975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EF40E0" w14:textId="27029F95" w:rsidR="00D56070" w:rsidRPr="00DB4715" w:rsidRDefault="00DB4715" w:rsidP="00F14760">
            <w:pPr>
              <w:rPr>
                <w:bCs/>
                <w:sz w:val="18"/>
                <w:szCs w:val="18"/>
                <w:lang w:val="ru-RU"/>
              </w:rPr>
            </w:pPr>
            <w:r w:rsidRPr="00DB4715">
              <w:rPr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89662" w14:textId="08250AD9" w:rsidR="00D56070" w:rsidRPr="00D56070" w:rsidRDefault="00BB09B6" w:rsidP="00F1476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D56070" w:rsidRPr="00D56070">
              <w:rPr>
                <w:bCs/>
                <w:sz w:val="18"/>
                <w:szCs w:val="18"/>
              </w:rPr>
              <w:t>151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E129A" w14:textId="198EB88F" w:rsidR="00D56070" w:rsidRPr="00D56070" w:rsidRDefault="00BB09B6" w:rsidP="00F1476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56070" w:rsidRPr="00D56070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C9873" w14:textId="3C286B65" w:rsidR="00D56070" w:rsidRPr="00D56070" w:rsidRDefault="00BB09B6" w:rsidP="00F1476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D56070" w:rsidRPr="00D56070">
              <w:rPr>
                <w:bCs/>
                <w:sz w:val="18"/>
                <w:szCs w:val="18"/>
              </w:rPr>
              <w:t>450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1734E" w14:textId="2D69C55B" w:rsidR="00D56070" w:rsidRPr="00D56070" w:rsidRDefault="00BB09B6" w:rsidP="00F1476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D56070" w:rsidRPr="00D56070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1572C" w14:textId="77777777" w:rsidR="00D56070" w:rsidRPr="00D56070" w:rsidRDefault="00D56070" w:rsidP="00F14760">
            <w:pPr>
              <w:jc w:val="right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605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9F2AD" w14:textId="1C02C21B" w:rsidR="00D56070" w:rsidRPr="00D56070" w:rsidRDefault="00BB09B6" w:rsidP="00F1476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D56070" w:rsidRPr="00D56070">
              <w:rPr>
                <w:bCs/>
                <w:sz w:val="18"/>
                <w:szCs w:val="18"/>
              </w:rPr>
              <w:t>347</w:t>
            </w:r>
          </w:p>
        </w:tc>
      </w:tr>
      <w:tr w:rsidR="00D56070" w:rsidRPr="00D56070" w14:paraId="764EC2F1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5F09B3" w14:textId="6C31FA5D" w:rsidR="00D56070" w:rsidRPr="00DB4715" w:rsidRDefault="00DB4715" w:rsidP="00DB4715">
            <w:pPr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Общее</w:t>
            </w:r>
            <w:r w:rsidRPr="00DB4715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число указаний</w:t>
            </w:r>
            <w:r w:rsidRPr="00DB4715">
              <w:rPr>
                <w:bCs/>
                <w:sz w:val="18"/>
                <w:szCs w:val="18"/>
                <w:lang w:val="ru-RU"/>
              </w:rPr>
              <w:t xml:space="preserve"> (</w:t>
            </w:r>
            <w:r>
              <w:rPr>
                <w:bCs/>
                <w:sz w:val="18"/>
                <w:szCs w:val="18"/>
                <w:lang w:val="ru-RU"/>
              </w:rPr>
              <w:t>независимо</w:t>
            </w:r>
            <w:r w:rsidRPr="00DB4715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</w:t>
            </w:r>
            <w:r w:rsidRPr="00DB4715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акта</w:t>
            </w:r>
            <w:r w:rsidRPr="00DB4715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3FCF5" w14:textId="0AA86597" w:rsidR="00D56070" w:rsidRPr="00D56070" w:rsidRDefault="00D56070" w:rsidP="00F14760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1</w:t>
            </w:r>
            <w:r w:rsidR="00BB09B6">
              <w:rPr>
                <w:bCs/>
                <w:sz w:val="18"/>
                <w:szCs w:val="18"/>
              </w:rPr>
              <w:t xml:space="preserve">2 </w:t>
            </w:r>
            <w:r w:rsidRPr="00D56070">
              <w:rPr>
                <w:bCs/>
                <w:sz w:val="18"/>
                <w:szCs w:val="18"/>
              </w:rPr>
              <w:t>461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C102F" w14:textId="515D0435" w:rsidR="00D56070" w:rsidRPr="00D56070" w:rsidRDefault="00BB09B6" w:rsidP="00F147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D56070" w:rsidRPr="00D56070">
              <w:rPr>
                <w:bCs/>
                <w:sz w:val="18"/>
                <w:szCs w:val="18"/>
              </w:rPr>
              <w:t>060</w:t>
            </w:r>
          </w:p>
        </w:tc>
        <w:tc>
          <w:tcPr>
            <w:tcW w:w="1682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59200" w14:textId="5BAF74A5" w:rsidR="00D56070" w:rsidRPr="00D56070" w:rsidRDefault="00BB09B6" w:rsidP="00F147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D56070" w:rsidRPr="00D56070">
              <w:rPr>
                <w:bCs/>
                <w:sz w:val="18"/>
                <w:szCs w:val="18"/>
              </w:rPr>
              <w:t>952</w:t>
            </w:r>
          </w:p>
        </w:tc>
      </w:tr>
      <w:tr w:rsidR="00D56070" w:rsidRPr="00D56070" w14:paraId="5BB775D3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99998D" w14:textId="0647F43F" w:rsidR="00D56070" w:rsidRPr="00DB4715" w:rsidRDefault="00DB4715" w:rsidP="00DB4715">
            <w:pPr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Распределение в зависимости от акта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495C2" w14:textId="4B82A759" w:rsidR="00D56070" w:rsidRPr="00D56070" w:rsidRDefault="00D56070" w:rsidP="00F14760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8</w:t>
            </w:r>
            <w:r w:rsidR="00BB09B6">
              <w:rPr>
                <w:bCs/>
                <w:sz w:val="18"/>
                <w:szCs w:val="18"/>
              </w:rPr>
              <w:t>1,</w:t>
            </w:r>
            <w:r w:rsidRPr="00D56070">
              <w:rPr>
                <w:bCs/>
                <w:sz w:val="18"/>
                <w:szCs w:val="18"/>
              </w:rPr>
              <w:t>5%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11FDA7" w14:textId="46A4B281" w:rsidR="00D56070" w:rsidRPr="00D56070" w:rsidRDefault="00D56070" w:rsidP="00BB09B6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18</w:t>
            </w:r>
            <w:r w:rsidR="00BB09B6">
              <w:rPr>
                <w:bCs/>
                <w:sz w:val="18"/>
                <w:szCs w:val="18"/>
                <w:lang w:val="ru-RU"/>
              </w:rPr>
              <w:t>,</w:t>
            </w:r>
            <w:r w:rsidRPr="00D56070">
              <w:rPr>
                <w:bCs/>
                <w:sz w:val="18"/>
                <w:szCs w:val="18"/>
              </w:rPr>
              <w:t>5%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CE921" w14:textId="2C88142D" w:rsidR="00D56070" w:rsidRPr="00D56070" w:rsidRDefault="00D56070" w:rsidP="00BB09B6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23</w:t>
            </w:r>
            <w:r w:rsidR="00BB09B6">
              <w:rPr>
                <w:bCs/>
                <w:sz w:val="18"/>
                <w:szCs w:val="18"/>
                <w:lang w:val="ru-RU"/>
              </w:rPr>
              <w:t>,</w:t>
            </w:r>
            <w:r w:rsidRPr="00D56070">
              <w:rPr>
                <w:bCs/>
                <w:sz w:val="18"/>
                <w:szCs w:val="18"/>
              </w:rPr>
              <w:t>9%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C85B66" w14:textId="2C5BC110" w:rsidR="00D56070" w:rsidRPr="00D56070" w:rsidRDefault="00D56070" w:rsidP="00BB09B6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76</w:t>
            </w:r>
            <w:r w:rsidR="00BB09B6">
              <w:rPr>
                <w:bCs/>
                <w:sz w:val="18"/>
                <w:szCs w:val="18"/>
                <w:lang w:val="ru-RU"/>
              </w:rPr>
              <w:t>,</w:t>
            </w:r>
            <w:r w:rsidRPr="00D56070">
              <w:rPr>
                <w:bCs/>
                <w:sz w:val="18"/>
                <w:szCs w:val="18"/>
              </w:rPr>
              <w:t>1%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72BAC" w14:textId="5A229F1B" w:rsidR="00D56070" w:rsidRPr="00D56070" w:rsidRDefault="00D56070" w:rsidP="00BB09B6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12</w:t>
            </w:r>
            <w:r w:rsidR="00BB09B6">
              <w:rPr>
                <w:bCs/>
                <w:sz w:val="18"/>
                <w:szCs w:val="18"/>
                <w:lang w:val="ru-RU"/>
              </w:rPr>
              <w:t>,</w:t>
            </w:r>
            <w:r w:rsidRPr="00D56070">
              <w:rPr>
                <w:bCs/>
                <w:sz w:val="18"/>
                <w:szCs w:val="18"/>
              </w:rPr>
              <w:t>2%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035A99" w14:textId="31FA566C" w:rsidR="00D56070" w:rsidRPr="00D56070" w:rsidRDefault="00D56070" w:rsidP="00BB09B6">
            <w:pPr>
              <w:jc w:val="center"/>
              <w:rPr>
                <w:bCs/>
                <w:sz w:val="18"/>
                <w:szCs w:val="18"/>
              </w:rPr>
            </w:pPr>
            <w:r w:rsidRPr="00D56070">
              <w:rPr>
                <w:bCs/>
                <w:sz w:val="18"/>
                <w:szCs w:val="18"/>
              </w:rPr>
              <w:t>87</w:t>
            </w:r>
            <w:r w:rsidR="00BB09B6">
              <w:rPr>
                <w:bCs/>
                <w:sz w:val="18"/>
                <w:szCs w:val="18"/>
                <w:lang w:val="ru-RU"/>
              </w:rPr>
              <w:t>,</w:t>
            </w:r>
            <w:r w:rsidRPr="00D56070">
              <w:rPr>
                <w:bCs/>
                <w:sz w:val="18"/>
                <w:szCs w:val="18"/>
              </w:rPr>
              <w:t>8%</w:t>
            </w:r>
          </w:p>
        </w:tc>
      </w:tr>
    </w:tbl>
    <w:p w14:paraId="7D53F0F9" w14:textId="6DFEA34A" w:rsidR="00D56070" w:rsidRPr="003F6A68" w:rsidRDefault="00D56070" w:rsidP="00730A9C">
      <w:pPr>
        <w:pStyle w:val="Endofdocument-Annex"/>
        <w:spacing w:before="720"/>
        <w:rPr>
          <w:lang w:val="ru-RU"/>
        </w:rPr>
      </w:pPr>
      <w:r w:rsidRPr="003F6A68">
        <w:rPr>
          <w:lang w:val="ru-RU"/>
        </w:rPr>
        <w:t>[</w:t>
      </w:r>
      <w:r w:rsidR="00BB09B6" w:rsidRPr="003F6A68">
        <w:rPr>
          <w:lang w:val="ru-RU"/>
        </w:rPr>
        <w:t>Приложение</w:t>
      </w:r>
      <w:r w:rsidRPr="003F6A68">
        <w:rPr>
          <w:lang w:val="ru-RU"/>
        </w:rPr>
        <w:t xml:space="preserve"> IV </w:t>
      </w:r>
      <w:r w:rsidR="00BB09B6" w:rsidRPr="003F6A68">
        <w:rPr>
          <w:lang w:val="ru-RU"/>
        </w:rPr>
        <w:t>следует</w:t>
      </w:r>
      <w:r w:rsidRPr="003F6A68">
        <w:rPr>
          <w:lang w:val="ru-RU"/>
        </w:rPr>
        <w:t>]</w:t>
      </w:r>
    </w:p>
    <w:p w14:paraId="31FC2350" w14:textId="59539070" w:rsidR="00730A9C" w:rsidRPr="003F6A68" w:rsidRDefault="00730A9C" w:rsidP="004132A7">
      <w:pPr>
        <w:rPr>
          <w:lang w:val="ru-RU"/>
        </w:rPr>
        <w:sectPr w:rsidR="00730A9C" w:rsidRPr="003F6A68" w:rsidSect="005E2B47">
          <w:headerReference w:type="first" r:id="rId14"/>
          <w:footnotePr>
            <w:numRestart w:val="eachSect"/>
          </w:footnotePr>
          <w:endnotePr>
            <w:numFmt w:val="decimal"/>
          </w:endnotePr>
          <w:type w:val="nextColumn"/>
          <w:pgSz w:w="11907" w:h="16840" w:code="9"/>
          <w:pgMar w:top="567" w:right="1134" w:bottom="1276" w:left="1418" w:header="510" w:footer="1021" w:gutter="0"/>
          <w:pgNumType w:start="1"/>
          <w:cols w:space="720"/>
          <w:titlePg/>
          <w:docGrid w:linePitch="299"/>
        </w:sectPr>
      </w:pPr>
    </w:p>
    <w:p w14:paraId="710EE257" w14:textId="3B28C212" w:rsidR="0093396D" w:rsidRPr="00C11BCC" w:rsidRDefault="00B06A27" w:rsidP="0093396D">
      <w:r w:rsidRPr="006473A9">
        <w:rPr>
          <w:rFonts w:eastAsia="Yu Mincho" w:cs="Times New Roman"/>
          <w:noProof/>
          <w:sz w:val="20"/>
          <w:lang w:eastAsia="en-US"/>
        </w:rPr>
        <w:lastRenderedPageBreak/>
        <w:drawing>
          <wp:inline distT="0" distB="0" distL="0" distR="0" wp14:anchorId="65BB3AF3" wp14:editId="169CEA2F">
            <wp:extent cx="9432925" cy="4848083"/>
            <wp:effectExtent l="0" t="0" r="15875" b="10160"/>
            <wp:docPr id="10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F8669B" w14:textId="346750F2" w:rsidR="004132A7" w:rsidRPr="006473A9" w:rsidRDefault="0093396D" w:rsidP="0093396D">
      <w:pPr>
        <w:pStyle w:val="Endofdocument-Annex"/>
        <w:spacing w:before="720"/>
        <w:ind w:left="8789"/>
        <w:rPr>
          <w:szCs w:val="22"/>
          <w:lang w:val="ru-RU"/>
        </w:rPr>
      </w:pPr>
      <w:r w:rsidRPr="006473A9">
        <w:rPr>
          <w:szCs w:val="22"/>
          <w:lang w:val="ru-RU"/>
        </w:rPr>
        <w:t>[</w:t>
      </w:r>
      <w:r w:rsidR="006473A9" w:rsidRPr="006473A9">
        <w:rPr>
          <w:szCs w:val="22"/>
          <w:lang w:val="ru-RU"/>
        </w:rPr>
        <w:t xml:space="preserve">Конец приложения </w:t>
      </w:r>
      <w:r w:rsidR="006473A9" w:rsidRPr="006473A9">
        <w:rPr>
          <w:szCs w:val="22"/>
        </w:rPr>
        <w:t>IV</w:t>
      </w:r>
      <w:r w:rsidR="006473A9" w:rsidRPr="006473A9">
        <w:rPr>
          <w:szCs w:val="22"/>
          <w:lang w:val="ru-RU"/>
        </w:rPr>
        <w:t xml:space="preserve"> и всего документа</w:t>
      </w:r>
      <w:r w:rsidRPr="006473A9">
        <w:rPr>
          <w:szCs w:val="22"/>
          <w:lang w:val="ru-RU"/>
        </w:rPr>
        <w:t>]</w:t>
      </w:r>
    </w:p>
    <w:sectPr w:rsidR="004132A7" w:rsidRPr="006473A9" w:rsidSect="005326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6840" w:h="11907" w:orient="landscape" w:code="9"/>
      <w:pgMar w:top="1276" w:right="567" w:bottom="851" w:left="1418" w:header="510" w:footer="1021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8E4B7" w16cid:durableId="20FC27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AF23" w14:textId="77777777" w:rsidR="00F64F82" w:rsidRDefault="00F64F82">
      <w:r>
        <w:separator/>
      </w:r>
    </w:p>
  </w:endnote>
  <w:endnote w:type="continuationSeparator" w:id="0">
    <w:p w14:paraId="1EF3323E" w14:textId="77777777" w:rsidR="00F64F82" w:rsidRDefault="00F64F82" w:rsidP="003B38C1">
      <w:r>
        <w:separator/>
      </w:r>
    </w:p>
    <w:p w14:paraId="72DB25F9" w14:textId="77777777" w:rsidR="00F64F82" w:rsidRPr="003B38C1" w:rsidRDefault="00F64F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01C9E8" w14:textId="77777777" w:rsidR="00F64F82" w:rsidRPr="003B38C1" w:rsidRDefault="00F64F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F8DC" w14:textId="77777777" w:rsidR="00BB09B6" w:rsidRDefault="00BB09B6" w:rsidP="00F14760">
    <w:pPr>
      <w:pStyle w:val="Footer"/>
      <w:jc w:val="center"/>
      <w:rPr>
        <w:color w:val="000000"/>
        <w:sz w:val="17"/>
      </w:rPr>
    </w:pPr>
    <w:bookmarkStart w:id="8" w:name="TITUS5FooterEvenPages"/>
    <w:r>
      <w:rPr>
        <w:color w:val="000000"/>
        <w:sz w:val="17"/>
      </w:rPr>
      <w:t>WIPO FOR OFFICIAL USE ONLY</w:t>
    </w:r>
  </w:p>
  <w:bookmarkEnd w:id="8"/>
  <w:p w14:paraId="0300CF3E" w14:textId="77777777" w:rsidR="00BB09B6" w:rsidRDefault="00BB09B6" w:rsidP="00F14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A0B1" w14:textId="77777777" w:rsidR="00BB09B6" w:rsidRDefault="00BB09B6" w:rsidP="00F14760">
    <w:pPr>
      <w:pStyle w:val="Footer"/>
      <w:jc w:val="center"/>
      <w:rPr>
        <w:color w:val="000000"/>
        <w:sz w:val="17"/>
      </w:rPr>
    </w:pPr>
    <w:bookmarkStart w:id="9" w:name="TITUS5FooterPrimary"/>
    <w:r>
      <w:rPr>
        <w:color w:val="000000"/>
        <w:sz w:val="17"/>
      </w:rPr>
      <w:t>WIPO FOR OFFICIAL USE ONLY</w:t>
    </w:r>
  </w:p>
  <w:bookmarkEnd w:id="9"/>
  <w:p w14:paraId="5C0453A2" w14:textId="77777777" w:rsidR="00BB09B6" w:rsidRDefault="00BB0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9008" w14:textId="77777777" w:rsidR="00BB09B6" w:rsidRPr="003C4CC5" w:rsidRDefault="00BB09B6" w:rsidP="00F14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F6AE" w14:textId="77777777" w:rsidR="00F64F82" w:rsidRDefault="00F64F82">
      <w:r>
        <w:separator/>
      </w:r>
    </w:p>
  </w:footnote>
  <w:footnote w:type="continuationSeparator" w:id="0">
    <w:p w14:paraId="09DAE133" w14:textId="77777777" w:rsidR="00F64F82" w:rsidRDefault="00F64F82" w:rsidP="008B60B2">
      <w:r>
        <w:separator/>
      </w:r>
    </w:p>
    <w:p w14:paraId="2CFE1B39" w14:textId="77777777" w:rsidR="00F64F82" w:rsidRPr="00ED77FB" w:rsidRDefault="00F64F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681C96" w14:textId="77777777" w:rsidR="00F64F82" w:rsidRPr="00ED77FB" w:rsidRDefault="00F64F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A348F09" w14:textId="4A3F39B9" w:rsidR="00BB09B6" w:rsidRPr="005855DD" w:rsidRDefault="00BB09B6" w:rsidP="00424C0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5855DD">
        <w:rPr>
          <w:lang w:val="ru-RU"/>
        </w:rPr>
        <w:tab/>
      </w:r>
      <w:r w:rsidR="00D50074">
        <w:rPr>
          <w:lang w:val="ru-RU"/>
        </w:rPr>
        <w:t xml:space="preserve">Условия для </w:t>
      </w:r>
      <w:r>
        <w:rPr>
          <w:lang w:val="ru-RU"/>
        </w:rPr>
        <w:t>вступления в силу</w:t>
      </w:r>
      <w:r w:rsidR="00D50074">
        <w:rPr>
          <w:lang w:val="ru-RU"/>
        </w:rPr>
        <w:t xml:space="preserve"> Акта </w:t>
      </w:r>
      <w:r w:rsidR="00D50074" w:rsidRPr="009556CA">
        <w:rPr>
          <w:lang w:val="ru-RU"/>
        </w:rPr>
        <w:t xml:space="preserve">1999 г., предусмотренные в пунктах 1 и 2 статьи 28, </w:t>
      </w:r>
      <w:r w:rsidR="006D6857">
        <w:rPr>
          <w:lang w:val="ru-RU"/>
        </w:rPr>
        <w:t>были выполнены после его ратификации</w:t>
      </w:r>
      <w:r w:rsidR="00D50074" w:rsidRPr="009556CA">
        <w:rPr>
          <w:lang w:val="ru-RU"/>
        </w:rPr>
        <w:t xml:space="preserve"> Испанией 23 сентября 2003 г.</w:t>
      </w:r>
      <w:r w:rsidR="00A42509">
        <w:rPr>
          <w:lang w:val="ru-RU"/>
        </w:rPr>
        <w:t xml:space="preserve">  </w:t>
      </w:r>
    </w:p>
  </w:footnote>
  <w:footnote w:id="3">
    <w:p w14:paraId="4A2033D4" w14:textId="1143FFAC" w:rsidR="00BB09B6" w:rsidRPr="00F14760" w:rsidRDefault="00BB09B6" w:rsidP="00424C0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F14760">
        <w:rPr>
          <w:lang w:val="ru-RU"/>
        </w:rPr>
        <w:tab/>
      </w:r>
      <w:r>
        <w:rPr>
          <w:lang w:val="ru-RU"/>
        </w:rPr>
        <w:t>Последним государством, присоединившимся к Акту 1960 г., стала Албания;</w:t>
      </w:r>
      <w:r w:rsidR="0087217C">
        <w:rPr>
          <w:lang w:val="ru-RU"/>
        </w:rPr>
        <w:t xml:space="preserve"> </w:t>
      </w:r>
      <w:r>
        <w:rPr>
          <w:lang w:val="ru-RU"/>
        </w:rPr>
        <w:t xml:space="preserve"> присоединение вступило в силу 19 марта 2007 г</w:t>
      </w:r>
      <w:r w:rsidR="0087217C">
        <w:rPr>
          <w:lang w:val="ru-RU"/>
        </w:rPr>
        <w:t xml:space="preserve">.  </w:t>
      </w:r>
      <w:r>
        <w:rPr>
          <w:lang w:val="ru-RU"/>
        </w:rPr>
        <w:t>Албания также</w:t>
      </w:r>
      <w:r w:rsidR="004546C0">
        <w:rPr>
          <w:lang w:val="ru-RU"/>
        </w:rPr>
        <w:t xml:space="preserve"> присоединилась к Акту 1999 г.;</w:t>
      </w:r>
      <w:r>
        <w:rPr>
          <w:lang w:val="ru-RU"/>
        </w:rPr>
        <w:t xml:space="preserve"> </w:t>
      </w:r>
      <w:r w:rsidR="0087217C">
        <w:rPr>
          <w:lang w:val="ru-RU"/>
        </w:rPr>
        <w:t xml:space="preserve"> </w:t>
      </w:r>
      <w:r>
        <w:rPr>
          <w:lang w:val="ru-RU"/>
        </w:rPr>
        <w:t>присоединение вступило в силу</w:t>
      </w:r>
      <w:r w:rsidR="005E2B47">
        <w:rPr>
          <w:lang w:val="fr-CH"/>
        </w:rPr>
        <w:t> </w:t>
      </w:r>
      <w:r>
        <w:rPr>
          <w:lang w:val="ru-RU"/>
        </w:rPr>
        <w:t>19 мая 2007 г.</w:t>
      </w:r>
      <w:r w:rsidR="0087217C">
        <w:rPr>
          <w:lang w:val="ru-RU"/>
        </w:rPr>
        <w:t xml:space="preserve">  </w:t>
      </w:r>
    </w:p>
  </w:footnote>
  <w:footnote w:id="4">
    <w:p w14:paraId="4EBA40A6" w14:textId="281F2928" w:rsidR="00BB09B6" w:rsidRPr="00D35E49" w:rsidRDefault="00BB09B6" w:rsidP="00424C04">
      <w:pPr>
        <w:pStyle w:val="FootnoteText"/>
        <w:ind w:left="567" w:hanging="567"/>
        <w:rPr>
          <w:u w:val="single"/>
          <w:lang w:val="ru-RU"/>
        </w:rPr>
      </w:pPr>
      <w:r>
        <w:rPr>
          <w:rStyle w:val="FootnoteReference"/>
        </w:rPr>
        <w:footnoteRef/>
      </w:r>
      <w:r w:rsidRPr="00D35E49">
        <w:rPr>
          <w:lang w:val="ru-RU"/>
        </w:rPr>
        <w:tab/>
      </w:r>
      <w:r>
        <w:rPr>
          <w:lang w:val="ru-RU"/>
        </w:rPr>
        <w:t xml:space="preserve">Международная регистрация, регулируемая исключительно Актом 1960 г., означает международную регистрацию, в отношении которой все </w:t>
      </w:r>
      <w:r w:rsidRPr="00D35E49">
        <w:rPr>
          <w:lang w:val="ru-RU"/>
        </w:rPr>
        <w:t xml:space="preserve">указанные </w:t>
      </w:r>
      <w:r w:rsidR="006D6857" w:rsidRPr="00D35E49">
        <w:rPr>
          <w:lang w:val="ru-RU"/>
        </w:rPr>
        <w:t xml:space="preserve">договаривающиеся </w:t>
      </w:r>
      <w:r w:rsidRPr="00D35E49">
        <w:rPr>
          <w:lang w:val="ru-RU"/>
        </w:rPr>
        <w:t xml:space="preserve">стороны являются </w:t>
      </w:r>
      <w:r w:rsidR="006D6857" w:rsidRPr="00D35E49">
        <w:rPr>
          <w:lang w:val="ru-RU"/>
        </w:rPr>
        <w:t xml:space="preserve">договаривающимися </w:t>
      </w:r>
      <w:r w:rsidRPr="00D35E49">
        <w:rPr>
          <w:lang w:val="ru-RU"/>
        </w:rPr>
        <w:t>сторонами, указанными в соответствии с Актом 1960 г</w:t>
      </w:r>
      <w:r w:rsidR="0087217C">
        <w:rPr>
          <w:lang w:val="ru-RU"/>
        </w:rPr>
        <w:t xml:space="preserve">.  </w:t>
      </w:r>
      <w:r>
        <w:rPr>
          <w:lang w:val="ru-RU"/>
        </w:rPr>
        <w:t>Речь идет о международной регистрации № </w:t>
      </w:r>
      <w:r w:rsidRPr="00D35E49">
        <w:rPr>
          <w:lang w:val="ru-RU"/>
        </w:rPr>
        <w:t>DM/102 573</w:t>
      </w:r>
      <w:r>
        <w:rPr>
          <w:lang w:val="ru-RU"/>
        </w:rPr>
        <w:t>, в которой указана только Италия (Акт 1960 г.).</w:t>
      </w:r>
      <w:r w:rsidR="0087217C">
        <w:rPr>
          <w:lang w:val="ru-RU"/>
        </w:rPr>
        <w:t xml:space="preserve">  </w:t>
      </w:r>
    </w:p>
  </w:footnote>
  <w:footnote w:id="5">
    <w:p w14:paraId="7873A861" w14:textId="3631361A" w:rsidR="00BB09B6" w:rsidRPr="00513688" w:rsidRDefault="00BB09B6" w:rsidP="004E51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4781E">
        <w:rPr>
          <w:lang w:val="ru-RU"/>
        </w:rPr>
        <w:tab/>
      </w:r>
      <w:r>
        <w:rPr>
          <w:lang w:val="ru-RU"/>
        </w:rPr>
        <w:t>Или в любом другом случае при отсутствии заявления от другой договаривающейся стороны в соответствии с пунктом 1 статьи 11 Акта 1999 г</w:t>
      </w:r>
      <w:r w:rsidR="0087217C">
        <w:rPr>
          <w:lang w:val="ru-RU"/>
        </w:rPr>
        <w:t xml:space="preserve">.  </w:t>
      </w:r>
    </w:p>
  </w:footnote>
  <w:footnote w:id="6">
    <w:p w14:paraId="1CE7A0CF" w14:textId="0479090C" w:rsidR="00BB09B6" w:rsidRPr="00472CF4" w:rsidRDefault="00BB09B6" w:rsidP="00581B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2CF4">
        <w:rPr>
          <w:lang w:val="ru-RU"/>
        </w:rPr>
        <w:tab/>
      </w:r>
      <w:r>
        <w:rPr>
          <w:lang w:val="ru-RU"/>
        </w:rPr>
        <w:t>См</w:t>
      </w:r>
      <w:r w:rsidR="0087217C">
        <w:rPr>
          <w:lang w:val="ru-RU"/>
        </w:rPr>
        <w:t xml:space="preserve">.  </w:t>
      </w:r>
      <w:r>
        <w:rPr>
          <w:lang w:val="ru-RU"/>
        </w:rPr>
        <w:t>документ</w:t>
      </w:r>
      <w:r w:rsidRPr="00472CF4">
        <w:rPr>
          <w:lang w:val="ru-RU"/>
        </w:rPr>
        <w:t xml:space="preserve"> </w:t>
      </w:r>
      <w:r>
        <w:t>WO</w:t>
      </w:r>
      <w:r w:rsidRPr="00472CF4">
        <w:rPr>
          <w:lang w:val="ru-RU"/>
        </w:rPr>
        <w:t>/</w:t>
      </w:r>
      <w:r>
        <w:t>PBC</w:t>
      </w:r>
      <w:r w:rsidRPr="00472CF4">
        <w:rPr>
          <w:lang w:val="ru-RU"/>
        </w:rPr>
        <w:t xml:space="preserve">/30/10, </w:t>
      </w:r>
      <w:r>
        <w:rPr>
          <w:lang w:val="ru-RU"/>
        </w:rPr>
        <w:t>стр</w:t>
      </w:r>
      <w:r w:rsidR="0087217C">
        <w:rPr>
          <w:lang w:val="ru-RU"/>
        </w:rPr>
        <w:t xml:space="preserve">.  </w:t>
      </w:r>
      <w:r w:rsidRPr="00472CF4">
        <w:rPr>
          <w:lang w:val="ru-RU"/>
        </w:rPr>
        <w:t>54.</w:t>
      </w:r>
    </w:p>
  </w:footnote>
  <w:footnote w:id="7">
    <w:p w14:paraId="2AEEFB19" w14:textId="126223C5" w:rsidR="00BB09B6" w:rsidRPr="00131EDE" w:rsidRDefault="00BB09B6" w:rsidP="00472CF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31EDE">
        <w:rPr>
          <w:lang w:val="ru-RU"/>
        </w:rPr>
        <w:tab/>
      </w:r>
      <w:r>
        <w:rPr>
          <w:lang w:val="ru-RU"/>
        </w:rPr>
        <w:t>В</w:t>
      </w:r>
      <w:r w:rsidRPr="00472CF4">
        <w:rPr>
          <w:lang w:val="ru-RU"/>
        </w:rPr>
        <w:t xml:space="preserve"> </w:t>
      </w:r>
      <w:r>
        <w:rPr>
          <w:lang w:val="ru-RU"/>
        </w:rPr>
        <w:t>этой</w:t>
      </w:r>
      <w:r w:rsidRPr="00472CF4">
        <w:rPr>
          <w:lang w:val="ru-RU"/>
        </w:rPr>
        <w:t xml:space="preserve"> </w:t>
      </w:r>
      <w:r>
        <w:rPr>
          <w:lang w:val="ru-RU"/>
        </w:rPr>
        <w:t>связи</w:t>
      </w:r>
      <w:r w:rsidRPr="00472CF4">
        <w:rPr>
          <w:lang w:val="ru-RU"/>
        </w:rPr>
        <w:t xml:space="preserve"> </w:t>
      </w:r>
      <w:r>
        <w:rPr>
          <w:lang w:val="ru-RU"/>
        </w:rPr>
        <w:t>следует напомнить, что применение Лондонского акта 1934 г., который был принят 2 июня</w:t>
      </w:r>
      <w:r w:rsidR="00395F1E">
        <w:rPr>
          <w:lang w:val="fr-CH"/>
        </w:rPr>
        <w:t> </w:t>
      </w:r>
      <w:r>
        <w:rPr>
          <w:lang w:val="ru-RU"/>
        </w:rPr>
        <w:t>1934 г., было заморожено с 1 января 2010</w:t>
      </w:r>
      <w:r w:rsidR="0087217C">
        <w:rPr>
          <w:lang w:val="ru-RU"/>
        </w:rPr>
        <w:t xml:space="preserve">.  </w:t>
      </w:r>
      <w:r>
        <w:rPr>
          <w:lang w:val="ru-RU"/>
        </w:rPr>
        <w:t>В</w:t>
      </w:r>
      <w:r w:rsidRPr="00131EDE">
        <w:rPr>
          <w:lang w:val="ru-RU"/>
        </w:rPr>
        <w:t xml:space="preserve"> </w:t>
      </w:r>
      <w:r>
        <w:rPr>
          <w:lang w:val="ru-RU"/>
        </w:rPr>
        <w:t>конечном</w:t>
      </w:r>
      <w:r w:rsidRPr="00131EDE">
        <w:rPr>
          <w:lang w:val="ru-RU"/>
        </w:rPr>
        <w:t xml:space="preserve"> </w:t>
      </w:r>
      <w:r>
        <w:rPr>
          <w:lang w:val="ru-RU"/>
        </w:rPr>
        <w:t>итоге</w:t>
      </w:r>
      <w:r w:rsidRPr="00131EDE">
        <w:rPr>
          <w:lang w:val="ru-RU"/>
        </w:rPr>
        <w:t xml:space="preserve"> </w:t>
      </w:r>
      <w:r>
        <w:rPr>
          <w:lang w:val="ru-RU"/>
        </w:rPr>
        <w:t>с</w:t>
      </w:r>
      <w:r w:rsidRPr="00131EDE">
        <w:rPr>
          <w:lang w:val="ru-RU"/>
        </w:rPr>
        <w:t xml:space="preserve"> 18 </w:t>
      </w:r>
      <w:r>
        <w:rPr>
          <w:lang w:val="ru-RU"/>
        </w:rPr>
        <w:t>октября</w:t>
      </w:r>
      <w:r w:rsidRPr="00131EDE">
        <w:rPr>
          <w:lang w:val="ru-RU"/>
        </w:rPr>
        <w:t xml:space="preserve"> 2016</w:t>
      </w:r>
      <w:r w:rsidRPr="00131EDE">
        <w:t> </w:t>
      </w:r>
      <w:r>
        <w:rPr>
          <w:lang w:val="ru-RU"/>
        </w:rPr>
        <w:t>г</w:t>
      </w:r>
      <w:r w:rsidR="00A42509">
        <w:rPr>
          <w:lang w:val="ru-RU"/>
        </w:rPr>
        <w:t>.</w:t>
      </w:r>
      <w:r w:rsidR="0087217C">
        <w:rPr>
          <w:lang w:val="ru-RU"/>
        </w:rPr>
        <w:t xml:space="preserve"> </w:t>
      </w:r>
      <w:r>
        <w:rPr>
          <w:lang w:val="ru-RU"/>
        </w:rPr>
        <w:t>Акт</w:t>
      </w:r>
      <w:r w:rsidRPr="00131EDE">
        <w:rPr>
          <w:lang w:val="ru-RU"/>
        </w:rPr>
        <w:t xml:space="preserve"> 1934</w:t>
      </w:r>
      <w:r w:rsidRPr="00131EDE">
        <w:t> </w:t>
      </w:r>
      <w:r>
        <w:rPr>
          <w:lang w:val="ru-RU"/>
        </w:rPr>
        <w:t>г</w:t>
      </w:r>
      <w:r w:rsidR="00A42509">
        <w:rPr>
          <w:lang w:val="ru-RU"/>
        </w:rPr>
        <w:t>.</w:t>
      </w:r>
      <w:r w:rsidR="0087217C">
        <w:rPr>
          <w:lang w:val="ru-RU"/>
        </w:rPr>
        <w:t xml:space="preserve"> </w:t>
      </w:r>
      <w:r>
        <w:rPr>
          <w:lang w:val="ru-RU"/>
        </w:rPr>
        <w:t>прекратил</w:t>
      </w:r>
      <w:r w:rsidRPr="00131EDE">
        <w:rPr>
          <w:lang w:val="ru-RU"/>
        </w:rPr>
        <w:t xml:space="preserve"> </w:t>
      </w:r>
      <w:r>
        <w:rPr>
          <w:lang w:val="ru-RU"/>
        </w:rPr>
        <w:t>действие</w:t>
      </w:r>
      <w:r w:rsidR="0087217C">
        <w:rPr>
          <w:lang w:val="ru-RU"/>
        </w:rPr>
        <w:t xml:space="preserve">.  </w:t>
      </w:r>
      <w:r>
        <w:rPr>
          <w:lang w:val="ru-RU"/>
        </w:rPr>
        <w:t>См</w:t>
      </w:r>
      <w:r w:rsidR="00A42509">
        <w:rPr>
          <w:lang w:val="ru-RU"/>
        </w:rPr>
        <w:t>.</w:t>
      </w:r>
      <w:r w:rsidR="0087217C">
        <w:rPr>
          <w:lang w:val="ru-RU"/>
        </w:rPr>
        <w:t xml:space="preserve"> </w:t>
      </w:r>
      <w:r w:rsidRPr="0087217C">
        <w:rPr>
          <w:lang w:val="ru-RU"/>
        </w:rPr>
        <w:t>информационные письма 9/</w:t>
      </w:r>
      <w:r w:rsidRPr="00131EDE">
        <w:rPr>
          <w:lang w:val="ru-RU"/>
        </w:rPr>
        <w:t xml:space="preserve">2009 и 10/2016, </w:t>
      </w:r>
      <w:r>
        <w:rPr>
          <w:lang w:val="ru-RU"/>
        </w:rPr>
        <w:t>доступные</w:t>
      </w:r>
      <w:r w:rsidRPr="00131EDE">
        <w:rPr>
          <w:lang w:val="ru-RU"/>
        </w:rPr>
        <w:t xml:space="preserve"> </w:t>
      </w:r>
      <w:r>
        <w:rPr>
          <w:lang w:val="ru-RU"/>
        </w:rPr>
        <w:t>по</w:t>
      </w:r>
      <w:r w:rsidRPr="00131EDE">
        <w:rPr>
          <w:lang w:val="ru-RU"/>
        </w:rPr>
        <w:t xml:space="preserve"> </w:t>
      </w:r>
      <w:r>
        <w:rPr>
          <w:lang w:val="ru-RU"/>
        </w:rPr>
        <w:t>ссылке</w:t>
      </w:r>
      <w:r w:rsidR="008115AA">
        <w:rPr>
          <w:lang w:val="ru-RU"/>
        </w:rPr>
        <w:t xml:space="preserve">:  </w:t>
      </w:r>
      <w:hyperlink r:id="rId1" w:history="1">
        <w:r w:rsidR="009E7F37" w:rsidRPr="00D677BF">
          <w:rPr>
            <w:rStyle w:val="Hyperlink"/>
            <w:color w:val="auto"/>
            <w:u w:val="none"/>
          </w:rPr>
          <w:t>https</w:t>
        </w:r>
        <w:r w:rsidR="009E7F37" w:rsidRPr="009E7F37">
          <w:rPr>
            <w:rStyle w:val="Hyperlink"/>
            <w:color w:val="auto"/>
            <w:u w:val="none"/>
            <w:lang w:val="ru-RU"/>
          </w:rPr>
          <w:t>://</w:t>
        </w:r>
        <w:r w:rsidR="009E7F37" w:rsidRPr="00D677BF">
          <w:rPr>
            <w:rStyle w:val="Hyperlink"/>
            <w:color w:val="auto"/>
            <w:u w:val="none"/>
          </w:rPr>
          <w:t>www</w:t>
        </w:r>
        <w:r w:rsidR="009E7F37" w:rsidRPr="009E7F3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9E7F37" w:rsidRPr="00D677BF">
          <w:rPr>
            <w:rStyle w:val="Hyperlink"/>
            <w:color w:val="auto"/>
            <w:u w:val="none"/>
          </w:rPr>
          <w:t>wipo</w:t>
        </w:r>
        <w:proofErr w:type="spellEnd"/>
        <w:r w:rsidR="009E7F37" w:rsidRPr="009E7F3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9E7F37" w:rsidRPr="00D677BF">
          <w:rPr>
            <w:rStyle w:val="Hyperlink"/>
            <w:color w:val="auto"/>
            <w:u w:val="none"/>
          </w:rPr>
          <w:t>int</w:t>
        </w:r>
        <w:proofErr w:type="spellEnd"/>
        <w:r w:rsidR="009E7F37" w:rsidRPr="009E7F37">
          <w:rPr>
            <w:rStyle w:val="Hyperlink"/>
            <w:color w:val="auto"/>
            <w:u w:val="none"/>
            <w:lang w:val="ru-RU"/>
          </w:rPr>
          <w:t>/</w:t>
        </w:r>
        <w:r w:rsidR="009E7F37" w:rsidRPr="00D677BF">
          <w:rPr>
            <w:rStyle w:val="Hyperlink"/>
            <w:color w:val="auto"/>
            <w:u w:val="none"/>
          </w:rPr>
          <w:t>hague</w:t>
        </w:r>
        <w:r w:rsidR="009E7F37" w:rsidRPr="009E7F3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9E7F37" w:rsidRPr="00D677BF">
          <w:rPr>
            <w:rStyle w:val="Hyperlink"/>
            <w:color w:val="auto"/>
            <w:u w:val="none"/>
          </w:rPr>
          <w:t>en</w:t>
        </w:r>
        <w:proofErr w:type="spellEnd"/>
        <w:r w:rsidR="009E7F37" w:rsidRPr="009E7F37">
          <w:rPr>
            <w:rStyle w:val="Hyperlink"/>
            <w:color w:val="auto"/>
            <w:u w:val="none"/>
            <w:lang w:val="ru-RU"/>
          </w:rPr>
          <w:t>/</w:t>
        </w:r>
        <w:r w:rsidR="009E7F37" w:rsidRPr="00D677BF">
          <w:rPr>
            <w:rStyle w:val="Hyperlink"/>
            <w:color w:val="auto"/>
            <w:u w:val="none"/>
          </w:rPr>
          <w:t>notices</w:t>
        </w:r>
        <w:r w:rsidR="009E7F37" w:rsidRPr="009E7F37">
          <w:rPr>
            <w:rStyle w:val="Hyperlink"/>
            <w:color w:val="auto"/>
            <w:u w:val="none"/>
            <w:lang w:val="ru-RU"/>
          </w:rPr>
          <w:t>/</w:t>
        </w:r>
      </w:hyperlink>
      <w:r w:rsidRPr="00131EDE">
        <w:rPr>
          <w:lang w:val="ru-RU"/>
        </w:rPr>
        <w:t>.</w:t>
      </w:r>
    </w:p>
  </w:footnote>
  <w:footnote w:id="8">
    <w:p w14:paraId="3841E45D" w14:textId="532C87AA" w:rsidR="00BB09B6" w:rsidRPr="005A4FDE" w:rsidRDefault="00BB09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lang w:val="ru-RU"/>
        </w:rPr>
        <w:t>Список</w:t>
      </w:r>
      <w:r w:rsidRPr="005A4FDE">
        <w:rPr>
          <w:lang w:val="ru-RU"/>
        </w:rPr>
        <w:t xml:space="preserve"> </w:t>
      </w:r>
      <w:r>
        <w:rPr>
          <w:lang w:val="ru-RU"/>
        </w:rPr>
        <w:t>членов</w:t>
      </w:r>
      <w:r w:rsidRPr="005A4FDE">
        <w:rPr>
          <w:lang w:val="ru-RU"/>
        </w:rPr>
        <w:t xml:space="preserve"> </w:t>
      </w:r>
      <w:r>
        <w:rPr>
          <w:lang w:val="ru-RU"/>
        </w:rPr>
        <w:t>по</w:t>
      </w:r>
      <w:r w:rsidRPr="005A4FDE">
        <w:rPr>
          <w:lang w:val="ru-RU"/>
        </w:rPr>
        <w:t xml:space="preserve"> </w:t>
      </w:r>
      <w:r>
        <w:rPr>
          <w:lang w:val="ru-RU"/>
        </w:rPr>
        <w:t>состоянию</w:t>
      </w:r>
      <w:r w:rsidRPr="005A4FDE">
        <w:rPr>
          <w:lang w:val="ru-RU"/>
        </w:rPr>
        <w:t xml:space="preserve"> </w:t>
      </w:r>
      <w:r>
        <w:rPr>
          <w:lang w:val="ru-RU"/>
        </w:rPr>
        <w:t>на</w:t>
      </w:r>
      <w:r w:rsidRPr="005A4FDE">
        <w:rPr>
          <w:lang w:val="ru-RU"/>
        </w:rPr>
        <w:t xml:space="preserve"> 29 </w:t>
      </w:r>
      <w:r>
        <w:rPr>
          <w:lang w:val="ru-RU"/>
        </w:rPr>
        <w:t>августа</w:t>
      </w:r>
      <w:r w:rsidRPr="005A4FDE">
        <w:rPr>
          <w:lang w:val="ru-RU"/>
        </w:rPr>
        <w:t xml:space="preserve"> 2019</w:t>
      </w:r>
      <w:r w:rsidRPr="005A4FDE">
        <w:t> </w:t>
      </w:r>
      <w:r>
        <w:rPr>
          <w:lang w:val="ru-RU"/>
        </w:rPr>
        <w:t>г</w:t>
      </w:r>
      <w:r w:rsidR="0087217C">
        <w:rPr>
          <w:lang w:val="ru-RU"/>
        </w:rPr>
        <w:t>.</w:t>
      </w:r>
      <w:r w:rsidR="00EF5E9E">
        <w:rPr>
          <w:lang w:val="ru-RU"/>
        </w:rPr>
        <w:t xml:space="preserve">, </w:t>
      </w:r>
      <w:r>
        <w:rPr>
          <w:lang w:val="ru-RU"/>
        </w:rPr>
        <w:t>представленных по группам в соответствии с актом или актами, участниками которых они являются</w:t>
      </w:r>
      <w:r w:rsidR="0087217C">
        <w:rPr>
          <w:lang w:val="ru-RU"/>
        </w:rPr>
        <w:t xml:space="preserve">.  </w:t>
      </w:r>
    </w:p>
  </w:footnote>
  <w:footnote w:id="9">
    <w:p w14:paraId="03A49EF3" w14:textId="4ACA34C4" w:rsidR="00BB09B6" w:rsidRPr="005A4FDE" w:rsidRDefault="00BB09B6" w:rsidP="005E3A93">
      <w:pPr>
        <w:pStyle w:val="FootnoteText"/>
        <w:tabs>
          <w:tab w:val="left" w:pos="567"/>
        </w:tabs>
        <w:rPr>
          <w:szCs w:val="18"/>
          <w:lang w:val="ru-RU"/>
        </w:rPr>
      </w:pPr>
      <w:r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0">
    <w:p w14:paraId="5D728D44" w14:textId="20F3228F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1">
    <w:p w14:paraId="0EA2645D" w14:textId="028BD8B9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 – член Европейского союза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2">
    <w:p w14:paraId="06F10487" w14:textId="45B27633" w:rsidR="00BB09B6" w:rsidRPr="0087217C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EF5E9E">
        <w:rPr>
          <w:lang w:val="ru-RU"/>
        </w:rPr>
        <w:tab/>
      </w:r>
      <w:r>
        <w:rPr>
          <w:szCs w:val="18"/>
          <w:lang w:val="ru-RU"/>
        </w:rPr>
        <w:t>Государство – член Европейского союза</w:t>
      </w:r>
      <w:r w:rsidRPr="00EF5E9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3">
    <w:p w14:paraId="6747601E" w14:textId="1B201D87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4">
    <w:p w14:paraId="383F5E21" w14:textId="0487070E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5">
    <w:p w14:paraId="720ADBCC" w14:textId="17C94EB2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6">
    <w:p w14:paraId="259F09B6" w14:textId="5B63EC03" w:rsidR="00BB09B6" w:rsidRPr="005A4FDE" w:rsidRDefault="00BB09B6" w:rsidP="005E3A93">
      <w:pPr>
        <w:pStyle w:val="FootnoteText"/>
        <w:tabs>
          <w:tab w:val="left" w:pos="567"/>
        </w:tabs>
        <w:rPr>
          <w:lang w:val="ru-RU"/>
        </w:rPr>
      </w:pPr>
      <w:r w:rsidRPr="00E84FD2"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szCs w:val="18"/>
          <w:lang w:val="ru-RU"/>
        </w:rPr>
        <w:t>Государство</w:t>
      </w:r>
      <w:r w:rsidRPr="005A4FDE">
        <w:rPr>
          <w:szCs w:val="18"/>
        </w:rPr>
        <w:t> </w:t>
      </w:r>
      <w:r w:rsidRPr="005A4FDE">
        <w:rPr>
          <w:szCs w:val="18"/>
          <w:lang w:val="ru-RU"/>
        </w:rPr>
        <w:t xml:space="preserve">– </w:t>
      </w:r>
      <w:r>
        <w:rPr>
          <w:szCs w:val="18"/>
          <w:lang w:val="ru-RU"/>
        </w:rPr>
        <w:t>член</w:t>
      </w:r>
      <w:r w:rsidRPr="005A4F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АОИС</w:t>
      </w:r>
      <w:r w:rsidRPr="005A4FDE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  <w:footnote w:id="17">
    <w:p w14:paraId="4291F85E" w14:textId="45C8F7DA" w:rsidR="00BB09B6" w:rsidRPr="005A4FDE" w:rsidRDefault="00BB09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4FDE">
        <w:rPr>
          <w:lang w:val="ru-RU"/>
        </w:rPr>
        <w:tab/>
      </w:r>
      <w:r>
        <w:rPr>
          <w:lang w:val="ru-RU"/>
        </w:rPr>
        <w:t>Список членов по состоянию на 29 августа 2019 г</w:t>
      </w:r>
      <w:r w:rsidRPr="005A4FDE">
        <w:rPr>
          <w:lang w:val="ru-RU"/>
        </w:rPr>
        <w:t>.</w:t>
      </w:r>
      <w:r w:rsidR="0087217C">
        <w:rPr>
          <w:lang w:val="ru-RU"/>
        </w:rPr>
        <w:t xml:space="preserve">  </w:t>
      </w:r>
    </w:p>
  </w:footnote>
  <w:footnote w:id="18">
    <w:p w14:paraId="18508229" w14:textId="1EB3121A" w:rsidR="00BB09B6" w:rsidRPr="00BB09B6" w:rsidRDefault="00BB09B6" w:rsidP="00D56070">
      <w:pPr>
        <w:pStyle w:val="FootnoteText"/>
        <w:rPr>
          <w:szCs w:val="18"/>
          <w:lang w:val="ru-RU"/>
        </w:rPr>
      </w:pPr>
      <w:r w:rsidRPr="00040014">
        <w:rPr>
          <w:rStyle w:val="FootnoteReference"/>
          <w:szCs w:val="18"/>
        </w:rPr>
        <w:footnoteRef/>
      </w:r>
      <w:r w:rsidRPr="00BB09B6">
        <w:rPr>
          <w:szCs w:val="18"/>
          <w:lang w:val="ru-RU"/>
        </w:rPr>
        <w:tab/>
        <w:t>Акт 1999</w:t>
      </w:r>
      <w:r w:rsidRPr="00BB09B6">
        <w:rPr>
          <w:szCs w:val="18"/>
        </w:rPr>
        <w:t> </w:t>
      </w:r>
      <w:r>
        <w:rPr>
          <w:szCs w:val="18"/>
          <w:lang w:val="ru-RU"/>
        </w:rPr>
        <w:t>г</w:t>
      </w:r>
      <w:r w:rsidR="003F6A68">
        <w:rPr>
          <w:szCs w:val="18"/>
          <w:lang w:val="ru-RU"/>
        </w:rPr>
        <w:t xml:space="preserve">. </w:t>
      </w:r>
      <w:r w:rsidRPr="00BB09B6">
        <w:rPr>
          <w:szCs w:val="18"/>
          <w:lang w:val="ru-RU"/>
        </w:rPr>
        <w:t>вступил в силу в отношении</w:t>
      </w:r>
      <w:r>
        <w:rPr>
          <w:szCs w:val="18"/>
          <w:lang w:val="ru-RU"/>
        </w:rPr>
        <w:t xml:space="preserve"> </w:t>
      </w:r>
      <w:r w:rsidRPr="00BB09B6">
        <w:rPr>
          <w:szCs w:val="18"/>
          <w:lang w:val="ru-RU"/>
        </w:rPr>
        <w:t>Бенилюкс</w:t>
      </w:r>
      <w:r>
        <w:rPr>
          <w:szCs w:val="18"/>
          <w:lang w:val="ru-RU"/>
        </w:rPr>
        <w:t>а 18 декабря 2018 г.</w:t>
      </w:r>
      <w:r w:rsidR="0087217C">
        <w:rPr>
          <w:szCs w:val="18"/>
          <w:lang w:val="ru-RU"/>
        </w:rPr>
        <w:t xml:space="preserve">  </w:t>
      </w:r>
    </w:p>
  </w:footnote>
  <w:footnote w:id="19">
    <w:p w14:paraId="639E228E" w14:textId="55CA0EB3" w:rsidR="00BB09B6" w:rsidRPr="00BB09B6" w:rsidRDefault="00BB09B6" w:rsidP="00D56070">
      <w:pPr>
        <w:pStyle w:val="FootnoteText"/>
        <w:rPr>
          <w:szCs w:val="18"/>
          <w:lang w:val="ru-RU"/>
        </w:rPr>
      </w:pPr>
      <w:r w:rsidRPr="00981D1D">
        <w:rPr>
          <w:rStyle w:val="FootnoteReference"/>
          <w:szCs w:val="18"/>
        </w:rPr>
        <w:footnoteRef/>
      </w:r>
      <w:r w:rsidRPr="00BB09B6">
        <w:rPr>
          <w:szCs w:val="18"/>
          <w:lang w:val="ru-RU"/>
        </w:rPr>
        <w:tab/>
        <w:t>Акт 1999</w:t>
      </w:r>
      <w:r w:rsidRPr="00BB09B6">
        <w:rPr>
          <w:szCs w:val="18"/>
        </w:rPr>
        <w:t> </w:t>
      </w:r>
      <w:r>
        <w:rPr>
          <w:szCs w:val="18"/>
          <w:lang w:val="ru-RU"/>
        </w:rPr>
        <w:t>г</w:t>
      </w:r>
      <w:r w:rsidR="003F6A68">
        <w:rPr>
          <w:szCs w:val="18"/>
          <w:lang w:val="ru-RU"/>
        </w:rPr>
        <w:t xml:space="preserve">. </w:t>
      </w:r>
      <w:r w:rsidRPr="00BB09B6">
        <w:rPr>
          <w:szCs w:val="18"/>
          <w:lang w:val="ru-RU"/>
        </w:rPr>
        <w:t>вступил в силу в отношении</w:t>
      </w:r>
      <w:r>
        <w:rPr>
          <w:szCs w:val="18"/>
          <w:lang w:val="ru-RU"/>
        </w:rPr>
        <w:t xml:space="preserve"> </w:t>
      </w:r>
      <w:r w:rsidRPr="00BB09B6">
        <w:rPr>
          <w:szCs w:val="18"/>
          <w:lang w:val="ru-RU"/>
        </w:rPr>
        <w:t>Бе</w:t>
      </w:r>
      <w:r>
        <w:rPr>
          <w:szCs w:val="18"/>
          <w:lang w:val="ru-RU"/>
        </w:rPr>
        <w:t>лиза 9 февраля 2019 г</w:t>
      </w:r>
      <w:r w:rsidRPr="00BB09B6">
        <w:rPr>
          <w:szCs w:val="18"/>
          <w:lang w:val="ru-RU"/>
        </w:rPr>
        <w:t>.</w:t>
      </w:r>
      <w:r w:rsidR="0087217C">
        <w:rPr>
          <w:szCs w:val="18"/>
          <w:lang w:val="ru-R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E328" w14:textId="688E85E7" w:rsidR="00BB09B6" w:rsidRPr="0053034B" w:rsidRDefault="00BB09B6" w:rsidP="000A7F67">
    <w:pPr>
      <w:jc w:val="right"/>
      <w:rPr>
        <w:lang w:val="pt-PT"/>
      </w:rPr>
    </w:pPr>
    <w:r w:rsidRPr="0053034B">
      <w:rPr>
        <w:lang w:val="pt-PT"/>
      </w:rPr>
      <w:t>H/LD/WG/</w:t>
    </w:r>
    <w:r>
      <w:rPr>
        <w:lang w:val="pt-PT"/>
      </w:rPr>
      <w:t>8</w:t>
    </w:r>
    <w:r w:rsidRPr="0053034B">
      <w:rPr>
        <w:lang w:val="pt-PT"/>
      </w:rPr>
      <w:t>/</w:t>
    </w:r>
    <w:r>
      <w:rPr>
        <w:lang w:val="pt-PT"/>
      </w:rPr>
      <w:t>3</w:t>
    </w:r>
  </w:p>
  <w:p w14:paraId="07C92EA1" w14:textId="3E6BB4BF" w:rsidR="00BB09B6" w:rsidRPr="0053034B" w:rsidRDefault="00BB09B6" w:rsidP="000A7F67">
    <w:pPr>
      <w:jc w:val="right"/>
      <w:rPr>
        <w:lang w:val="pt-PT"/>
      </w:rPr>
    </w:pPr>
    <w:r w:rsidRPr="0053034B">
      <w:rPr>
        <w:lang w:val="pt-PT"/>
      </w:rPr>
      <w:t xml:space="preserve">page </w:t>
    </w:r>
    <w:r>
      <w:fldChar w:fldCharType="begin"/>
    </w:r>
    <w:r w:rsidRPr="0053034B">
      <w:rPr>
        <w:lang w:val="pt-PT"/>
      </w:rPr>
      <w:instrText xml:space="preserve"> PAGE  \* MERGEFORMAT </w:instrText>
    </w:r>
    <w:r>
      <w:fldChar w:fldCharType="separate"/>
    </w:r>
    <w:r>
      <w:rPr>
        <w:noProof/>
        <w:lang w:val="pt-PT"/>
      </w:rPr>
      <w:t>1</w:t>
    </w:r>
    <w:r>
      <w:fldChar w:fldCharType="end"/>
    </w:r>
  </w:p>
  <w:p w14:paraId="4C0E99B3" w14:textId="6485100E" w:rsidR="00BB09B6" w:rsidRDefault="00BB09B6" w:rsidP="000A7F67">
    <w:pPr>
      <w:jc w:val="right"/>
      <w:rPr>
        <w:lang w:val="pt-PT"/>
      </w:rPr>
    </w:pPr>
  </w:p>
  <w:p w14:paraId="5FC5C4DF" w14:textId="77777777" w:rsidR="00BB09B6" w:rsidRPr="0053034B" w:rsidRDefault="00BB09B6" w:rsidP="000A7F67">
    <w:pPr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294B" w14:textId="77777777" w:rsidR="00BB09B6" w:rsidRPr="0053034B" w:rsidRDefault="00BB09B6" w:rsidP="001258F0">
    <w:pPr>
      <w:jc w:val="right"/>
      <w:rPr>
        <w:lang w:val="pt-PT"/>
      </w:rPr>
    </w:pPr>
    <w:r w:rsidRPr="0053034B">
      <w:rPr>
        <w:lang w:val="pt-PT"/>
      </w:rPr>
      <w:t>H/LD/WG/</w:t>
    </w:r>
    <w:r>
      <w:rPr>
        <w:lang w:val="pt-PT"/>
      </w:rPr>
      <w:t>8</w:t>
    </w:r>
    <w:r w:rsidRPr="0053034B">
      <w:rPr>
        <w:lang w:val="pt-PT"/>
      </w:rPr>
      <w:t>/</w:t>
    </w:r>
    <w:r>
      <w:rPr>
        <w:lang w:val="pt-PT"/>
      </w:rPr>
      <w:t>3</w:t>
    </w:r>
  </w:p>
  <w:p w14:paraId="2EE7F81E" w14:textId="1C5517AC" w:rsidR="00BB09B6" w:rsidRPr="0053034B" w:rsidRDefault="00BB09B6" w:rsidP="001258F0">
    <w:pPr>
      <w:jc w:val="right"/>
      <w:rPr>
        <w:lang w:val="pt-PT"/>
      </w:rPr>
    </w:pPr>
    <w:r>
      <w:rPr>
        <w:lang w:val="ru-RU"/>
      </w:rPr>
      <w:t>стр</w:t>
    </w:r>
    <w:r w:rsidRPr="0018799E">
      <w:t>.</w:t>
    </w:r>
    <w:r w:rsidRPr="0053034B">
      <w:rPr>
        <w:lang w:val="pt-PT"/>
      </w:rPr>
      <w:t xml:space="preserve"> </w:t>
    </w:r>
    <w:r>
      <w:fldChar w:fldCharType="begin"/>
    </w:r>
    <w:r w:rsidRPr="0053034B">
      <w:rPr>
        <w:lang w:val="pt-PT"/>
      </w:rPr>
      <w:instrText xml:space="preserve"> PAGE  \* MERGEFORMAT </w:instrText>
    </w:r>
    <w:r>
      <w:fldChar w:fldCharType="separate"/>
    </w:r>
    <w:r w:rsidR="00964E8A">
      <w:rPr>
        <w:noProof/>
        <w:lang w:val="pt-PT"/>
      </w:rPr>
      <w:t>6</w:t>
    </w:r>
    <w:r>
      <w:fldChar w:fldCharType="end"/>
    </w:r>
  </w:p>
  <w:p w14:paraId="14265085" w14:textId="77777777" w:rsidR="00BB09B6" w:rsidRDefault="00BB09B6" w:rsidP="001258F0">
    <w:pPr>
      <w:jc w:val="right"/>
      <w:rPr>
        <w:lang w:val="pt-PT"/>
      </w:rPr>
    </w:pPr>
  </w:p>
  <w:p w14:paraId="5E8FC3C2" w14:textId="77777777" w:rsidR="00BB09B6" w:rsidRPr="0053034B" w:rsidRDefault="00BB09B6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15E2" w14:textId="77777777" w:rsidR="00BB09B6" w:rsidRDefault="00BB09B6" w:rsidP="006A0625">
    <w:pPr>
      <w:jc w:val="right"/>
    </w:pPr>
    <w:r>
      <w:t>H/LD/WG/8/3</w:t>
    </w:r>
  </w:p>
  <w:p w14:paraId="39BA50D9" w14:textId="7E210460" w:rsidR="00BB09B6" w:rsidRPr="006473A9" w:rsidRDefault="00BB09B6" w:rsidP="005E3A93">
    <w:pPr>
      <w:pStyle w:val="Header"/>
      <w:tabs>
        <w:tab w:val="clear" w:pos="9072"/>
      </w:tabs>
      <w:ind w:right="-1"/>
      <w:jc w:val="right"/>
      <w:rPr>
        <w:lang w:val="ru-RU"/>
      </w:rPr>
    </w:pPr>
    <w:r w:rsidRPr="006473A9">
      <w:rPr>
        <w:lang w:val="ru-RU"/>
      </w:rPr>
      <w:t>ПРИЛОЖЕНИЕ I</w:t>
    </w:r>
  </w:p>
  <w:p w14:paraId="3BBC7531" w14:textId="77777777" w:rsidR="00BB09B6" w:rsidRDefault="00BB09B6" w:rsidP="006A0625">
    <w:pPr>
      <w:pStyle w:val="Header"/>
      <w:jc w:val="right"/>
    </w:pPr>
  </w:p>
  <w:p w14:paraId="47E8A2E8" w14:textId="77777777" w:rsidR="00BB09B6" w:rsidRDefault="00BB09B6" w:rsidP="006A062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65322" w14:textId="77777777" w:rsidR="00BB09B6" w:rsidRDefault="00BB09B6" w:rsidP="006A0625">
    <w:pPr>
      <w:jc w:val="right"/>
    </w:pPr>
    <w:r>
      <w:t>H/LD/WG/8/3</w:t>
    </w:r>
  </w:p>
  <w:p w14:paraId="75102720" w14:textId="08559FE1" w:rsidR="00BB09B6" w:rsidRDefault="00BB09B6" w:rsidP="005E3A93">
    <w:pPr>
      <w:pStyle w:val="Header"/>
      <w:tabs>
        <w:tab w:val="clear" w:pos="9072"/>
      </w:tabs>
      <w:ind w:right="-1"/>
      <w:jc w:val="right"/>
    </w:pPr>
    <w:r>
      <w:rPr>
        <w:lang w:val="ru-RU"/>
      </w:rPr>
      <w:t>ПРИЛОЖЕНИЕ</w:t>
    </w:r>
    <w:r>
      <w:t xml:space="preserve"> II</w:t>
    </w:r>
  </w:p>
  <w:p w14:paraId="07B9E66C" w14:textId="77777777" w:rsidR="00BB09B6" w:rsidRDefault="00BB09B6" w:rsidP="006A0625">
    <w:pPr>
      <w:pStyle w:val="Header"/>
      <w:jc w:val="right"/>
    </w:pPr>
  </w:p>
  <w:p w14:paraId="01C97104" w14:textId="77777777" w:rsidR="00BB09B6" w:rsidRDefault="00BB09B6" w:rsidP="006A0625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EEDD" w14:textId="77777777" w:rsidR="00BB09B6" w:rsidRDefault="00BB09B6" w:rsidP="006A0625">
    <w:pPr>
      <w:jc w:val="right"/>
    </w:pPr>
    <w:r>
      <w:t>H/LD/WG/8/3</w:t>
    </w:r>
  </w:p>
  <w:p w14:paraId="1BC4662F" w14:textId="00EB08C9" w:rsidR="00BB09B6" w:rsidRDefault="00BB09B6" w:rsidP="005E3A93">
    <w:pPr>
      <w:pStyle w:val="Header"/>
      <w:tabs>
        <w:tab w:val="clear" w:pos="9072"/>
      </w:tabs>
      <w:ind w:right="-1"/>
      <w:jc w:val="right"/>
    </w:pPr>
    <w:r>
      <w:rPr>
        <w:lang w:val="ru-RU"/>
      </w:rPr>
      <w:t>ПРИЛОЖЕНИЕ</w:t>
    </w:r>
    <w:r>
      <w:t xml:space="preserve"> III</w:t>
    </w:r>
  </w:p>
  <w:p w14:paraId="5890E101" w14:textId="77777777" w:rsidR="00BB09B6" w:rsidRDefault="00BB09B6" w:rsidP="006A0625">
    <w:pPr>
      <w:pStyle w:val="Header"/>
      <w:jc w:val="right"/>
    </w:pPr>
  </w:p>
  <w:p w14:paraId="4914CB97" w14:textId="77777777" w:rsidR="00BB09B6" w:rsidRDefault="00BB09B6" w:rsidP="006A0625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1891" w14:textId="77777777" w:rsidR="00BB09B6" w:rsidRPr="001445D9" w:rsidRDefault="00BB09B6" w:rsidP="00F14760">
    <w:pPr>
      <w:pStyle w:val="Header"/>
      <w:jc w:val="center"/>
      <w:rPr>
        <w:color w:val="000000"/>
        <w:sz w:val="17"/>
        <w:lang w:val="fr-CH"/>
      </w:rPr>
    </w:pPr>
    <w:bookmarkStart w:id="6" w:name="TITUS5HeaderEvenPages"/>
    <w:r w:rsidRPr="001445D9">
      <w:rPr>
        <w:color w:val="000000"/>
        <w:sz w:val="17"/>
        <w:lang w:val="fr-CH"/>
      </w:rPr>
      <w:t> </w:t>
    </w:r>
  </w:p>
  <w:bookmarkEnd w:id="6"/>
  <w:p w14:paraId="2ED16159" w14:textId="77777777" w:rsidR="00BB09B6" w:rsidRPr="001445D9" w:rsidRDefault="00BB09B6" w:rsidP="00F14760">
    <w:pPr>
      <w:pStyle w:val="Header"/>
      <w:rPr>
        <w:lang w:val="fr-CH"/>
      </w:rPr>
    </w:pPr>
    <w:r w:rsidRPr="001445D9">
      <w:rPr>
        <w:lang w:val="fr-CH"/>
      </w:rPr>
      <w:t>H/LD/WG/1/4</w:t>
    </w:r>
  </w:p>
  <w:p w14:paraId="319051AC" w14:textId="5540A850" w:rsidR="00BB09B6" w:rsidRPr="001445D9" w:rsidRDefault="00BB09B6" w:rsidP="00F14760">
    <w:pPr>
      <w:pStyle w:val="Header"/>
      <w:rPr>
        <w:lang w:val="fr-CH"/>
      </w:rPr>
    </w:pPr>
    <w:proofErr w:type="spellStart"/>
    <w:r w:rsidRPr="001445D9">
      <w:rPr>
        <w:lang w:val="fr-CH"/>
      </w:rPr>
      <w:t>Annex</w:t>
    </w:r>
    <w:proofErr w:type="spellEnd"/>
    <w:r w:rsidRPr="001445D9">
      <w:rPr>
        <w:lang w:val="fr-CH"/>
      </w:rPr>
      <w:t xml:space="preserve"> VI, page </w:t>
    </w:r>
    <w:r>
      <w:fldChar w:fldCharType="begin"/>
    </w:r>
    <w:r w:rsidRPr="001445D9">
      <w:rPr>
        <w:lang w:val="fr-CH"/>
      </w:rPr>
      <w:instrText xml:space="preserve"> PAGE  \* MERGEFORMAT </w:instrText>
    </w:r>
    <w:r>
      <w:fldChar w:fldCharType="separate"/>
    </w:r>
    <w:r w:rsidRPr="00C45916">
      <w:rPr>
        <w:noProof/>
        <w:lang w:val="fr-FR"/>
      </w:rP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F28D" w14:textId="77777777" w:rsidR="00BB09B6" w:rsidRPr="000526A9" w:rsidRDefault="00BB09B6" w:rsidP="00F14760">
    <w:pPr>
      <w:pStyle w:val="Header"/>
      <w:jc w:val="center"/>
      <w:rPr>
        <w:color w:val="000000"/>
        <w:sz w:val="17"/>
        <w:lang w:val="fr-CH"/>
      </w:rPr>
    </w:pPr>
    <w:bookmarkStart w:id="7" w:name="TITUS5HeaderPrimary"/>
    <w:r w:rsidRPr="000526A9">
      <w:rPr>
        <w:color w:val="000000"/>
        <w:sz w:val="17"/>
        <w:lang w:val="fr-CH"/>
      </w:rPr>
      <w:t> </w:t>
    </w:r>
  </w:p>
  <w:bookmarkEnd w:id="7"/>
  <w:p w14:paraId="7426C30B" w14:textId="77777777" w:rsidR="00BB09B6" w:rsidRPr="0093396D" w:rsidRDefault="00BB09B6" w:rsidP="00F14760">
    <w:pPr>
      <w:pStyle w:val="Header"/>
      <w:rPr>
        <w:lang w:val="fr-CH"/>
      </w:rPr>
    </w:pPr>
    <w:r w:rsidRPr="0093396D">
      <w:rPr>
        <w:lang w:val="fr-CH"/>
      </w:rPr>
      <w:t>H/LD/WG/1/4</w:t>
    </w:r>
  </w:p>
  <w:p w14:paraId="0E156334" w14:textId="39202A0D" w:rsidR="00BB09B6" w:rsidRPr="0093396D" w:rsidRDefault="00BB09B6" w:rsidP="00F14760">
    <w:pPr>
      <w:pStyle w:val="Header"/>
      <w:rPr>
        <w:lang w:val="fr-CH"/>
      </w:rPr>
    </w:pPr>
    <w:proofErr w:type="spellStart"/>
    <w:r w:rsidRPr="0093396D">
      <w:rPr>
        <w:lang w:val="fr-CH"/>
      </w:rPr>
      <w:t>Annex</w:t>
    </w:r>
    <w:proofErr w:type="spellEnd"/>
    <w:r w:rsidRPr="0093396D">
      <w:rPr>
        <w:lang w:val="fr-CH"/>
      </w:rPr>
      <w:t xml:space="preserve"> VI, page </w:t>
    </w:r>
    <w:r>
      <w:fldChar w:fldCharType="begin"/>
    </w:r>
    <w:r w:rsidRPr="0093396D">
      <w:rPr>
        <w:lang w:val="fr-CH"/>
      </w:rPr>
      <w:instrText xml:space="preserve"> PAGE  \* MERGEFORMAT </w:instrText>
    </w:r>
    <w:r>
      <w:fldChar w:fldCharType="separate"/>
    </w:r>
    <w:r w:rsidRPr="006473A9">
      <w:rPr>
        <w:noProof/>
        <w:lang w:val="fr-FR"/>
      </w:rPr>
      <w:t>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C3DC" w14:textId="77777777" w:rsidR="00BB09B6" w:rsidRPr="006473A9" w:rsidRDefault="00BB09B6" w:rsidP="00793D20">
    <w:pPr>
      <w:pStyle w:val="Header"/>
      <w:jc w:val="right"/>
      <w:rPr>
        <w:lang w:val="ru-RU"/>
      </w:rPr>
    </w:pPr>
    <w:r w:rsidRPr="00793D20">
      <w:t>H</w:t>
    </w:r>
    <w:r w:rsidRPr="006473A9">
      <w:rPr>
        <w:lang w:val="ru-RU"/>
      </w:rPr>
      <w:t>/</w:t>
    </w:r>
    <w:r w:rsidRPr="00793D20">
      <w:t>LD</w:t>
    </w:r>
    <w:r w:rsidRPr="006473A9">
      <w:rPr>
        <w:lang w:val="ru-RU"/>
      </w:rPr>
      <w:t>/</w:t>
    </w:r>
    <w:r w:rsidRPr="00793D20">
      <w:t>WG</w:t>
    </w:r>
    <w:r w:rsidRPr="006473A9">
      <w:rPr>
        <w:lang w:val="ru-RU"/>
      </w:rPr>
      <w:t>/8/3</w:t>
    </w:r>
  </w:p>
  <w:p w14:paraId="1AD1C7E9" w14:textId="3A6D93DA" w:rsidR="00BB09B6" w:rsidRPr="006473A9" w:rsidRDefault="00BB09B6" w:rsidP="00793D2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6473A9">
      <w:rPr>
        <w:lang w:val="ru-RU"/>
      </w:rPr>
      <w:t xml:space="preserve"> </w:t>
    </w:r>
    <w:r w:rsidRPr="00793D20">
      <w:t>IV</w:t>
    </w:r>
  </w:p>
  <w:p w14:paraId="5579709B" w14:textId="2FD3D0B9" w:rsidR="00BB09B6" w:rsidRPr="006473A9" w:rsidRDefault="00BB09B6" w:rsidP="00793D20">
    <w:pPr>
      <w:pStyle w:val="Header"/>
      <w:jc w:val="right"/>
      <w:rPr>
        <w:lang w:val="ru-RU"/>
      </w:rPr>
    </w:pPr>
  </w:p>
  <w:p w14:paraId="6BFB278A" w14:textId="77777777" w:rsidR="00BB09B6" w:rsidRPr="006473A9" w:rsidRDefault="00BB09B6" w:rsidP="00793D20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1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D29E3"/>
    <w:multiLevelType w:val="multilevel"/>
    <w:tmpl w:val="762AA1E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B3475D7"/>
    <w:multiLevelType w:val="hybridMultilevel"/>
    <w:tmpl w:val="F9340942"/>
    <w:lvl w:ilvl="0" w:tplc="6E5E63B2">
      <w:start w:val="34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E69BC"/>
    <w:multiLevelType w:val="multilevel"/>
    <w:tmpl w:val="35F42810"/>
    <w:lvl w:ilvl="0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C6A6CFC"/>
    <w:multiLevelType w:val="multilevel"/>
    <w:tmpl w:val="DB32B942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D29F9"/>
    <w:multiLevelType w:val="multilevel"/>
    <w:tmpl w:val="4E1035A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 w15:restartNumberingAfterBreak="0">
    <w:nsid w:val="12D36D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84816"/>
    <w:multiLevelType w:val="hybridMultilevel"/>
    <w:tmpl w:val="35F42810"/>
    <w:lvl w:ilvl="0" w:tplc="9E78E476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87C1497"/>
    <w:multiLevelType w:val="hybridMultilevel"/>
    <w:tmpl w:val="DF2ACF4E"/>
    <w:lvl w:ilvl="0" w:tplc="8EB2ECBE">
      <w:start w:val="34"/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A62695"/>
    <w:multiLevelType w:val="hybridMultilevel"/>
    <w:tmpl w:val="AE44E25E"/>
    <w:lvl w:ilvl="0" w:tplc="14EAAC30">
      <w:start w:val="5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B1F2563"/>
    <w:multiLevelType w:val="hybridMultilevel"/>
    <w:tmpl w:val="B7F49BFA"/>
    <w:lvl w:ilvl="0" w:tplc="60B459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3083A"/>
    <w:multiLevelType w:val="hybridMultilevel"/>
    <w:tmpl w:val="7B2A620C"/>
    <w:lvl w:ilvl="0" w:tplc="BC8267B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40206"/>
    <w:multiLevelType w:val="hybridMultilevel"/>
    <w:tmpl w:val="0E460924"/>
    <w:lvl w:ilvl="0" w:tplc="9B36DA44">
      <w:start w:val="3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067D7"/>
    <w:multiLevelType w:val="hybridMultilevel"/>
    <w:tmpl w:val="BD8EA984"/>
    <w:lvl w:ilvl="0" w:tplc="6388E330">
      <w:start w:val="4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0EB09B3"/>
    <w:multiLevelType w:val="singleLevel"/>
    <w:tmpl w:val="0ED08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19F775D"/>
    <w:multiLevelType w:val="hybridMultilevel"/>
    <w:tmpl w:val="E92E3BCC"/>
    <w:lvl w:ilvl="0" w:tplc="316ED602">
      <w:numFmt w:val="bullet"/>
      <w:lvlText w:val="–"/>
      <w:lvlJc w:val="left"/>
      <w:pPr>
        <w:tabs>
          <w:tab w:val="num" w:pos="1135"/>
        </w:tabs>
        <w:ind w:left="568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43365B1"/>
    <w:multiLevelType w:val="hybridMultilevel"/>
    <w:tmpl w:val="5AC48EDE"/>
    <w:lvl w:ilvl="0" w:tplc="F3D6F202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04309"/>
    <w:multiLevelType w:val="hybridMultilevel"/>
    <w:tmpl w:val="DB32B94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53450"/>
    <w:multiLevelType w:val="hybridMultilevel"/>
    <w:tmpl w:val="4F909EE0"/>
    <w:lvl w:ilvl="0" w:tplc="B8AE59CC">
      <w:start w:val="3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63173D"/>
    <w:multiLevelType w:val="hybridMultilevel"/>
    <w:tmpl w:val="4256300E"/>
    <w:lvl w:ilvl="0" w:tplc="A56C9C5E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35602E0"/>
    <w:multiLevelType w:val="hybridMultilevel"/>
    <w:tmpl w:val="9028C1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A08C1"/>
    <w:multiLevelType w:val="hybridMultilevel"/>
    <w:tmpl w:val="4BE62F20"/>
    <w:lvl w:ilvl="0" w:tplc="FF26E46A">
      <w:start w:val="3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48A1409"/>
    <w:multiLevelType w:val="hybridMultilevel"/>
    <w:tmpl w:val="C57483BE"/>
    <w:lvl w:ilvl="0" w:tplc="F3D6F202">
      <w:start w:val="1"/>
      <w:numFmt w:val="upperRoman"/>
      <w:lvlText w:val="I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5A4636"/>
    <w:multiLevelType w:val="hybridMultilevel"/>
    <w:tmpl w:val="8A4CEE7C"/>
    <w:lvl w:ilvl="0" w:tplc="610A13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554F3D"/>
    <w:multiLevelType w:val="hybridMultilevel"/>
    <w:tmpl w:val="52CA8A44"/>
    <w:lvl w:ilvl="0" w:tplc="D06A0F58">
      <w:start w:val="1"/>
      <w:numFmt w:val="upperRoman"/>
      <w:pStyle w:val="Heading1"/>
      <w:lvlText w:val="%1."/>
      <w:lvlJc w:val="right"/>
      <w:pPr>
        <w:ind w:left="927" w:hanging="360"/>
      </w:p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CC3835"/>
    <w:multiLevelType w:val="singleLevel"/>
    <w:tmpl w:val="0ED08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AB40F3"/>
    <w:multiLevelType w:val="hybridMultilevel"/>
    <w:tmpl w:val="FCA29CB2"/>
    <w:lvl w:ilvl="0" w:tplc="7DEEB1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096E9A"/>
    <w:multiLevelType w:val="hybridMultilevel"/>
    <w:tmpl w:val="9D16C022"/>
    <w:lvl w:ilvl="0" w:tplc="D69240D8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65220"/>
    <w:multiLevelType w:val="hybridMultilevel"/>
    <w:tmpl w:val="AACA86AC"/>
    <w:lvl w:ilvl="0" w:tplc="E4145950">
      <w:start w:val="6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DA5514"/>
    <w:multiLevelType w:val="hybridMultilevel"/>
    <w:tmpl w:val="74BAA3F6"/>
    <w:lvl w:ilvl="0" w:tplc="DAF0D4C8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986AFC"/>
    <w:multiLevelType w:val="hybridMultilevel"/>
    <w:tmpl w:val="2106490A"/>
    <w:lvl w:ilvl="0" w:tplc="06EE52FA">
      <w:start w:val="5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F4A8F"/>
    <w:multiLevelType w:val="hybridMultilevel"/>
    <w:tmpl w:val="F51A752E"/>
    <w:lvl w:ilvl="0" w:tplc="1C146DA6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A423F37"/>
    <w:multiLevelType w:val="hybridMultilevel"/>
    <w:tmpl w:val="08CCEE92"/>
    <w:lvl w:ilvl="0" w:tplc="2918E1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248D6"/>
    <w:multiLevelType w:val="hybridMultilevel"/>
    <w:tmpl w:val="8F9CDCAA"/>
    <w:lvl w:ilvl="0" w:tplc="60B459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08732">
      <w:start w:val="34"/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9771D"/>
    <w:multiLevelType w:val="hybridMultilevel"/>
    <w:tmpl w:val="B622E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600BB"/>
    <w:multiLevelType w:val="hybridMultilevel"/>
    <w:tmpl w:val="4B463B1A"/>
    <w:lvl w:ilvl="0" w:tplc="A3740B18">
      <w:start w:val="4"/>
      <w:numFmt w:val="upperRoman"/>
      <w:lvlText w:val="I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A3492"/>
    <w:multiLevelType w:val="hybridMultilevel"/>
    <w:tmpl w:val="227A1656"/>
    <w:lvl w:ilvl="0" w:tplc="F3D6F202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821C6"/>
    <w:multiLevelType w:val="multilevel"/>
    <w:tmpl w:val="BE6A85DE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1"/>
  </w:num>
  <w:num w:numId="5">
    <w:abstractNumId w:val="4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45"/>
  </w:num>
  <w:num w:numId="11">
    <w:abstractNumId w:val="25"/>
  </w:num>
  <w:num w:numId="12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  <w:rPr>
          <w:rFonts w:ascii="Times New Roman" w:hAnsi="Times New Roman" w:hint="default"/>
        </w:rPr>
      </w:lvl>
    </w:lvlOverride>
  </w:num>
  <w:num w:numId="13">
    <w:abstractNumId w:val="34"/>
  </w:num>
  <w:num w:numId="14">
    <w:abstractNumId w:val="40"/>
  </w:num>
  <w:num w:numId="15">
    <w:abstractNumId w:val="16"/>
  </w:num>
  <w:num w:numId="16">
    <w:abstractNumId w:val="30"/>
  </w:num>
  <w:num w:numId="17">
    <w:abstractNumId w:val="23"/>
  </w:num>
  <w:num w:numId="18">
    <w:abstractNumId w:val="7"/>
  </w:num>
  <w:num w:numId="19">
    <w:abstractNumId w:val="8"/>
  </w:num>
  <w:num w:numId="20">
    <w:abstractNumId w:val="10"/>
  </w:num>
  <w:num w:numId="21">
    <w:abstractNumId w:val="6"/>
  </w:num>
  <w:num w:numId="22">
    <w:abstractNumId w:val="9"/>
  </w:num>
  <w:num w:numId="23">
    <w:abstractNumId w:val="3"/>
  </w:num>
  <w:num w:numId="24">
    <w:abstractNumId w:val="20"/>
  </w:num>
  <w:num w:numId="25">
    <w:abstractNumId w:val="33"/>
  </w:num>
  <w:num w:numId="2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1"/>
  </w:num>
  <w:num w:numId="29">
    <w:abstractNumId w:val="15"/>
  </w:num>
  <w:num w:numId="30">
    <w:abstractNumId w:val="32"/>
  </w:num>
  <w:num w:numId="31">
    <w:abstractNumId w:val="24"/>
  </w:num>
  <w:num w:numId="32">
    <w:abstractNumId w:val="43"/>
  </w:num>
  <w:num w:numId="33">
    <w:abstractNumId w:val="18"/>
  </w:num>
  <w:num w:numId="34">
    <w:abstractNumId w:val="42"/>
  </w:num>
  <w:num w:numId="35">
    <w:abstractNumId w:val="14"/>
  </w:num>
  <w:num w:numId="36">
    <w:abstractNumId w:val="36"/>
  </w:num>
  <w:num w:numId="37">
    <w:abstractNumId w:val="26"/>
  </w:num>
  <w:num w:numId="38">
    <w:abstractNumId w:val="44"/>
  </w:num>
  <w:num w:numId="39">
    <w:abstractNumId w:val="35"/>
  </w:num>
  <w:num w:numId="40">
    <w:abstractNumId w:val="22"/>
  </w:num>
  <w:num w:numId="41">
    <w:abstractNumId w:val="38"/>
  </w:num>
  <w:num w:numId="42">
    <w:abstractNumId w:val="37"/>
  </w:num>
  <w:num w:numId="43">
    <w:abstractNumId w:val="13"/>
  </w:num>
  <w:num w:numId="44">
    <w:abstractNumId w:val="5"/>
  </w:num>
  <w:num w:numId="45">
    <w:abstractNumId w:val="27"/>
  </w:num>
  <w:num w:numId="46">
    <w:abstractNumId w:val="1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E3"/>
    <w:rsid w:val="00001D8E"/>
    <w:rsid w:val="0000368F"/>
    <w:rsid w:val="00007602"/>
    <w:rsid w:val="00014E06"/>
    <w:rsid w:val="0001760C"/>
    <w:rsid w:val="000228F6"/>
    <w:rsid w:val="00023F82"/>
    <w:rsid w:val="0002434D"/>
    <w:rsid w:val="00024FF9"/>
    <w:rsid w:val="0003276C"/>
    <w:rsid w:val="000327EB"/>
    <w:rsid w:val="000360FF"/>
    <w:rsid w:val="000378A9"/>
    <w:rsid w:val="0004312D"/>
    <w:rsid w:val="00043CAA"/>
    <w:rsid w:val="000440FB"/>
    <w:rsid w:val="00044E3E"/>
    <w:rsid w:val="00046DD6"/>
    <w:rsid w:val="0005040A"/>
    <w:rsid w:val="00051781"/>
    <w:rsid w:val="000526A9"/>
    <w:rsid w:val="000531A5"/>
    <w:rsid w:val="00053221"/>
    <w:rsid w:val="000534CD"/>
    <w:rsid w:val="00053589"/>
    <w:rsid w:val="00053995"/>
    <w:rsid w:val="000552F2"/>
    <w:rsid w:val="00055DB1"/>
    <w:rsid w:val="0006018D"/>
    <w:rsid w:val="00060498"/>
    <w:rsid w:val="000622BC"/>
    <w:rsid w:val="00070D23"/>
    <w:rsid w:val="00075432"/>
    <w:rsid w:val="00076CAB"/>
    <w:rsid w:val="00077054"/>
    <w:rsid w:val="000801EE"/>
    <w:rsid w:val="00084447"/>
    <w:rsid w:val="000849CB"/>
    <w:rsid w:val="00085B5B"/>
    <w:rsid w:val="00090353"/>
    <w:rsid w:val="00091119"/>
    <w:rsid w:val="00091556"/>
    <w:rsid w:val="000968ED"/>
    <w:rsid w:val="000A0E4E"/>
    <w:rsid w:val="000A1591"/>
    <w:rsid w:val="000A5139"/>
    <w:rsid w:val="000A7C3B"/>
    <w:rsid w:val="000A7F67"/>
    <w:rsid w:val="000B0E7C"/>
    <w:rsid w:val="000B20E6"/>
    <w:rsid w:val="000B2622"/>
    <w:rsid w:val="000B2A6E"/>
    <w:rsid w:val="000C4046"/>
    <w:rsid w:val="000C5C25"/>
    <w:rsid w:val="000D10F8"/>
    <w:rsid w:val="000D670A"/>
    <w:rsid w:val="000E539A"/>
    <w:rsid w:val="000E64A1"/>
    <w:rsid w:val="000E7162"/>
    <w:rsid w:val="000F161B"/>
    <w:rsid w:val="000F1A96"/>
    <w:rsid w:val="000F2DF1"/>
    <w:rsid w:val="000F335C"/>
    <w:rsid w:val="000F5C63"/>
    <w:rsid w:val="000F5E56"/>
    <w:rsid w:val="001021B6"/>
    <w:rsid w:val="00103D42"/>
    <w:rsid w:val="0010675F"/>
    <w:rsid w:val="001109F7"/>
    <w:rsid w:val="00113807"/>
    <w:rsid w:val="001211D5"/>
    <w:rsid w:val="001213B8"/>
    <w:rsid w:val="00121569"/>
    <w:rsid w:val="00123005"/>
    <w:rsid w:val="00124DF4"/>
    <w:rsid w:val="001258F0"/>
    <w:rsid w:val="00127EB0"/>
    <w:rsid w:val="00130DEF"/>
    <w:rsid w:val="00131EDE"/>
    <w:rsid w:val="00134A97"/>
    <w:rsid w:val="00136019"/>
    <w:rsid w:val="001362EE"/>
    <w:rsid w:val="00140F3D"/>
    <w:rsid w:val="001445A7"/>
    <w:rsid w:val="00145391"/>
    <w:rsid w:val="001526EE"/>
    <w:rsid w:val="001538F9"/>
    <w:rsid w:val="0015397E"/>
    <w:rsid w:val="001546A1"/>
    <w:rsid w:val="00156541"/>
    <w:rsid w:val="0016153F"/>
    <w:rsid w:val="00165695"/>
    <w:rsid w:val="0016616E"/>
    <w:rsid w:val="0017001E"/>
    <w:rsid w:val="001701BC"/>
    <w:rsid w:val="00174328"/>
    <w:rsid w:val="00174390"/>
    <w:rsid w:val="00175421"/>
    <w:rsid w:val="00181EA4"/>
    <w:rsid w:val="001832A6"/>
    <w:rsid w:val="001834DD"/>
    <w:rsid w:val="00187999"/>
    <w:rsid w:val="0018799E"/>
    <w:rsid w:val="001A2B0C"/>
    <w:rsid w:val="001A31FE"/>
    <w:rsid w:val="001B5942"/>
    <w:rsid w:val="001B6DB4"/>
    <w:rsid w:val="001C1568"/>
    <w:rsid w:val="001C3E88"/>
    <w:rsid w:val="001C409B"/>
    <w:rsid w:val="001C7E9D"/>
    <w:rsid w:val="001D0B88"/>
    <w:rsid w:val="001D32DE"/>
    <w:rsid w:val="001D4FAC"/>
    <w:rsid w:val="001E7225"/>
    <w:rsid w:val="001F1ADD"/>
    <w:rsid w:val="001F2B32"/>
    <w:rsid w:val="001F4121"/>
    <w:rsid w:val="001F430B"/>
    <w:rsid w:val="001F7384"/>
    <w:rsid w:val="001F7B3E"/>
    <w:rsid w:val="00200149"/>
    <w:rsid w:val="00206C54"/>
    <w:rsid w:val="002159B1"/>
    <w:rsid w:val="00215C12"/>
    <w:rsid w:val="002174B1"/>
    <w:rsid w:val="00221525"/>
    <w:rsid w:val="00226801"/>
    <w:rsid w:val="002305D3"/>
    <w:rsid w:val="00234851"/>
    <w:rsid w:val="00244999"/>
    <w:rsid w:val="002455F6"/>
    <w:rsid w:val="00247306"/>
    <w:rsid w:val="0025153B"/>
    <w:rsid w:val="00254230"/>
    <w:rsid w:val="00256A5A"/>
    <w:rsid w:val="00256F4A"/>
    <w:rsid w:val="00262827"/>
    <w:rsid w:val="002634C4"/>
    <w:rsid w:val="0026398D"/>
    <w:rsid w:val="0026502E"/>
    <w:rsid w:val="00271E86"/>
    <w:rsid w:val="00274543"/>
    <w:rsid w:val="00274658"/>
    <w:rsid w:val="002819A6"/>
    <w:rsid w:val="00282248"/>
    <w:rsid w:val="002872BD"/>
    <w:rsid w:val="002928D3"/>
    <w:rsid w:val="0029516B"/>
    <w:rsid w:val="002A56D7"/>
    <w:rsid w:val="002B080C"/>
    <w:rsid w:val="002B49A1"/>
    <w:rsid w:val="002B562F"/>
    <w:rsid w:val="002C04DA"/>
    <w:rsid w:val="002C0F96"/>
    <w:rsid w:val="002C1ADA"/>
    <w:rsid w:val="002C37C7"/>
    <w:rsid w:val="002C4B6F"/>
    <w:rsid w:val="002C51F6"/>
    <w:rsid w:val="002C6794"/>
    <w:rsid w:val="002D1233"/>
    <w:rsid w:val="002D167D"/>
    <w:rsid w:val="002D2484"/>
    <w:rsid w:val="002D4BDB"/>
    <w:rsid w:val="002E117B"/>
    <w:rsid w:val="002E1BCA"/>
    <w:rsid w:val="002E6D46"/>
    <w:rsid w:val="002E7FD5"/>
    <w:rsid w:val="002F1FE6"/>
    <w:rsid w:val="002F4358"/>
    <w:rsid w:val="002F4E68"/>
    <w:rsid w:val="002F7ABF"/>
    <w:rsid w:val="003010A3"/>
    <w:rsid w:val="00303DDD"/>
    <w:rsid w:val="00305A95"/>
    <w:rsid w:val="003061A3"/>
    <w:rsid w:val="00311792"/>
    <w:rsid w:val="00312A2D"/>
    <w:rsid w:val="00312F7F"/>
    <w:rsid w:val="00317CDC"/>
    <w:rsid w:val="00320C24"/>
    <w:rsid w:val="003262AB"/>
    <w:rsid w:val="00332497"/>
    <w:rsid w:val="00336019"/>
    <w:rsid w:val="0033731E"/>
    <w:rsid w:val="003435EA"/>
    <w:rsid w:val="00350B94"/>
    <w:rsid w:val="00351222"/>
    <w:rsid w:val="0035743C"/>
    <w:rsid w:val="00357719"/>
    <w:rsid w:val="00361450"/>
    <w:rsid w:val="003621A9"/>
    <w:rsid w:val="00363284"/>
    <w:rsid w:val="00366A13"/>
    <w:rsid w:val="003673CF"/>
    <w:rsid w:val="0037059D"/>
    <w:rsid w:val="003741EB"/>
    <w:rsid w:val="00374F77"/>
    <w:rsid w:val="003807A4"/>
    <w:rsid w:val="00382EA0"/>
    <w:rsid w:val="0038354D"/>
    <w:rsid w:val="003845C1"/>
    <w:rsid w:val="00384745"/>
    <w:rsid w:val="003853F8"/>
    <w:rsid w:val="003856A5"/>
    <w:rsid w:val="00385CB1"/>
    <w:rsid w:val="00386A2B"/>
    <w:rsid w:val="00391FEC"/>
    <w:rsid w:val="00392B46"/>
    <w:rsid w:val="003942A9"/>
    <w:rsid w:val="00394BD0"/>
    <w:rsid w:val="00395AEA"/>
    <w:rsid w:val="00395F1E"/>
    <w:rsid w:val="003A00C9"/>
    <w:rsid w:val="003A6F89"/>
    <w:rsid w:val="003B3644"/>
    <w:rsid w:val="003B38C1"/>
    <w:rsid w:val="003B44DB"/>
    <w:rsid w:val="003B4528"/>
    <w:rsid w:val="003B5804"/>
    <w:rsid w:val="003B6C0E"/>
    <w:rsid w:val="003B781A"/>
    <w:rsid w:val="003C0C3C"/>
    <w:rsid w:val="003C57DA"/>
    <w:rsid w:val="003D106F"/>
    <w:rsid w:val="003D7704"/>
    <w:rsid w:val="003E1472"/>
    <w:rsid w:val="003F0C3B"/>
    <w:rsid w:val="003F1AC4"/>
    <w:rsid w:val="003F4C82"/>
    <w:rsid w:val="003F6A68"/>
    <w:rsid w:val="003F7B01"/>
    <w:rsid w:val="003F7F9B"/>
    <w:rsid w:val="00401B71"/>
    <w:rsid w:val="004132A7"/>
    <w:rsid w:val="00414153"/>
    <w:rsid w:val="00414986"/>
    <w:rsid w:val="0041584F"/>
    <w:rsid w:val="00416185"/>
    <w:rsid w:val="004163A1"/>
    <w:rsid w:val="004174BA"/>
    <w:rsid w:val="00420491"/>
    <w:rsid w:val="00421E3B"/>
    <w:rsid w:val="004236CA"/>
    <w:rsid w:val="00423E3E"/>
    <w:rsid w:val="00424C04"/>
    <w:rsid w:val="00427AF4"/>
    <w:rsid w:val="00434604"/>
    <w:rsid w:val="00435D2A"/>
    <w:rsid w:val="00440838"/>
    <w:rsid w:val="00442F48"/>
    <w:rsid w:val="0045126A"/>
    <w:rsid w:val="00453BBF"/>
    <w:rsid w:val="00453EEC"/>
    <w:rsid w:val="004540E8"/>
    <w:rsid w:val="004546C0"/>
    <w:rsid w:val="00454B28"/>
    <w:rsid w:val="004567D5"/>
    <w:rsid w:val="004571E0"/>
    <w:rsid w:val="00457E67"/>
    <w:rsid w:val="00461407"/>
    <w:rsid w:val="004647DA"/>
    <w:rsid w:val="00472CF4"/>
    <w:rsid w:val="00474062"/>
    <w:rsid w:val="00474D47"/>
    <w:rsid w:val="00475C7C"/>
    <w:rsid w:val="00477621"/>
    <w:rsid w:val="00477D6B"/>
    <w:rsid w:val="004844AB"/>
    <w:rsid w:val="00490DCC"/>
    <w:rsid w:val="0049447D"/>
    <w:rsid w:val="00496163"/>
    <w:rsid w:val="004A378C"/>
    <w:rsid w:val="004A66F3"/>
    <w:rsid w:val="004B147D"/>
    <w:rsid w:val="004B16C6"/>
    <w:rsid w:val="004B1C11"/>
    <w:rsid w:val="004B1C90"/>
    <w:rsid w:val="004B2E38"/>
    <w:rsid w:val="004B3132"/>
    <w:rsid w:val="004B4360"/>
    <w:rsid w:val="004D02CA"/>
    <w:rsid w:val="004D4582"/>
    <w:rsid w:val="004D4C81"/>
    <w:rsid w:val="004D612D"/>
    <w:rsid w:val="004E088E"/>
    <w:rsid w:val="004E2169"/>
    <w:rsid w:val="004E4560"/>
    <w:rsid w:val="004E51DB"/>
    <w:rsid w:val="004E7FDA"/>
    <w:rsid w:val="004F1DD2"/>
    <w:rsid w:val="004F2A8A"/>
    <w:rsid w:val="004F4A85"/>
    <w:rsid w:val="005019FF"/>
    <w:rsid w:val="005032A3"/>
    <w:rsid w:val="0050602F"/>
    <w:rsid w:val="005076F2"/>
    <w:rsid w:val="00513688"/>
    <w:rsid w:val="00514791"/>
    <w:rsid w:val="005153CD"/>
    <w:rsid w:val="0052006E"/>
    <w:rsid w:val="00522C37"/>
    <w:rsid w:val="005233E5"/>
    <w:rsid w:val="00525042"/>
    <w:rsid w:val="0053034B"/>
    <w:rsid w:val="0053057A"/>
    <w:rsid w:val="005305EA"/>
    <w:rsid w:val="00532629"/>
    <w:rsid w:val="00534227"/>
    <w:rsid w:val="00535104"/>
    <w:rsid w:val="00536CAD"/>
    <w:rsid w:val="0054177F"/>
    <w:rsid w:val="00544D04"/>
    <w:rsid w:val="005453B9"/>
    <w:rsid w:val="00545F42"/>
    <w:rsid w:val="00546FA0"/>
    <w:rsid w:val="00547F80"/>
    <w:rsid w:val="0055285E"/>
    <w:rsid w:val="005538DC"/>
    <w:rsid w:val="00560A29"/>
    <w:rsid w:val="005614EA"/>
    <w:rsid w:val="00573407"/>
    <w:rsid w:val="00575910"/>
    <w:rsid w:val="0057607D"/>
    <w:rsid w:val="00576AF3"/>
    <w:rsid w:val="00577B0B"/>
    <w:rsid w:val="005801B1"/>
    <w:rsid w:val="00581B37"/>
    <w:rsid w:val="00584F61"/>
    <w:rsid w:val="00585320"/>
    <w:rsid w:val="005855DD"/>
    <w:rsid w:val="00587748"/>
    <w:rsid w:val="00587FD0"/>
    <w:rsid w:val="005A0A7E"/>
    <w:rsid w:val="005A28CF"/>
    <w:rsid w:val="005A2C56"/>
    <w:rsid w:val="005A4FDE"/>
    <w:rsid w:val="005B1635"/>
    <w:rsid w:val="005B4E5A"/>
    <w:rsid w:val="005C0268"/>
    <w:rsid w:val="005C4CA0"/>
    <w:rsid w:val="005C54DD"/>
    <w:rsid w:val="005C6649"/>
    <w:rsid w:val="005C76B5"/>
    <w:rsid w:val="005D4950"/>
    <w:rsid w:val="005D529B"/>
    <w:rsid w:val="005E1EB5"/>
    <w:rsid w:val="005E2B47"/>
    <w:rsid w:val="005E3031"/>
    <w:rsid w:val="005E338C"/>
    <w:rsid w:val="005E3A93"/>
    <w:rsid w:val="005E46D6"/>
    <w:rsid w:val="005F0343"/>
    <w:rsid w:val="005F1073"/>
    <w:rsid w:val="005F16B3"/>
    <w:rsid w:val="005F19E3"/>
    <w:rsid w:val="005F2AEA"/>
    <w:rsid w:val="005F3A7F"/>
    <w:rsid w:val="005F51B9"/>
    <w:rsid w:val="005F5287"/>
    <w:rsid w:val="005F6675"/>
    <w:rsid w:val="005F7D8F"/>
    <w:rsid w:val="00603F39"/>
    <w:rsid w:val="0060429E"/>
    <w:rsid w:val="00605827"/>
    <w:rsid w:val="00612869"/>
    <w:rsid w:val="00614228"/>
    <w:rsid w:val="00615106"/>
    <w:rsid w:val="00615DB1"/>
    <w:rsid w:val="00621BF2"/>
    <w:rsid w:val="0062676B"/>
    <w:rsid w:val="006279B9"/>
    <w:rsid w:val="006313CE"/>
    <w:rsid w:val="00635123"/>
    <w:rsid w:val="00635F27"/>
    <w:rsid w:val="00640FC2"/>
    <w:rsid w:val="006421FB"/>
    <w:rsid w:val="006430DE"/>
    <w:rsid w:val="00643511"/>
    <w:rsid w:val="00646050"/>
    <w:rsid w:val="006473A9"/>
    <w:rsid w:val="00652EE2"/>
    <w:rsid w:val="00654853"/>
    <w:rsid w:val="006552EF"/>
    <w:rsid w:val="00655B02"/>
    <w:rsid w:val="00656030"/>
    <w:rsid w:val="00656C73"/>
    <w:rsid w:val="00661576"/>
    <w:rsid w:val="006631D4"/>
    <w:rsid w:val="00664493"/>
    <w:rsid w:val="0066456B"/>
    <w:rsid w:val="0066467B"/>
    <w:rsid w:val="00665A90"/>
    <w:rsid w:val="00667011"/>
    <w:rsid w:val="006713CA"/>
    <w:rsid w:val="00672F70"/>
    <w:rsid w:val="00673BE8"/>
    <w:rsid w:val="00673EC1"/>
    <w:rsid w:val="00674715"/>
    <w:rsid w:val="006761BB"/>
    <w:rsid w:val="00676C5C"/>
    <w:rsid w:val="00676CFF"/>
    <w:rsid w:val="006770C5"/>
    <w:rsid w:val="006811AE"/>
    <w:rsid w:val="00683655"/>
    <w:rsid w:val="006867BB"/>
    <w:rsid w:val="006876F2"/>
    <w:rsid w:val="00692888"/>
    <w:rsid w:val="00693DE2"/>
    <w:rsid w:val="00694644"/>
    <w:rsid w:val="0069570B"/>
    <w:rsid w:val="00696439"/>
    <w:rsid w:val="006A0625"/>
    <w:rsid w:val="006A58EF"/>
    <w:rsid w:val="006B0918"/>
    <w:rsid w:val="006B33A8"/>
    <w:rsid w:val="006B3DBA"/>
    <w:rsid w:val="006B6833"/>
    <w:rsid w:val="006C11A3"/>
    <w:rsid w:val="006C22F9"/>
    <w:rsid w:val="006D24CC"/>
    <w:rsid w:val="006D2C3D"/>
    <w:rsid w:val="006D3F7B"/>
    <w:rsid w:val="006D6857"/>
    <w:rsid w:val="006D6DF7"/>
    <w:rsid w:val="006E0643"/>
    <w:rsid w:val="006E1408"/>
    <w:rsid w:val="006E4644"/>
    <w:rsid w:val="006F0991"/>
    <w:rsid w:val="00700D0F"/>
    <w:rsid w:val="00702B3B"/>
    <w:rsid w:val="00712ACD"/>
    <w:rsid w:val="00712E45"/>
    <w:rsid w:val="00714368"/>
    <w:rsid w:val="0071624E"/>
    <w:rsid w:val="00717A62"/>
    <w:rsid w:val="00722B2A"/>
    <w:rsid w:val="007230DA"/>
    <w:rsid w:val="00723F1D"/>
    <w:rsid w:val="00726B8E"/>
    <w:rsid w:val="0072716B"/>
    <w:rsid w:val="007305A6"/>
    <w:rsid w:val="00730A9C"/>
    <w:rsid w:val="0073333B"/>
    <w:rsid w:val="00733CD8"/>
    <w:rsid w:val="0073498D"/>
    <w:rsid w:val="00735236"/>
    <w:rsid w:val="00736781"/>
    <w:rsid w:val="00737E32"/>
    <w:rsid w:val="00743728"/>
    <w:rsid w:val="007450C5"/>
    <w:rsid w:val="00752B87"/>
    <w:rsid w:val="00754606"/>
    <w:rsid w:val="00754F99"/>
    <w:rsid w:val="0076279A"/>
    <w:rsid w:val="0076601A"/>
    <w:rsid w:val="00766FCD"/>
    <w:rsid w:val="0076758D"/>
    <w:rsid w:val="007731F6"/>
    <w:rsid w:val="007731FD"/>
    <w:rsid w:val="007757E3"/>
    <w:rsid w:val="00786A77"/>
    <w:rsid w:val="00793D20"/>
    <w:rsid w:val="007A061B"/>
    <w:rsid w:val="007A2631"/>
    <w:rsid w:val="007A310A"/>
    <w:rsid w:val="007A4235"/>
    <w:rsid w:val="007A5221"/>
    <w:rsid w:val="007A6433"/>
    <w:rsid w:val="007B0D27"/>
    <w:rsid w:val="007B12D0"/>
    <w:rsid w:val="007B2693"/>
    <w:rsid w:val="007B6535"/>
    <w:rsid w:val="007C1147"/>
    <w:rsid w:val="007C436F"/>
    <w:rsid w:val="007C5AFA"/>
    <w:rsid w:val="007C7EAE"/>
    <w:rsid w:val="007C7EF3"/>
    <w:rsid w:val="007D0083"/>
    <w:rsid w:val="007D1613"/>
    <w:rsid w:val="007D4B01"/>
    <w:rsid w:val="007D4DEF"/>
    <w:rsid w:val="007E593B"/>
    <w:rsid w:val="007E62E6"/>
    <w:rsid w:val="007E703F"/>
    <w:rsid w:val="007F02F9"/>
    <w:rsid w:val="007F1ADF"/>
    <w:rsid w:val="007F34F2"/>
    <w:rsid w:val="008009D7"/>
    <w:rsid w:val="00800A4C"/>
    <w:rsid w:val="0080295C"/>
    <w:rsid w:val="00802B32"/>
    <w:rsid w:val="00806D71"/>
    <w:rsid w:val="00810091"/>
    <w:rsid w:val="008115AA"/>
    <w:rsid w:val="008115C2"/>
    <w:rsid w:val="008152CC"/>
    <w:rsid w:val="00815DCF"/>
    <w:rsid w:val="00816DA0"/>
    <w:rsid w:val="00816E2C"/>
    <w:rsid w:val="00820E90"/>
    <w:rsid w:val="00821A6B"/>
    <w:rsid w:val="008220D6"/>
    <w:rsid w:val="00824DE7"/>
    <w:rsid w:val="008253A7"/>
    <w:rsid w:val="00825577"/>
    <w:rsid w:val="00830514"/>
    <w:rsid w:val="008305C6"/>
    <w:rsid w:val="0083102F"/>
    <w:rsid w:val="00842C16"/>
    <w:rsid w:val="00845901"/>
    <w:rsid w:val="00857372"/>
    <w:rsid w:val="00860434"/>
    <w:rsid w:val="008666C3"/>
    <w:rsid w:val="00871B59"/>
    <w:rsid w:val="0087217C"/>
    <w:rsid w:val="008803C7"/>
    <w:rsid w:val="00885036"/>
    <w:rsid w:val="00885749"/>
    <w:rsid w:val="008862B0"/>
    <w:rsid w:val="00886B21"/>
    <w:rsid w:val="008911CE"/>
    <w:rsid w:val="008912B7"/>
    <w:rsid w:val="00891C19"/>
    <w:rsid w:val="008930CD"/>
    <w:rsid w:val="008A25C8"/>
    <w:rsid w:val="008A6ECC"/>
    <w:rsid w:val="008B1719"/>
    <w:rsid w:val="008B2CC1"/>
    <w:rsid w:val="008B3459"/>
    <w:rsid w:val="008B60B2"/>
    <w:rsid w:val="008C3D3D"/>
    <w:rsid w:val="008C6D0F"/>
    <w:rsid w:val="008C73D7"/>
    <w:rsid w:val="008E0472"/>
    <w:rsid w:val="008E0EA9"/>
    <w:rsid w:val="008E11C3"/>
    <w:rsid w:val="008E3513"/>
    <w:rsid w:val="008E400D"/>
    <w:rsid w:val="008E4D4E"/>
    <w:rsid w:val="008E60C9"/>
    <w:rsid w:val="008E7E69"/>
    <w:rsid w:val="008F1774"/>
    <w:rsid w:val="008F1DB5"/>
    <w:rsid w:val="008F37B4"/>
    <w:rsid w:val="008F3F65"/>
    <w:rsid w:val="008F5DCA"/>
    <w:rsid w:val="008F62EE"/>
    <w:rsid w:val="0090032E"/>
    <w:rsid w:val="009026EB"/>
    <w:rsid w:val="00906152"/>
    <w:rsid w:val="00906AF5"/>
    <w:rsid w:val="0090731E"/>
    <w:rsid w:val="009103F1"/>
    <w:rsid w:val="00911577"/>
    <w:rsid w:val="009123C5"/>
    <w:rsid w:val="0091299B"/>
    <w:rsid w:val="00915681"/>
    <w:rsid w:val="00915B68"/>
    <w:rsid w:val="00916EE2"/>
    <w:rsid w:val="00917817"/>
    <w:rsid w:val="00921EBA"/>
    <w:rsid w:val="00922E9B"/>
    <w:rsid w:val="00922FE5"/>
    <w:rsid w:val="009242C0"/>
    <w:rsid w:val="00924D0E"/>
    <w:rsid w:val="00927261"/>
    <w:rsid w:val="009304D2"/>
    <w:rsid w:val="00932DAA"/>
    <w:rsid w:val="0093396D"/>
    <w:rsid w:val="009418A2"/>
    <w:rsid w:val="00942ED1"/>
    <w:rsid w:val="009543EA"/>
    <w:rsid w:val="009556CA"/>
    <w:rsid w:val="00955761"/>
    <w:rsid w:val="00956E0B"/>
    <w:rsid w:val="009622B1"/>
    <w:rsid w:val="009638E6"/>
    <w:rsid w:val="00964E8A"/>
    <w:rsid w:val="00965C0C"/>
    <w:rsid w:val="00966A22"/>
    <w:rsid w:val="0096722F"/>
    <w:rsid w:val="00971530"/>
    <w:rsid w:val="00973616"/>
    <w:rsid w:val="009739C4"/>
    <w:rsid w:val="0097582A"/>
    <w:rsid w:val="00980081"/>
    <w:rsid w:val="00980843"/>
    <w:rsid w:val="009835A5"/>
    <w:rsid w:val="00983633"/>
    <w:rsid w:val="00984E67"/>
    <w:rsid w:val="009851C9"/>
    <w:rsid w:val="009872F6"/>
    <w:rsid w:val="00991EA1"/>
    <w:rsid w:val="00994AA7"/>
    <w:rsid w:val="009A15B1"/>
    <w:rsid w:val="009A1656"/>
    <w:rsid w:val="009A1FE9"/>
    <w:rsid w:val="009A43DB"/>
    <w:rsid w:val="009A4FB2"/>
    <w:rsid w:val="009A6E5F"/>
    <w:rsid w:val="009A74D4"/>
    <w:rsid w:val="009A7D3B"/>
    <w:rsid w:val="009B0638"/>
    <w:rsid w:val="009B1042"/>
    <w:rsid w:val="009B4AAE"/>
    <w:rsid w:val="009B5DA5"/>
    <w:rsid w:val="009B75EE"/>
    <w:rsid w:val="009B774D"/>
    <w:rsid w:val="009C0FE6"/>
    <w:rsid w:val="009C1D27"/>
    <w:rsid w:val="009C27DC"/>
    <w:rsid w:val="009C2E0B"/>
    <w:rsid w:val="009C6BC0"/>
    <w:rsid w:val="009D0000"/>
    <w:rsid w:val="009D7D8F"/>
    <w:rsid w:val="009E1F98"/>
    <w:rsid w:val="009E24BE"/>
    <w:rsid w:val="009E2791"/>
    <w:rsid w:val="009E2953"/>
    <w:rsid w:val="009E2E83"/>
    <w:rsid w:val="009E3F6F"/>
    <w:rsid w:val="009E4C4B"/>
    <w:rsid w:val="009E4C65"/>
    <w:rsid w:val="009E4DE6"/>
    <w:rsid w:val="009E6791"/>
    <w:rsid w:val="009E7F37"/>
    <w:rsid w:val="009F07BF"/>
    <w:rsid w:val="009F132A"/>
    <w:rsid w:val="009F1501"/>
    <w:rsid w:val="009F3E59"/>
    <w:rsid w:val="009F3E8D"/>
    <w:rsid w:val="009F46BC"/>
    <w:rsid w:val="009F499F"/>
    <w:rsid w:val="009F4D6A"/>
    <w:rsid w:val="009F7525"/>
    <w:rsid w:val="00A00DEC"/>
    <w:rsid w:val="00A02F91"/>
    <w:rsid w:val="00A03438"/>
    <w:rsid w:val="00A1217C"/>
    <w:rsid w:val="00A13DD3"/>
    <w:rsid w:val="00A175DF"/>
    <w:rsid w:val="00A21697"/>
    <w:rsid w:val="00A21CC7"/>
    <w:rsid w:val="00A25948"/>
    <w:rsid w:val="00A275B6"/>
    <w:rsid w:val="00A31812"/>
    <w:rsid w:val="00A34917"/>
    <w:rsid w:val="00A36DAF"/>
    <w:rsid w:val="00A37828"/>
    <w:rsid w:val="00A4089F"/>
    <w:rsid w:val="00A42293"/>
    <w:rsid w:val="00A42509"/>
    <w:rsid w:val="00A42DAF"/>
    <w:rsid w:val="00A45A0C"/>
    <w:rsid w:val="00A45BD8"/>
    <w:rsid w:val="00A474DB"/>
    <w:rsid w:val="00A520DA"/>
    <w:rsid w:val="00A57B0E"/>
    <w:rsid w:val="00A6071F"/>
    <w:rsid w:val="00A609F8"/>
    <w:rsid w:val="00A62D12"/>
    <w:rsid w:val="00A65ABC"/>
    <w:rsid w:val="00A72090"/>
    <w:rsid w:val="00A7419F"/>
    <w:rsid w:val="00A80FA6"/>
    <w:rsid w:val="00A81F52"/>
    <w:rsid w:val="00A82319"/>
    <w:rsid w:val="00A82D02"/>
    <w:rsid w:val="00A83008"/>
    <w:rsid w:val="00A869B7"/>
    <w:rsid w:val="00A86EDD"/>
    <w:rsid w:val="00A877BC"/>
    <w:rsid w:val="00A92D7C"/>
    <w:rsid w:val="00AA26FE"/>
    <w:rsid w:val="00AA4B56"/>
    <w:rsid w:val="00AA5395"/>
    <w:rsid w:val="00AB283A"/>
    <w:rsid w:val="00AC205C"/>
    <w:rsid w:val="00AC5236"/>
    <w:rsid w:val="00AC5AF1"/>
    <w:rsid w:val="00AD0725"/>
    <w:rsid w:val="00AD47FF"/>
    <w:rsid w:val="00AE1F11"/>
    <w:rsid w:val="00AE67BB"/>
    <w:rsid w:val="00AE7D34"/>
    <w:rsid w:val="00AF0A6B"/>
    <w:rsid w:val="00AF3EC8"/>
    <w:rsid w:val="00AF45E0"/>
    <w:rsid w:val="00AF4CA1"/>
    <w:rsid w:val="00AF7073"/>
    <w:rsid w:val="00AF7FC0"/>
    <w:rsid w:val="00B017A1"/>
    <w:rsid w:val="00B02448"/>
    <w:rsid w:val="00B03198"/>
    <w:rsid w:val="00B05A69"/>
    <w:rsid w:val="00B06A27"/>
    <w:rsid w:val="00B14CAE"/>
    <w:rsid w:val="00B1522B"/>
    <w:rsid w:val="00B307DE"/>
    <w:rsid w:val="00B33147"/>
    <w:rsid w:val="00B37668"/>
    <w:rsid w:val="00B37C8E"/>
    <w:rsid w:val="00B404B5"/>
    <w:rsid w:val="00B40769"/>
    <w:rsid w:val="00B40DED"/>
    <w:rsid w:val="00B44236"/>
    <w:rsid w:val="00B45C32"/>
    <w:rsid w:val="00B46025"/>
    <w:rsid w:val="00B4781E"/>
    <w:rsid w:val="00B511B2"/>
    <w:rsid w:val="00B52C73"/>
    <w:rsid w:val="00B5602E"/>
    <w:rsid w:val="00B60B04"/>
    <w:rsid w:val="00B63F98"/>
    <w:rsid w:val="00B7217B"/>
    <w:rsid w:val="00B742CC"/>
    <w:rsid w:val="00B76D56"/>
    <w:rsid w:val="00B81C3D"/>
    <w:rsid w:val="00B82E87"/>
    <w:rsid w:val="00B82F90"/>
    <w:rsid w:val="00B92173"/>
    <w:rsid w:val="00B95DFB"/>
    <w:rsid w:val="00B9680E"/>
    <w:rsid w:val="00B9734B"/>
    <w:rsid w:val="00BA1D35"/>
    <w:rsid w:val="00BA34E9"/>
    <w:rsid w:val="00BA4FBE"/>
    <w:rsid w:val="00BA6466"/>
    <w:rsid w:val="00BA7123"/>
    <w:rsid w:val="00BB09B6"/>
    <w:rsid w:val="00BB60D2"/>
    <w:rsid w:val="00BC4D94"/>
    <w:rsid w:val="00BC79E7"/>
    <w:rsid w:val="00BD0CC8"/>
    <w:rsid w:val="00BD1C3A"/>
    <w:rsid w:val="00BD3BAF"/>
    <w:rsid w:val="00BD6C81"/>
    <w:rsid w:val="00BD7E43"/>
    <w:rsid w:val="00BE34E9"/>
    <w:rsid w:val="00BE47A7"/>
    <w:rsid w:val="00BF1363"/>
    <w:rsid w:val="00BF4B4E"/>
    <w:rsid w:val="00BF4F4E"/>
    <w:rsid w:val="00BF77C2"/>
    <w:rsid w:val="00BF7BF5"/>
    <w:rsid w:val="00C00304"/>
    <w:rsid w:val="00C017AA"/>
    <w:rsid w:val="00C01899"/>
    <w:rsid w:val="00C04D3F"/>
    <w:rsid w:val="00C06915"/>
    <w:rsid w:val="00C075C3"/>
    <w:rsid w:val="00C11BFE"/>
    <w:rsid w:val="00C12D98"/>
    <w:rsid w:val="00C16C81"/>
    <w:rsid w:val="00C2147B"/>
    <w:rsid w:val="00C24A90"/>
    <w:rsid w:val="00C24C1F"/>
    <w:rsid w:val="00C30AA8"/>
    <w:rsid w:val="00C31EA9"/>
    <w:rsid w:val="00C3272D"/>
    <w:rsid w:val="00C333E3"/>
    <w:rsid w:val="00C339F6"/>
    <w:rsid w:val="00C348D0"/>
    <w:rsid w:val="00C3523E"/>
    <w:rsid w:val="00C36976"/>
    <w:rsid w:val="00C413B8"/>
    <w:rsid w:val="00C4141F"/>
    <w:rsid w:val="00C419CD"/>
    <w:rsid w:val="00C42E46"/>
    <w:rsid w:val="00C45667"/>
    <w:rsid w:val="00C45916"/>
    <w:rsid w:val="00C528C4"/>
    <w:rsid w:val="00C52B76"/>
    <w:rsid w:val="00C5428C"/>
    <w:rsid w:val="00C560A5"/>
    <w:rsid w:val="00C62AA4"/>
    <w:rsid w:val="00C633AA"/>
    <w:rsid w:val="00C70105"/>
    <w:rsid w:val="00C71057"/>
    <w:rsid w:val="00C725F8"/>
    <w:rsid w:val="00C72BC6"/>
    <w:rsid w:val="00C73096"/>
    <w:rsid w:val="00C76BE8"/>
    <w:rsid w:val="00C80982"/>
    <w:rsid w:val="00C829FA"/>
    <w:rsid w:val="00C84E1D"/>
    <w:rsid w:val="00C84EEE"/>
    <w:rsid w:val="00C87EF9"/>
    <w:rsid w:val="00C90E82"/>
    <w:rsid w:val="00C9168A"/>
    <w:rsid w:val="00C92255"/>
    <w:rsid w:val="00C926AF"/>
    <w:rsid w:val="00C95D3F"/>
    <w:rsid w:val="00CA1CBF"/>
    <w:rsid w:val="00CA413E"/>
    <w:rsid w:val="00CA7417"/>
    <w:rsid w:val="00CB0814"/>
    <w:rsid w:val="00CB11CC"/>
    <w:rsid w:val="00CB41D0"/>
    <w:rsid w:val="00CB5AFB"/>
    <w:rsid w:val="00CB6FB9"/>
    <w:rsid w:val="00CC2870"/>
    <w:rsid w:val="00CC30C7"/>
    <w:rsid w:val="00CC43E0"/>
    <w:rsid w:val="00CC77E4"/>
    <w:rsid w:val="00CD4C69"/>
    <w:rsid w:val="00CD5EAC"/>
    <w:rsid w:val="00CD6E75"/>
    <w:rsid w:val="00CD6F1E"/>
    <w:rsid w:val="00CD75A2"/>
    <w:rsid w:val="00CE139A"/>
    <w:rsid w:val="00CE5BB4"/>
    <w:rsid w:val="00CE6C8E"/>
    <w:rsid w:val="00CF1E10"/>
    <w:rsid w:val="00CF5440"/>
    <w:rsid w:val="00D00531"/>
    <w:rsid w:val="00D03B0B"/>
    <w:rsid w:val="00D070A3"/>
    <w:rsid w:val="00D10B6D"/>
    <w:rsid w:val="00D12E02"/>
    <w:rsid w:val="00D20950"/>
    <w:rsid w:val="00D30B8E"/>
    <w:rsid w:val="00D325F8"/>
    <w:rsid w:val="00D33DFA"/>
    <w:rsid w:val="00D35E49"/>
    <w:rsid w:val="00D36DD0"/>
    <w:rsid w:val="00D41B55"/>
    <w:rsid w:val="00D42090"/>
    <w:rsid w:val="00D45252"/>
    <w:rsid w:val="00D476A5"/>
    <w:rsid w:val="00D50074"/>
    <w:rsid w:val="00D52928"/>
    <w:rsid w:val="00D530A9"/>
    <w:rsid w:val="00D552E8"/>
    <w:rsid w:val="00D55F71"/>
    <w:rsid w:val="00D56070"/>
    <w:rsid w:val="00D576CE"/>
    <w:rsid w:val="00D63CD4"/>
    <w:rsid w:val="00D71B4D"/>
    <w:rsid w:val="00D8216C"/>
    <w:rsid w:val="00D82AB0"/>
    <w:rsid w:val="00D90660"/>
    <w:rsid w:val="00D93D55"/>
    <w:rsid w:val="00D93EDE"/>
    <w:rsid w:val="00D95336"/>
    <w:rsid w:val="00D9622F"/>
    <w:rsid w:val="00DA0497"/>
    <w:rsid w:val="00DA2235"/>
    <w:rsid w:val="00DA286F"/>
    <w:rsid w:val="00DA372C"/>
    <w:rsid w:val="00DA5249"/>
    <w:rsid w:val="00DA60B8"/>
    <w:rsid w:val="00DA7953"/>
    <w:rsid w:val="00DB0A53"/>
    <w:rsid w:val="00DB15F6"/>
    <w:rsid w:val="00DB4715"/>
    <w:rsid w:val="00DB6A14"/>
    <w:rsid w:val="00DC2458"/>
    <w:rsid w:val="00DD292F"/>
    <w:rsid w:val="00DD54A8"/>
    <w:rsid w:val="00DD7C5B"/>
    <w:rsid w:val="00DE09B9"/>
    <w:rsid w:val="00DE16B8"/>
    <w:rsid w:val="00DF2B6D"/>
    <w:rsid w:val="00DF3FE3"/>
    <w:rsid w:val="00E005E2"/>
    <w:rsid w:val="00E0185C"/>
    <w:rsid w:val="00E043B0"/>
    <w:rsid w:val="00E1008B"/>
    <w:rsid w:val="00E1043B"/>
    <w:rsid w:val="00E2026F"/>
    <w:rsid w:val="00E21494"/>
    <w:rsid w:val="00E23DA1"/>
    <w:rsid w:val="00E23EA6"/>
    <w:rsid w:val="00E335FE"/>
    <w:rsid w:val="00E41971"/>
    <w:rsid w:val="00E45EBA"/>
    <w:rsid w:val="00E46540"/>
    <w:rsid w:val="00E51BEF"/>
    <w:rsid w:val="00E52139"/>
    <w:rsid w:val="00E52780"/>
    <w:rsid w:val="00E54A8F"/>
    <w:rsid w:val="00E55263"/>
    <w:rsid w:val="00E5563E"/>
    <w:rsid w:val="00E57453"/>
    <w:rsid w:val="00E61F75"/>
    <w:rsid w:val="00E63CD4"/>
    <w:rsid w:val="00E668FC"/>
    <w:rsid w:val="00E7120B"/>
    <w:rsid w:val="00E734E9"/>
    <w:rsid w:val="00E84FD2"/>
    <w:rsid w:val="00E86C1F"/>
    <w:rsid w:val="00E90108"/>
    <w:rsid w:val="00E90463"/>
    <w:rsid w:val="00E91000"/>
    <w:rsid w:val="00E92DFF"/>
    <w:rsid w:val="00EA1AFB"/>
    <w:rsid w:val="00EA2738"/>
    <w:rsid w:val="00EA28D6"/>
    <w:rsid w:val="00EA30D9"/>
    <w:rsid w:val="00EA3A9B"/>
    <w:rsid w:val="00EA55F4"/>
    <w:rsid w:val="00EA76DC"/>
    <w:rsid w:val="00EA7D5B"/>
    <w:rsid w:val="00EB025B"/>
    <w:rsid w:val="00EB04AD"/>
    <w:rsid w:val="00EB2A88"/>
    <w:rsid w:val="00EB3462"/>
    <w:rsid w:val="00EB35D1"/>
    <w:rsid w:val="00EB3F02"/>
    <w:rsid w:val="00EB51A3"/>
    <w:rsid w:val="00EC0598"/>
    <w:rsid w:val="00EC4E49"/>
    <w:rsid w:val="00ED079E"/>
    <w:rsid w:val="00ED51BF"/>
    <w:rsid w:val="00ED77FB"/>
    <w:rsid w:val="00EE382A"/>
    <w:rsid w:val="00EE45FA"/>
    <w:rsid w:val="00EE4EFB"/>
    <w:rsid w:val="00EE7A53"/>
    <w:rsid w:val="00EF1238"/>
    <w:rsid w:val="00EF353E"/>
    <w:rsid w:val="00EF454B"/>
    <w:rsid w:val="00EF5E9E"/>
    <w:rsid w:val="00EF7B47"/>
    <w:rsid w:val="00EF7B8A"/>
    <w:rsid w:val="00F04C4F"/>
    <w:rsid w:val="00F0631F"/>
    <w:rsid w:val="00F0665E"/>
    <w:rsid w:val="00F07211"/>
    <w:rsid w:val="00F10C3A"/>
    <w:rsid w:val="00F1267F"/>
    <w:rsid w:val="00F13D68"/>
    <w:rsid w:val="00F14760"/>
    <w:rsid w:val="00F2164F"/>
    <w:rsid w:val="00F22813"/>
    <w:rsid w:val="00F239FB"/>
    <w:rsid w:val="00F23DE3"/>
    <w:rsid w:val="00F2580F"/>
    <w:rsid w:val="00F26647"/>
    <w:rsid w:val="00F27F5E"/>
    <w:rsid w:val="00F30D03"/>
    <w:rsid w:val="00F37C69"/>
    <w:rsid w:val="00F4285E"/>
    <w:rsid w:val="00F46F3F"/>
    <w:rsid w:val="00F47DA7"/>
    <w:rsid w:val="00F54EE8"/>
    <w:rsid w:val="00F551D9"/>
    <w:rsid w:val="00F56E93"/>
    <w:rsid w:val="00F64F82"/>
    <w:rsid w:val="00F66152"/>
    <w:rsid w:val="00F70F71"/>
    <w:rsid w:val="00F749FE"/>
    <w:rsid w:val="00F84A09"/>
    <w:rsid w:val="00F85E3B"/>
    <w:rsid w:val="00F86762"/>
    <w:rsid w:val="00F95CC3"/>
    <w:rsid w:val="00F974D5"/>
    <w:rsid w:val="00FA0854"/>
    <w:rsid w:val="00FA6615"/>
    <w:rsid w:val="00FA7355"/>
    <w:rsid w:val="00FB1316"/>
    <w:rsid w:val="00FB37C1"/>
    <w:rsid w:val="00FB7387"/>
    <w:rsid w:val="00FC0915"/>
    <w:rsid w:val="00FC166F"/>
    <w:rsid w:val="00FC5196"/>
    <w:rsid w:val="00FC5F02"/>
    <w:rsid w:val="00FC6223"/>
    <w:rsid w:val="00FC6DD5"/>
    <w:rsid w:val="00FC7F8E"/>
    <w:rsid w:val="00FD13CD"/>
    <w:rsid w:val="00FD359F"/>
    <w:rsid w:val="00FD458F"/>
    <w:rsid w:val="00FE00B6"/>
    <w:rsid w:val="00FE00D5"/>
    <w:rsid w:val="00FE01F3"/>
    <w:rsid w:val="00FE1AAB"/>
    <w:rsid w:val="00FF0791"/>
    <w:rsid w:val="00FF14ED"/>
    <w:rsid w:val="00FF4CA4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C41181"/>
  <w15:docId w15:val="{7A6B06EE-A21C-4CCF-AC26-3B2C99F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45A0C"/>
    <w:pPr>
      <w:keepNext/>
      <w:numPr>
        <w:numId w:val="30"/>
      </w:numPr>
      <w:spacing w:before="240" w:after="60"/>
      <w:ind w:left="567" w:hanging="425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034B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3034B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3034B"/>
    <w:pPr>
      <w:keepNext/>
      <w:outlineLvl w:val="7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3034B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rsid w:val="0053034B"/>
    <w:rPr>
      <w:sz w:val="24"/>
    </w:rPr>
  </w:style>
  <w:style w:type="character" w:customStyle="1" w:styleId="Heading7Char">
    <w:name w:val="Heading 7 Char"/>
    <w:basedOn w:val="DefaultParagraphFont"/>
    <w:link w:val="Heading7"/>
    <w:rsid w:val="0053034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3034B"/>
    <w:rPr>
      <w:i/>
      <w:sz w:val="24"/>
    </w:rPr>
  </w:style>
  <w:style w:type="character" w:customStyle="1" w:styleId="Heading9Char">
    <w:name w:val="Heading 9 Char"/>
    <w:basedOn w:val="DefaultParagraphFont"/>
    <w:link w:val="Heading9"/>
    <w:rsid w:val="0053034B"/>
    <w:rPr>
      <w:rFonts w:ascii="Arial" w:hAnsi="Arial"/>
      <w:i/>
      <w:sz w:val="22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BB60D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rsid w:val="00BB60D2"/>
  </w:style>
  <w:style w:type="paragraph" w:styleId="BodyTextIndent">
    <w:name w:val="Body Text Indent"/>
    <w:basedOn w:val="Normal"/>
    <w:link w:val="BodyTextIndentChar"/>
    <w:rsid w:val="0053034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3034B"/>
    <w:rPr>
      <w:sz w:val="24"/>
    </w:rPr>
  </w:style>
  <w:style w:type="paragraph" w:styleId="Closing">
    <w:name w:val="Closing"/>
    <w:basedOn w:val="Normal"/>
    <w:link w:val="ClosingChar"/>
    <w:rsid w:val="005303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53034B"/>
    <w:rPr>
      <w:sz w:val="24"/>
    </w:rPr>
  </w:style>
  <w:style w:type="paragraph" w:customStyle="1" w:styleId="Committee">
    <w:name w:val="Committee"/>
    <w:basedOn w:val="Normal"/>
    <w:rsid w:val="0053034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53034B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53034B"/>
  </w:style>
  <w:style w:type="paragraph" w:customStyle="1" w:styleId="Session">
    <w:name w:val="Session"/>
    <w:basedOn w:val="Normal"/>
    <w:rsid w:val="0053034B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MacroText">
    <w:name w:val="macro"/>
    <w:link w:val="MacroTextChar"/>
    <w:rsid w:val="00530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53034B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53034B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53034B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TitleofDoc">
    <w:name w:val="Title of Doc"/>
    <w:basedOn w:val="Normal"/>
    <w:rsid w:val="005303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tab1">
    <w:name w:val="tab1"/>
    <w:basedOn w:val="Normal"/>
    <w:rsid w:val="0053034B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Corpsdetexte">
    <w:name w:val="Corps de texte"/>
    <w:basedOn w:val="Normal"/>
    <w:rsid w:val="0053034B"/>
    <w:rPr>
      <w:rFonts w:ascii="Times New Roman" w:eastAsia="Times New Roman" w:hAnsi="Times New Roman" w:cs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53034B"/>
    <w:pPr>
      <w:widowControl w:val="0"/>
      <w:ind w:left="459" w:hanging="142"/>
    </w:pPr>
    <w:rPr>
      <w:rFonts w:ascii="Times New Roman" w:eastAsia="Times New Roman" w:hAnsi="Times New Roman" w:cs="Times New Roman"/>
      <w:sz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3034B"/>
    <w:rPr>
      <w:sz w:val="26"/>
    </w:rPr>
  </w:style>
  <w:style w:type="paragraph" w:styleId="BlockText">
    <w:name w:val="Block Text"/>
    <w:basedOn w:val="Normal"/>
    <w:rsid w:val="0053034B"/>
    <w:pPr>
      <w:widowControl w:val="0"/>
      <w:ind w:left="542" w:right="-259" w:hanging="225"/>
    </w:pPr>
    <w:rPr>
      <w:rFonts w:ascii="Times New Roman" w:eastAsia="Times New Roman" w:hAnsi="Times New Roman" w:cs="Times New Roman"/>
      <w:sz w:val="26"/>
      <w:lang w:eastAsia="en-US"/>
    </w:rPr>
  </w:style>
  <w:style w:type="paragraph" w:styleId="Date">
    <w:name w:val="Date"/>
    <w:basedOn w:val="Normal"/>
    <w:next w:val="Normal"/>
    <w:link w:val="DateChar"/>
    <w:rsid w:val="0053034B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53034B"/>
    <w:rPr>
      <w:sz w:val="24"/>
    </w:rPr>
  </w:style>
  <w:style w:type="paragraph" w:styleId="ListParagraph">
    <w:name w:val="List Paragraph"/>
    <w:basedOn w:val="Normal"/>
    <w:uiPriority w:val="34"/>
    <w:qFormat/>
    <w:rsid w:val="00DB15F6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912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7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hague/en/notices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[Chart in Microsoft Word]Pivot and Graph!PivotTable9</c:name>
    <c:fmtId val="2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</a:rPr>
              <a:t>УКАЗАНИЯ</a:t>
            </a:r>
            <a:r>
              <a:rPr lang="ru-RU" sz="1400" b="1" baseline="0">
                <a:effectLst/>
              </a:rPr>
              <a:t> ДОГОВАРИВАЮЩИХСЯ СТОРОН АКТА 1960 Г. </a:t>
            </a:r>
            <a:r>
              <a:rPr lang="ru-RU" sz="1400" b="1" i="0" u="none" strike="noStrike" baseline="0">
                <a:effectLst/>
              </a:rPr>
              <a:t>– УКАЗАНИЯ, ЗАПИСАННЫЕ В ПЕРВОЙ ПОЛОВИНЕ 2019 Г. В СООТВЕТСТВИИ С ПРИМЕНИМЫМ АКТОМ </a:t>
            </a:r>
            <a:endParaRPr lang="en-US" sz="1400" b="1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'Pivot and Graph'!$B$3:$B$4</c:f>
              <c:strCache>
                <c:ptCount val="1"/>
                <c:pt idx="0">
                  <c:v>Акт 1999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'Pivot and Graph'!$A$5:$A$35</c:f>
              <c:strCache>
                <c:ptCount val="30"/>
                <c:pt idx="0">
                  <c:v>AL</c:v>
                </c:pt>
                <c:pt idx="1">
                  <c:v>BG</c:v>
                </c:pt>
                <c:pt idx="2">
                  <c:v>BJ</c:v>
                </c:pt>
                <c:pt idx="3">
                  <c:v>BX</c:v>
                </c:pt>
                <c:pt idx="4">
                  <c:v>BZ</c:v>
                </c:pt>
                <c:pt idx="5">
                  <c:v>CH</c:v>
                </c:pt>
                <c:pt idx="6">
                  <c:v>CI</c:v>
                </c:pt>
                <c:pt idx="7">
                  <c:v>DE</c:v>
                </c:pt>
                <c:pt idx="8">
                  <c:v>FR</c:v>
                </c:pt>
                <c:pt idx="9">
                  <c:v>GA</c:v>
                </c:pt>
                <c:pt idx="10">
                  <c:v>GE</c:v>
                </c:pt>
                <c:pt idx="11">
                  <c:v>GR</c:v>
                </c:pt>
                <c:pt idx="12">
                  <c:v>HR</c:v>
                </c:pt>
                <c:pt idx="13">
                  <c:v>HU</c:v>
                </c:pt>
                <c:pt idx="14">
                  <c:v>IT</c:v>
                </c:pt>
                <c:pt idx="15">
                  <c:v>KG</c:v>
                </c:pt>
                <c:pt idx="16">
                  <c:v>KP</c:v>
                </c:pt>
                <c:pt idx="17">
                  <c:v>LI</c:v>
                </c:pt>
                <c:pt idx="18">
                  <c:v>MA</c:v>
                </c:pt>
                <c:pt idx="19">
                  <c:v>MC</c:v>
                </c:pt>
                <c:pt idx="20">
                  <c:v>MD</c:v>
                </c:pt>
                <c:pt idx="21">
                  <c:v>ME</c:v>
                </c:pt>
                <c:pt idx="22">
                  <c:v>MK</c:v>
                </c:pt>
                <c:pt idx="23">
                  <c:v>MN</c:v>
                </c:pt>
                <c:pt idx="24">
                  <c:v>RO</c:v>
                </c:pt>
                <c:pt idx="25">
                  <c:v>RS</c:v>
                </c:pt>
                <c:pt idx="26">
                  <c:v>SI</c:v>
                </c:pt>
                <c:pt idx="27">
                  <c:v>SN</c:v>
                </c:pt>
                <c:pt idx="28">
                  <c:v>SR</c:v>
                </c:pt>
                <c:pt idx="29">
                  <c:v>UA</c:v>
                </c:pt>
              </c:strCache>
            </c:strRef>
          </c:cat>
          <c:val>
            <c:numRef>
              <c:f>'Pivot and Graph'!$B$5:$B$35</c:f>
              <c:numCache>
                <c:formatCode>General</c:formatCode>
                <c:ptCount val="30"/>
                <c:pt idx="0">
                  <c:v>91</c:v>
                </c:pt>
                <c:pt idx="1">
                  <c:v>9</c:v>
                </c:pt>
                <c:pt idx="3">
                  <c:v>13</c:v>
                </c:pt>
                <c:pt idx="4">
                  <c:v>29</c:v>
                </c:pt>
                <c:pt idx="5">
                  <c:v>669</c:v>
                </c:pt>
                <c:pt idx="7">
                  <c:v>47</c:v>
                </c:pt>
                <c:pt idx="8">
                  <c:v>49</c:v>
                </c:pt>
                <c:pt idx="10">
                  <c:v>64</c:v>
                </c:pt>
                <c:pt idx="12">
                  <c:v>27</c:v>
                </c:pt>
                <c:pt idx="13">
                  <c:v>7</c:v>
                </c:pt>
                <c:pt idx="15">
                  <c:v>60</c:v>
                </c:pt>
                <c:pt idx="16">
                  <c:v>15</c:v>
                </c:pt>
                <c:pt idx="17">
                  <c:v>106</c:v>
                </c:pt>
                <c:pt idx="19">
                  <c:v>139</c:v>
                </c:pt>
                <c:pt idx="20">
                  <c:v>74</c:v>
                </c:pt>
                <c:pt idx="21">
                  <c:v>102</c:v>
                </c:pt>
                <c:pt idx="22">
                  <c:v>116</c:v>
                </c:pt>
                <c:pt idx="23">
                  <c:v>67</c:v>
                </c:pt>
                <c:pt idx="24">
                  <c:v>13</c:v>
                </c:pt>
                <c:pt idx="25">
                  <c:v>73</c:v>
                </c:pt>
                <c:pt idx="26">
                  <c:v>27</c:v>
                </c:pt>
                <c:pt idx="29">
                  <c:v>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70-4EDD-9FC6-4B66F29E4FAF}"/>
            </c:ext>
          </c:extLst>
        </c:ser>
        <c:ser>
          <c:idx val="1"/>
          <c:order val="1"/>
          <c:tx>
            <c:strRef>
              <c:f>'Pivot and Graph'!$C$3:$C$4</c:f>
              <c:strCache>
                <c:ptCount val="1"/>
                <c:pt idx="0">
                  <c:v>Акт 1960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'Pivot and Graph'!$A$5:$A$35</c:f>
              <c:strCache>
                <c:ptCount val="30"/>
                <c:pt idx="0">
                  <c:v>AL</c:v>
                </c:pt>
                <c:pt idx="1">
                  <c:v>BG</c:v>
                </c:pt>
                <c:pt idx="2">
                  <c:v>BJ</c:v>
                </c:pt>
                <c:pt idx="3">
                  <c:v>BX</c:v>
                </c:pt>
                <c:pt idx="4">
                  <c:v>BZ</c:v>
                </c:pt>
                <c:pt idx="5">
                  <c:v>CH</c:v>
                </c:pt>
                <c:pt idx="6">
                  <c:v>CI</c:v>
                </c:pt>
                <c:pt idx="7">
                  <c:v>DE</c:v>
                </c:pt>
                <c:pt idx="8">
                  <c:v>FR</c:v>
                </c:pt>
                <c:pt idx="9">
                  <c:v>GA</c:v>
                </c:pt>
                <c:pt idx="10">
                  <c:v>GE</c:v>
                </c:pt>
                <c:pt idx="11">
                  <c:v>GR</c:v>
                </c:pt>
                <c:pt idx="12">
                  <c:v>HR</c:v>
                </c:pt>
                <c:pt idx="13">
                  <c:v>HU</c:v>
                </c:pt>
                <c:pt idx="14">
                  <c:v>IT</c:v>
                </c:pt>
                <c:pt idx="15">
                  <c:v>KG</c:v>
                </c:pt>
                <c:pt idx="16">
                  <c:v>KP</c:v>
                </c:pt>
                <c:pt idx="17">
                  <c:v>LI</c:v>
                </c:pt>
                <c:pt idx="18">
                  <c:v>MA</c:v>
                </c:pt>
                <c:pt idx="19">
                  <c:v>MC</c:v>
                </c:pt>
                <c:pt idx="20">
                  <c:v>MD</c:v>
                </c:pt>
                <c:pt idx="21">
                  <c:v>ME</c:v>
                </c:pt>
                <c:pt idx="22">
                  <c:v>MK</c:v>
                </c:pt>
                <c:pt idx="23">
                  <c:v>MN</c:v>
                </c:pt>
                <c:pt idx="24">
                  <c:v>RO</c:v>
                </c:pt>
                <c:pt idx="25">
                  <c:v>RS</c:v>
                </c:pt>
                <c:pt idx="26">
                  <c:v>SI</c:v>
                </c:pt>
                <c:pt idx="27">
                  <c:v>SN</c:v>
                </c:pt>
                <c:pt idx="28">
                  <c:v>SR</c:v>
                </c:pt>
                <c:pt idx="29">
                  <c:v>UA</c:v>
                </c:pt>
              </c:strCache>
            </c:strRef>
          </c:cat>
          <c:val>
            <c:numRef>
              <c:f>'Pivot and Graph'!$C$5:$C$35</c:f>
              <c:numCache>
                <c:formatCode>General</c:formatCode>
                <c:ptCount val="30"/>
                <c:pt idx="2">
                  <c:v>5</c:v>
                </c:pt>
                <c:pt idx="3">
                  <c:v>11</c:v>
                </c:pt>
                <c:pt idx="4">
                  <c:v>22</c:v>
                </c:pt>
                <c:pt idx="6">
                  <c:v>6</c:v>
                </c:pt>
                <c:pt idx="9">
                  <c:v>4</c:v>
                </c:pt>
                <c:pt idx="11">
                  <c:v>25</c:v>
                </c:pt>
                <c:pt idx="14">
                  <c:v>26</c:v>
                </c:pt>
                <c:pt idx="18">
                  <c:v>158</c:v>
                </c:pt>
                <c:pt idx="27">
                  <c:v>6</c:v>
                </c:pt>
                <c:pt idx="2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70-4EDD-9FC6-4B66F29E4F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78785151"/>
        <c:axId val="1"/>
      </c:barChart>
      <c:catAx>
        <c:axId val="1278785151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Договаривающиеся стороны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указаний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8785151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8665-19F3-48C6-9FDF-5A47E602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10</Pages>
  <Words>2317</Words>
  <Characters>13207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keywords>FOR OFFICIAL USE ONLY</cp:keywords>
  <cp:lastModifiedBy>FRICOT Karine</cp:lastModifiedBy>
  <cp:revision>8</cp:revision>
  <cp:lastPrinted>2019-09-17T15:34:00Z</cp:lastPrinted>
  <dcterms:created xsi:type="dcterms:W3CDTF">2019-09-16T13:21:00Z</dcterms:created>
  <dcterms:modified xsi:type="dcterms:W3CDTF">2019-09-17T15:40:00Z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51a48d57-faf3-46e0-bf21-6a32a10c31da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