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655F5A" w:rsidP="00655F5A">
            <w:pPr>
              <w:pStyle w:val="DocumentCodeAR"/>
              <w:bidi/>
              <w:rPr>
                <w:rtl/>
              </w:rPr>
            </w:pPr>
            <w:r>
              <w:t>MM</w:t>
            </w:r>
            <w:r w:rsidR="008A059F" w:rsidRPr="008A059F">
              <w:t>/</w:t>
            </w:r>
            <w:r>
              <w:t>LD/</w:t>
            </w:r>
            <w:r w:rsidR="008A059F" w:rsidRPr="008A059F">
              <w:t>WG/1</w:t>
            </w:r>
            <w:r>
              <w:t>3</w:t>
            </w:r>
            <w:r w:rsidR="00B41495">
              <w:t>/8</w:t>
            </w:r>
          </w:p>
        </w:tc>
      </w:tr>
      <w:tr w:rsidR="001667B6" w:rsidTr="00BF164F">
        <w:tc>
          <w:tcPr>
            <w:tcW w:w="9571" w:type="dxa"/>
            <w:gridSpan w:val="3"/>
          </w:tcPr>
          <w:p w:rsidR="001667B6" w:rsidRPr="00B6101C" w:rsidRDefault="00B6101C" w:rsidP="00B41495">
            <w:pPr>
              <w:pStyle w:val="DocumentLanguageAR"/>
              <w:bidi/>
              <w:rPr>
                <w:rtl/>
              </w:rPr>
            </w:pPr>
            <w:r w:rsidRPr="00B6101C">
              <w:rPr>
                <w:rFonts w:hint="cs"/>
                <w:rtl/>
              </w:rPr>
              <w:t xml:space="preserve">الأصل: </w:t>
            </w:r>
            <w:r w:rsidR="00B41495">
              <w:rPr>
                <w:rFonts w:hint="cs"/>
                <w:rtl/>
              </w:rPr>
              <w:t>بالإنكليزية</w:t>
            </w:r>
          </w:p>
        </w:tc>
      </w:tr>
      <w:tr w:rsidR="001667B6" w:rsidTr="00BF164F">
        <w:tc>
          <w:tcPr>
            <w:tcW w:w="9571" w:type="dxa"/>
            <w:gridSpan w:val="3"/>
          </w:tcPr>
          <w:p w:rsidR="001667B6" w:rsidRPr="00B6101C" w:rsidRDefault="00B6101C" w:rsidP="00B41495">
            <w:pPr>
              <w:pStyle w:val="DocumentDateAR"/>
              <w:bidi/>
              <w:rPr>
                <w:rtl/>
              </w:rPr>
            </w:pPr>
            <w:r w:rsidRPr="00B6101C">
              <w:rPr>
                <w:rFonts w:hint="cs"/>
                <w:rtl/>
              </w:rPr>
              <w:t xml:space="preserve">التاريخ: </w:t>
            </w:r>
            <w:r w:rsidR="00B41495">
              <w:rPr>
                <w:rFonts w:hint="cs"/>
                <w:rtl/>
              </w:rPr>
              <w:t>14</w:t>
            </w:r>
            <w:r w:rsidRPr="00B6101C">
              <w:rPr>
                <w:rFonts w:hint="cs"/>
                <w:rtl/>
              </w:rPr>
              <w:t xml:space="preserve"> </w:t>
            </w:r>
            <w:r w:rsidR="00B41495">
              <w:rPr>
                <w:rFonts w:hint="cs"/>
                <w:rtl/>
              </w:rPr>
              <w:t>أكتوبر</w:t>
            </w:r>
            <w:r w:rsidRPr="00B6101C">
              <w:rPr>
                <w:rFonts w:hint="cs"/>
                <w:rtl/>
              </w:rPr>
              <w:t xml:space="preserve"> </w:t>
            </w:r>
            <w:r w:rsidR="00190B6D">
              <w:rPr>
                <w:rFonts w:hint="cs"/>
                <w:rtl/>
              </w:rPr>
              <w:t>201</w:t>
            </w:r>
            <w:r w:rsidR="00655F5A">
              <w:rPr>
                <w:rFonts w:hint="cs"/>
                <w:rtl/>
              </w:rPr>
              <w:t>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Default="008A059F" w:rsidP="00655F5A">
      <w:pPr>
        <w:pStyle w:val="MeetingTitleAR"/>
        <w:bidi/>
        <w:ind w:right="993"/>
        <w:rPr>
          <w:rtl/>
          <w:lang w:bidi="ar-EG"/>
        </w:rPr>
      </w:pPr>
      <w:r w:rsidRPr="008A059F">
        <w:rPr>
          <w:rtl/>
        </w:rPr>
        <w:t>الفريق العامل</w:t>
      </w:r>
      <w:r w:rsidRPr="008A059F">
        <w:rPr>
          <w:rFonts w:hint="cs"/>
          <w:rtl/>
        </w:rPr>
        <w:t xml:space="preserve"> </w:t>
      </w:r>
      <w:r>
        <w:rPr>
          <w:rFonts w:hint="cs"/>
          <w:rtl/>
          <w:lang w:bidi="ar-EG"/>
        </w:rPr>
        <w:t>المعني ب</w:t>
      </w:r>
      <w:r w:rsidR="00655F5A">
        <w:rPr>
          <w:rFonts w:hint="cs"/>
          <w:rtl/>
          <w:lang w:bidi="ar-EG"/>
        </w:rPr>
        <w:t>ال</w:t>
      </w:r>
      <w:r>
        <w:rPr>
          <w:rFonts w:hint="cs"/>
          <w:rtl/>
          <w:lang w:bidi="ar-EG"/>
        </w:rPr>
        <w:t xml:space="preserve">تطوير </w:t>
      </w:r>
      <w:r w:rsidR="00655F5A">
        <w:rPr>
          <w:rFonts w:hint="cs"/>
          <w:rtl/>
          <w:lang w:bidi="ar-EG"/>
        </w:rPr>
        <w:t>القانوني ل</w:t>
      </w:r>
      <w:r>
        <w:rPr>
          <w:rFonts w:hint="cs"/>
          <w:rtl/>
          <w:lang w:bidi="ar-EG"/>
        </w:rPr>
        <w:t xml:space="preserve">نظام </w:t>
      </w:r>
      <w:r w:rsidR="00655F5A">
        <w:rPr>
          <w:rFonts w:hint="cs"/>
          <w:rtl/>
          <w:lang w:bidi="ar-EG"/>
        </w:rPr>
        <w:t>مدريد بشأن التسجيل الدولي للعلامات</w:t>
      </w:r>
    </w:p>
    <w:p w:rsidR="00AB54AE" w:rsidRPr="00655F5A" w:rsidRDefault="00AB54AE" w:rsidP="00655F5A">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655F5A">
      <w:pPr>
        <w:pStyle w:val="MeetingSessionAR"/>
        <w:bidi/>
        <w:rPr>
          <w:rFonts w:ascii="Cambria Math" w:hAnsi="Cambria Math"/>
          <w:rtl/>
        </w:rPr>
      </w:pPr>
      <w:r w:rsidRPr="00783D11">
        <w:rPr>
          <w:rFonts w:ascii="Cambria Math" w:hAnsi="Cambria Math"/>
          <w:rtl/>
        </w:rPr>
        <w:t xml:space="preserve">الدورة </w:t>
      </w:r>
      <w:r w:rsidR="00655F5A">
        <w:rPr>
          <w:rFonts w:ascii="Cambria Math" w:hAnsi="Cambria Math" w:hint="cs"/>
          <w:rtl/>
        </w:rPr>
        <w:t xml:space="preserve">الثالثة </w:t>
      </w:r>
      <w:r w:rsidR="008A059F">
        <w:rPr>
          <w:rFonts w:ascii="Cambria Math" w:hAnsi="Cambria Math" w:hint="cs"/>
          <w:rtl/>
        </w:rPr>
        <w:t>عشرة</w:t>
      </w:r>
    </w:p>
    <w:p w:rsidR="00D61541" w:rsidRPr="00D61541" w:rsidRDefault="00D61541" w:rsidP="00655F5A">
      <w:pPr>
        <w:pStyle w:val="MeetingDatesAR"/>
        <w:bidi/>
        <w:rPr>
          <w:rtl/>
        </w:rPr>
      </w:pPr>
      <w:r w:rsidRPr="00D61541">
        <w:rPr>
          <w:rFonts w:hint="cs"/>
          <w:rtl/>
        </w:rPr>
        <w:t xml:space="preserve">جنيف، من </w:t>
      </w:r>
      <w:r w:rsidR="00655F5A">
        <w:rPr>
          <w:rFonts w:hint="cs"/>
          <w:rtl/>
        </w:rPr>
        <w:t xml:space="preserve">2 </w:t>
      </w:r>
      <w:r w:rsidR="00C742C5">
        <w:rPr>
          <w:rFonts w:hint="cs"/>
          <w:rtl/>
        </w:rPr>
        <w:t xml:space="preserve">إلى </w:t>
      </w:r>
      <w:r w:rsidR="00655F5A">
        <w:rPr>
          <w:rFonts w:hint="cs"/>
          <w:rtl/>
        </w:rPr>
        <w:t xml:space="preserve">6 نوفمبر </w:t>
      </w:r>
      <w:r w:rsidR="00C742C5">
        <w:rPr>
          <w:rFonts w:hint="cs"/>
          <w:rtl/>
        </w:rPr>
        <w:t>201</w:t>
      </w:r>
      <w:r w:rsidR="00655F5A">
        <w:rPr>
          <w:rFonts w:hint="cs"/>
          <w:rtl/>
        </w:rPr>
        <w:t>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B41495" w:rsidP="00B41495">
      <w:pPr>
        <w:pStyle w:val="DocumentTitleAR"/>
        <w:bidi/>
        <w:rPr>
          <w:rtl/>
        </w:rPr>
      </w:pPr>
      <w:r>
        <w:rPr>
          <w:rFonts w:hint="cs"/>
          <w:rtl/>
        </w:rPr>
        <w:t xml:space="preserve">النص المعدل للقاعدة 24(5) من اللائحة التنفيذية المشتركة بين </w:t>
      </w:r>
      <w:r w:rsidRPr="00B41495">
        <w:rPr>
          <w:rFonts w:hint="cs"/>
          <w:rtl/>
        </w:rPr>
        <w:t xml:space="preserve">اتفاق </w:t>
      </w:r>
      <w:r>
        <w:rPr>
          <w:rFonts w:hint="cs"/>
          <w:rtl/>
        </w:rPr>
        <w:t xml:space="preserve">وبروتوكول </w:t>
      </w:r>
      <w:r w:rsidRPr="00B41495">
        <w:rPr>
          <w:rFonts w:hint="cs"/>
          <w:rtl/>
        </w:rPr>
        <w:t xml:space="preserve">مدريد </w:t>
      </w:r>
      <w:r w:rsidRPr="00B41495">
        <w:rPr>
          <w:rtl/>
        </w:rPr>
        <w:t>بشأن التسجيل الدولي للعلامات</w:t>
      </w:r>
      <w:r w:rsidRPr="00B41495">
        <w:rPr>
          <w:rFonts w:hint="cs"/>
          <w:rtl/>
        </w:rPr>
        <w:t xml:space="preserve">: مسائل </w:t>
      </w:r>
      <w:r w:rsidR="00690ECF">
        <w:rPr>
          <w:rFonts w:hint="cs"/>
          <w:rtl/>
        </w:rPr>
        <w:t>تتعل</w:t>
      </w:r>
      <w:r w:rsidR="00B220C4">
        <w:rPr>
          <w:rFonts w:hint="cs"/>
          <w:rtl/>
        </w:rPr>
        <w:t>ّ</w:t>
      </w:r>
      <w:r w:rsidR="00690ECF">
        <w:rPr>
          <w:rFonts w:hint="cs"/>
          <w:rtl/>
        </w:rPr>
        <w:t>ق ب</w:t>
      </w:r>
      <w:r w:rsidRPr="00B41495">
        <w:rPr>
          <w:rFonts w:hint="cs"/>
          <w:rtl/>
        </w:rPr>
        <w:t>التنفيذ</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B41495">
        <w:rPr>
          <w:rFonts w:hint="cs"/>
          <w:rtl/>
        </w:rPr>
        <w:t xml:space="preserve"> المكتب الدولي</w:t>
      </w:r>
    </w:p>
    <w:p w:rsidR="00D61541" w:rsidRPr="00B41495" w:rsidRDefault="00B41495" w:rsidP="00B41495">
      <w:pPr>
        <w:pStyle w:val="NormalParaAR"/>
        <w:keepNext/>
        <w:rPr>
          <w:b/>
          <w:bCs/>
          <w:sz w:val="40"/>
          <w:szCs w:val="40"/>
        </w:rPr>
      </w:pPr>
      <w:r w:rsidRPr="00B41495">
        <w:rPr>
          <w:rFonts w:hint="cs"/>
          <w:b/>
          <w:bCs/>
          <w:sz w:val="40"/>
          <w:szCs w:val="40"/>
          <w:rtl/>
        </w:rPr>
        <w:t>مقدمة</w:t>
      </w:r>
    </w:p>
    <w:p w:rsidR="002F77FC" w:rsidRDefault="00387396" w:rsidP="00387396">
      <w:pPr>
        <w:pStyle w:val="NumberedParaAR"/>
        <w:rPr>
          <w:rFonts w:hint="cs"/>
        </w:rPr>
      </w:pPr>
      <w:r>
        <w:rPr>
          <w:rFonts w:hint="cs"/>
          <w:rtl/>
        </w:rPr>
        <w:t xml:space="preserve">ناقش </w:t>
      </w:r>
      <w:r w:rsidRPr="00387396">
        <w:rPr>
          <w:rtl/>
        </w:rPr>
        <w:t>الفريق العامل المعني بالتطوير القانوني لنظام مدريد بشأن التسجيل الدولي للعلامات</w:t>
      </w:r>
      <w:r>
        <w:rPr>
          <w:rFonts w:hint="cs"/>
          <w:rtl/>
        </w:rPr>
        <w:t xml:space="preserve"> (المشار إليه فيما يلي بعبارة "الفريق العامل")، خلال دورته الثانية عشرة، تعديلات محدّدة على اللائحة التنفيذية المشتركة بين اتفاق وبروتوكول مدريد بشأن التسجيل الدولي للعلامات (المشار إليها فيما يلي بعبارة "اللائحة التنفيذية المشتركة"). وأوصى الفريق العامل، في جملة أمور، بأن تعتمد جمعية اتحاد مدريد القاعدة 24(5). واعتمدت جمعية اتحاد مدريد، في دورتها التاسعة والأربعين المعقودة في أكتوبر</w:t>
      </w:r>
      <w:r>
        <w:rPr>
          <w:rFonts w:hint="eastAsia"/>
          <w:rtl/>
        </w:rPr>
        <w:t> </w:t>
      </w:r>
      <w:r>
        <w:rPr>
          <w:rFonts w:hint="cs"/>
          <w:rtl/>
        </w:rPr>
        <w:t>2015، التعديلات المُدخلة على القاعدة 24(5)، على أن تدخل حيّز النفاذ في 1</w:t>
      </w:r>
      <w:r>
        <w:rPr>
          <w:rFonts w:hint="eastAsia"/>
          <w:rtl/>
        </w:rPr>
        <w:t> </w:t>
      </w:r>
      <w:r>
        <w:rPr>
          <w:rFonts w:hint="cs"/>
          <w:rtl/>
        </w:rPr>
        <w:t>نوفمبر</w:t>
      </w:r>
      <w:r>
        <w:rPr>
          <w:rFonts w:hint="eastAsia"/>
          <w:rtl/>
        </w:rPr>
        <w:t> </w:t>
      </w:r>
      <w:r>
        <w:rPr>
          <w:rFonts w:hint="cs"/>
          <w:rtl/>
        </w:rPr>
        <w:t>2017</w:t>
      </w:r>
      <w:r>
        <w:rPr>
          <w:rStyle w:val="FootnoteReference"/>
          <w:rtl/>
        </w:rPr>
        <w:footnoteReference w:id="1"/>
      </w:r>
      <w:r>
        <w:rPr>
          <w:rFonts w:hint="cs"/>
          <w:rtl/>
        </w:rPr>
        <w:t>.</w:t>
      </w:r>
    </w:p>
    <w:p w:rsidR="00387396" w:rsidRDefault="00387396" w:rsidP="003460A9">
      <w:pPr>
        <w:pStyle w:val="NumberedParaAR"/>
        <w:rPr>
          <w:rFonts w:hint="cs"/>
        </w:rPr>
      </w:pPr>
      <w:r>
        <w:rPr>
          <w:rFonts w:hint="cs"/>
          <w:rtl/>
        </w:rPr>
        <w:t>وتُغيّر التعديلات المُدخلة على القاعدة</w:t>
      </w:r>
      <w:r w:rsidR="003460A9">
        <w:rPr>
          <w:rFonts w:hint="eastAsia"/>
          <w:rtl/>
        </w:rPr>
        <w:t> </w:t>
      </w:r>
      <w:r>
        <w:rPr>
          <w:rFonts w:hint="cs"/>
          <w:rtl/>
        </w:rPr>
        <w:t xml:space="preserve">24(5) من اللائحة التنفيذية المشتركة جانبين خاصين يتعلقان بالتعيينات اللاحقة. </w:t>
      </w:r>
      <w:r w:rsidR="00812FBE">
        <w:rPr>
          <w:rFonts w:hint="cs"/>
          <w:rtl/>
        </w:rPr>
        <w:t>وتُدرج التعديلات المُدخلة على الفقرتين الفرعيتين</w:t>
      </w:r>
      <w:r w:rsidR="00812FBE">
        <w:rPr>
          <w:rFonts w:hint="eastAsia"/>
          <w:rtl/>
        </w:rPr>
        <w:t> </w:t>
      </w:r>
      <w:r w:rsidR="00812FBE">
        <w:rPr>
          <w:rFonts w:hint="cs"/>
          <w:rtl/>
        </w:rPr>
        <w:t>(أ) و(د) وجوب تطبيق القاعدتين</w:t>
      </w:r>
      <w:r w:rsidR="00812FBE">
        <w:rPr>
          <w:rFonts w:hint="eastAsia"/>
          <w:rtl/>
        </w:rPr>
        <w:t> </w:t>
      </w:r>
      <w:r w:rsidR="00812FBE">
        <w:rPr>
          <w:rFonts w:hint="cs"/>
          <w:rtl/>
        </w:rPr>
        <w:t xml:space="preserve">12 و13 مع ما يلزم من تبديل </w:t>
      </w:r>
      <w:r w:rsidR="00812FBE" w:rsidRPr="00812FBE">
        <w:rPr>
          <w:rtl/>
        </w:rPr>
        <w:t>في حال كان التعيين اللاحق لا يخص سوى جزءا من السلع والخدمات الم</w:t>
      </w:r>
      <w:r w:rsidR="003460A9">
        <w:rPr>
          <w:rFonts w:hint="cs"/>
          <w:rtl/>
        </w:rPr>
        <w:t>ُ</w:t>
      </w:r>
      <w:r w:rsidR="00812FBE" w:rsidRPr="00812FBE">
        <w:rPr>
          <w:rtl/>
        </w:rPr>
        <w:t>درجة في التسجيل الدولي المعني</w:t>
      </w:r>
      <w:r w:rsidR="00812FBE">
        <w:rPr>
          <w:rFonts w:hint="cs"/>
          <w:rtl/>
        </w:rPr>
        <w:t>، أما</w:t>
      </w:r>
      <w:r w:rsidR="003460A9">
        <w:rPr>
          <w:rFonts w:hint="eastAsia"/>
          <w:rtl/>
        </w:rPr>
        <w:t> </w:t>
      </w:r>
      <w:r w:rsidR="00812FBE">
        <w:rPr>
          <w:rFonts w:hint="cs"/>
          <w:rtl/>
        </w:rPr>
        <w:t>التعديلات المُدخلة على الفقرة الفرعية</w:t>
      </w:r>
      <w:r w:rsidR="00812FBE">
        <w:rPr>
          <w:rFonts w:hint="eastAsia"/>
          <w:rtl/>
        </w:rPr>
        <w:t> </w:t>
      </w:r>
      <w:r w:rsidR="00812FBE">
        <w:rPr>
          <w:rFonts w:hint="cs"/>
          <w:rtl/>
        </w:rPr>
        <w:t xml:space="preserve">(ج) فتحدّ </w:t>
      </w:r>
      <w:r w:rsidR="00CC4E9B">
        <w:rPr>
          <w:rFonts w:hint="cs"/>
          <w:rtl/>
        </w:rPr>
        <w:t>من</w:t>
      </w:r>
      <w:r w:rsidR="00812FBE">
        <w:rPr>
          <w:rFonts w:hint="cs"/>
          <w:rtl/>
        </w:rPr>
        <w:t xml:space="preserve"> الآثار الناجمة عن مخالفة </w:t>
      </w:r>
      <w:r w:rsidR="00CC4E9B">
        <w:rPr>
          <w:rFonts w:hint="cs"/>
          <w:rtl/>
        </w:rPr>
        <w:t>لم تُصحّح و</w:t>
      </w:r>
      <w:r w:rsidR="00812FBE">
        <w:rPr>
          <w:rFonts w:hint="cs"/>
          <w:rtl/>
        </w:rPr>
        <w:t>تتعلق ب</w:t>
      </w:r>
      <w:r w:rsidR="00F00240">
        <w:rPr>
          <w:rFonts w:hint="cs"/>
          <w:rtl/>
        </w:rPr>
        <w:t>عدم وجود إعلان عن نية استخدام العلامة أو بعيب يشوب ذلك الإعلان.</w:t>
      </w:r>
    </w:p>
    <w:p w:rsidR="00B207B2" w:rsidRDefault="003D33BD" w:rsidP="00B207B2">
      <w:pPr>
        <w:pStyle w:val="NumberedParaAR"/>
        <w:rPr>
          <w:rFonts w:hint="cs"/>
        </w:rPr>
      </w:pPr>
      <w:r>
        <w:rPr>
          <w:rFonts w:hint="cs"/>
          <w:rtl/>
        </w:rPr>
        <w:lastRenderedPageBreak/>
        <w:t>وتمكّن المكتب الدولي، خلال العمل التحضيري الذي قام به من أجل تحديد كيفية تنفيذ التعديلات المُدخلة على اللائحة التنفيذية المشتركة، من تحديد بعض المسائل التي تؤثّر في تنفيذ التعديلات المُدخلة على القاعدة 24(5)(أ) و(د). وتتعل</w:t>
      </w:r>
      <w:r w:rsidR="00B220C4">
        <w:rPr>
          <w:rFonts w:hint="cs"/>
          <w:rtl/>
        </w:rPr>
        <w:t>ّ</w:t>
      </w:r>
      <w:r>
        <w:rPr>
          <w:rFonts w:hint="cs"/>
          <w:rtl/>
        </w:rPr>
        <w:t>ق تلك المسائل بضرورة التحقّق من تصنيف البيانات المدرجة في التعيينات اللاحقة وفق ال</w:t>
      </w:r>
      <w:r w:rsidR="006819E5">
        <w:rPr>
          <w:rFonts w:hint="cs"/>
          <w:rtl/>
        </w:rPr>
        <w:t>طبعات</w:t>
      </w:r>
      <w:r>
        <w:rPr>
          <w:rFonts w:hint="cs"/>
          <w:rtl/>
        </w:rPr>
        <w:t xml:space="preserve"> القديمة </w:t>
      </w:r>
      <w:r w:rsidRPr="003D33BD">
        <w:rPr>
          <w:rtl/>
        </w:rPr>
        <w:t>ل</w:t>
      </w:r>
      <w:r>
        <w:rPr>
          <w:rFonts w:hint="cs"/>
          <w:rtl/>
        </w:rPr>
        <w:t>ل</w:t>
      </w:r>
      <w:r w:rsidRPr="003D33BD">
        <w:rPr>
          <w:rtl/>
        </w:rPr>
        <w:t>تصنيف الدولي للسلع والخدمات لأغراض تسجيل العلامات (</w:t>
      </w:r>
      <w:r>
        <w:rPr>
          <w:rFonts w:hint="cs"/>
          <w:rtl/>
        </w:rPr>
        <w:t>تصنيف</w:t>
      </w:r>
      <w:r w:rsidRPr="003D33BD">
        <w:rPr>
          <w:rtl/>
        </w:rPr>
        <w:t xml:space="preserve"> نيس)</w:t>
      </w:r>
      <w:r>
        <w:rPr>
          <w:rFonts w:hint="cs"/>
          <w:rtl/>
        </w:rPr>
        <w:t xml:space="preserve">، والزيادة المتوقّعة في </w:t>
      </w:r>
      <w:r w:rsidR="00B207B2">
        <w:rPr>
          <w:rFonts w:hint="cs"/>
          <w:rtl/>
        </w:rPr>
        <w:t>عبء</w:t>
      </w:r>
      <w:r w:rsidR="00DC7D8C">
        <w:rPr>
          <w:rFonts w:hint="cs"/>
          <w:rtl/>
        </w:rPr>
        <w:t xml:space="preserve"> العمل الخاص بالفحص ودرجة</w:t>
      </w:r>
      <w:r>
        <w:rPr>
          <w:rFonts w:hint="cs"/>
          <w:rtl/>
        </w:rPr>
        <w:t xml:space="preserve"> تعقيده</w:t>
      </w:r>
      <w:r w:rsidR="00B220C4">
        <w:rPr>
          <w:rFonts w:hint="cs"/>
          <w:rtl/>
        </w:rPr>
        <w:t xml:space="preserve">، وحدود </w:t>
      </w:r>
      <w:r w:rsidR="00B207B2">
        <w:rPr>
          <w:rFonts w:hint="cs"/>
          <w:rtl/>
        </w:rPr>
        <w:t>ما يمكن إنجازه بالوسائل المؤتمتة، ومجموعة الموارد والمهارات اللازمة لتنفيذ القاعدة المعدّلة.</w:t>
      </w:r>
    </w:p>
    <w:p w:rsidR="00B207B2" w:rsidRDefault="00B207B2" w:rsidP="00B207B2">
      <w:pPr>
        <w:pStyle w:val="NumberedParaAR"/>
        <w:rPr>
          <w:rFonts w:hint="cs"/>
        </w:rPr>
      </w:pPr>
      <w:r>
        <w:rPr>
          <w:rFonts w:hint="cs"/>
          <w:rtl/>
        </w:rPr>
        <w:t xml:space="preserve">وبالنظر إلى تلك المسائل المتعلقة بالتنفيذ، بدا ضروريا استرعاء انتباه الفريق العامل إليها، فقد تقتضي تلك المسائل النظر بصورة أدق في التعديلات المُدخلة على </w:t>
      </w:r>
      <w:r w:rsidR="003D33BD" w:rsidRPr="00B207B2">
        <w:rPr>
          <w:rFonts w:hint="cs"/>
          <w:rtl/>
        </w:rPr>
        <w:t>القاعدة 24(5)(أ) و(د)</w:t>
      </w:r>
      <w:r>
        <w:rPr>
          <w:rFonts w:hint="cs"/>
          <w:rtl/>
        </w:rPr>
        <w:t>.</w:t>
      </w:r>
    </w:p>
    <w:p w:rsidR="00B207B2" w:rsidRDefault="00B207B2" w:rsidP="00B220C4">
      <w:pPr>
        <w:pStyle w:val="NumberedParaAR"/>
        <w:rPr>
          <w:rFonts w:hint="cs"/>
        </w:rPr>
      </w:pPr>
      <w:r>
        <w:rPr>
          <w:rFonts w:hint="cs"/>
          <w:rtl/>
        </w:rPr>
        <w:t xml:space="preserve">وبما أن </w:t>
      </w:r>
      <w:r w:rsidR="001A5804">
        <w:rPr>
          <w:rFonts w:hint="cs"/>
          <w:rtl/>
        </w:rPr>
        <w:t>المكتب الدولي لا يرى وجود أية مسائل تُذكر فيما يخص تنفيذ التعديلات المُدخلة على القاعدة</w:t>
      </w:r>
      <w:r w:rsidR="00B220C4">
        <w:rPr>
          <w:rFonts w:hint="eastAsia"/>
          <w:rtl/>
        </w:rPr>
        <w:t> </w:t>
      </w:r>
      <w:r w:rsidR="001A5804">
        <w:rPr>
          <w:rFonts w:hint="cs"/>
          <w:rtl/>
        </w:rPr>
        <w:t>24(5)(ج)، فإنها ستظلّ بالصيغة التي اعتمدتها بها جمعية اتحاد مدريد لتدخل حيّز النفاذ في 1</w:t>
      </w:r>
      <w:r w:rsidR="001A5804">
        <w:rPr>
          <w:rFonts w:hint="eastAsia"/>
          <w:rtl/>
        </w:rPr>
        <w:t> </w:t>
      </w:r>
      <w:r w:rsidR="001A5804">
        <w:rPr>
          <w:rFonts w:hint="cs"/>
          <w:rtl/>
        </w:rPr>
        <w:t>نوفمبر</w:t>
      </w:r>
      <w:r w:rsidR="001A5804">
        <w:rPr>
          <w:rFonts w:hint="eastAsia"/>
          <w:rtl/>
        </w:rPr>
        <w:t> </w:t>
      </w:r>
      <w:r w:rsidR="001A5804">
        <w:rPr>
          <w:rFonts w:hint="cs"/>
          <w:rtl/>
        </w:rPr>
        <w:t>2017.</w:t>
      </w:r>
    </w:p>
    <w:p w:rsidR="001A5804" w:rsidRPr="001A5804" w:rsidRDefault="001A5804" w:rsidP="00167D39">
      <w:pPr>
        <w:pStyle w:val="NormalParaAR"/>
        <w:keepNext/>
        <w:rPr>
          <w:rFonts w:hint="cs"/>
          <w:b/>
          <w:bCs/>
          <w:sz w:val="40"/>
          <w:szCs w:val="40"/>
          <w:rtl/>
        </w:rPr>
      </w:pPr>
      <w:r w:rsidRPr="001A5804">
        <w:rPr>
          <w:rFonts w:hint="cs"/>
          <w:b/>
          <w:bCs/>
          <w:sz w:val="40"/>
          <w:szCs w:val="40"/>
          <w:rtl/>
        </w:rPr>
        <w:t xml:space="preserve">مسائل </w:t>
      </w:r>
      <w:r w:rsidR="00167D39" w:rsidRPr="001A5804">
        <w:rPr>
          <w:rFonts w:hint="cs"/>
          <w:b/>
          <w:bCs/>
          <w:sz w:val="40"/>
          <w:szCs w:val="40"/>
          <w:rtl/>
        </w:rPr>
        <w:t>محدّدة</w:t>
      </w:r>
      <w:r w:rsidR="00167D39">
        <w:rPr>
          <w:rFonts w:hint="cs"/>
          <w:b/>
          <w:bCs/>
          <w:sz w:val="40"/>
          <w:szCs w:val="40"/>
          <w:rtl/>
        </w:rPr>
        <w:t xml:space="preserve"> تتعلّق بالتنفي</w:t>
      </w:r>
      <w:r w:rsidR="00B220C4">
        <w:rPr>
          <w:rFonts w:hint="cs"/>
          <w:b/>
          <w:bCs/>
          <w:sz w:val="40"/>
          <w:szCs w:val="40"/>
          <w:rtl/>
        </w:rPr>
        <w:t>ذ</w:t>
      </w:r>
    </w:p>
    <w:p w:rsidR="001A5804" w:rsidRPr="00CB5A06" w:rsidRDefault="00CB5A06" w:rsidP="00CB5A06">
      <w:pPr>
        <w:pStyle w:val="NumberedParaAR"/>
        <w:numPr>
          <w:ilvl w:val="0"/>
          <w:numId w:val="0"/>
        </w:numPr>
        <w:rPr>
          <w:rFonts w:hint="cs"/>
          <w:sz w:val="40"/>
          <w:szCs w:val="40"/>
          <w:rtl/>
        </w:rPr>
      </w:pPr>
      <w:r w:rsidRPr="00CB5A06">
        <w:rPr>
          <w:rFonts w:hint="cs"/>
          <w:sz w:val="40"/>
          <w:szCs w:val="40"/>
          <w:rtl/>
        </w:rPr>
        <w:t>التحقّق وفق</w:t>
      </w:r>
      <w:r w:rsidR="00B220C4">
        <w:rPr>
          <w:rFonts w:hint="cs"/>
          <w:sz w:val="40"/>
          <w:szCs w:val="40"/>
          <w:rtl/>
        </w:rPr>
        <w:t>ا ل</w:t>
      </w:r>
      <w:r w:rsidRPr="00CB5A06">
        <w:rPr>
          <w:rFonts w:hint="cs"/>
          <w:sz w:val="40"/>
          <w:szCs w:val="40"/>
          <w:rtl/>
        </w:rPr>
        <w:t>ل</w:t>
      </w:r>
      <w:r w:rsidR="006819E5">
        <w:rPr>
          <w:rFonts w:hint="cs"/>
          <w:sz w:val="40"/>
          <w:szCs w:val="40"/>
          <w:rtl/>
        </w:rPr>
        <w:t>طبعات</w:t>
      </w:r>
      <w:r w:rsidRPr="00CB5A06">
        <w:rPr>
          <w:rFonts w:hint="cs"/>
          <w:sz w:val="40"/>
          <w:szCs w:val="40"/>
          <w:rtl/>
        </w:rPr>
        <w:t xml:space="preserve"> القديمة لتصنيف نيس</w:t>
      </w:r>
    </w:p>
    <w:p w:rsidR="001A5804" w:rsidRDefault="00F00F9B" w:rsidP="00665CAB">
      <w:pPr>
        <w:pStyle w:val="NumberedParaAR"/>
        <w:rPr>
          <w:rFonts w:hint="cs"/>
        </w:rPr>
      </w:pPr>
      <w:r>
        <w:rPr>
          <w:rFonts w:hint="cs"/>
          <w:rtl/>
        </w:rPr>
        <w:t xml:space="preserve">يتحقّق المكتب الدولي من تصنيف بيانات السلع والخدمات المدرجة في الطلبات الدولية وفق </w:t>
      </w:r>
      <w:r w:rsidR="006819E5">
        <w:rPr>
          <w:rFonts w:hint="cs"/>
          <w:rtl/>
        </w:rPr>
        <w:t>طبعة</w:t>
      </w:r>
      <w:r>
        <w:rPr>
          <w:rFonts w:hint="cs"/>
          <w:rtl/>
        </w:rPr>
        <w:t xml:space="preserve"> أو نسخة تصنيف نيس النافذة وقت </w:t>
      </w:r>
      <w:r w:rsidR="00665CAB">
        <w:rPr>
          <w:rFonts w:hint="cs"/>
          <w:rtl/>
        </w:rPr>
        <w:t xml:space="preserve">تسلّم </w:t>
      </w:r>
      <w:r w:rsidR="00665CAB">
        <w:rPr>
          <w:rFonts w:hint="cs"/>
          <w:rtl/>
        </w:rPr>
        <w:t>مكتب المنشأ للطلب الدولي. ولا يعيد المكتب الدولي تصنيف قائمة السلع والخدمات في أي وقت بعد ذلك، ولا يوجد أي تكليف بذلك في المعاهدات أو اللائحة التنفيذية المشتركة</w:t>
      </w:r>
      <w:r w:rsidR="00665CAB">
        <w:rPr>
          <w:rStyle w:val="FootnoteReference"/>
          <w:rtl/>
        </w:rPr>
        <w:footnoteReference w:id="2"/>
      </w:r>
      <w:r w:rsidR="00665CAB">
        <w:rPr>
          <w:rFonts w:hint="cs"/>
          <w:rtl/>
        </w:rPr>
        <w:t>.</w:t>
      </w:r>
    </w:p>
    <w:p w:rsidR="00665CAB" w:rsidRDefault="00665CAB" w:rsidP="00DD2531">
      <w:pPr>
        <w:pStyle w:val="NumberedParaAR"/>
        <w:rPr>
          <w:rFonts w:hint="cs"/>
        </w:rPr>
      </w:pPr>
      <w:r>
        <w:rPr>
          <w:rFonts w:hint="cs"/>
          <w:rtl/>
        </w:rPr>
        <w:t xml:space="preserve">وتقتضي القاعدة المعدّلة 24(5) أن يتحقّق المكتب الدولي من تصنيف السلع والخدمات المُدرجة </w:t>
      </w:r>
      <w:r w:rsidR="00DD2531">
        <w:rPr>
          <w:rFonts w:hint="cs"/>
          <w:rtl/>
        </w:rPr>
        <w:t>في تعيين لاحق وإخطار صاحب التسجيل عندما لا تكون تلك السلع والخدمات مصنّفة بصورة سليمة. وينبغي، ضمانا للاتساق، أن يتولى صاحب التسجيل إدراج السلع والخدمات في التعيين اللاحق ويتولى المكتب الدولي التحقّق منها وفق</w:t>
      </w:r>
      <w:r w:rsidR="00B220C4">
        <w:rPr>
          <w:rFonts w:hint="cs"/>
          <w:rtl/>
        </w:rPr>
        <w:t>ا</w:t>
      </w:r>
      <w:r w:rsidR="00DD2531">
        <w:rPr>
          <w:rFonts w:hint="cs"/>
          <w:rtl/>
        </w:rPr>
        <w:t xml:space="preserve"> </w:t>
      </w:r>
      <w:r w:rsidR="00B220C4">
        <w:rPr>
          <w:rFonts w:hint="cs"/>
          <w:rtl/>
        </w:rPr>
        <w:t>ل</w:t>
      </w:r>
      <w:r w:rsidR="006819E5">
        <w:rPr>
          <w:rFonts w:hint="cs"/>
          <w:rtl/>
        </w:rPr>
        <w:t>طبعات</w:t>
      </w:r>
      <w:r w:rsidR="00DD2531">
        <w:rPr>
          <w:rFonts w:hint="cs"/>
          <w:rtl/>
        </w:rPr>
        <w:t xml:space="preserve"> ونُسخ تصنيف نيس التي استُخدمت لتصنيف القائمة الرئيسية في التسجيل الدولي المعني.</w:t>
      </w:r>
    </w:p>
    <w:p w:rsidR="00DD2531" w:rsidRDefault="00DD2531" w:rsidP="00B220C4">
      <w:pPr>
        <w:pStyle w:val="NumberedParaAR"/>
        <w:rPr>
          <w:rFonts w:hint="cs"/>
        </w:rPr>
      </w:pPr>
      <w:r>
        <w:rPr>
          <w:rFonts w:hint="cs"/>
          <w:rtl/>
        </w:rPr>
        <w:t xml:space="preserve">ويبيّن الجدول 1 أدناه عدد التسجيلات الدولية النافذة وما يقابلها من مختلف </w:t>
      </w:r>
      <w:r w:rsidR="006819E5">
        <w:rPr>
          <w:rFonts w:hint="cs"/>
          <w:rtl/>
        </w:rPr>
        <w:t>طبعات</w:t>
      </w:r>
      <w:r>
        <w:rPr>
          <w:rFonts w:hint="cs"/>
          <w:rtl/>
        </w:rPr>
        <w:t xml:space="preserve"> ونُسخ تصنيف نيس المُستخدمة لتصنيف قوائمها الرئيسية. وكما يظهر في ذلك الجدول، يمكن أن يحتوي التعيين اللاحق على سلع وخدمات مُدرجة في أي </w:t>
      </w:r>
      <w:r w:rsidR="006819E5">
        <w:rPr>
          <w:rFonts w:hint="cs"/>
          <w:rtl/>
        </w:rPr>
        <w:t>طبعة</w:t>
      </w:r>
      <w:r>
        <w:rPr>
          <w:rFonts w:hint="cs"/>
          <w:rtl/>
        </w:rPr>
        <w:t xml:space="preserve"> أو نسخة من تصنيف نيس تقريبا والمكتب الدولي مكلّف الآن، بموجب القاعدة المعدّلة</w:t>
      </w:r>
      <w:r w:rsidR="00B220C4">
        <w:rPr>
          <w:rFonts w:hint="eastAsia"/>
          <w:rtl/>
        </w:rPr>
        <w:t> </w:t>
      </w:r>
      <w:r>
        <w:rPr>
          <w:rFonts w:hint="cs"/>
          <w:rtl/>
        </w:rPr>
        <w:t>24(5)، بالتحقّق من ذلك التصنيف.</w:t>
      </w:r>
    </w:p>
    <w:p w:rsidR="00004A6F" w:rsidRDefault="00004A6F">
      <w:pPr>
        <w:rPr>
          <w:rFonts w:ascii="Arabic Typesetting" w:hAnsi="Arabic Typesetting" w:cs="Arabic Typesetting"/>
          <w:sz w:val="36"/>
          <w:szCs w:val="36"/>
          <w:rtl/>
        </w:rPr>
      </w:pPr>
      <w:r>
        <w:rPr>
          <w:rtl/>
        </w:rPr>
        <w:br w:type="page"/>
      </w:r>
    </w:p>
    <w:p w:rsidR="00004A6F" w:rsidRPr="00004A6F" w:rsidRDefault="00004A6F" w:rsidP="00004A6F">
      <w:pPr>
        <w:pStyle w:val="NumberedParaAR"/>
        <w:numPr>
          <w:ilvl w:val="0"/>
          <w:numId w:val="0"/>
        </w:numPr>
        <w:rPr>
          <w:rFonts w:hint="cs"/>
          <w:i/>
          <w:iCs/>
          <w:rtl/>
        </w:rPr>
      </w:pPr>
      <w:r w:rsidRPr="00004A6F">
        <w:rPr>
          <w:rFonts w:hint="cs"/>
          <w:i/>
          <w:iCs/>
          <w:rtl/>
        </w:rPr>
        <w:t xml:space="preserve">الجدول 1 </w:t>
      </w:r>
      <w:r w:rsidRPr="00004A6F">
        <w:rPr>
          <w:i/>
          <w:iCs/>
          <w:rtl/>
        </w:rPr>
        <w:t>–</w:t>
      </w:r>
      <w:r w:rsidRPr="00004A6F">
        <w:rPr>
          <w:rFonts w:hint="cs"/>
          <w:i/>
          <w:iCs/>
          <w:rtl/>
        </w:rPr>
        <w:t xml:space="preserve"> عدد التسجيلات الدولية بحسب </w:t>
      </w:r>
      <w:r w:rsidR="006819E5">
        <w:rPr>
          <w:rFonts w:hint="cs"/>
          <w:i/>
          <w:iCs/>
          <w:rtl/>
        </w:rPr>
        <w:t>طبعات</w:t>
      </w:r>
      <w:r w:rsidRPr="00004A6F">
        <w:rPr>
          <w:rFonts w:hint="cs"/>
          <w:i/>
          <w:iCs/>
          <w:rtl/>
        </w:rPr>
        <w:t xml:space="preserve"> ونُسخ تصنيف نيس</w:t>
      </w:r>
    </w:p>
    <w:tbl>
      <w:tblPr>
        <w:bidiVisual/>
        <w:tblW w:w="7665" w:type="dxa"/>
        <w:jc w:val="center"/>
        <w:tblLook w:val="04A0" w:firstRow="1" w:lastRow="0" w:firstColumn="1" w:lastColumn="0" w:noHBand="0" w:noVBand="1"/>
      </w:tblPr>
      <w:tblGrid>
        <w:gridCol w:w="2414"/>
        <w:gridCol w:w="2011"/>
        <w:gridCol w:w="1800"/>
        <w:gridCol w:w="1440"/>
      </w:tblGrid>
      <w:tr w:rsidR="00004A6F" w:rsidRPr="00004A6F" w:rsidTr="00B829AE">
        <w:trPr>
          <w:trHeight w:val="885"/>
          <w:jc w:val="center"/>
        </w:trPr>
        <w:tc>
          <w:tcPr>
            <w:tcW w:w="24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4A6F" w:rsidRPr="00004A6F" w:rsidRDefault="00004A6F" w:rsidP="00004A6F">
            <w:pPr>
              <w:bidi/>
              <w:jc w:val="center"/>
              <w:rPr>
                <w:rFonts w:ascii="Arabic Typesetting" w:hAnsi="Arabic Typesetting" w:cs="Arabic Typesetting"/>
                <w:b/>
                <w:bCs/>
                <w:color w:val="000000"/>
                <w:sz w:val="36"/>
                <w:szCs w:val="36"/>
                <w:lang w:eastAsia="zh-CN"/>
              </w:rPr>
            </w:pPr>
            <w:r>
              <w:rPr>
                <w:rFonts w:ascii="Arabic Typesetting" w:hAnsi="Arabic Typesetting" w:cs="Arabic Typesetting" w:hint="cs"/>
                <w:b/>
                <w:bCs/>
                <w:color w:val="000000"/>
                <w:sz w:val="36"/>
                <w:szCs w:val="36"/>
                <w:rtl/>
                <w:lang w:eastAsia="zh-CN"/>
              </w:rPr>
              <w:t>ال</w:t>
            </w:r>
            <w:r w:rsidR="006819E5">
              <w:rPr>
                <w:rFonts w:ascii="Arabic Typesetting" w:hAnsi="Arabic Typesetting" w:cs="Arabic Typesetting" w:hint="cs"/>
                <w:b/>
                <w:bCs/>
                <w:color w:val="000000"/>
                <w:sz w:val="36"/>
                <w:szCs w:val="36"/>
                <w:rtl/>
                <w:lang w:eastAsia="zh-CN"/>
              </w:rPr>
              <w:t>طبعة</w:t>
            </w:r>
            <w:r>
              <w:rPr>
                <w:rFonts w:ascii="Arabic Typesetting" w:hAnsi="Arabic Typesetting" w:cs="Arabic Typesetting" w:hint="cs"/>
                <w:b/>
                <w:bCs/>
                <w:color w:val="000000"/>
                <w:sz w:val="36"/>
                <w:szCs w:val="36"/>
                <w:rtl/>
                <w:lang w:eastAsia="zh-CN"/>
              </w:rPr>
              <w:t xml:space="preserve"> والنسخة</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rsidR="00004A6F" w:rsidRPr="00004A6F" w:rsidRDefault="00B829AE" w:rsidP="00004A6F">
            <w:pPr>
              <w:bidi/>
              <w:jc w:val="center"/>
              <w:rPr>
                <w:rFonts w:ascii="Arabic Typesetting" w:hAnsi="Arabic Typesetting" w:cs="Arabic Typesetting"/>
                <w:b/>
                <w:bCs/>
                <w:color w:val="000000"/>
                <w:sz w:val="36"/>
                <w:szCs w:val="36"/>
                <w:lang w:eastAsia="zh-CN"/>
              </w:rPr>
            </w:pPr>
            <w:r>
              <w:rPr>
                <w:rFonts w:ascii="Arabic Typesetting" w:hAnsi="Arabic Typesetting" w:cs="Arabic Typesetting" w:hint="cs"/>
                <w:b/>
                <w:bCs/>
                <w:color w:val="000000"/>
                <w:sz w:val="36"/>
                <w:szCs w:val="36"/>
                <w:rtl/>
                <w:lang w:eastAsia="zh-CN"/>
              </w:rPr>
              <w:t>النشر أو الدخول حيّز النفاذ</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004A6F" w:rsidRPr="00004A6F" w:rsidRDefault="00B829AE" w:rsidP="00004A6F">
            <w:pPr>
              <w:bidi/>
              <w:jc w:val="center"/>
              <w:rPr>
                <w:rFonts w:ascii="Arabic Typesetting" w:hAnsi="Arabic Typesetting" w:cs="Arabic Typesetting"/>
                <w:b/>
                <w:bCs/>
                <w:color w:val="000000"/>
                <w:sz w:val="36"/>
                <w:szCs w:val="36"/>
                <w:lang w:eastAsia="zh-CN"/>
              </w:rPr>
            </w:pPr>
            <w:r>
              <w:rPr>
                <w:rFonts w:ascii="Arabic Typesetting" w:hAnsi="Arabic Typesetting" w:cs="Arabic Typesetting" w:hint="cs"/>
                <w:b/>
                <w:bCs/>
                <w:color w:val="000000"/>
                <w:sz w:val="36"/>
                <w:szCs w:val="36"/>
                <w:rtl/>
                <w:lang w:eastAsia="zh-CN"/>
              </w:rPr>
              <w:t>عدد التسجيلات الدولية</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rsidR="00004A6F" w:rsidRPr="00004A6F" w:rsidRDefault="00B829AE" w:rsidP="00004A6F">
            <w:pPr>
              <w:bidi/>
              <w:jc w:val="center"/>
              <w:rPr>
                <w:rFonts w:ascii="Arabic Typesetting" w:hAnsi="Arabic Typesetting" w:cs="Arabic Typesetting"/>
                <w:b/>
                <w:bCs/>
                <w:color w:val="000000"/>
                <w:sz w:val="36"/>
                <w:szCs w:val="36"/>
                <w:lang w:eastAsia="zh-CN"/>
              </w:rPr>
            </w:pPr>
            <w:r>
              <w:rPr>
                <w:rFonts w:ascii="Arabic Typesetting" w:hAnsi="Arabic Typesetting" w:cs="Arabic Typesetting" w:hint="cs"/>
                <w:b/>
                <w:bCs/>
                <w:color w:val="000000"/>
                <w:sz w:val="36"/>
                <w:szCs w:val="36"/>
                <w:rtl/>
                <w:lang w:eastAsia="zh-CN"/>
              </w:rPr>
              <w:t>النسبة المئوية (%)</w:t>
            </w:r>
          </w:p>
        </w:tc>
      </w:tr>
      <w:tr w:rsidR="00004A6F" w:rsidRPr="00004A6F" w:rsidTr="00B829AE">
        <w:trPr>
          <w:trHeight w:val="255"/>
          <w:jc w:val="center"/>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04A6F" w:rsidRPr="00004A6F" w:rsidRDefault="00B829AE" w:rsidP="00004A6F">
            <w:pPr>
              <w:bidi/>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تصنيف نيس (2)</w:t>
            </w:r>
          </w:p>
        </w:tc>
        <w:tc>
          <w:tcPr>
            <w:tcW w:w="2011" w:type="dxa"/>
            <w:tcBorders>
              <w:top w:val="nil"/>
              <w:left w:val="nil"/>
              <w:bottom w:val="single" w:sz="4" w:space="0" w:color="auto"/>
              <w:right w:val="single" w:sz="4" w:space="0" w:color="auto"/>
            </w:tcBorders>
            <w:shd w:val="clear" w:color="auto" w:fill="auto"/>
            <w:noWrap/>
            <w:vAlign w:val="bottom"/>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1 يناير 1971</w:t>
            </w:r>
          </w:p>
        </w:tc>
        <w:tc>
          <w:tcPr>
            <w:tcW w:w="180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397</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13</w:t>
            </w:r>
          </w:p>
        </w:tc>
        <w:tc>
          <w:tcPr>
            <w:tcW w:w="144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2%</w:t>
            </w:r>
          </w:p>
        </w:tc>
      </w:tr>
      <w:tr w:rsidR="00004A6F" w:rsidRPr="00004A6F" w:rsidTr="00B829AE">
        <w:trPr>
          <w:trHeight w:val="255"/>
          <w:jc w:val="center"/>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04A6F" w:rsidRPr="00004A6F" w:rsidRDefault="00B829AE" w:rsidP="00B829AE">
            <w:pPr>
              <w:bidi/>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تصنيف نيس (</w:t>
            </w:r>
            <w:r>
              <w:rPr>
                <w:rFonts w:ascii="Arabic Typesetting" w:hAnsi="Arabic Typesetting" w:cs="Arabic Typesetting" w:hint="cs"/>
                <w:color w:val="000000"/>
                <w:sz w:val="36"/>
                <w:szCs w:val="36"/>
                <w:rtl/>
                <w:lang w:eastAsia="zh-CN"/>
              </w:rPr>
              <w:t>3</w:t>
            </w:r>
            <w:r>
              <w:rPr>
                <w:rFonts w:ascii="Arabic Typesetting" w:hAnsi="Arabic Typesetting" w:cs="Arabic Typesetting" w:hint="cs"/>
                <w:color w:val="000000"/>
                <w:sz w:val="36"/>
                <w:szCs w:val="36"/>
                <w:rtl/>
                <w:lang w:eastAsia="zh-CN"/>
              </w:rPr>
              <w:t>)</w:t>
            </w:r>
          </w:p>
        </w:tc>
        <w:tc>
          <w:tcPr>
            <w:tcW w:w="2011" w:type="dxa"/>
            <w:tcBorders>
              <w:top w:val="nil"/>
              <w:left w:val="nil"/>
              <w:bottom w:val="single" w:sz="4" w:space="0" w:color="auto"/>
              <w:right w:val="single" w:sz="4" w:space="0" w:color="auto"/>
            </w:tcBorders>
            <w:shd w:val="clear" w:color="auto" w:fill="auto"/>
            <w:noWrap/>
            <w:vAlign w:val="bottom"/>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 xml:space="preserve">1 يناير </w:t>
            </w:r>
            <w:r>
              <w:rPr>
                <w:rFonts w:ascii="Arabic Typesetting" w:hAnsi="Arabic Typesetting" w:cs="Arabic Typesetting" w:hint="cs"/>
                <w:color w:val="000000"/>
                <w:sz w:val="36"/>
                <w:szCs w:val="36"/>
                <w:rtl/>
                <w:lang w:eastAsia="zh-CN"/>
              </w:rPr>
              <w:t>1981</w:t>
            </w:r>
          </w:p>
        </w:tc>
        <w:tc>
          <w:tcPr>
            <w:tcW w:w="180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569</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5</w:t>
            </w:r>
          </w:p>
        </w:tc>
        <w:tc>
          <w:tcPr>
            <w:tcW w:w="144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1%</w:t>
            </w:r>
          </w:p>
        </w:tc>
      </w:tr>
      <w:tr w:rsidR="00004A6F" w:rsidRPr="00004A6F" w:rsidTr="00B829AE">
        <w:trPr>
          <w:trHeight w:val="255"/>
          <w:jc w:val="center"/>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04A6F" w:rsidRPr="00004A6F" w:rsidRDefault="00B829AE" w:rsidP="00B829AE">
            <w:pPr>
              <w:bidi/>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تصنيف نيس (</w:t>
            </w:r>
            <w:r>
              <w:rPr>
                <w:rFonts w:ascii="Arabic Typesetting" w:hAnsi="Arabic Typesetting" w:cs="Arabic Typesetting" w:hint="cs"/>
                <w:color w:val="000000"/>
                <w:sz w:val="36"/>
                <w:szCs w:val="36"/>
                <w:rtl/>
                <w:lang w:eastAsia="zh-CN"/>
              </w:rPr>
              <w:t>4</w:t>
            </w:r>
            <w:r>
              <w:rPr>
                <w:rFonts w:ascii="Arabic Typesetting" w:hAnsi="Arabic Typesetting" w:cs="Arabic Typesetting" w:hint="cs"/>
                <w:color w:val="000000"/>
                <w:sz w:val="36"/>
                <w:szCs w:val="36"/>
                <w:rtl/>
                <w:lang w:eastAsia="zh-CN"/>
              </w:rPr>
              <w:t>)</w:t>
            </w:r>
          </w:p>
        </w:tc>
        <w:tc>
          <w:tcPr>
            <w:tcW w:w="2011" w:type="dxa"/>
            <w:tcBorders>
              <w:top w:val="nil"/>
              <w:left w:val="nil"/>
              <w:bottom w:val="single" w:sz="4" w:space="0" w:color="auto"/>
              <w:right w:val="single" w:sz="4" w:space="0" w:color="auto"/>
            </w:tcBorders>
            <w:shd w:val="clear" w:color="auto" w:fill="auto"/>
            <w:noWrap/>
            <w:vAlign w:val="bottom"/>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 xml:space="preserve">1 يناير </w:t>
            </w:r>
            <w:r>
              <w:rPr>
                <w:rFonts w:ascii="Arabic Typesetting" w:hAnsi="Arabic Typesetting" w:cs="Arabic Typesetting" w:hint="cs"/>
                <w:color w:val="000000"/>
                <w:sz w:val="36"/>
                <w:szCs w:val="36"/>
                <w:rtl/>
                <w:lang w:eastAsia="zh-CN"/>
              </w:rPr>
              <w:t>1983</w:t>
            </w:r>
          </w:p>
        </w:tc>
        <w:tc>
          <w:tcPr>
            <w:tcW w:w="180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835</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17</w:t>
            </w:r>
          </w:p>
        </w:tc>
        <w:tc>
          <w:tcPr>
            <w:tcW w:w="144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3%</w:t>
            </w:r>
          </w:p>
        </w:tc>
      </w:tr>
      <w:tr w:rsidR="00004A6F" w:rsidRPr="00004A6F" w:rsidTr="00B829AE">
        <w:trPr>
          <w:trHeight w:val="255"/>
          <w:jc w:val="center"/>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04A6F" w:rsidRPr="00004A6F" w:rsidRDefault="00B829AE" w:rsidP="00B829AE">
            <w:pPr>
              <w:bidi/>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تصنيف نيس (</w:t>
            </w:r>
            <w:r>
              <w:rPr>
                <w:rFonts w:ascii="Arabic Typesetting" w:hAnsi="Arabic Typesetting" w:cs="Arabic Typesetting" w:hint="cs"/>
                <w:color w:val="000000"/>
                <w:sz w:val="36"/>
                <w:szCs w:val="36"/>
                <w:rtl/>
                <w:lang w:eastAsia="zh-CN"/>
              </w:rPr>
              <w:t>5</w:t>
            </w:r>
            <w:r>
              <w:rPr>
                <w:rFonts w:ascii="Arabic Typesetting" w:hAnsi="Arabic Typesetting" w:cs="Arabic Typesetting" w:hint="cs"/>
                <w:color w:val="000000"/>
                <w:sz w:val="36"/>
                <w:szCs w:val="36"/>
                <w:rtl/>
                <w:lang w:eastAsia="zh-CN"/>
              </w:rPr>
              <w:t>)</w:t>
            </w:r>
          </w:p>
        </w:tc>
        <w:tc>
          <w:tcPr>
            <w:tcW w:w="2011" w:type="dxa"/>
            <w:tcBorders>
              <w:top w:val="nil"/>
              <w:left w:val="nil"/>
              <w:bottom w:val="single" w:sz="4" w:space="0" w:color="auto"/>
              <w:right w:val="single" w:sz="4" w:space="0" w:color="auto"/>
            </w:tcBorders>
            <w:shd w:val="clear" w:color="auto" w:fill="auto"/>
            <w:noWrap/>
            <w:vAlign w:val="bottom"/>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 xml:space="preserve">1 يناير </w:t>
            </w:r>
            <w:r>
              <w:rPr>
                <w:rFonts w:ascii="Arabic Typesetting" w:hAnsi="Arabic Typesetting" w:cs="Arabic Typesetting" w:hint="cs"/>
                <w:color w:val="000000"/>
                <w:sz w:val="36"/>
                <w:szCs w:val="36"/>
                <w:rtl/>
                <w:lang w:eastAsia="zh-CN"/>
              </w:rPr>
              <w:t>1987</w:t>
            </w:r>
          </w:p>
        </w:tc>
        <w:tc>
          <w:tcPr>
            <w:tcW w:w="180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314</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33</w:t>
            </w:r>
          </w:p>
        </w:tc>
        <w:tc>
          <w:tcPr>
            <w:tcW w:w="144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5%</w:t>
            </w:r>
          </w:p>
        </w:tc>
      </w:tr>
      <w:tr w:rsidR="00004A6F" w:rsidRPr="00004A6F" w:rsidTr="00B829AE">
        <w:trPr>
          <w:trHeight w:val="255"/>
          <w:jc w:val="center"/>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04A6F" w:rsidRPr="00004A6F" w:rsidRDefault="00B829AE" w:rsidP="00B829AE">
            <w:pPr>
              <w:bidi/>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تصنيف نيس (</w:t>
            </w:r>
            <w:r>
              <w:rPr>
                <w:rFonts w:ascii="Arabic Typesetting" w:hAnsi="Arabic Typesetting" w:cs="Arabic Typesetting" w:hint="cs"/>
                <w:color w:val="000000"/>
                <w:sz w:val="36"/>
                <w:szCs w:val="36"/>
                <w:rtl/>
                <w:lang w:eastAsia="zh-CN"/>
              </w:rPr>
              <w:t>6</w:t>
            </w:r>
            <w:r>
              <w:rPr>
                <w:rFonts w:ascii="Arabic Typesetting" w:hAnsi="Arabic Typesetting" w:cs="Arabic Typesetting" w:hint="cs"/>
                <w:color w:val="000000"/>
                <w:sz w:val="36"/>
                <w:szCs w:val="36"/>
                <w:rtl/>
                <w:lang w:eastAsia="zh-CN"/>
              </w:rPr>
              <w:t>)</w:t>
            </w:r>
          </w:p>
        </w:tc>
        <w:tc>
          <w:tcPr>
            <w:tcW w:w="2011" w:type="dxa"/>
            <w:tcBorders>
              <w:top w:val="nil"/>
              <w:left w:val="nil"/>
              <w:bottom w:val="single" w:sz="4" w:space="0" w:color="auto"/>
              <w:right w:val="single" w:sz="4" w:space="0" w:color="auto"/>
            </w:tcBorders>
            <w:shd w:val="clear" w:color="auto" w:fill="auto"/>
            <w:noWrap/>
            <w:vAlign w:val="bottom"/>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 xml:space="preserve">1 يناير </w:t>
            </w:r>
            <w:r>
              <w:rPr>
                <w:rFonts w:ascii="Arabic Typesetting" w:hAnsi="Arabic Typesetting" w:cs="Arabic Typesetting" w:hint="cs"/>
                <w:color w:val="000000"/>
                <w:sz w:val="36"/>
                <w:szCs w:val="36"/>
                <w:rtl/>
                <w:lang w:eastAsia="zh-CN"/>
              </w:rPr>
              <w:t>1992</w:t>
            </w:r>
          </w:p>
        </w:tc>
        <w:tc>
          <w:tcPr>
            <w:tcW w:w="180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781</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53</w:t>
            </w:r>
          </w:p>
        </w:tc>
        <w:tc>
          <w:tcPr>
            <w:tcW w:w="144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9%</w:t>
            </w:r>
          </w:p>
        </w:tc>
      </w:tr>
      <w:tr w:rsidR="00004A6F" w:rsidRPr="00004A6F" w:rsidTr="00B829AE">
        <w:trPr>
          <w:trHeight w:val="255"/>
          <w:jc w:val="center"/>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04A6F" w:rsidRPr="00004A6F" w:rsidRDefault="00B829AE" w:rsidP="00B829AE">
            <w:pPr>
              <w:bidi/>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تصنيف نيس (</w:t>
            </w:r>
            <w:r>
              <w:rPr>
                <w:rFonts w:ascii="Arabic Typesetting" w:hAnsi="Arabic Typesetting" w:cs="Arabic Typesetting" w:hint="cs"/>
                <w:color w:val="000000"/>
                <w:sz w:val="36"/>
                <w:szCs w:val="36"/>
                <w:rtl/>
                <w:lang w:eastAsia="zh-CN"/>
              </w:rPr>
              <w:t>7</w:t>
            </w:r>
            <w:r>
              <w:rPr>
                <w:rFonts w:ascii="Arabic Typesetting" w:hAnsi="Arabic Typesetting" w:cs="Arabic Typesetting" w:hint="cs"/>
                <w:color w:val="000000"/>
                <w:sz w:val="36"/>
                <w:szCs w:val="36"/>
                <w:rtl/>
                <w:lang w:eastAsia="zh-CN"/>
              </w:rPr>
              <w:t>)</w:t>
            </w:r>
          </w:p>
        </w:tc>
        <w:tc>
          <w:tcPr>
            <w:tcW w:w="2011" w:type="dxa"/>
            <w:tcBorders>
              <w:top w:val="nil"/>
              <w:left w:val="nil"/>
              <w:bottom w:val="single" w:sz="4" w:space="0" w:color="auto"/>
              <w:right w:val="single" w:sz="4" w:space="0" w:color="auto"/>
            </w:tcBorders>
            <w:shd w:val="clear" w:color="auto" w:fill="auto"/>
            <w:noWrap/>
            <w:vAlign w:val="bottom"/>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 xml:space="preserve">1 يناير </w:t>
            </w:r>
            <w:r>
              <w:rPr>
                <w:rFonts w:ascii="Arabic Typesetting" w:hAnsi="Arabic Typesetting" w:cs="Arabic Typesetting" w:hint="cs"/>
                <w:color w:val="000000"/>
                <w:sz w:val="36"/>
                <w:szCs w:val="36"/>
                <w:rtl/>
                <w:lang w:eastAsia="zh-CN"/>
              </w:rPr>
              <w:t>1997</w:t>
            </w:r>
          </w:p>
        </w:tc>
        <w:tc>
          <w:tcPr>
            <w:tcW w:w="180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374</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53</w:t>
            </w:r>
          </w:p>
        </w:tc>
        <w:tc>
          <w:tcPr>
            <w:tcW w:w="144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9%</w:t>
            </w:r>
          </w:p>
        </w:tc>
      </w:tr>
      <w:tr w:rsidR="00004A6F" w:rsidRPr="00004A6F" w:rsidTr="00B829AE">
        <w:trPr>
          <w:trHeight w:val="255"/>
          <w:jc w:val="center"/>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04A6F" w:rsidRPr="00004A6F" w:rsidRDefault="00B829AE" w:rsidP="00B829AE">
            <w:pPr>
              <w:bidi/>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تصنيف نيس (</w:t>
            </w:r>
            <w:r>
              <w:rPr>
                <w:rFonts w:ascii="Arabic Typesetting" w:hAnsi="Arabic Typesetting" w:cs="Arabic Typesetting" w:hint="cs"/>
                <w:color w:val="000000"/>
                <w:sz w:val="36"/>
                <w:szCs w:val="36"/>
                <w:rtl/>
                <w:lang w:eastAsia="zh-CN"/>
              </w:rPr>
              <w:t>8</w:t>
            </w:r>
            <w:r>
              <w:rPr>
                <w:rFonts w:ascii="Arabic Typesetting" w:hAnsi="Arabic Typesetting" w:cs="Arabic Typesetting" w:hint="cs"/>
                <w:color w:val="000000"/>
                <w:sz w:val="36"/>
                <w:szCs w:val="36"/>
                <w:rtl/>
                <w:lang w:eastAsia="zh-CN"/>
              </w:rPr>
              <w:t>)</w:t>
            </w:r>
          </w:p>
        </w:tc>
        <w:tc>
          <w:tcPr>
            <w:tcW w:w="2011" w:type="dxa"/>
            <w:tcBorders>
              <w:top w:val="nil"/>
              <w:left w:val="nil"/>
              <w:bottom w:val="single" w:sz="4" w:space="0" w:color="auto"/>
              <w:right w:val="single" w:sz="4" w:space="0" w:color="auto"/>
            </w:tcBorders>
            <w:shd w:val="clear" w:color="auto" w:fill="auto"/>
            <w:noWrap/>
            <w:vAlign w:val="bottom"/>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 xml:space="preserve">1 يناير </w:t>
            </w:r>
            <w:r>
              <w:rPr>
                <w:rFonts w:ascii="Arabic Typesetting" w:hAnsi="Arabic Typesetting" w:cs="Arabic Typesetting" w:hint="cs"/>
                <w:color w:val="000000"/>
                <w:sz w:val="36"/>
                <w:szCs w:val="36"/>
                <w:rtl/>
                <w:lang w:eastAsia="zh-CN"/>
              </w:rPr>
              <w:t>2002</w:t>
            </w:r>
          </w:p>
        </w:tc>
        <w:tc>
          <w:tcPr>
            <w:tcW w:w="180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977</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102</w:t>
            </w:r>
          </w:p>
        </w:tc>
        <w:tc>
          <w:tcPr>
            <w:tcW w:w="144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17%</w:t>
            </w:r>
          </w:p>
        </w:tc>
      </w:tr>
      <w:tr w:rsidR="00004A6F" w:rsidRPr="00004A6F" w:rsidTr="00B829AE">
        <w:trPr>
          <w:trHeight w:val="255"/>
          <w:jc w:val="center"/>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04A6F" w:rsidRPr="00004A6F" w:rsidRDefault="00B829AE" w:rsidP="00B829AE">
            <w:pPr>
              <w:bidi/>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تصنيف نيس (</w:t>
            </w:r>
            <w:r>
              <w:rPr>
                <w:rFonts w:ascii="Arabic Typesetting" w:hAnsi="Arabic Typesetting" w:cs="Arabic Typesetting" w:hint="cs"/>
                <w:color w:val="000000"/>
                <w:sz w:val="36"/>
                <w:szCs w:val="36"/>
                <w:rtl/>
                <w:lang w:eastAsia="zh-CN"/>
              </w:rPr>
              <w:t>9</w:t>
            </w:r>
            <w:r>
              <w:rPr>
                <w:rFonts w:ascii="Arabic Typesetting" w:hAnsi="Arabic Typesetting" w:cs="Arabic Typesetting" w:hint="cs"/>
                <w:color w:val="000000"/>
                <w:sz w:val="36"/>
                <w:szCs w:val="36"/>
                <w:rtl/>
                <w:lang w:eastAsia="zh-CN"/>
              </w:rPr>
              <w:t>)</w:t>
            </w:r>
          </w:p>
        </w:tc>
        <w:tc>
          <w:tcPr>
            <w:tcW w:w="2011" w:type="dxa"/>
            <w:tcBorders>
              <w:top w:val="nil"/>
              <w:left w:val="nil"/>
              <w:bottom w:val="single" w:sz="4" w:space="0" w:color="auto"/>
              <w:right w:val="single" w:sz="4" w:space="0" w:color="auto"/>
            </w:tcBorders>
            <w:shd w:val="clear" w:color="auto" w:fill="auto"/>
            <w:noWrap/>
            <w:vAlign w:val="bottom"/>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 xml:space="preserve">1 يناير </w:t>
            </w:r>
            <w:r>
              <w:rPr>
                <w:rFonts w:ascii="Arabic Typesetting" w:hAnsi="Arabic Typesetting" w:cs="Arabic Typesetting" w:hint="cs"/>
                <w:color w:val="000000"/>
                <w:sz w:val="36"/>
                <w:szCs w:val="36"/>
                <w:rtl/>
                <w:lang w:eastAsia="zh-CN"/>
              </w:rPr>
              <w:t>2007</w:t>
            </w:r>
          </w:p>
        </w:tc>
        <w:tc>
          <w:tcPr>
            <w:tcW w:w="180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426</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189</w:t>
            </w:r>
          </w:p>
        </w:tc>
        <w:tc>
          <w:tcPr>
            <w:tcW w:w="144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30%</w:t>
            </w:r>
          </w:p>
        </w:tc>
      </w:tr>
      <w:tr w:rsidR="00004A6F" w:rsidRPr="00004A6F" w:rsidTr="00B829AE">
        <w:trPr>
          <w:trHeight w:val="255"/>
          <w:jc w:val="center"/>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04A6F" w:rsidRPr="00004A6F" w:rsidRDefault="00B829AE" w:rsidP="00B829AE">
            <w:pPr>
              <w:bidi/>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تصنيف نيس (</w:t>
            </w:r>
            <w:r>
              <w:rPr>
                <w:rFonts w:ascii="Arabic Typesetting" w:hAnsi="Arabic Typesetting" w:cs="Arabic Typesetting" w:hint="cs"/>
                <w:color w:val="000000"/>
                <w:sz w:val="36"/>
                <w:szCs w:val="36"/>
                <w:rtl/>
                <w:lang w:eastAsia="zh-CN"/>
              </w:rPr>
              <w:t>10-2012</w:t>
            </w:r>
            <w:r>
              <w:rPr>
                <w:rFonts w:ascii="Arabic Typesetting" w:hAnsi="Arabic Typesetting" w:cs="Arabic Typesetting" w:hint="cs"/>
                <w:color w:val="000000"/>
                <w:sz w:val="36"/>
                <w:szCs w:val="36"/>
                <w:rtl/>
                <w:lang w:eastAsia="zh-CN"/>
              </w:rPr>
              <w:t>)</w:t>
            </w:r>
          </w:p>
        </w:tc>
        <w:tc>
          <w:tcPr>
            <w:tcW w:w="2011" w:type="dxa"/>
            <w:tcBorders>
              <w:top w:val="nil"/>
              <w:left w:val="nil"/>
              <w:bottom w:val="single" w:sz="4" w:space="0" w:color="auto"/>
              <w:right w:val="single" w:sz="4" w:space="0" w:color="auto"/>
            </w:tcBorders>
            <w:shd w:val="clear" w:color="auto" w:fill="auto"/>
            <w:noWrap/>
            <w:vAlign w:val="bottom"/>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 xml:space="preserve">1 يناير </w:t>
            </w:r>
            <w:r>
              <w:rPr>
                <w:rFonts w:ascii="Arabic Typesetting" w:hAnsi="Arabic Typesetting" w:cs="Arabic Typesetting" w:hint="cs"/>
                <w:color w:val="000000"/>
                <w:sz w:val="36"/>
                <w:szCs w:val="36"/>
                <w:rtl/>
                <w:lang w:eastAsia="zh-CN"/>
              </w:rPr>
              <w:t>2012</w:t>
            </w:r>
          </w:p>
        </w:tc>
        <w:tc>
          <w:tcPr>
            <w:tcW w:w="180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430</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42</w:t>
            </w:r>
          </w:p>
        </w:tc>
        <w:tc>
          <w:tcPr>
            <w:tcW w:w="144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7%</w:t>
            </w:r>
          </w:p>
        </w:tc>
      </w:tr>
      <w:tr w:rsidR="00004A6F" w:rsidRPr="00004A6F" w:rsidTr="00B829AE">
        <w:trPr>
          <w:trHeight w:val="255"/>
          <w:jc w:val="center"/>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04A6F" w:rsidRPr="00004A6F" w:rsidRDefault="00B829AE" w:rsidP="00B829AE">
            <w:pPr>
              <w:bidi/>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تصنيف نيس (10-</w:t>
            </w:r>
            <w:r>
              <w:rPr>
                <w:rFonts w:ascii="Arabic Typesetting" w:hAnsi="Arabic Typesetting" w:cs="Arabic Typesetting" w:hint="cs"/>
                <w:color w:val="000000"/>
                <w:sz w:val="36"/>
                <w:szCs w:val="36"/>
                <w:rtl/>
                <w:lang w:eastAsia="zh-CN"/>
              </w:rPr>
              <w:t>2013</w:t>
            </w:r>
            <w:r>
              <w:rPr>
                <w:rFonts w:ascii="Arabic Typesetting" w:hAnsi="Arabic Typesetting" w:cs="Arabic Typesetting" w:hint="cs"/>
                <w:color w:val="000000"/>
                <w:sz w:val="36"/>
                <w:szCs w:val="36"/>
                <w:rtl/>
                <w:lang w:eastAsia="zh-CN"/>
              </w:rPr>
              <w:t>)</w:t>
            </w:r>
          </w:p>
        </w:tc>
        <w:tc>
          <w:tcPr>
            <w:tcW w:w="2011" w:type="dxa"/>
            <w:tcBorders>
              <w:top w:val="nil"/>
              <w:left w:val="nil"/>
              <w:bottom w:val="single" w:sz="4" w:space="0" w:color="auto"/>
              <w:right w:val="single" w:sz="4" w:space="0" w:color="auto"/>
            </w:tcBorders>
            <w:shd w:val="clear" w:color="auto" w:fill="auto"/>
            <w:noWrap/>
            <w:vAlign w:val="bottom"/>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 xml:space="preserve">1 يناير </w:t>
            </w:r>
            <w:r>
              <w:rPr>
                <w:rFonts w:ascii="Arabic Typesetting" w:hAnsi="Arabic Typesetting" w:cs="Arabic Typesetting" w:hint="cs"/>
                <w:color w:val="000000"/>
                <w:sz w:val="36"/>
                <w:szCs w:val="36"/>
                <w:rtl/>
                <w:lang w:eastAsia="zh-CN"/>
              </w:rPr>
              <w:t>2013</w:t>
            </w:r>
          </w:p>
        </w:tc>
        <w:tc>
          <w:tcPr>
            <w:tcW w:w="180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548</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45</w:t>
            </w:r>
          </w:p>
        </w:tc>
        <w:tc>
          <w:tcPr>
            <w:tcW w:w="144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7%</w:t>
            </w:r>
          </w:p>
        </w:tc>
      </w:tr>
      <w:tr w:rsidR="00004A6F" w:rsidRPr="00004A6F" w:rsidTr="00B829AE">
        <w:trPr>
          <w:trHeight w:val="255"/>
          <w:jc w:val="center"/>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04A6F" w:rsidRPr="00004A6F" w:rsidRDefault="00B829AE" w:rsidP="00B829AE">
            <w:pPr>
              <w:bidi/>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تصنيف نيس (10-</w:t>
            </w:r>
            <w:r>
              <w:rPr>
                <w:rFonts w:ascii="Arabic Typesetting" w:hAnsi="Arabic Typesetting" w:cs="Arabic Typesetting" w:hint="cs"/>
                <w:color w:val="000000"/>
                <w:sz w:val="36"/>
                <w:szCs w:val="36"/>
                <w:rtl/>
                <w:lang w:eastAsia="zh-CN"/>
              </w:rPr>
              <w:t>2014</w:t>
            </w:r>
            <w:r>
              <w:rPr>
                <w:rFonts w:ascii="Arabic Typesetting" w:hAnsi="Arabic Typesetting" w:cs="Arabic Typesetting" w:hint="cs"/>
                <w:color w:val="000000"/>
                <w:sz w:val="36"/>
                <w:szCs w:val="36"/>
                <w:rtl/>
                <w:lang w:eastAsia="zh-CN"/>
              </w:rPr>
              <w:t>)</w:t>
            </w:r>
          </w:p>
        </w:tc>
        <w:tc>
          <w:tcPr>
            <w:tcW w:w="2011" w:type="dxa"/>
            <w:tcBorders>
              <w:top w:val="nil"/>
              <w:left w:val="nil"/>
              <w:bottom w:val="single" w:sz="4" w:space="0" w:color="auto"/>
              <w:right w:val="single" w:sz="4" w:space="0" w:color="auto"/>
            </w:tcBorders>
            <w:shd w:val="clear" w:color="auto" w:fill="auto"/>
            <w:noWrap/>
            <w:vAlign w:val="bottom"/>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 xml:space="preserve">1 يناير </w:t>
            </w:r>
            <w:r>
              <w:rPr>
                <w:rFonts w:ascii="Arabic Typesetting" w:hAnsi="Arabic Typesetting" w:cs="Arabic Typesetting" w:hint="cs"/>
                <w:color w:val="000000"/>
                <w:sz w:val="36"/>
                <w:szCs w:val="36"/>
                <w:rtl/>
                <w:lang w:eastAsia="zh-CN"/>
              </w:rPr>
              <w:t>2014</w:t>
            </w:r>
          </w:p>
        </w:tc>
        <w:tc>
          <w:tcPr>
            <w:tcW w:w="180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469</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45</w:t>
            </w:r>
          </w:p>
        </w:tc>
        <w:tc>
          <w:tcPr>
            <w:tcW w:w="144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7%</w:t>
            </w:r>
          </w:p>
        </w:tc>
      </w:tr>
      <w:tr w:rsidR="00004A6F" w:rsidRPr="00004A6F" w:rsidTr="00B829AE">
        <w:trPr>
          <w:trHeight w:val="255"/>
          <w:jc w:val="center"/>
        </w:trPr>
        <w:tc>
          <w:tcPr>
            <w:tcW w:w="2414" w:type="dxa"/>
            <w:tcBorders>
              <w:top w:val="nil"/>
              <w:left w:val="single" w:sz="4" w:space="0" w:color="auto"/>
              <w:bottom w:val="single" w:sz="4" w:space="0" w:color="auto"/>
              <w:right w:val="single" w:sz="4" w:space="0" w:color="auto"/>
            </w:tcBorders>
            <w:shd w:val="clear" w:color="auto" w:fill="auto"/>
            <w:noWrap/>
            <w:vAlign w:val="bottom"/>
            <w:hideMark/>
          </w:tcPr>
          <w:p w:rsidR="00004A6F" w:rsidRPr="00004A6F" w:rsidRDefault="00B829AE" w:rsidP="00B829AE">
            <w:pPr>
              <w:bidi/>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تصنيف نيس (10-</w:t>
            </w:r>
            <w:r>
              <w:rPr>
                <w:rFonts w:ascii="Arabic Typesetting" w:hAnsi="Arabic Typesetting" w:cs="Arabic Typesetting" w:hint="cs"/>
                <w:color w:val="000000"/>
                <w:sz w:val="36"/>
                <w:szCs w:val="36"/>
                <w:rtl/>
                <w:lang w:eastAsia="zh-CN"/>
              </w:rPr>
              <w:t>2015</w:t>
            </w:r>
            <w:r>
              <w:rPr>
                <w:rFonts w:ascii="Arabic Typesetting" w:hAnsi="Arabic Typesetting" w:cs="Arabic Typesetting" w:hint="cs"/>
                <w:color w:val="000000"/>
                <w:sz w:val="36"/>
                <w:szCs w:val="36"/>
                <w:rtl/>
                <w:lang w:eastAsia="zh-CN"/>
              </w:rPr>
              <w:t>)</w:t>
            </w:r>
          </w:p>
        </w:tc>
        <w:tc>
          <w:tcPr>
            <w:tcW w:w="2011" w:type="dxa"/>
            <w:tcBorders>
              <w:top w:val="nil"/>
              <w:left w:val="nil"/>
              <w:bottom w:val="single" w:sz="4" w:space="0" w:color="auto"/>
              <w:right w:val="single" w:sz="4" w:space="0" w:color="auto"/>
            </w:tcBorders>
            <w:shd w:val="clear" w:color="auto" w:fill="auto"/>
            <w:noWrap/>
            <w:vAlign w:val="bottom"/>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 xml:space="preserve">1 يناير </w:t>
            </w:r>
            <w:r>
              <w:rPr>
                <w:rFonts w:ascii="Arabic Typesetting" w:hAnsi="Arabic Typesetting" w:cs="Arabic Typesetting" w:hint="cs"/>
                <w:color w:val="000000"/>
                <w:sz w:val="36"/>
                <w:szCs w:val="36"/>
                <w:rtl/>
                <w:lang w:eastAsia="zh-CN"/>
              </w:rPr>
              <w:t>2015</w:t>
            </w:r>
          </w:p>
        </w:tc>
        <w:tc>
          <w:tcPr>
            <w:tcW w:w="180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584</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20</w:t>
            </w:r>
          </w:p>
        </w:tc>
        <w:tc>
          <w:tcPr>
            <w:tcW w:w="1440" w:type="dxa"/>
            <w:tcBorders>
              <w:top w:val="nil"/>
              <w:left w:val="nil"/>
              <w:bottom w:val="single" w:sz="4" w:space="0" w:color="auto"/>
              <w:right w:val="single" w:sz="4" w:space="0" w:color="auto"/>
            </w:tcBorders>
            <w:shd w:val="clear" w:color="auto" w:fill="auto"/>
            <w:noWrap/>
            <w:vAlign w:val="center"/>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3%</w:t>
            </w:r>
          </w:p>
        </w:tc>
      </w:tr>
      <w:tr w:rsidR="00004A6F" w:rsidRPr="00004A6F" w:rsidTr="00B829AE">
        <w:trPr>
          <w:trHeight w:val="255"/>
          <w:jc w:val="center"/>
        </w:trPr>
        <w:tc>
          <w:tcPr>
            <w:tcW w:w="2414" w:type="dxa"/>
            <w:tcBorders>
              <w:top w:val="nil"/>
              <w:left w:val="nil"/>
              <w:bottom w:val="nil"/>
              <w:right w:val="nil"/>
            </w:tcBorders>
            <w:shd w:val="clear" w:color="auto" w:fill="auto"/>
            <w:noWrap/>
            <w:vAlign w:val="bottom"/>
            <w:hideMark/>
          </w:tcPr>
          <w:p w:rsidR="00004A6F" w:rsidRPr="00004A6F" w:rsidRDefault="00004A6F" w:rsidP="00004A6F">
            <w:pPr>
              <w:bidi/>
              <w:rPr>
                <w:rFonts w:ascii="Arabic Typesetting" w:hAnsi="Arabic Typesetting" w:cs="Arabic Typesetting"/>
                <w:color w:val="000000"/>
                <w:sz w:val="36"/>
                <w:szCs w:val="36"/>
                <w:lang w:eastAsia="zh-CN"/>
              </w:rPr>
            </w:pPr>
          </w:p>
        </w:tc>
        <w:tc>
          <w:tcPr>
            <w:tcW w:w="2011" w:type="dxa"/>
            <w:tcBorders>
              <w:top w:val="nil"/>
              <w:left w:val="nil"/>
              <w:bottom w:val="nil"/>
              <w:right w:val="nil"/>
            </w:tcBorders>
            <w:shd w:val="clear" w:color="auto" w:fill="auto"/>
            <w:noWrap/>
            <w:vAlign w:val="bottom"/>
            <w:hideMark/>
          </w:tcPr>
          <w:p w:rsidR="00004A6F" w:rsidRPr="00004A6F" w:rsidRDefault="00004A6F" w:rsidP="00004A6F">
            <w:pPr>
              <w:bidi/>
              <w:rPr>
                <w:rFonts w:ascii="Arabic Typesetting" w:hAnsi="Arabic Typesetting" w:cs="Arabic Typesetting"/>
                <w:color w:val="000000"/>
                <w:sz w:val="36"/>
                <w:szCs w:val="36"/>
                <w:lang w:eastAsia="zh-CN"/>
              </w:rPr>
            </w:pPr>
          </w:p>
        </w:tc>
        <w:tc>
          <w:tcPr>
            <w:tcW w:w="1800" w:type="dxa"/>
            <w:tcBorders>
              <w:top w:val="nil"/>
              <w:left w:val="nil"/>
              <w:bottom w:val="nil"/>
              <w:right w:val="nil"/>
            </w:tcBorders>
            <w:shd w:val="clear" w:color="auto" w:fill="auto"/>
            <w:noWrap/>
            <w:vAlign w:val="bottom"/>
            <w:hideMark/>
          </w:tcPr>
          <w:p w:rsidR="00004A6F" w:rsidRPr="00004A6F" w:rsidRDefault="00004A6F" w:rsidP="00004A6F">
            <w:pPr>
              <w:bidi/>
              <w:rPr>
                <w:rFonts w:ascii="Arabic Typesetting" w:hAnsi="Arabic Typesetting" w:cs="Arabic Typesetting"/>
                <w:color w:val="000000"/>
                <w:sz w:val="36"/>
                <w:szCs w:val="36"/>
                <w:lang w:eastAsia="zh-CN"/>
              </w:rPr>
            </w:pPr>
          </w:p>
        </w:tc>
        <w:tc>
          <w:tcPr>
            <w:tcW w:w="1440" w:type="dxa"/>
            <w:tcBorders>
              <w:top w:val="nil"/>
              <w:left w:val="nil"/>
              <w:bottom w:val="nil"/>
              <w:right w:val="nil"/>
            </w:tcBorders>
            <w:shd w:val="clear" w:color="auto" w:fill="auto"/>
            <w:noWrap/>
            <w:vAlign w:val="bottom"/>
            <w:hideMark/>
          </w:tcPr>
          <w:p w:rsidR="00004A6F" w:rsidRPr="00004A6F" w:rsidRDefault="00004A6F" w:rsidP="00004A6F">
            <w:pPr>
              <w:bidi/>
              <w:rPr>
                <w:rFonts w:ascii="Arabic Typesetting" w:hAnsi="Arabic Typesetting" w:cs="Arabic Typesetting"/>
                <w:color w:val="000000"/>
                <w:sz w:val="36"/>
                <w:szCs w:val="36"/>
                <w:lang w:eastAsia="zh-CN"/>
              </w:rPr>
            </w:pPr>
          </w:p>
        </w:tc>
      </w:tr>
      <w:tr w:rsidR="00004A6F" w:rsidRPr="00004A6F" w:rsidTr="00B829AE">
        <w:trPr>
          <w:trHeight w:val="80"/>
          <w:jc w:val="center"/>
        </w:trPr>
        <w:tc>
          <w:tcPr>
            <w:tcW w:w="2414" w:type="dxa"/>
            <w:tcBorders>
              <w:top w:val="nil"/>
              <w:left w:val="nil"/>
              <w:bottom w:val="nil"/>
              <w:right w:val="nil"/>
            </w:tcBorders>
            <w:shd w:val="clear" w:color="auto" w:fill="auto"/>
            <w:noWrap/>
            <w:vAlign w:val="bottom"/>
            <w:hideMark/>
          </w:tcPr>
          <w:p w:rsidR="00004A6F" w:rsidRPr="00004A6F" w:rsidRDefault="00004A6F" w:rsidP="00004A6F">
            <w:pPr>
              <w:bidi/>
              <w:rPr>
                <w:rFonts w:ascii="Arabic Typesetting" w:hAnsi="Arabic Typesetting" w:cs="Arabic Typesetting"/>
                <w:color w:val="000000"/>
                <w:sz w:val="36"/>
                <w:szCs w:val="36"/>
                <w:lang w:eastAsia="zh-CN"/>
              </w:rPr>
            </w:pPr>
          </w:p>
        </w:tc>
        <w:tc>
          <w:tcPr>
            <w:tcW w:w="2011" w:type="dxa"/>
            <w:tcBorders>
              <w:top w:val="nil"/>
              <w:left w:val="nil"/>
              <w:bottom w:val="nil"/>
              <w:right w:val="nil"/>
            </w:tcBorders>
            <w:shd w:val="clear" w:color="auto" w:fill="auto"/>
            <w:noWrap/>
            <w:vAlign w:val="bottom"/>
            <w:hideMark/>
          </w:tcPr>
          <w:p w:rsidR="00004A6F" w:rsidRPr="00004A6F" w:rsidRDefault="00B829AE" w:rsidP="00004A6F">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المجموع</w:t>
            </w:r>
          </w:p>
        </w:tc>
        <w:tc>
          <w:tcPr>
            <w:tcW w:w="1800" w:type="dxa"/>
            <w:tcBorders>
              <w:top w:val="nil"/>
              <w:left w:val="nil"/>
              <w:bottom w:val="nil"/>
              <w:right w:val="nil"/>
            </w:tcBorders>
            <w:shd w:val="clear" w:color="auto" w:fill="auto"/>
            <w:noWrap/>
            <w:vAlign w:val="bottom"/>
            <w:hideMark/>
          </w:tcPr>
          <w:p w:rsidR="00004A6F" w:rsidRPr="00004A6F" w:rsidRDefault="00B829AE" w:rsidP="00B829AE">
            <w:pPr>
              <w:bidi/>
              <w:jc w:val="center"/>
              <w:rPr>
                <w:rFonts w:ascii="Arabic Typesetting" w:hAnsi="Arabic Typesetting" w:cs="Arabic Typesetting"/>
                <w:color w:val="000000"/>
                <w:sz w:val="36"/>
                <w:szCs w:val="36"/>
                <w:lang w:eastAsia="zh-CN"/>
              </w:rPr>
            </w:pPr>
            <w:r>
              <w:rPr>
                <w:rFonts w:ascii="Arabic Typesetting" w:hAnsi="Arabic Typesetting" w:cs="Arabic Typesetting" w:hint="cs"/>
                <w:color w:val="000000"/>
                <w:sz w:val="36"/>
                <w:szCs w:val="36"/>
                <w:rtl/>
                <w:lang w:eastAsia="zh-CN"/>
              </w:rPr>
              <w:t>704</w:t>
            </w:r>
            <w:r>
              <w:rPr>
                <w:rFonts w:ascii="Arabic Typesetting" w:hAnsi="Arabic Typesetting" w:cs="Arabic Typesetting" w:hint="eastAsia"/>
                <w:color w:val="000000"/>
                <w:sz w:val="36"/>
                <w:szCs w:val="36"/>
                <w:rtl/>
                <w:lang w:eastAsia="zh-CN"/>
              </w:rPr>
              <w:t> </w:t>
            </w:r>
            <w:r>
              <w:rPr>
                <w:rFonts w:ascii="Arabic Typesetting" w:hAnsi="Arabic Typesetting" w:cs="Arabic Typesetting" w:hint="cs"/>
                <w:color w:val="000000"/>
                <w:sz w:val="36"/>
                <w:szCs w:val="36"/>
                <w:rtl/>
                <w:lang w:eastAsia="zh-CN"/>
              </w:rPr>
              <w:t>623</w:t>
            </w:r>
          </w:p>
        </w:tc>
        <w:tc>
          <w:tcPr>
            <w:tcW w:w="1440" w:type="dxa"/>
            <w:tcBorders>
              <w:top w:val="nil"/>
              <w:left w:val="nil"/>
              <w:bottom w:val="nil"/>
              <w:right w:val="nil"/>
            </w:tcBorders>
            <w:shd w:val="clear" w:color="auto" w:fill="auto"/>
            <w:noWrap/>
            <w:vAlign w:val="bottom"/>
            <w:hideMark/>
          </w:tcPr>
          <w:p w:rsidR="00004A6F" w:rsidRPr="00004A6F" w:rsidRDefault="00004A6F" w:rsidP="00004A6F">
            <w:pPr>
              <w:bidi/>
              <w:rPr>
                <w:rFonts w:ascii="Arabic Typesetting" w:hAnsi="Arabic Typesetting" w:cs="Arabic Typesetting"/>
                <w:color w:val="000000"/>
                <w:sz w:val="36"/>
                <w:szCs w:val="36"/>
                <w:lang w:eastAsia="zh-CN"/>
              </w:rPr>
            </w:pPr>
          </w:p>
        </w:tc>
      </w:tr>
    </w:tbl>
    <w:p w:rsidR="00B829AE" w:rsidRPr="00DC7D8C" w:rsidRDefault="00DC7D8C" w:rsidP="00DC7D8C">
      <w:pPr>
        <w:pStyle w:val="NumberedParaAR"/>
        <w:keepNext/>
        <w:numPr>
          <w:ilvl w:val="0"/>
          <w:numId w:val="0"/>
        </w:numPr>
        <w:spacing w:before="240"/>
        <w:rPr>
          <w:rFonts w:hint="cs"/>
          <w:sz w:val="40"/>
          <w:szCs w:val="40"/>
          <w:rtl/>
        </w:rPr>
      </w:pPr>
      <w:r w:rsidRPr="00DC7D8C">
        <w:rPr>
          <w:rFonts w:hint="cs"/>
          <w:sz w:val="40"/>
          <w:szCs w:val="40"/>
          <w:rtl/>
        </w:rPr>
        <w:t>الزيادة المتوقّعة في عبء العمل الخاص بالفحص ودرجة تعقيده</w:t>
      </w:r>
    </w:p>
    <w:p w:rsidR="00DC7D8C" w:rsidRDefault="00C06CB2" w:rsidP="00B220C4">
      <w:pPr>
        <w:pStyle w:val="NumberedParaAR"/>
        <w:rPr>
          <w:rFonts w:hint="cs"/>
        </w:rPr>
      </w:pPr>
      <w:r>
        <w:rPr>
          <w:rFonts w:hint="cs"/>
          <w:rtl/>
        </w:rPr>
        <w:t xml:space="preserve">تجدر الإشارة إلى تزايد عدد التعيينات اللاحقة المُدوّنة الشاملة لإنقاص واحد على الأقل. ففي عام 2011، </w:t>
      </w:r>
      <w:r w:rsidR="00B220C4">
        <w:rPr>
          <w:rFonts w:hint="cs"/>
          <w:rtl/>
        </w:rPr>
        <w:t>اشتملت</w:t>
      </w:r>
      <w:r>
        <w:rPr>
          <w:rFonts w:hint="cs"/>
          <w:rtl/>
        </w:rPr>
        <w:t xml:space="preserve"> التعيينات اللاحقة البالغ عددها 242</w:t>
      </w:r>
      <w:r>
        <w:rPr>
          <w:rFonts w:hint="eastAsia"/>
          <w:rtl/>
        </w:rPr>
        <w:t> </w:t>
      </w:r>
      <w:r>
        <w:rPr>
          <w:rFonts w:hint="cs"/>
          <w:rtl/>
        </w:rPr>
        <w:t xml:space="preserve">2 تعيينا </w:t>
      </w:r>
      <w:r w:rsidR="00B220C4">
        <w:rPr>
          <w:rFonts w:hint="cs"/>
          <w:rtl/>
        </w:rPr>
        <w:t>على إنقاص واحد</w:t>
      </w:r>
      <w:r>
        <w:rPr>
          <w:rFonts w:hint="cs"/>
          <w:rtl/>
        </w:rPr>
        <w:t xml:space="preserve"> على الأقل. وفي عام 2014، ارتفع ذلك العدد ليبلغ 211</w:t>
      </w:r>
      <w:r>
        <w:rPr>
          <w:rFonts w:hint="eastAsia"/>
          <w:rtl/>
        </w:rPr>
        <w:t> </w:t>
      </w:r>
      <w:r>
        <w:rPr>
          <w:rFonts w:hint="cs"/>
          <w:rtl/>
        </w:rPr>
        <w:t>3</w:t>
      </w:r>
      <w:r>
        <w:rPr>
          <w:rFonts w:hint="eastAsia"/>
          <w:rtl/>
        </w:rPr>
        <w:t> </w:t>
      </w:r>
      <w:r>
        <w:rPr>
          <w:rFonts w:hint="cs"/>
          <w:rtl/>
        </w:rPr>
        <w:t>تعيينا لاحقا مدوّنا</w:t>
      </w:r>
      <w:r>
        <w:rPr>
          <w:rStyle w:val="FootnoteReference"/>
          <w:rtl/>
        </w:rPr>
        <w:footnoteReference w:id="3"/>
      </w:r>
      <w:r>
        <w:rPr>
          <w:rFonts w:hint="cs"/>
          <w:rtl/>
        </w:rPr>
        <w:t>.</w:t>
      </w:r>
    </w:p>
    <w:p w:rsidR="00C06CB2" w:rsidRDefault="000F00E5" w:rsidP="000F00E5">
      <w:pPr>
        <w:pStyle w:val="NumberedParaAR"/>
        <w:rPr>
          <w:rFonts w:hint="cs"/>
        </w:rPr>
      </w:pPr>
      <w:r>
        <w:rPr>
          <w:rFonts w:hint="cs"/>
          <w:rtl/>
        </w:rPr>
        <w:t>وبالإضافة إلى زيادة عبء العمل من جرّاء تزايد عدد التعيينات اللاحقة المشتملة على إنقاص واحد على الأقل، من المتوقّع أيضا أن يجعل تنفيذ القاعدة المُعدّلة</w:t>
      </w:r>
      <w:r>
        <w:rPr>
          <w:rFonts w:hint="eastAsia"/>
          <w:rtl/>
        </w:rPr>
        <w:t> </w:t>
      </w:r>
      <w:r>
        <w:rPr>
          <w:rFonts w:hint="cs"/>
          <w:rtl/>
        </w:rPr>
        <w:t>24(5) إجراء الفحص الذي يقوم به المكتب الدولي أكثر تعقيدا بسبب تزايد عدد حالات الإنقاص التي تتم من خلال تعبيرات حرّة، أي بيانات ليست واردة في التسجيل الدولي ولا مُدرجة في القائمة الأبجدية لتصنيف نيس</w:t>
      </w:r>
      <w:r>
        <w:rPr>
          <w:rStyle w:val="FootnoteReference"/>
          <w:rtl/>
        </w:rPr>
        <w:footnoteReference w:id="4"/>
      </w:r>
      <w:r>
        <w:rPr>
          <w:rFonts w:hint="cs"/>
          <w:rtl/>
        </w:rPr>
        <w:t>.</w:t>
      </w:r>
    </w:p>
    <w:p w:rsidR="00D145B1" w:rsidRDefault="00196593" w:rsidP="00196593">
      <w:pPr>
        <w:pStyle w:val="NumberedParaAR"/>
        <w:rPr>
          <w:rFonts w:hint="cs"/>
        </w:rPr>
      </w:pPr>
      <w:r>
        <w:rPr>
          <w:rFonts w:hint="cs"/>
          <w:rtl/>
        </w:rPr>
        <w:t xml:space="preserve">وفي حال </w:t>
      </w:r>
      <w:r w:rsidR="00D145B1">
        <w:rPr>
          <w:rFonts w:hint="cs"/>
          <w:rtl/>
        </w:rPr>
        <w:t>تعل</w:t>
      </w:r>
      <w:r w:rsidR="00B220C4">
        <w:rPr>
          <w:rFonts w:hint="cs"/>
          <w:rtl/>
        </w:rPr>
        <w:t>ّ</w:t>
      </w:r>
      <w:r w:rsidR="00D145B1">
        <w:rPr>
          <w:rFonts w:hint="cs"/>
          <w:rtl/>
        </w:rPr>
        <w:t xml:space="preserve">ق التعيين اللاحق بكل </w:t>
      </w:r>
      <w:r>
        <w:rPr>
          <w:rFonts w:hint="cs"/>
          <w:rtl/>
        </w:rPr>
        <w:t>السلع والخدمات المُدرجة في التسجيل الدولي أو إذا كان الغرض منه مجرّد استبعاد بيان أو صنف واحد أو أكثر مما يرد في التسجيل الدولي، يكون فحصه وتدوينه من الإجراءات البسيطة. ولكن الفحص يصبح أكثر تعقيدا عندما يلتمس صاحب التسجيل تدوين إنقاص من قائمة السلع والخدمات باستخدام تعبيرات حرّة.</w:t>
      </w:r>
    </w:p>
    <w:p w:rsidR="00196593" w:rsidRDefault="00554D56" w:rsidP="00554D56">
      <w:pPr>
        <w:pStyle w:val="NumberedParaAR"/>
        <w:rPr>
          <w:rFonts w:hint="cs"/>
        </w:rPr>
      </w:pPr>
      <w:r>
        <w:rPr>
          <w:rFonts w:hint="cs"/>
          <w:rtl/>
        </w:rPr>
        <w:t>وتمكّن التعبيرات الحرّة صاحب التسجيل من أن يحدّد بطريقة أكثر تفصيلا السلع والخدمات التي تُمدّد الحماية بشأنها، لأن تصنيف نيس لا يتضمن، نسبيا، سوى القليل من البيانات في القائمة الأبجدية. وبالتالي يمكن لصاحب التسجيل تكييف قوائم السلع والخدمات وفق مختلف الأطراف المتعاقدة المعيّنة، لا سيما تلك التي يُعرف أنها تشترط درجة عالية من الدقة، وذلك لمحاولة تفادي حالات الرفض المؤقت.</w:t>
      </w:r>
    </w:p>
    <w:p w:rsidR="00554D56" w:rsidRDefault="00554D56" w:rsidP="00C62730">
      <w:pPr>
        <w:pStyle w:val="NumberedParaAR"/>
        <w:rPr>
          <w:rFonts w:hint="cs"/>
        </w:rPr>
      </w:pPr>
      <w:r>
        <w:rPr>
          <w:rFonts w:hint="cs"/>
          <w:rtl/>
        </w:rPr>
        <w:t xml:space="preserve">وفي حين يتيح استخدام التعبيرات الحرّة في التعيينات اللاحقة مرونة تسهّل الأمور </w:t>
      </w:r>
      <w:r w:rsidR="00C62730">
        <w:rPr>
          <w:rFonts w:hint="cs"/>
          <w:rtl/>
        </w:rPr>
        <w:t>كثيرا</w:t>
      </w:r>
      <w:r>
        <w:rPr>
          <w:rFonts w:hint="cs"/>
          <w:rtl/>
        </w:rPr>
        <w:t xml:space="preserve"> على </w:t>
      </w:r>
      <w:r w:rsidR="00B220C4">
        <w:rPr>
          <w:rFonts w:hint="cs"/>
          <w:rtl/>
        </w:rPr>
        <w:t>أ</w:t>
      </w:r>
      <w:r w:rsidR="00C62730">
        <w:rPr>
          <w:rFonts w:hint="cs"/>
          <w:rtl/>
        </w:rPr>
        <w:t>صحاب التسجيلات، فإن</w:t>
      </w:r>
      <w:r w:rsidR="00EE2AB9">
        <w:rPr>
          <w:rFonts w:hint="cs"/>
          <w:rtl/>
        </w:rPr>
        <w:t>ه ي</w:t>
      </w:r>
      <w:r w:rsidR="00C62730">
        <w:rPr>
          <w:rFonts w:hint="cs"/>
          <w:rtl/>
        </w:rPr>
        <w:t>زيد من تعقيد عملية التحققّ التي يتعيّن على المكتب الدولي إجراءها بمقتضى القاعدة</w:t>
      </w:r>
      <w:r w:rsidR="00C62730">
        <w:rPr>
          <w:rFonts w:hint="eastAsia"/>
          <w:rtl/>
        </w:rPr>
        <w:t> </w:t>
      </w:r>
      <w:r w:rsidR="00C62730">
        <w:rPr>
          <w:rFonts w:hint="cs"/>
          <w:rtl/>
        </w:rPr>
        <w:t>24(5). وكما شُرح أعلاه، يجب الاضطلاع بعملية التحقّق المذكورة وفقا ل</w:t>
      </w:r>
      <w:r w:rsidR="006819E5">
        <w:rPr>
          <w:rFonts w:hint="cs"/>
          <w:rtl/>
        </w:rPr>
        <w:t>طبعة</w:t>
      </w:r>
      <w:r w:rsidR="00C62730">
        <w:rPr>
          <w:rFonts w:hint="cs"/>
          <w:rtl/>
        </w:rPr>
        <w:t xml:space="preserve"> ونسخة تصنيف نيس التي استُخدمت لتصنيف القائمة الرئيسية في التسجيل الدولي المعني.</w:t>
      </w:r>
    </w:p>
    <w:p w:rsidR="00C62730" w:rsidRPr="00C62730" w:rsidRDefault="00C62730" w:rsidP="00C62730">
      <w:pPr>
        <w:pStyle w:val="NumberedParaAR"/>
        <w:keepNext/>
        <w:numPr>
          <w:ilvl w:val="0"/>
          <w:numId w:val="0"/>
        </w:numPr>
        <w:rPr>
          <w:rFonts w:hint="cs"/>
          <w:sz w:val="40"/>
          <w:szCs w:val="40"/>
          <w:rtl/>
        </w:rPr>
      </w:pPr>
      <w:r w:rsidRPr="00C62730">
        <w:rPr>
          <w:rFonts w:hint="cs"/>
          <w:sz w:val="40"/>
          <w:szCs w:val="40"/>
          <w:rtl/>
        </w:rPr>
        <w:t xml:space="preserve">حدود </w:t>
      </w:r>
      <w:proofErr w:type="spellStart"/>
      <w:r w:rsidRPr="00C62730">
        <w:rPr>
          <w:rFonts w:hint="cs"/>
          <w:sz w:val="40"/>
          <w:szCs w:val="40"/>
          <w:rtl/>
        </w:rPr>
        <w:t>أتمتة</w:t>
      </w:r>
      <w:proofErr w:type="spellEnd"/>
      <w:r w:rsidRPr="00C62730">
        <w:rPr>
          <w:rFonts w:hint="cs"/>
          <w:sz w:val="40"/>
          <w:szCs w:val="40"/>
          <w:rtl/>
        </w:rPr>
        <w:t xml:space="preserve"> تصنيف حالات الإنقاص في التعيينات اللاحقة</w:t>
      </w:r>
    </w:p>
    <w:p w:rsidR="00C62730" w:rsidRDefault="00642AE4" w:rsidP="009427C4">
      <w:pPr>
        <w:pStyle w:val="NumberedParaAR"/>
        <w:rPr>
          <w:rFonts w:hint="cs"/>
        </w:rPr>
      </w:pPr>
      <w:r>
        <w:rPr>
          <w:rFonts w:hint="cs"/>
          <w:rtl/>
        </w:rPr>
        <w:t xml:space="preserve">أدرجت، في عام 2005، قاعدة البيانات الحالية التي تساعد الفاحصين على تصنيف السلع والخدمات المُدرجة في الطلبات الدولية. وتم تجميع محتويات </w:t>
      </w:r>
      <w:r w:rsidR="009427C4">
        <w:rPr>
          <w:rFonts w:hint="cs"/>
          <w:rtl/>
        </w:rPr>
        <w:t xml:space="preserve">نظام </w:t>
      </w:r>
      <w:r>
        <w:rPr>
          <w:rFonts w:hint="cs"/>
          <w:rtl/>
        </w:rPr>
        <w:t>قاعدة البيانات المذكورة (التي تُسمى بشكل غير رسمي "شجرة عيد الميلاد")</w:t>
      </w:r>
      <w:r w:rsidR="006819E5">
        <w:rPr>
          <w:rFonts w:hint="cs"/>
          <w:rtl/>
        </w:rPr>
        <w:t xml:space="preserve"> وفقا للطبعة التاسعة من تصنيف نيس. وحُدّثت قاعدة البيانات لبلورة التغييرات التي أدخلتها كل نسخة من نُسخ الطبعة العاشرة من تصنيف نيس ولإدراج المصطلحات المُستخدمة بكثرة والمصنّفة تصنيفا متسقا. وتشتمل قاعدة البيانات، حاليا، على 387</w:t>
      </w:r>
      <w:r w:rsidR="006819E5">
        <w:rPr>
          <w:rFonts w:hint="eastAsia"/>
          <w:rtl/>
        </w:rPr>
        <w:t> </w:t>
      </w:r>
      <w:r w:rsidR="006819E5">
        <w:rPr>
          <w:rFonts w:hint="cs"/>
          <w:rtl/>
        </w:rPr>
        <w:t xml:space="preserve">88 </w:t>
      </w:r>
      <w:r w:rsidR="009427C4">
        <w:rPr>
          <w:rFonts w:hint="cs"/>
          <w:rtl/>
        </w:rPr>
        <w:t>بيانا بالإنكليزية، و425</w:t>
      </w:r>
      <w:r w:rsidR="009427C4">
        <w:rPr>
          <w:rFonts w:hint="eastAsia"/>
          <w:rtl/>
        </w:rPr>
        <w:t> </w:t>
      </w:r>
      <w:r w:rsidR="009427C4">
        <w:rPr>
          <w:rFonts w:hint="cs"/>
          <w:rtl/>
        </w:rPr>
        <w:t>46 بيانا بالفرنسية، و534</w:t>
      </w:r>
      <w:r w:rsidR="009427C4">
        <w:rPr>
          <w:rFonts w:hint="eastAsia"/>
          <w:rtl/>
        </w:rPr>
        <w:t> </w:t>
      </w:r>
      <w:r w:rsidR="009427C4">
        <w:rPr>
          <w:rFonts w:hint="cs"/>
          <w:rtl/>
        </w:rPr>
        <w:t>45 بيانا بالإسبانية. وأدرجت الطبعتان التاسعة والعاشرة من تصنيف نيس في النظام، بينما لم تُدرج فيه الطبعات من الأولى إلى الثامنة.</w:t>
      </w:r>
    </w:p>
    <w:p w:rsidR="009427C4" w:rsidRDefault="009427C4" w:rsidP="000C50FE">
      <w:pPr>
        <w:pStyle w:val="NumberedParaAR"/>
        <w:rPr>
          <w:rFonts w:hint="cs"/>
        </w:rPr>
      </w:pPr>
      <w:r>
        <w:rPr>
          <w:rFonts w:hint="cs"/>
          <w:rtl/>
        </w:rPr>
        <w:t xml:space="preserve">وشجرة عيد الميلاد المذكورة ليست مماثلة </w:t>
      </w:r>
      <w:r w:rsidR="000C50FE">
        <w:rPr>
          <w:rFonts w:hint="cs"/>
          <w:rtl/>
        </w:rPr>
        <w:t>لأداة إدارة السلع والخدمات في نظام مدريد، التي تُعد أداة التصنيف الخارجية المتاحة للمستخدمين للمساعدة على تجميع وتصنيف قائمة السلع والخدمات. وتلك الأداة أقلّ اشتمالا على مصطلحات البيانات من شجرة عيد الميلاد ولا تبلور سوى الطبعة الحالية لتصنيف نيس.</w:t>
      </w:r>
    </w:p>
    <w:p w:rsidR="000C50FE" w:rsidRDefault="000C50FE" w:rsidP="00EE2AB9">
      <w:pPr>
        <w:pStyle w:val="NumberedParaAR"/>
        <w:rPr>
          <w:rFonts w:hint="cs"/>
        </w:rPr>
      </w:pPr>
      <w:r>
        <w:rPr>
          <w:rFonts w:hint="cs"/>
          <w:rtl/>
        </w:rPr>
        <w:t xml:space="preserve">وبناء على </w:t>
      </w:r>
      <w:r w:rsidR="005D1FB7">
        <w:rPr>
          <w:rFonts w:hint="cs"/>
          <w:rtl/>
        </w:rPr>
        <w:t>القاعدة 24(5)(أ) و(د)، التي يقدم صاحب التسجيل بموجبها تعيينا لاحقا يشتمل على حالات إنقاص مع تعبيرات حرّة (</w:t>
      </w:r>
      <w:r w:rsidR="005D1FB7">
        <w:rPr>
          <w:rFonts w:hint="cs"/>
          <w:rtl/>
        </w:rPr>
        <w:t>أي بيانات ليست واردة في التسجيل الدولي ولا مُدرجة في القائمة الأبجدية لتصنيف نيس</w:t>
      </w:r>
      <w:r w:rsidR="005D1FB7">
        <w:rPr>
          <w:rFonts w:hint="cs"/>
          <w:rtl/>
        </w:rPr>
        <w:t xml:space="preserve"> ولا في قاعدة بيانات التصنيف الداخلية)، يتعيّن على المكتب الدولي </w:t>
      </w:r>
      <w:r w:rsidR="00EE2AB9">
        <w:rPr>
          <w:rFonts w:hint="cs"/>
          <w:rtl/>
        </w:rPr>
        <w:t>أن يفحص يدويا حالات الإنقاص المذكورة</w:t>
      </w:r>
      <w:r w:rsidR="005D1FB7">
        <w:rPr>
          <w:rFonts w:hint="cs"/>
          <w:rtl/>
        </w:rPr>
        <w:t>، ويتحقّق من التصنيف وفقا لطبعة ونسخة تصنيف نيس المُستخدمة في التسجيل الدولي.</w:t>
      </w:r>
    </w:p>
    <w:p w:rsidR="005D1FB7" w:rsidRDefault="005D1FB7" w:rsidP="00EE2AB9">
      <w:pPr>
        <w:pStyle w:val="NumberedParaAR"/>
        <w:rPr>
          <w:rFonts w:hint="cs"/>
        </w:rPr>
      </w:pPr>
      <w:r>
        <w:rPr>
          <w:rFonts w:hint="cs"/>
          <w:rtl/>
        </w:rPr>
        <w:t>ويمكن زيادة تطوير شجرة عيد الميلاد لتضمينها القوائم الأبجدية لكل الطبعات السابقة لتصنيف نيس. ولكن من الأرجح أن ذلك التطوير</w:t>
      </w:r>
      <w:r w:rsidR="00EE2AB9" w:rsidRPr="00EE2AB9">
        <w:rPr>
          <w:rFonts w:hint="cs"/>
          <w:rtl/>
        </w:rPr>
        <w:t xml:space="preserve"> </w:t>
      </w:r>
      <w:r w:rsidR="00EE2AB9">
        <w:rPr>
          <w:rFonts w:hint="cs"/>
          <w:rtl/>
        </w:rPr>
        <w:t>لن يكون</w:t>
      </w:r>
      <w:r>
        <w:rPr>
          <w:rFonts w:hint="cs"/>
          <w:rtl/>
        </w:rPr>
        <w:t xml:space="preserve">، </w:t>
      </w:r>
      <w:r w:rsidR="00EE2AB9">
        <w:rPr>
          <w:rFonts w:hint="cs"/>
          <w:rtl/>
        </w:rPr>
        <w:t>حتى وإن</w:t>
      </w:r>
      <w:r>
        <w:rPr>
          <w:rFonts w:hint="cs"/>
          <w:rtl/>
        </w:rPr>
        <w:t xml:space="preserve"> تحقّق، كافيا بالنسبة للمكتب الدولي لإنجاز مهمتيه الجديدتين المتعلقتين بالفحص والتصنيف.</w:t>
      </w:r>
    </w:p>
    <w:p w:rsidR="000726A2" w:rsidRPr="000726A2" w:rsidRDefault="000726A2" w:rsidP="000726A2">
      <w:pPr>
        <w:pStyle w:val="NumberedParaAR"/>
        <w:keepNext/>
        <w:numPr>
          <w:ilvl w:val="0"/>
          <w:numId w:val="0"/>
        </w:numPr>
        <w:rPr>
          <w:rFonts w:hint="cs"/>
          <w:sz w:val="40"/>
          <w:szCs w:val="40"/>
        </w:rPr>
      </w:pPr>
      <w:r w:rsidRPr="000726A2">
        <w:rPr>
          <w:rFonts w:hint="cs"/>
          <w:sz w:val="40"/>
          <w:szCs w:val="40"/>
          <w:rtl/>
        </w:rPr>
        <w:t>الموارد الإضافية المؤهّلة</w:t>
      </w:r>
    </w:p>
    <w:p w:rsidR="000726A2" w:rsidRDefault="000659C9" w:rsidP="00EE2AB9">
      <w:pPr>
        <w:pStyle w:val="NumberedParaAR"/>
        <w:rPr>
          <w:rFonts w:hint="cs"/>
        </w:rPr>
      </w:pPr>
      <w:r>
        <w:rPr>
          <w:rFonts w:hint="cs"/>
          <w:rtl/>
        </w:rPr>
        <w:t xml:space="preserve">بما أنه يتعيّن التحقّق يدويا من تصنيف السلع والخدمات المُدرجة في التعيينات اللاحقة وفقا للطبعات القديمة لتصنيف نيس، فإنه يُشترط أن يكون للفاحصين الذين يقومون بذلك معرفة تاريخية مُعمّقة بكل طبعات تصنيف نيس. ولا يمتلك سجل مدريد، حاليا، تلك المعرفة التاريخية وسيكون من الصعب، في أحسن الأحوال، الحصول على المستوى </w:t>
      </w:r>
      <w:r w:rsidR="00EE2AB9">
        <w:rPr>
          <w:rFonts w:hint="cs"/>
          <w:rtl/>
        </w:rPr>
        <w:t>اللازم</w:t>
      </w:r>
      <w:r>
        <w:rPr>
          <w:rFonts w:hint="cs"/>
          <w:rtl/>
        </w:rPr>
        <w:t xml:space="preserve"> من تلك المعرفة.</w:t>
      </w:r>
    </w:p>
    <w:p w:rsidR="000659C9" w:rsidRDefault="000659C9" w:rsidP="00EE2AB9">
      <w:pPr>
        <w:pStyle w:val="NumberedParaAR"/>
        <w:rPr>
          <w:rFonts w:hint="cs"/>
        </w:rPr>
      </w:pPr>
      <w:r>
        <w:rPr>
          <w:rFonts w:hint="cs"/>
          <w:rtl/>
        </w:rPr>
        <w:t xml:space="preserve">وإذا ما روعي فقط </w:t>
      </w:r>
      <w:r w:rsidR="00FC1AB8">
        <w:rPr>
          <w:rFonts w:hint="cs"/>
          <w:rtl/>
        </w:rPr>
        <w:t>عبء العمل الإضافي الناجم عن تنفيذ القاعدة</w:t>
      </w:r>
      <w:r w:rsidR="00FC1AB8">
        <w:rPr>
          <w:rFonts w:hint="eastAsia"/>
          <w:rtl/>
        </w:rPr>
        <w:t> </w:t>
      </w:r>
      <w:r w:rsidR="00FC1AB8">
        <w:rPr>
          <w:rFonts w:hint="cs"/>
          <w:rtl/>
        </w:rPr>
        <w:t xml:space="preserve">24(5)، دون مراعاة </w:t>
      </w:r>
      <w:r w:rsidR="00EE2AB9">
        <w:rPr>
          <w:rFonts w:hint="cs"/>
          <w:rtl/>
        </w:rPr>
        <w:t xml:space="preserve">درجة </w:t>
      </w:r>
      <w:r w:rsidR="00FC1AB8">
        <w:rPr>
          <w:rFonts w:hint="cs"/>
          <w:rtl/>
        </w:rPr>
        <w:t>التعقيد المرتبط</w:t>
      </w:r>
      <w:r w:rsidR="00EE2AB9">
        <w:rPr>
          <w:rFonts w:hint="cs"/>
          <w:rtl/>
        </w:rPr>
        <w:t>ة</w:t>
      </w:r>
      <w:r w:rsidR="00FC1AB8">
        <w:rPr>
          <w:rFonts w:hint="cs"/>
          <w:rtl/>
        </w:rPr>
        <w:t xml:space="preserve"> به، فسيلزم توظيف أربعة فاحصين إضافيين. غير أنه </w:t>
      </w:r>
      <w:r w:rsidR="00EE2AB9">
        <w:rPr>
          <w:rFonts w:hint="cs"/>
          <w:rtl/>
        </w:rPr>
        <w:t>لم تتضح بعد إمكانية</w:t>
      </w:r>
      <w:r w:rsidR="00FC1AB8">
        <w:rPr>
          <w:rFonts w:hint="cs"/>
          <w:rtl/>
        </w:rPr>
        <w:t xml:space="preserve"> توظيف فاحصين من الخارج ممن لديهم المستوى المطلوب من المعرفة التاريخية بتصنيف نيس. وذلك يمثّل تحديا تواجهه أيضا المكاتب الوطنية.</w:t>
      </w:r>
    </w:p>
    <w:p w:rsidR="00FC1AB8" w:rsidRDefault="00FC1AB8" w:rsidP="00FC1AB8">
      <w:pPr>
        <w:pStyle w:val="NumberedParaAR"/>
        <w:rPr>
          <w:rFonts w:hint="cs"/>
        </w:rPr>
      </w:pPr>
      <w:r>
        <w:rPr>
          <w:rFonts w:hint="cs"/>
          <w:rtl/>
        </w:rPr>
        <w:t>ويمكن، مع مرور الوقت، تطوير موارد داخلية لإكسابها المعرف التاريخية الوجيهة، ولكن ذلك يستوجب استثمارا كبيرا ودائما في التدريب. ولكن يجب الوزن بين الجهود الرامية إلى اكتساب تلك الكفاءة وبين المكسب الفعلي الناتج عن الاضطلاع يدويا بعملية التحقّق المذكورة أعلاه.</w:t>
      </w:r>
    </w:p>
    <w:p w:rsidR="00FC1AB8" w:rsidRDefault="00FC1AB8" w:rsidP="00822709">
      <w:pPr>
        <w:pStyle w:val="NumberedParaAR"/>
        <w:rPr>
          <w:rFonts w:hint="cs"/>
        </w:rPr>
      </w:pPr>
      <w:r>
        <w:rPr>
          <w:rFonts w:hint="cs"/>
          <w:rtl/>
        </w:rPr>
        <w:t xml:space="preserve">وعلاوة على ذلك، هناك مخاطر محتملة </w:t>
      </w:r>
      <w:r w:rsidR="00D509D4">
        <w:rPr>
          <w:rFonts w:hint="cs"/>
          <w:rtl/>
        </w:rPr>
        <w:t xml:space="preserve">قد تظهر نتيجة تنفيذ القاعدة المُعدّلة، مثل </w:t>
      </w:r>
      <w:r w:rsidR="00822709">
        <w:rPr>
          <w:rFonts w:hint="cs"/>
          <w:rtl/>
        </w:rPr>
        <w:t xml:space="preserve">إمكانية إحداث أثر </w:t>
      </w:r>
      <w:r w:rsidR="00D509D4">
        <w:rPr>
          <w:rFonts w:hint="cs"/>
          <w:rtl/>
        </w:rPr>
        <w:t xml:space="preserve">سلبي </w:t>
      </w:r>
      <w:r w:rsidR="00822709">
        <w:rPr>
          <w:rFonts w:hint="cs"/>
          <w:rtl/>
        </w:rPr>
        <w:t>على مدة المعالجة عموما، وبخاصة على مدة معالجة التعيينات اللاحقة مما قد يؤدي كذلك إلى تأخير لا داعي له بالنسبة لأصحاب التسجيلات.</w:t>
      </w:r>
    </w:p>
    <w:p w:rsidR="00822709" w:rsidRDefault="00822709" w:rsidP="00822709">
      <w:pPr>
        <w:pStyle w:val="NumberedParaAR"/>
        <w:rPr>
          <w:rFonts w:hint="cs"/>
        </w:rPr>
      </w:pPr>
      <w:r>
        <w:rPr>
          <w:rFonts w:hint="cs"/>
          <w:rtl/>
        </w:rPr>
        <w:t xml:space="preserve">وأخيرا، يجب على الأطراف المتعاقدة وأصحاب التسجيلات تقييم ما إذا كان التحقّق يدويا من التصنيف الذي أجراه المكتب الدولي، بقدر الإمكان، يجلب قيمة مضافة للفحص الذي تجريه المكاتب المعيّنة لتحديد نطاق الحماية لتعيين لاحق يشتمل على </w:t>
      </w:r>
      <w:r w:rsidR="00D824CD">
        <w:rPr>
          <w:rFonts w:hint="cs"/>
          <w:rtl/>
        </w:rPr>
        <w:t>قائمة مُنق</w:t>
      </w:r>
      <w:r>
        <w:rPr>
          <w:rFonts w:hint="cs"/>
          <w:rtl/>
        </w:rPr>
        <w:t>ص</w:t>
      </w:r>
      <w:r w:rsidR="00EE2AB9">
        <w:rPr>
          <w:rFonts w:hint="cs"/>
          <w:rtl/>
        </w:rPr>
        <w:t>َ</w:t>
      </w:r>
      <w:bookmarkStart w:id="2" w:name="_GoBack"/>
      <w:bookmarkEnd w:id="2"/>
      <w:r>
        <w:rPr>
          <w:rFonts w:hint="cs"/>
          <w:rtl/>
        </w:rPr>
        <w:t>ة.</w:t>
      </w:r>
    </w:p>
    <w:p w:rsidR="00D824CD" w:rsidRDefault="00D824CD" w:rsidP="00D824CD">
      <w:pPr>
        <w:pStyle w:val="NumberedParaAR"/>
        <w:rPr>
          <w:rFonts w:hint="cs"/>
        </w:rPr>
      </w:pPr>
      <w:r>
        <w:rPr>
          <w:rFonts w:hint="cs"/>
          <w:rtl/>
        </w:rPr>
        <w:t>وفي ضوء المسائل المطروحة أعلاه، يجب على الفريق العامل النظر فيما إذا كان ينبغي تنفيذ القاعدة المُعدّلة</w:t>
      </w:r>
      <w:r>
        <w:rPr>
          <w:rFonts w:hint="eastAsia"/>
          <w:rtl/>
        </w:rPr>
        <w:t> </w:t>
      </w:r>
      <w:r>
        <w:rPr>
          <w:rFonts w:hint="cs"/>
          <w:rtl/>
        </w:rPr>
        <w:t>24(5) بصيغتها الحالية، أو مراجعتها بشكل أعمق.</w:t>
      </w:r>
    </w:p>
    <w:p w:rsidR="00D824CD" w:rsidRDefault="00D824CD" w:rsidP="00167D39">
      <w:pPr>
        <w:pStyle w:val="DecisionParaAR"/>
        <w:spacing w:after="480"/>
        <w:rPr>
          <w:rFonts w:hint="cs"/>
        </w:rPr>
      </w:pPr>
      <w:r>
        <w:rPr>
          <w:rFonts w:hint="cs"/>
          <w:rtl/>
        </w:rPr>
        <w:t xml:space="preserve">إن الفريق العامل مدعو إلى الإحاطة علما </w:t>
      </w:r>
      <w:r w:rsidR="00167D39">
        <w:rPr>
          <w:rFonts w:hint="cs"/>
          <w:rtl/>
        </w:rPr>
        <w:t>بالمسائل</w:t>
      </w:r>
      <w:r>
        <w:rPr>
          <w:rFonts w:hint="cs"/>
          <w:rtl/>
        </w:rPr>
        <w:t xml:space="preserve"> </w:t>
      </w:r>
      <w:r w:rsidR="00167D39">
        <w:rPr>
          <w:rFonts w:hint="cs"/>
          <w:rtl/>
        </w:rPr>
        <w:t xml:space="preserve">المذكورة أعلاه </w:t>
      </w:r>
      <w:r w:rsidR="00167D39">
        <w:rPr>
          <w:rFonts w:hint="cs"/>
          <w:rtl/>
        </w:rPr>
        <w:t>المتعلقة ب</w:t>
      </w:r>
      <w:r>
        <w:rPr>
          <w:rFonts w:hint="cs"/>
          <w:rtl/>
        </w:rPr>
        <w:t>التنفيذ والنظر في تحديد التوصيات الإضافية التي قد تكون ضرورية لاعتمادها من قبل جمعية اتحاد مدريد في عام</w:t>
      </w:r>
      <w:r w:rsidR="00167D39">
        <w:rPr>
          <w:rFonts w:hint="eastAsia"/>
          <w:rtl/>
        </w:rPr>
        <w:t> </w:t>
      </w:r>
      <w:r>
        <w:rPr>
          <w:rFonts w:hint="cs"/>
          <w:rtl/>
        </w:rPr>
        <w:t>2016.</w:t>
      </w:r>
    </w:p>
    <w:p w:rsidR="00D824CD" w:rsidRDefault="00D824CD" w:rsidP="00D824CD">
      <w:pPr>
        <w:pStyle w:val="EndofDocumentAR"/>
        <w:rPr>
          <w:rFonts w:hint="cs"/>
          <w:rtl/>
        </w:rPr>
      </w:pPr>
      <w:r>
        <w:rPr>
          <w:rFonts w:hint="cs"/>
          <w:rtl/>
        </w:rPr>
        <w:t>[نهاية الوثيقة]</w:t>
      </w:r>
    </w:p>
    <w:sectPr w:rsidR="00D824CD"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7E7" w:rsidRDefault="003A37E7">
      <w:r>
        <w:separator/>
      </w:r>
    </w:p>
  </w:endnote>
  <w:endnote w:type="continuationSeparator" w:id="0">
    <w:p w:rsidR="003A37E7" w:rsidRDefault="003A3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7E7" w:rsidRDefault="003A37E7" w:rsidP="009622BF">
      <w:pPr>
        <w:bidi/>
      </w:pPr>
      <w:bookmarkStart w:id="0" w:name="OLE_LINK1"/>
      <w:bookmarkStart w:id="1" w:name="OLE_LINK2"/>
      <w:r>
        <w:separator/>
      </w:r>
      <w:bookmarkEnd w:id="0"/>
      <w:bookmarkEnd w:id="1"/>
    </w:p>
  </w:footnote>
  <w:footnote w:type="continuationSeparator" w:id="0">
    <w:p w:rsidR="003A37E7" w:rsidRDefault="003A37E7" w:rsidP="009622BF">
      <w:pPr>
        <w:bidi/>
      </w:pPr>
      <w:r>
        <w:separator/>
      </w:r>
    </w:p>
  </w:footnote>
  <w:footnote w:id="1">
    <w:p w:rsidR="00387396" w:rsidRDefault="00387396" w:rsidP="00387396">
      <w:pPr>
        <w:pStyle w:val="FootnoteText"/>
        <w:rPr>
          <w:rFonts w:hint="cs"/>
        </w:rPr>
      </w:pPr>
      <w:r>
        <w:rPr>
          <w:rStyle w:val="FootnoteReference"/>
        </w:rPr>
        <w:footnoteRef/>
      </w:r>
      <w:r>
        <w:rPr>
          <w:rtl/>
        </w:rPr>
        <w:t xml:space="preserve"> </w:t>
      </w:r>
      <w:r>
        <w:rPr>
          <w:rFonts w:hint="cs"/>
          <w:rtl/>
        </w:rPr>
        <w:t xml:space="preserve">انظر الوثيقة </w:t>
      </w:r>
      <w:r w:rsidRPr="00387396">
        <w:t>MM/A/49/3</w:t>
      </w:r>
      <w:r>
        <w:rPr>
          <w:rFonts w:hint="cs"/>
          <w:rtl/>
        </w:rPr>
        <w:t>.</w:t>
      </w:r>
    </w:p>
  </w:footnote>
  <w:footnote w:id="2">
    <w:p w:rsidR="00665CAB" w:rsidRDefault="00665CAB" w:rsidP="00B220C4">
      <w:pPr>
        <w:pStyle w:val="FootnoteText"/>
        <w:rPr>
          <w:rFonts w:hint="cs"/>
        </w:rPr>
      </w:pPr>
      <w:r>
        <w:rPr>
          <w:rStyle w:val="FootnoteReference"/>
        </w:rPr>
        <w:footnoteRef/>
      </w:r>
      <w:r>
        <w:rPr>
          <w:rtl/>
        </w:rPr>
        <w:t xml:space="preserve"> </w:t>
      </w:r>
      <w:r w:rsidR="00004A6F">
        <w:rPr>
          <w:rFonts w:hint="cs"/>
          <w:rtl/>
        </w:rPr>
        <w:t xml:space="preserve">كان المكتب الدولي، حتى 31 مارس 1996، يقوم بتجميع قائمة السلع والخدمات في التسجيلات الدولية وقت تجديدها، بشطب البيانات التي ألغيت وتلك التي رُفضت في كل الأطراف المتعاقدة. وعلاوة على ذلك، كان المكتب الدولي يعيد تصنيف قائمة السلع والخدمات وفق </w:t>
      </w:r>
      <w:r w:rsidR="00B220C4">
        <w:rPr>
          <w:rFonts w:hint="cs"/>
          <w:rtl/>
        </w:rPr>
        <w:t>طبعة</w:t>
      </w:r>
      <w:r w:rsidR="00004A6F">
        <w:rPr>
          <w:rFonts w:hint="cs"/>
          <w:rtl/>
        </w:rPr>
        <w:t xml:space="preserve"> تصنيف نيس النافذة وقت تجديد التسجيل الدولي. وتم </w:t>
      </w:r>
      <w:r w:rsidR="00B220C4">
        <w:rPr>
          <w:rFonts w:hint="cs"/>
          <w:rtl/>
        </w:rPr>
        <w:t>وقف</w:t>
      </w:r>
      <w:r w:rsidR="00004A6F">
        <w:rPr>
          <w:rFonts w:hint="cs"/>
          <w:rtl/>
        </w:rPr>
        <w:t xml:space="preserve"> تلك الممارسة في 1</w:t>
      </w:r>
      <w:r w:rsidR="00004A6F">
        <w:rPr>
          <w:rFonts w:hint="eastAsia"/>
          <w:rtl/>
        </w:rPr>
        <w:t> </w:t>
      </w:r>
      <w:r w:rsidR="00004A6F">
        <w:rPr>
          <w:rFonts w:hint="cs"/>
          <w:rtl/>
        </w:rPr>
        <w:t>أبريل</w:t>
      </w:r>
      <w:r w:rsidR="00004A6F">
        <w:rPr>
          <w:rFonts w:hint="eastAsia"/>
          <w:rtl/>
        </w:rPr>
        <w:t> </w:t>
      </w:r>
      <w:r w:rsidR="00004A6F">
        <w:rPr>
          <w:rFonts w:hint="cs"/>
          <w:rtl/>
        </w:rPr>
        <w:t xml:space="preserve">1996 عندما دخلت اللائحة التنفيذية المشتركة بين اتفاق وبروتوكول مدريد </w:t>
      </w:r>
      <w:r w:rsidR="00004A6F" w:rsidRPr="00004A6F">
        <w:rPr>
          <w:rtl/>
        </w:rPr>
        <w:t>بشأن التسجيل الدولي للعلامات</w:t>
      </w:r>
      <w:r w:rsidR="00004A6F">
        <w:rPr>
          <w:rFonts w:hint="cs"/>
          <w:rtl/>
        </w:rPr>
        <w:t xml:space="preserve"> حيّز النفاذ.</w:t>
      </w:r>
    </w:p>
  </w:footnote>
  <w:footnote w:id="3">
    <w:p w:rsidR="00C06CB2" w:rsidRDefault="00C06CB2" w:rsidP="00C06CB2">
      <w:pPr>
        <w:pStyle w:val="FootnoteText"/>
        <w:rPr>
          <w:rFonts w:hint="cs"/>
        </w:rPr>
      </w:pPr>
      <w:r>
        <w:rPr>
          <w:rStyle w:val="FootnoteReference"/>
        </w:rPr>
        <w:footnoteRef/>
      </w:r>
      <w:r>
        <w:rPr>
          <w:rtl/>
        </w:rPr>
        <w:t xml:space="preserve"> </w:t>
      </w:r>
      <w:r>
        <w:rPr>
          <w:rFonts w:hint="cs"/>
          <w:rtl/>
        </w:rPr>
        <w:t>انظر الجدول 2 من الوثيقة</w:t>
      </w:r>
      <w:r>
        <w:rPr>
          <w:rFonts w:hint="eastAsia"/>
          <w:rtl/>
        </w:rPr>
        <w:t> </w:t>
      </w:r>
      <w:r w:rsidRPr="00C06CB2">
        <w:t>MM/LD/WG/13/2</w:t>
      </w:r>
      <w:r>
        <w:rPr>
          <w:rFonts w:hint="cs"/>
          <w:rtl/>
        </w:rPr>
        <w:t>.</w:t>
      </w:r>
    </w:p>
  </w:footnote>
  <w:footnote w:id="4">
    <w:p w:rsidR="000F00E5" w:rsidRDefault="000F00E5" w:rsidP="00693C09">
      <w:pPr>
        <w:pStyle w:val="FootnoteText"/>
        <w:rPr>
          <w:rFonts w:hint="cs"/>
        </w:rPr>
      </w:pPr>
      <w:r>
        <w:rPr>
          <w:rStyle w:val="FootnoteReference"/>
        </w:rPr>
        <w:footnoteRef/>
      </w:r>
      <w:r>
        <w:rPr>
          <w:rtl/>
        </w:rPr>
        <w:t xml:space="preserve"> </w:t>
      </w:r>
      <w:r w:rsidR="00693C09">
        <w:rPr>
          <w:rFonts w:hint="cs"/>
          <w:rtl/>
        </w:rPr>
        <w:t>الوثيقة</w:t>
      </w:r>
      <w:r w:rsidR="00693C09">
        <w:rPr>
          <w:rFonts w:hint="eastAsia"/>
          <w:rtl/>
        </w:rPr>
        <w:t> </w:t>
      </w:r>
      <w:r w:rsidR="00693C09" w:rsidRPr="00693C09">
        <w:t>MM/LD/WG/12/2</w:t>
      </w:r>
      <w:r w:rsidR="00693C09">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655F5A" w:rsidP="00655F5A">
    <w:r>
      <w:t>MM/LD</w:t>
    </w:r>
    <w:r w:rsidR="00772E46">
      <w:t>/</w:t>
    </w:r>
    <w:r w:rsidR="00C742C5">
      <w:t>WG</w:t>
    </w:r>
    <w:r w:rsidR="002F77FC">
      <w:t>/</w:t>
    </w:r>
    <w:r>
      <w:t>13</w:t>
    </w:r>
    <w:r w:rsidR="00CB5A06">
      <w:t>/8</w:t>
    </w:r>
  </w:p>
  <w:p w:rsidR="002F77FC" w:rsidRDefault="002F77FC" w:rsidP="00D61541">
    <w:r>
      <w:fldChar w:fldCharType="begin"/>
    </w:r>
    <w:r>
      <w:instrText xml:space="preserve"> PAGE  \* MERGEFORMAT </w:instrText>
    </w:r>
    <w:r>
      <w:fldChar w:fldCharType="separate"/>
    </w:r>
    <w:r w:rsidR="00E3554A">
      <w:rPr>
        <w:noProof/>
      </w:rPr>
      <w:t>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 w:numId="22">
    <w:abstractNumId w:val="12"/>
  </w:num>
  <w:num w:numId="23">
    <w:abstractNumId w:val="12"/>
  </w:num>
  <w:num w:numId="24">
    <w:abstractNumId w:val="12"/>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567"/>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7E7"/>
    <w:rsid w:val="00002CBE"/>
    <w:rsid w:val="00003232"/>
    <w:rsid w:val="000033DA"/>
    <w:rsid w:val="00004A6F"/>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59C9"/>
    <w:rsid w:val="00066DC7"/>
    <w:rsid w:val="0006794A"/>
    <w:rsid w:val="00067F31"/>
    <w:rsid w:val="00071138"/>
    <w:rsid w:val="000717BF"/>
    <w:rsid w:val="000726A2"/>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0FE"/>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0E5"/>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D3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6593"/>
    <w:rsid w:val="001A098F"/>
    <w:rsid w:val="001A10CB"/>
    <w:rsid w:val="001A110B"/>
    <w:rsid w:val="001A149A"/>
    <w:rsid w:val="001A2AB7"/>
    <w:rsid w:val="001A4A9C"/>
    <w:rsid w:val="001A5804"/>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E7C1F"/>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3F25"/>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60A9"/>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396"/>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E7"/>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BD"/>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5261"/>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43FC"/>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D56"/>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1FB7"/>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1FE"/>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AE4"/>
    <w:rsid w:val="0064656E"/>
    <w:rsid w:val="00646DF5"/>
    <w:rsid w:val="00650397"/>
    <w:rsid w:val="006507E8"/>
    <w:rsid w:val="00650C73"/>
    <w:rsid w:val="00651143"/>
    <w:rsid w:val="00651959"/>
    <w:rsid w:val="00653149"/>
    <w:rsid w:val="006531E4"/>
    <w:rsid w:val="00654505"/>
    <w:rsid w:val="00655F5A"/>
    <w:rsid w:val="006575ED"/>
    <w:rsid w:val="006578FD"/>
    <w:rsid w:val="00660060"/>
    <w:rsid w:val="006609AA"/>
    <w:rsid w:val="00662EDE"/>
    <w:rsid w:val="00664C9F"/>
    <w:rsid w:val="00665CAB"/>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9E5"/>
    <w:rsid w:val="00681B4A"/>
    <w:rsid w:val="00681D07"/>
    <w:rsid w:val="00681EDA"/>
    <w:rsid w:val="00682017"/>
    <w:rsid w:val="00682AAD"/>
    <w:rsid w:val="006868CA"/>
    <w:rsid w:val="00686E32"/>
    <w:rsid w:val="0069087A"/>
    <w:rsid w:val="00690B4B"/>
    <w:rsid w:val="00690BE4"/>
    <w:rsid w:val="00690ECF"/>
    <w:rsid w:val="00691077"/>
    <w:rsid w:val="00691982"/>
    <w:rsid w:val="00691BB0"/>
    <w:rsid w:val="00692777"/>
    <w:rsid w:val="00692BE0"/>
    <w:rsid w:val="00692C98"/>
    <w:rsid w:val="0069324E"/>
    <w:rsid w:val="00693C09"/>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C746B"/>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B24"/>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FBE"/>
    <w:rsid w:val="0081421D"/>
    <w:rsid w:val="00814ADB"/>
    <w:rsid w:val="00815C5D"/>
    <w:rsid w:val="0081618F"/>
    <w:rsid w:val="008174D1"/>
    <w:rsid w:val="008178B2"/>
    <w:rsid w:val="0082165E"/>
    <w:rsid w:val="00822136"/>
    <w:rsid w:val="00822709"/>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59F"/>
    <w:rsid w:val="008A11B6"/>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7C4"/>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07B2"/>
    <w:rsid w:val="00B21771"/>
    <w:rsid w:val="00B2191C"/>
    <w:rsid w:val="00B21B30"/>
    <w:rsid w:val="00B220C4"/>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1495"/>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9AE"/>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15F"/>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6CB2"/>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2730"/>
    <w:rsid w:val="00C668DE"/>
    <w:rsid w:val="00C7044F"/>
    <w:rsid w:val="00C720F8"/>
    <w:rsid w:val="00C7294B"/>
    <w:rsid w:val="00C742C5"/>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6BFD"/>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5A06"/>
    <w:rsid w:val="00CB79E4"/>
    <w:rsid w:val="00CB7BD7"/>
    <w:rsid w:val="00CC4CB6"/>
    <w:rsid w:val="00CC4DB0"/>
    <w:rsid w:val="00CC4E9B"/>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5B1"/>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09D4"/>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4CD"/>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C7D8C"/>
    <w:rsid w:val="00DD0839"/>
    <w:rsid w:val="00DD2531"/>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554A"/>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A683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2AB9"/>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240"/>
    <w:rsid w:val="00F004D1"/>
    <w:rsid w:val="00F00C0D"/>
    <w:rsid w:val="00F00F9B"/>
    <w:rsid w:val="00F0128B"/>
    <w:rsid w:val="00F02663"/>
    <w:rsid w:val="00F03369"/>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97A"/>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1AB8"/>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4A"/>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MM_LD_WG_13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40723-0638-4FAF-A464-83C088FDB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MM_LD_WG_13_AR.dotx</Template>
  <TotalTime>418</TotalTime>
  <Pages>5</Pages>
  <Words>1494</Words>
  <Characters>7511</Characters>
  <Application>Microsoft Office Word</Application>
  <DocSecurity>0</DocSecurity>
  <Lines>183</Lines>
  <Paragraphs>86</Paragraphs>
  <ScaleCrop>false</ScaleCrop>
  <HeadingPairs>
    <vt:vector size="2" baseType="variant">
      <vt:variant>
        <vt:lpstr>Title</vt:lpstr>
      </vt:variant>
      <vt:variant>
        <vt:i4>1</vt:i4>
      </vt:variant>
    </vt:vector>
  </HeadingPairs>
  <TitlesOfParts>
    <vt:vector size="1" baseType="lpstr">
      <vt:lpstr>MM/LD/WG/13/-- (Arabic)</vt:lpstr>
    </vt:vector>
  </TitlesOfParts>
  <Company>World Intellectual Property Organization</Company>
  <LinksUpToDate>false</LinksUpToDate>
  <CharactersWithSpaces>8919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MM/LD/WG/13/-- (Arabic)</dc:title>
  <dc:creator>MERZOUK Fawzi</dc:creator>
  <cp:lastModifiedBy>MERZOUK Fawzi</cp:lastModifiedBy>
  <cp:revision>42</cp:revision>
  <cp:lastPrinted>2015-10-20T15:29:00Z</cp:lastPrinted>
  <dcterms:created xsi:type="dcterms:W3CDTF">2015-10-20T07:30:00Z</dcterms:created>
  <dcterms:modified xsi:type="dcterms:W3CDTF">2015-10-20T15:29:00Z</dcterms:modified>
</cp:coreProperties>
</file>