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F369E7" w:rsidP="008A5755">
            <w:pPr>
              <w:pStyle w:val="DocumentCodeAR"/>
              <w:bidi/>
              <w:rPr>
                <w:rtl/>
              </w:rPr>
            </w:pPr>
            <w:r>
              <w:t>MM/LD/WG/1</w:t>
            </w:r>
            <w:r w:rsidR="00BA4140">
              <w:t>5</w:t>
            </w:r>
            <w:r w:rsidR="00B6101C" w:rsidRPr="00B6101C">
              <w:t>/</w:t>
            </w:r>
            <w:r w:rsidR="008A5755">
              <w:t>4</w:t>
            </w:r>
          </w:p>
        </w:tc>
      </w:tr>
      <w:tr w:rsidR="001667B6" w:rsidTr="00BF164F">
        <w:tc>
          <w:tcPr>
            <w:tcW w:w="9571" w:type="dxa"/>
            <w:gridSpan w:val="3"/>
          </w:tcPr>
          <w:p w:rsidR="001667B6" w:rsidRPr="00B6101C" w:rsidRDefault="00B6101C" w:rsidP="008A5755">
            <w:pPr>
              <w:pStyle w:val="DocumentLanguageAR"/>
              <w:bidi/>
              <w:rPr>
                <w:rtl/>
              </w:rPr>
            </w:pPr>
            <w:r w:rsidRPr="00B6101C">
              <w:rPr>
                <w:rFonts w:hint="cs"/>
                <w:rtl/>
              </w:rPr>
              <w:t xml:space="preserve">الأصل: </w:t>
            </w:r>
            <w:proofErr w:type="gramStart"/>
            <w:r w:rsidR="008A5755">
              <w:rPr>
                <w:rFonts w:hint="cs"/>
                <w:rtl/>
              </w:rPr>
              <w:t>بالإنكليزية</w:t>
            </w:r>
            <w:proofErr w:type="gramEnd"/>
          </w:p>
        </w:tc>
      </w:tr>
      <w:tr w:rsidR="001667B6" w:rsidTr="00BF164F">
        <w:tc>
          <w:tcPr>
            <w:tcW w:w="9571" w:type="dxa"/>
            <w:gridSpan w:val="3"/>
          </w:tcPr>
          <w:p w:rsidR="001667B6" w:rsidRPr="00B6101C" w:rsidRDefault="00B6101C" w:rsidP="008A5755">
            <w:pPr>
              <w:pStyle w:val="DocumentDateAR"/>
              <w:bidi/>
              <w:rPr>
                <w:rtl/>
              </w:rPr>
            </w:pPr>
            <w:r w:rsidRPr="00B6101C">
              <w:rPr>
                <w:rFonts w:hint="cs"/>
                <w:rtl/>
              </w:rPr>
              <w:t xml:space="preserve">التاريخ: </w:t>
            </w:r>
            <w:r w:rsidR="008A5755">
              <w:rPr>
                <w:rFonts w:hint="cs"/>
                <w:rtl/>
              </w:rPr>
              <w:t>9</w:t>
            </w:r>
            <w:r w:rsidRPr="00B6101C">
              <w:rPr>
                <w:rFonts w:hint="cs"/>
                <w:rtl/>
              </w:rPr>
              <w:t xml:space="preserve"> </w:t>
            </w:r>
            <w:r w:rsidR="008A5755">
              <w:rPr>
                <w:rFonts w:hint="cs"/>
                <w:rtl/>
              </w:rPr>
              <w:t>يونيو</w:t>
            </w:r>
            <w:r w:rsidRPr="00B6101C">
              <w:rPr>
                <w:rFonts w:hint="cs"/>
                <w:rtl/>
              </w:rPr>
              <w:t xml:space="preserve"> </w:t>
            </w:r>
            <w:r w:rsidR="008D5779">
              <w:rPr>
                <w:rFonts w:hint="cs"/>
                <w:rtl/>
              </w:rPr>
              <w:t>201</w:t>
            </w:r>
            <w:r w:rsidR="00BA4140">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F369E7" w:rsidP="00796CF7">
      <w:pPr>
        <w:pStyle w:val="MeetingTitleAR"/>
        <w:bidi/>
        <w:ind w:right="550"/>
        <w:rPr>
          <w:rtl/>
        </w:rPr>
      </w:pPr>
      <w:r w:rsidRPr="00F369E7">
        <w:rPr>
          <w:rtl/>
        </w:rPr>
        <w:t>الفريق العامل المعني بالتطوير القانوني لنظام مدريد بشأن التسجيل الدولي للعلامات</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369E7" w:rsidP="00BA4140">
      <w:pPr>
        <w:pStyle w:val="MeetingSessionAR"/>
        <w:bidi/>
        <w:rPr>
          <w:rFonts w:ascii="Cambria Math" w:hAnsi="Cambria Math"/>
          <w:rtl/>
        </w:rPr>
      </w:pPr>
      <w:r w:rsidRPr="00F369E7">
        <w:rPr>
          <w:rFonts w:ascii="Cambria Math" w:hAnsi="Cambria Math"/>
          <w:rtl/>
        </w:rPr>
        <w:t xml:space="preserve">الدورة </w:t>
      </w:r>
      <w:r w:rsidR="00BA4140">
        <w:rPr>
          <w:rFonts w:ascii="Cambria Math" w:hAnsi="Cambria Math" w:hint="cs"/>
          <w:rtl/>
        </w:rPr>
        <w:t xml:space="preserve">الخامسة </w:t>
      </w:r>
      <w:r w:rsidRPr="00F369E7">
        <w:rPr>
          <w:rFonts w:ascii="Cambria Math" w:hAnsi="Cambria Math"/>
          <w:rtl/>
        </w:rPr>
        <w:t>عشرة</w:t>
      </w:r>
    </w:p>
    <w:p w:rsidR="00D61541" w:rsidRPr="00D61541" w:rsidRDefault="00D61541" w:rsidP="00BA4140">
      <w:pPr>
        <w:pStyle w:val="MeetingDatesAR"/>
        <w:bidi/>
        <w:rPr>
          <w:rtl/>
        </w:rPr>
      </w:pPr>
      <w:r w:rsidRPr="00D61541">
        <w:rPr>
          <w:rFonts w:hint="cs"/>
          <w:rtl/>
        </w:rPr>
        <w:t xml:space="preserve">جنيف، من </w:t>
      </w:r>
      <w:r w:rsidR="00BA4140">
        <w:rPr>
          <w:rFonts w:hint="cs"/>
          <w:rtl/>
        </w:rPr>
        <w:t>19</w:t>
      </w:r>
      <w:r w:rsidR="00100F97">
        <w:rPr>
          <w:rFonts w:hint="cs"/>
          <w:rtl/>
        </w:rPr>
        <w:t xml:space="preserve"> إلى </w:t>
      </w:r>
      <w:r w:rsidR="00BA4140">
        <w:rPr>
          <w:rFonts w:hint="cs"/>
          <w:rtl/>
        </w:rPr>
        <w:t>22</w:t>
      </w:r>
      <w:r w:rsidR="00783D11">
        <w:rPr>
          <w:rFonts w:hint="cs"/>
          <w:rtl/>
        </w:rPr>
        <w:t xml:space="preserve"> </w:t>
      </w:r>
      <w:r w:rsidR="00F369E7">
        <w:rPr>
          <w:rFonts w:hint="cs"/>
          <w:rtl/>
        </w:rPr>
        <w:t>يونيو</w:t>
      </w:r>
      <w:r w:rsidR="007205B1">
        <w:rPr>
          <w:rFonts w:hint="cs"/>
          <w:rtl/>
        </w:rPr>
        <w:t xml:space="preserve"> </w:t>
      </w:r>
      <w:r w:rsidR="008D5779">
        <w:rPr>
          <w:rFonts w:hint="cs"/>
          <w:rtl/>
        </w:rPr>
        <w:t>201</w:t>
      </w:r>
      <w:r w:rsidR="00BA4140">
        <w:rPr>
          <w:rFonts w:hint="cs"/>
          <w:rtl/>
        </w:rPr>
        <w:t>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795210" w:rsidP="00FB7EC9">
      <w:pPr>
        <w:pStyle w:val="DocumentTitleAR"/>
        <w:bidi/>
        <w:rPr>
          <w:rtl/>
        </w:rPr>
      </w:pPr>
      <w:r>
        <w:rPr>
          <w:rFonts w:hint="cs"/>
          <w:rtl/>
        </w:rPr>
        <w:t>ورقة موقف قدمها وفد المملكة المتحدة</w:t>
      </w:r>
    </w:p>
    <w:p w:rsidR="00D61541" w:rsidRDefault="004663E9"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sidR="00795210">
        <w:rPr>
          <w:rFonts w:hint="cs"/>
          <w:rtl/>
        </w:rPr>
        <w:t xml:space="preserve"> المكتب الدولي</w:t>
      </w:r>
    </w:p>
    <w:p w:rsidR="00795210" w:rsidRDefault="005C0A37" w:rsidP="005C0A37">
      <w:pPr>
        <w:pStyle w:val="NumberedParaAR"/>
      </w:pPr>
      <w:r>
        <w:rPr>
          <w:rtl/>
        </w:rPr>
        <w:t>تلق</w:t>
      </w:r>
      <w:r>
        <w:rPr>
          <w:rFonts w:hint="cs"/>
          <w:rtl/>
        </w:rPr>
        <w:t>ى</w:t>
      </w:r>
      <w:r w:rsidR="00795210" w:rsidRPr="00795210">
        <w:rPr>
          <w:rtl/>
        </w:rPr>
        <w:t xml:space="preserve"> </w:t>
      </w:r>
      <w:r>
        <w:rPr>
          <w:rFonts w:hint="cs"/>
          <w:rtl/>
        </w:rPr>
        <w:t>المكتب الدولي</w:t>
      </w:r>
      <w:r w:rsidR="00795210" w:rsidRPr="00795210">
        <w:rPr>
          <w:rtl/>
        </w:rPr>
        <w:t xml:space="preserve"> رسالة مؤرخة في </w:t>
      </w:r>
      <w:r w:rsidR="00795210">
        <w:rPr>
          <w:rFonts w:hint="cs"/>
          <w:rtl/>
        </w:rPr>
        <w:t>19</w:t>
      </w:r>
      <w:r w:rsidR="00795210" w:rsidRPr="00795210">
        <w:rPr>
          <w:rtl/>
        </w:rPr>
        <w:t xml:space="preserve"> </w:t>
      </w:r>
      <w:r w:rsidR="00795210">
        <w:rPr>
          <w:rFonts w:hint="cs"/>
          <w:rtl/>
        </w:rPr>
        <w:t>مايو</w:t>
      </w:r>
      <w:r w:rsidR="00795210" w:rsidRPr="00795210">
        <w:rPr>
          <w:rtl/>
        </w:rPr>
        <w:t xml:space="preserve"> 201</w:t>
      </w:r>
      <w:r w:rsidR="00795210">
        <w:rPr>
          <w:rFonts w:hint="cs"/>
          <w:rtl/>
        </w:rPr>
        <w:t>7</w:t>
      </w:r>
      <w:r w:rsidR="00795210" w:rsidRPr="00795210">
        <w:rPr>
          <w:rtl/>
        </w:rPr>
        <w:t xml:space="preserve"> </w:t>
      </w:r>
      <w:r w:rsidR="00795210">
        <w:rPr>
          <w:rFonts w:hint="cs"/>
          <w:rtl/>
        </w:rPr>
        <w:t xml:space="preserve">تضمنت ورقة موقف من وفد المملكة المتحدة </w:t>
      </w:r>
      <w:r w:rsidR="001D646C">
        <w:rPr>
          <w:rFonts w:hint="cs"/>
          <w:rtl/>
        </w:rPr>
        <w:t xml:space="preserve">التمس فيها أن تُعرض وثيقته </w:t>
      </w:r>
      <w:r>
        <w:rPr>
          <w:rFonts w:hint="cs"/>
          <w:rtl/>
        </w:rPr>
        <w:t>ع</w:t>
      </w:r>
      <w:r w:rsidR="001D646C">
        <w:rPr>
          <w:rFonts w:hint="cs"/>
          <w:rtl/>
        </w:rPr>
        <w:t xml:space="preserve">لى </w:t>
      </w:r>
      <w:r w:rsidR="001D646C" w:rsidRPr="00F369E7">
        <w:rPr>
          <w:rtl/>
        </w:rPr>
        <w:t>الفريق العامل المعني بالتطوير القانوني لنظام مدريد بشأن التسجيل الدولي للعلامات</w:t>
      </w:r>
      <w:r w:rsidR="001D646C">
        <w:rPr>
          <w:rFonts w:hint="cs"/>
          <w:rtl/>
        </w:rPr>
        <w:t xml:space="preserve">. </w:t>
      </w:r>
    </w:p>
    <w:p w:rsidR="001D646C" w:rsidRDefault="001D646C" w:rsidP="001D646C">
      <w:pPr>
        <w:pStyle w:val="NumberedParaAR"/>
      </w:pPr>
      <w:r>
        <w:rPr>
          <w:rFonts w:hint="cs"/>
          <w:rtl/>
        </w:rPr>
        <w:t xml:space="preserve">وترد ورقة الموقف المذكورة في مرفق هذه الوثيقة. </w:t>
      </w:r>
    </w:p>
    <w:p w:rsidR="001D646C" w:rsidRPr="00795210" w:rsidRDefault="001D646C" w:rsidP="001D646C">
      <w:pPr>
        <w:pStyle w:val="EndofDocumentAR"/>
        <w:rPr>
          <w:rtl/>
        </w:rPr>
      </w:pPr>
      <w:r w:rsidRPr="001D646C">
        <w:rPr>
          <w:rtl/>
        </w:rPr>
        <w:t>[يلي ذلك المرفق]</w:t>
      </w:r>
    </w:p>
    <w:p w:rsidR="004663E9" w:rsidRDefault="004663E9" w:rsidP="007F38D1">
      <w:pPr>
        <w:pStyle w:val="NormalParaAR"/>
        <w:rPr>
          <w:rtl/>
        </w:rPr>
        <w:sectPr w:rsidR="004663E9" w:rsidSect="00EB7752">
          <w:headerReference w:type="default" r:id="rId10"/>
          <w:pgSz w:w="11907" w:h="16840" w:code="9"/>
          <w:pgMar w:top="567" w:right="1418" w:bottom="1418" w:left="1134" w:header="510" w:footer="1021" w:gutter="0"/>
          <w:cols w:space="720"/>
          <w:titlePg/>
          <w:docGrid w:linePitch="299"/>
        </w:sectPr>
      </w:pPr>
    </w:p>
    <w:p w:rsidR="009F513E" w:rsidRDefault="001D646C" w:rsidP="007F38D1">
      <w:pPr>
        <w:pStyle w:val="NormalParaAR"/>
        <w:rPr>
          <w:b/>
          <w:bCs/>
          <w:rtl/>
        </w:rPr>
      </w:pPr>
      <w:r w:rsidRPr="001D646C">
        <w:rPr>
          <w:rFonts w:hint="cs"/>
          <w:b/>
          <w:bCs/>
          <w:rtl/>
        </w:rPr>
        <w:lastRenderedPageBreak/>
        <w:t xml:space="preserve">نظام مدريد </w:t>
      </w:r>
      <w:r w:rsidRPr="001D646C">
        <w:rPr>
          <w:b/>
          <w:bCs/>
          <w:rtl/>
        </w:rPr>
        <w:t>–</w:t>
      </w:r>
      <w:r w:rsidRPr="001D646C">
        <w:rPr>
          <w:rFonts w:hint="cs"/>
          <w:b/>
          <w:bCs/>
          <w:rtl/>
        </w:rPr>
        <w:t xml:space="preserve"> ورقة موقف للم</w:t>
      </w:r>
      <w:r w:rsidR="0005597F">
        <w:rPr>
          <w:rFonts w:hint="cs"/>
          <w:b/>
          <w:bCs/>
          <w:rtl/>
        </w:rPr>
        <w:t>م</w:t>
      </w:r>
      <w:r w:rsidRPr="001D646C">
        <w:rPr>
          <w:rFonts w:hint="cs"/>
          <w:b/>
          <w:bCs/>
          <w:rtl/>
        </w:rPr>
        <w:t xml:space="preserve">لكة المتحدة </w:t>
      </w:r>
    </w:p>
    <w:p w:rsidR="001D646C" w:rsidRPr="001D646C" w:rsidRDefault="001D646C" w:rsidP="007F38D1">
      <w:pPr>
        <w:pStyle w:val="NormalParaAR"/>
        <w:rPr>
          <w:b/>
          <w:bCs/>
          <w:sz w:val="40"/>
          <w:szCs w:val="40"/>
          <w:rtl/>
        </w:rPr>
      </w:pPr>
      <w:proofErr w:type="gramStart"/>
      <w:r w:rsidRPr="001D646C">
        <w:rPr>
          <w:rFonts w:hint="cs"/>
          <w:b/>
          <w:bCs/>
          <w:sz w:val="40"/>
          <w:szCs w:val="40"/>
          <w:rtl/>
        </w:rPr>
        <w:t>معلومات</w:t>
      </w:r>
      <w:proofErr w:type="gramEnd"/>
      <w:r w:rsidRPr="001D646C">
        <w:rPr>
          <w:rFonts w:hint="cs"/>
          <w:b/>
          <w:bCs/>
          <w:sz w:val="40"/>
          <w:szCs w:val="40"/>
          <w:rtl/>
        </w:rPr>
        <w:t xml:space="preserve"> أساسية </w:t>
      </w:r>
    </w:p>
    <w:p w:rsidR="00E11BDF" w:rsidRDefault="007408B3" w:rsidP="008D6213">
      <w:pPr>
        <w:pStyle w:val="NumberedParaAR"/>
        <w:numPr>
          <w:ilvl w:val="0"/>
          <w:numId w:val="21"/>
        </w:numPr>
      </w:pPr>
      <w:r>
        <w:rPr>
          <w:rFonts w:hint="cs"/>
          <w:rtl/>
        </w:rPr>
        <w:t xml:space="preserve">شكّل نظام مدريد منذ بدء العمل فيه نجاحاً </w:t>
      </w:r>
      <w:r w:rsidR="008D6213">
        <w:rPr>
          <w:rFonts w:hint="cs"/>
          <w:rtl/>
        </w:rPr>
        <w:t>هائلاً</w:t>
      </w:r>
      <w:r>
        <w:rPr>
          <w:rFonts w:hint="cs"/>
          <w:rtl/>
        </w:rPr>
        <w:t xml:space="preserve"> بالنسبة لمودعي الطلبات وللمكاتب الوطنية</w:t>
      </w:r>
      <w:r w:rsidR="008D6213">
        <w:rPr>
          <w:rFonts w:hint="cs"/>
          <w:rtl/>
        </w:rPr>
        <w:t xml:space="preserve"> في آنٍ معاً</w:t>
      </w:r>
      <w:r>
        <w:rPr>
          <w:rFonts w:hint="cs"/>
          <w:rtl/>
        </w:rPr>
        <w:t>. ويؤم</w:t>
      </w:r>
      <w:r w:rsidR="008D6213">
        <w:rPr>
          <w:rFonts w:hint="cs"/>
          <w:rtl/>
        </w:rPr>
        <w:t>ّ</w:t>
      </w:r>
      <w:r>
        <w:rPr>
          <w:rFonts w:hint="cs"/>
          <w:rtl/>
        </w:rPr>
        <w:t xml:space="preserve">ن نظام مدريد لمودعي الطلبات طريقة سهلة ومقتصدة للوقت للحصول على تسجيلات العلامات التجارية في الأسواق الرئيسية التي يعملون فيها. </w:t>
      </w:r>
      <w:proofErr w:type="gramStart"/>
      <w:r>
        <w:rPr>
          <w:rFonts w:hint="cs"/>
          <w:rtl/>
        </w:rPr>
        <w:t>ومع</w:t>
      </w:r>
      <w:proofErr w:type="gramEnd"/>
      <w:r>
        <w:rPr>
          <w:rFonts w:hint="cs"/>
          <w:rtl/>
        </w:rPr>
        <w:t xml:space="preserve"> نمو </w:t>
      </w:r>
      <w:r w:rsidR="00AD2E48">
        <w:rPr>
          <w:rFonts w:hint="cs"/>
          <w:rtl/>
        </w:rPr>
        <w:t>الشركة وتطوره</w:t>
      </w:r>
      <w:r w:rsidR="008D6213">
        <w:rPr>
          <w:rFonts w:hint="cs"/>
          <w:rtl/>
        </w:rPr>
        <w:t>ا</w:t>
      </w:r>
      <w:r w:rsidR="00AD2E48">
        <w:rPr>
          <w:rFonts w:hint="cs"/>
          <w:rtl/>
        </w:rPr>
        <w:t xml:space="preserve">، يمكن استخدام النظام لتوسيع الحماية في أسواق جديدة وإدارة حافظة </w:t>
      </w:r>
      <w:r w:rsidR="007E51F8">
        <w:rPr>
          <w:rFonts w:hint="cs"/>
          <w:rtl/>
        </w:rPr>
        <w:t xml:space="preserve">العلامات التجارية للمالك من خلال نظام مركزي. </w:t>
      </w:r>
      <w:r w:rsidR="00E11BDF">
        <w:rPr>
          <w:rFonts w:hint="cs"/>
          <w:rtl/>
        </w:rPr>
        <w:t xml:space="preserve">والنظام بالنسبة للمكاتب المتعاقدة أكبر نظام عالمي </w:t>
      </w:r>
      <w:proofErr w:type="gramStart"/>
      <w:r w:rsidR="008D6213">
        <w:rPr>
          <w:rFonts w:hint="cs"/>
          <w:rtl/>
        </w:rPr>
        <w:t>لتقاسم</w:t>
      </w:r>
      <w:proofErr w:type="gramEnd"/>
      <w:r w:rsidR="00E11BDF">
        <w:rPr>
          <w:rFonts w:hint="cs"/>
          <w:rtl/>
        </w:rPr>
        <w:t xml:space="preserve"> العمل. ويثمّن م</w:t>
      </w:r>
      <w:r w:rsidR="00E11BDF" w:rsidRPr="00E11BDF">
        <w:rPr>
          <w:rtl/>
        </w:rPr>
        <w:t xml:space="preserve">كتب </w:t>
      </w:r>
      <w:r w:rsidR="009E18B7">
        <w:rPr>
          <w:rtl/>
        </w:rPr>
        <w:t>الملكية الفكرية في المملكة المت</w:t>
      </w:r>
      <w:r w:rsidR="00E11BDF" w:rsidRPr="00E11BDF">
        <w:rPr>
          <w:rtl/>
        </w:rPr>
        <w:t>حدة</w:t>
      </w:r>
      <w:r w:rsidR="00E11BDF">
        <w:rPr>
          <w:rFonts w:hint="cs"/>
          <w:rtl/>
        </w:rPr>
        <w:t xml:space="preserve"> وأصحاب المصلحة في المملكة المتحدة نظام مدريد ويعتقدون أنه يؤدي دوراً مهماً في دعم الابتكار والنمو الاقتصادي وتشجيعهما لدى الأطراف المتعاقدة. </w:t>
      </w:r>
    </w:p>
    <w:p w:rsidR="00647BD1" w:rsidRDefault="000A4A93" w:rsidP="009769C0">
      <w:pPr>
        <w:pStyle w:val="NumberedParaAR"/>
        <w:numPr>
          <w:ilvl w:val="0"/>
          <w:numId w:val="21"/>
        </w:numPr>
      </w:pPr>
      <w:r>
        <w:rPr>
          <w:rFonts w:hint="cs"/>
          <w:rtl/>
        </w:rPr>
        <w:t>ويعمل نظام مدريد بشكل جيد بفضل مرونته و</w:t>
      </w:r>
      <w:r w:rsidR="009769C0">
        <w:rPr>
          <w:rFonts w:hint="cs"/>
          <w:rtl/>
        </w:rPr>
        <w:t xml:space="preserve">وسع </w:t>
      </w:r>
      <w:r>
        <w:rPr>
          <w:rFonts w:hint="cs"/>
          <w:rtl/>
        </w:rPr>
        <w:t xml:space="preserve">نطاقه. </w:t>
      </w:r>
      <w:r w:rsidR="00647BD1">
        <w:rPr>
          <w:rFonts w:hint="cs"/>
          <w:rtl/>
        </w:rPr>
        <w:t>وهو يوفر حال</w:t>
      </w:r>
      <w:r w:rsidR="0005597F">
        <w:rPr>
          <w:rFonts w:hint="cs"/>
          <w:rtl/>
        </w:rPr>
        <w:t>ياً إمكانيات حماية في 114 إقليم</w:t>
      </w:r>
      <w:r w:rsidR="00647BD1">
        <w:rPr>
          <w:rFonts w:hint="cs"/>
          <w:rtl/>
        </w:rPr>
        <w:t xml:space="preserve">اً </w:t>
      </w:r>
      <w:proofErr w:type="gramStart"/>
      <w:r w:rsidR="00647BD1">
        <w:rPr>
          <w:rFonts w:hint="cs"/>
          <w:rtl/>
        </w:rPr>
        <w:t>تتوزع</w:t>
      </w:r>
      <w:proofErr w:type="gramEnd"/>
      <w:r w:rsidR="00647BD1">
        <w:rPr>
          <w:rFonts w:hint="cs"/>
          <w:rtl/>
        </w:rPr>
        <w:t xml:space="preserve"> على أعضائه البالغ عددهم 98 عضواً. </w:t>
      </w:r>
      <w:proofErr w:type="gramStart"/>
      <w:r w:rsidR="00647BD1">
        <w:rPr>
          <w:rFonts w:hint="cs"/>
          <w:rtl/>
        </w:rPr>
        <w:t>وسجّل</w:t>
      </w:r>
      <w:proofErr w:type="gramEnd"/>
      <w:r w:rsidR="00647BD1">
        <w:rPr>
          <w:rFonts w:hint="cs"/>
          <w:rtl/>
        </w:rPr>
        <w:t xml:space="preserve"> النظام خلال عام 2016 أعلى عدد من الإيداعات حتى هذا التاريخ بارتفاع </w:t>
      </w:r>
      <w:r w:rsidR="009769C0">
        <w:rPr>
          <w:rFonts w:hint="cs"/>
          <w:rtl/>
        </w:rPr>
        <w:t>بلغت نسبته</w:t>
      </w:r>
      <w:r w:rsidR="00647BD1">
        <w:rPr>
          <w:rFonts w:hint="cs"/>
          <w:rtl/>
        </w:rPr>
        <w:t xml:space="preserve"> 7% مقارنة بإيداعات العام السابق. </w:t>
      </w:r>
    </w:p>
    <w:p w:rsidR="001A2082" w:rsidRPr="001A2082" w:rsidRDefault="001A2082" w:rsidP="001A2082">
      <w:pPr>
        <w:pStyle w:val="NumberedParaAR"/>
        <w:numPr>
          <w:ilvl w:val="0"/>
          <w:numId w:val="0"/>
        </w:numPr>
        <w:rPr>
          <w:b/>
          <w:bCs/>
          <w:sz w:val="40"/>
          <w:szCs w:val="40"/>
        </w:rPr>
      </w:pPr>
      <w:r w:rsidRPr="001A2082">
        <w:rPr>
          <w:rFonts w:hint="cs"/>
          <w:b/>
          <w:bCs/>
          <w:sz w:val="40"/>
          <w:szCs w:val="40"/>
          <w:rtl/>
        </w:rPr>
        <w:t xml:space="preserve">ملخص </w:t>
      </w:r>
    </w:p>
    <w:p w:rsidR="00593C79" w:rsidRDefault="000770E3" w:rsidP="00EC7D04">
      <w:pPr>
        <w:pStyle w:val="NumberedParaAR"/>
        <w:numPr>
          <w:ilvl w:val="0"/>
          <w:numId w:val="21"/>
        </w:numPr>
      </w:pPr>
      <w:r>
        <w:rPr>
          <w:rFonts w:hint="cs"/>
          <w:rtl/>
        </w:rPr>
        <w:t xml:space="preserve">عرضت الأمانة في الدورة الرابعة عشرة </w:t>
      </w:r>
      <w:r w:rsidR="00F846E1">
        <w:rPr>
          <w:rFonts w:hint="cs"/>
          <w:rtl/>
        </w:rPr>
        <w:t>ل</w:t>
      </w:r>
      <w:r w:rsidR="00F846E1" w:rsidRPr="00F846E1">
        <w:rPr>
          <w:rtl/>
        </w:rPr>
        <w:t>فريق عمل مدريد</w:t>
      </w:r>
      <w:r w:rsidR="00F846E1">
        <w:rPr>
          <w:rFonts w:hint="cs"/>
          <w:rtl/>
        </w:rPr>
        <w:t xml:space="preserve"> الورقة </w:t>
      </w:r>
      <w:proofErr w:type="spellStart"/>
      <w:r w:rsidR="00F846E1">
        <w:rPr>
          <w:rFonts w:hint="cs"/>
          <w:rtl/>
        </w:rPr>
        <w:t>المعنونة</w:t>
      </w:r>
      <w:proofErr w:type="spellEnd"/>
      <w:r w:rsidR="00F846E1">
        <w:rPr>
          <w:rFonts w:hint="cs"/>
          <w:rtl/>
        </w:rPr>
        <w:t xml:space="preserve"> "</w:t>
      </w:r>
      <w:r w:rsidR="00F846E1" w:rsidRPr="00F846E1">
        <w:rPr>
          <w:rtl/>
        </w:rPr>
        <w:t>تطوير نظام مدريد بشأن التسجيل الدولي للعلامات في المستقبل</w:t>
      </w:r>
      <w:r w:rsidR="00F846E1">
        <w:rPr>
          <w:rFonts w:hint="cs"/>
          <w:rtl/>
        </w:rPr>
        <w:t>"</w:t>
      </w:r>
      <w:r w:rsidR="00F846E1">
        <w:rPr>
          <w:rStyle w:val="FootnoteReference"/>
          <w:rtl/>
        </w:rPr>
        <w:footnoteReference w:id="1"/>
      </w:r>
      <w:r w:rsidR="00E11BDF">
        <w:rPr>
          <w:rFonts w:hint="cs"/>
          <w:rtl/>
        </w:rPr>
        <w:t xml:space="preserve"> </w:t>
      </w:r>
      <w:r w:rsidR="00F846E1">
        <w:rPr>
          <w:rFonts w:hint="cs"/>
          <w:rtl/>
        </w:rPr>
        <w:t>(</w:t>
      </w:r>
      <w:r w:rsidR="00EC7D04">
        <w:rPr>
          <w:rFonts w:hint="cs"/>
          <w:rtl/>
        </w:rPr>
        <w:t>المسماة</w:t>
      </w:r>
      <w:r w:rsidR="00F846E1">
        <w:rPr>
          <w:rFonts w:hint="cs"/>
          <w:rtl/>
        </w:rPr>
        <w:t xml:space="preserve"> في ما يلي "ورقة المستقبل"). </w:t>
      </w:r>
      <w:proofErr w:type="gramStart"/>
      <w:r w:rsidR="00F846E1">
        <w:rPr>
          <w:rFonts w:hint="cs"/>
          <w:rtl/>
        </w:rPr>
        <w:t>وت</w:t>
      </w:r>
      <w:r w:rsidR="00EC7D04">
        <w:rPr>
          <w:rFonts w:hint="cs"/>
          <w:rtl/>
        </w:rPr>
        <w:t>رحب</w:t>
      </w:r>
      <w:proofErr w:type="gramEnd"/>
      <w:r w:rsidR="00EC7D04">
        <w:rPr>
          <w:rFonts w:hint="cs"/>
          <w:rtl/>
        </w:rPr>
        <w:t xml:space="preserve"> المملكة المتحدة بهذه الورقة، </w:t>
      </w:r>
      <w:r w:rsidR="00F846E1">
        <w:rPr>
          <w:rFonts w:hint="cs"/>
          <w:rtl/>
        </w:rPr>
        <w:t xml:space="preserve">ويرى وفد المملكة المتحدة أنها مفيدة جداً وتتضمن الكثير من الاقتراحات التي يمكن أن يدعمها. </w:t>
      </w:r>
      <w:proofErr w:type="gramStart"/>
      <w:r w:rsidR="00393364">
        <w:rPr>
          <w:rFonts w:hint="cs"/>
          <w:rtl/>
        </w:rPr>
        <w:t>وتبين</w:t>
      </w:r>
      <w:proofErr w:type="gramEnd"/>
      <w:r w:rsidR="00393364">
        <w:rPr>
          <w:rFonts w:hint="cs"/>
          <w:rtl/>
        </w:rPr>
        <w:t xml:space="preserve"> التشاورات مع </w:t>
      </w:r>
      <w:r w:rsidR="00593C79">
        <w:rPr>
          <w:rFonts w:hint="cs"/>
          <w:rtl/>
        </w:rPr>
        <w:t>مستخدمي</w:t>
      </w:r>
      <w:r w:rsidR="00393364">
        <w:rPr>
          <w:rFonts w:hint="cs"/>
          <w:rtl/>
        </w:rPr>
        <w:t xml:space="preserve"> النظام في المملكة المتحدة</w:t>
      </w:r>
      <w:r w:rsidR="00593C79">
        <w:rPr>
          <w:rFonts w:hint="cs"/>
          <w:rtl/>
        </w:rPr>
        <w:t xml:space="preserve"> أنهم يدعمون الكثير من هذه الاقتراحات. </w:t>
      </w:r>
    </w:p>
    <w:p w:rsidR="00803B51" w:rsidRDefault="00593C79" w:rsidP="00593C79">
      <w:pPr>
        <w:pStyle w:val="NumberedParaAR"/>
        <w:numPr>
          <w:ilvl w:val="0"/>
          <w:numId w:val="21"/>
        </w:numPr>
      </w:pPr>
      <w:r>
        <w:rPr>
          <w:rFonts w:hint="cs"/>
          <w:rtl/>
        </w:rPr>
        <w:t xml:space="preserve">ويعمل نظام مدريد بشكل جيد لكننا نوافق على الاقتراح الوارد في الورقة الذي يدعو إلى النظر في سبل تحسين النظام. وتعتبر المملكة المتحدة أن تحسين التجانس سيؤدي إلى نظام أبسط تزداد ثقة المستخدمين فيه. </w:t>
      </w:r>
      <w:r w:rsidR="00803B51">
        <w:rPr>
          <w:rFonts w:hint="cs"/>
          <w:rtl/>
        </w:rPr>
        <w:t xml:space="preserve">ومن شأن إزالة التناقضات زيادة عدد أعضاء النظام. </w:t>
      </w:r>
    </w:p>
    <w:p w:rsidR="005B3A73" w:rsidRDefault="00747095" w:rsidP="00593C79">
      <w:pPr>
        <w:pStyle w:val="NumberedParaAR"/>
        <w:numPr>
          <w:ilvl w:val="0"/>
          <w:numId w:val="21"/>
        </w:numPr>
      </w:pPr>
      <w:r>
        <w:rPr>
          <w:rFonts w:hint="cs"/>
          <w:rtl/>
        </w:rPr>
        <w:t xml:space="preserve">وورقة </w:t>
      </w:r>
      <w:proofErr w:type="gramStart"/>
      <w:r>
        <w:rPr>
          <w:rFonts w:hint="cs"/>
          <w:rtl/>
        </w:rPr>
        <w:t>المستقبل</w:t>
      </w:r>
      <w:proofErr w:type="gramEnd"/>
      <w:r>
        <w:rPr>
          <w:rFonts w:hint="cs"/>
          <w:rtl/>
        </w:rPr>
        <w:t xml:space="preserve"> وسيلة جيدة لضمان عرض خيارات تحسين النظام ومناقشتها والتوافق عليها بين الأطراف المتعاقدة. </w:t>
      </w:r>
      <w:r w:rsidR="004A2D3A">
        <w:rPr>
          <w:rFonts w:hint="cs"/>
          <w:rtl/>
        </w:rPr>
        <w:t xml:space="preserve">وتنطلق ورقة </w:t>
      </w:r>
      <w:proofErr w:type="gramStart"/>
      <w:r w:rsidR="004A2D3A">
        <w:rPr>
          <w:rFonts w:hint="cs"/>
          <w:rtl/>
        </w:rPr>
        <w:t>موقف</w:t>
      </w:r>
      <w:proofErr w:type="gramEnd"/>
      <w:r w:rsidR="004A2D3A">
        <w:rPr>
          <w:rFonts w:hint="cs"/>
          <w:rtl/>
        </w:rPr>
        <w:t xml:space="preserve"> المملكة المتحدة من ورقة المستقبل. وهي تعرض أولوياتنا وآرائنا في التحسينات التي نعتقد أنه يمكن تحقيقها بسرعة معقولة والتي ستعود بالفائدة على مستخدمي النظام والمكتب الدولي والمكاتب الوطنية. </w:t>
      </w:r>
      <w:r w:rsidR="00A2566C">
        <w:rPr>
          <w:rFonts w:hint="cs"/>
          <w:rtl/>
        </w:rPr>
        <w:t xml:space="preserve">وسيسعدنا أن نناقش هذه الاقتراحات بالتفصيل قبل الدورة </w:t>
      </w:r>
      <w:r w:rsidR="0005597F">
        <w:rPr>
          <w:rFonts w:hint="cs"/>
          <w:rtl/>
        </w:rPr>
        <w:t xml:space="preserve">المقبلة لفريق عمل مدريد أو </w:t>
      </w:r>
      <w:proofErr w:type="spellStart"/>
      <w:r w:rsidR="0005597F">
        <w:rPr>
          <w:rFonts w:hint="cs"/>
          <w:rtl/>
        </w:rPr>
        <w:t>أثناء</w:t>
      </w:r>
      <w:r w:rsidR="00A2566C">
        <w:rPr>
          <w:rFonts w:hint="cs"/>
          <w:rtl/>
        </w:rPr>
        <w:t>ها</w:t>
      </w:r>
      <w:proofErr w:type="spellEnd"/>
      <w:r w:rsidR="00A2566C">
        <w:rPr>
          <w:rFonts w:hint="cs"/>
          <w:rtl/>
        </w:rPr>
        <w:t>.</w:t>
      </w:r>
    </w:p>
    <w:p w:rsidR="005B3A73" w:rsidRPr="00B20DFE" w:rsidRDefault="005B3A73" w:rsidP="0005597F">
      <w:pPr>
        <w:pStyle w:val="NumberedParaAR"/>
        <w:numPr>
          <w:ilvl w:val="0"/>
          <w:numId w:val="0"/>
        </w:numPr>
        <w:ind w:left="-1"/>
        <w:rPr>
          <w:b/>
          <w:bCs/>
          <w:sz w:val="40"/>
          <w:szCs w:val="40"/>
          <w:u w:val="single"/>
          <w:rtl/>
        </w:rPr>
      </w:pPr>
      <w:r w:rsidRPr="00B20DFE">
        <w:rPr>
          <w:rFonts w:hint="cs"/>
          <w:b/>
          <w:bCs/>
          <w:sz w:val="40"/>
          <w:szCs w:val="40"/>
          <w:u w:val="single"/>
          <w:rtl/>
        </w:rPr>
        <w:t xml:space="preserve">الاقتراحات </w:t>
      </w:r>
    </w:p>
    <w:p w:rsidR="005B3A73" w:rsidRPr="00C7226B" w:rsidRDefault="00C7226B" w:rsidP="0005597F">
      <w:pPr>
        <w:pStyle w:val="NumberedParaAR"/>
        <w:numPr>
          <w:ilvl w:val="0"/>
          <w:numId w:val="0"/>
        </w:numPr>
        <w:ind w:left="-1" w:hanging="1"/>
        <w:rPr>
          <w:b/>
          <w:bCs/>
          <w:i/>
          <w:iCs/>
        </w:rPr>
      </w:pPr>
      <w:r w:rsidRPr="00C7226B">
        <w:rPr>
          <w:rFonts w:hint="cs"/>
          <w:b/>
          <w:bCs/>
          <w:i/>
          <w:iCs/>
          <w:rtl/>
        </w:rPr>
        <w:t xml:space="preserve">تحديد مهل واضحة للرد على </w:t>
      </w:r>
      <w:proofErr w:type="spellStart"/>
      <w:r w:rsidRPr="00C7226B">
        <w:rPr>
          <w:rFonts w:hint="cs"/>
          <w:b/>
          <w:bCs/>
          <w:i/>
          <w:iCs/>
          <w:rtl/>
        </w:rPr>
        <w:t>إخطارات</w:t>
      </w:r>
      <w:proofErr w:type="spellEnd"/>
      <w:r w:rsidRPr="00C7226B">
        <w:rPr>
          <w:rFonts w:hint="cs"/>
          <w:b/>
          <w:bCs/>
          <w:i/>
          <w:iCs/>
          <w:rtl/>
        </w:rPr>
        <w:t xml:space="preserve"> الويبو وتدوين هذه المهل على الصفحة الأولى من الرسالة.  </w:t>
      </w:r>
    </w:p>
    <w:p w:rsidR="009158EF" w:rsidRDefault="00C7226B" w:rsidP="00F058A6">
      <w:pPr>
        <w:pStyle w:val="NumberedParaAR"/>
        <w:numPr>
          <w:ilvl w:val="0"/>
          <w:numId w:val="21"/>
        </w:numPr>
      </w:pPr>
      <w:proofErr w:type="gramStart"/>
      <w:r>
        <w:rPr>
          <w:rFonts w:hint="cs"/>
          <w:rtl/>
        </w:rPr>
        <w:t>بيّنت</w:t>
      </w:r>
      <w:proofErr w:type="gramEnd"/>
      <w:r>
        <w:rPr>
          <w:rFonts w:hint="cs"/>
          <w:rtl/>
        </w:rPr>
        <w:t xml:space="preserve"> ورقة المستقبل أن المهل الزمنية للرد </w:t>
      </w:r>
      <w:r w:rsidRPr="00C7226B">
        <w:rPr>
          <w:rtl/>
        </w:rPr>
        <w:t>على الرفض المؤقت</w:t>
      </w:r>
      <w:r>
        <w:rPr>
          <w:rFonts w:hint="cs"/>
          <w:rtl/>
        </w:rPr>
        <w:t xml:space="preserve"> يختلف كثيراً بين طرف متعاقد وآخر، وقد يتراوح بين 15 يوماً و15 شهراً. وقد وردتنا تعليقات من مستخدمي النظام في المملكة المتحدة</w:t>
      </w:r>
      <w:r w:rsidR="001D3B0F">
        <w:rPr>
          <w:rFonts w:hint="cs"/>
          <w:rtl/>
        </w:rPr>
        <w:t xml:space="preserve"> جاء فيها إنه يصع</w:t>
      </w:r>
      <w:r w:rsidR="00F058A6">
        <w:rPr>
          <w:rFonts w:hint="cs"/>
          <w:rtl/>
        </w:rPr>
        <w:t>ب</w:t>
      </w:r>
      <w:r w:rsidR="001D3B0F">
        <w:rPr>
          <w:rFonts w:hint="cs"/>
          <w:rtl/>
        </w:rPr>
        <w:t xml:space="preserve"> التحقق مما إذا كانت التواريخ </w:t>
      </w:r>
      <w:r w:rsidR="00F058A6">
        <w:rPr>
          <w:rFonts w:hint="cs"/>
          <w:rtl/>
        </w:rPr>
        <w:t>تحددها</w:t>
      </w:r>
      <w:r w:rsidR="001D3B0F">
        <w:rPr>
          <w:rFonts w:hint="cs"/>
          <w:rtl/>
        </w:rPr>
        <w:t xml:space="preserve"> الويبو أو المكاتب الوطنية. وهذان العاملان يصعّبان على المستخدمين كثيراً </w:t>
      </w:r>
      <w:proofErr w:type="gramStart"/>
      <w:r w:rsidR="001D3B0F">
        <w:rPr>
          <w:rFonts w:hint="cs"/>
          <w:rtl/>
        </w:rPr>
        <w:t>معرفة</w:t>
      </w:r>
      <w:proofErr w:type="gramEnd"/>
      <w:r w:rsidR="001D3B0F">
        <w:rPr>
          <w:rFonts w:hint="cs"/>
          <w:rtl/>
        </w:rPr>
        <w:t xml:space="preserve"> تواريخ الرد. وقد يؤدي </w:t>
      </w:r>
      <w:r w:rsidR="001D3B0F">
        <w:rPr>
          <w:rFonts w:hint="cs"/>
          <w:rtl/>
        </w:rPr>
        <w:lastRenderedPageBreak/>
        <w:t xml:space="preserve">هذا الغموض إلى </w:t>
      </w:r>
      <w:r w:rsidR="0055609D">
        <w:rPr>
          <w:rFonts w:hint="cs"/>
          <w:rtl/>
        </w:rPr>
        <w:t xml:space="preserve">حرمانهم من فرصة الرد وإلى إلغاء علامات من دون مبرر. بالإضافة إلى ذلك، قد يزيد اللغط حول مهل الرد من عبء العمل على المكتب الدولي </w:t>
      </w:r>
      <w:r w:rsidR="009158EF">
        <w:rPr>
          <w:rFonts w:hint="cs"/>
          <w:rtl/>
        </w:rPr>
        <w:t xml:space="preserve">والمكاتب الوطنية في حال أدى إلى ضرورة إعادة قبول الطلبات. </w:t>
      </w:r>
    </w:p>
    <w:p w:rsidR="009D7CC3" w:rsidRDefault="009158EF" w:rsidP="007B1FFF">
      <w:pPr>
        <w:pStyle w:val="NumberedParaAR"/>
        <w:numPr>
          <w:ilvl w:val="0"/>
          <w:numId w:val="21"/>
        </w:numPr>
      </w:pPr>
      <w:r>
        <w:rPr>
          <w:rFonts w:hint="cs"/>
          <w:rtl/>
        </w:rPr>
        <w:t xml:space="preserve">وإننا نثني </w:t>
      </w:r>
      <w:r w:rsidR="00E54B8E">
        <w:rPr>
          <w:rFonts w:hint="cs"/>
          <w:rtl/>
        </w:rPr>
        <w:t xml:space="preserve">على العمل الذي يضطلع به المكتب الدولي لجمع المعلومات عن إجراءات الأطراف المتعاقدة المختلفة </w:t>
      </w:r>
      <w:r w:rsidR="0002686F">
        <w:rPr>
          <w:rFonts w:hint="cs"/>
          <w:rtl/>
        </w:rPr>
        <w:t xml:space="preserve">بشأن </w:t>
      </w:r>
      <w:r w:rsidR="00E54B8E">
        <w:rPr>
          <w:rFonts w:hint="cs"/>
          <w:rtl/>
        </w:rPr>
        <w:t>الطلبات والتسجيلات</w:t>
      </w:r>
      <w:r w:rsidR="0002686F">
        <w:rPr>
          <w:rFonts w:hint="cs"/>
          <w:rtl/>
        </w:rPr>
        <w:t>، بما فيها المهل الزمنية للرد على الرفض المؤقت</w:t>
      </w:r>
      <w:r w:rsidR="0002686F">
        <w:rPr>
          <w:rStyle w:val="FootnoteReference"/>
          <w:rtl/>
        </w:rPr>
        <w:footnoteReference w:id="2"/>
      </w:r>
      <w:r w:rsidR="0002686F">
        <w:rPr>
          <w:rFonts w:hint="cs"/>
          <w:rtl/>
        </w:rPr>
        <w:t xml:space="preserve">، وإتاحة هذه المعلومات بوضوح تام. </w:t>
      </w:r>
      <w:r w:rsidR="002173B7">
        <w:rPr>
          <w:rFonts w:hint="cs"/>
          <w:rtl/>
        </w:rPr>
        <w:t>ونشيد أيضاً بجهود المكتب الدولي والأعضاء لتحويل مجانسة المهل الزمنية هذه إلى أولوية متوسطة المدى لفريق العمل، كما ورد في ورقة المستقبل وخر</w:t>
      </w:r>
      <w:r w:rsidR="007B1FFF">
        <w:rPr>
          <w:rFonts w:hint="cs"/>
          <w:rtl/>
        </w:rPr>
        <w:t>ي</w:t>
      </w:r>
      <w:r w:rsidR="002173B7">
        <w:rPr>
          <w:rFonts w:hint="cs"/>
          <w:rtl/>
        </w:rPr>
        <w:t xml:space="preserve">طة الطريق المرتبطة </w:t>
      </w:r>
      <w:proofErr w:type="gramStart"/>
      <w:r w:rsidR="002173B7">
        <w:rPr>
          <w:rFonts w:hint="cs"/>
          <w:rtl/>
        </w:rPr>
        <w:t>بها</w:t>
      </w:r>
      <w:r w:rsidR="002173B7">
        <w:rPr>
          <w:rStyle w:val="FootnoteReference"/>
          <w:rtl/>
        </w:rPr>
        <w:footnoteReference w:id="3"/>
      </w:r>
      <w:r w:rsidR="002173B7">
        <w:rPr>
          <w:rFonts w:hint="cs"/>
          <w:rtl/>
        </w:rPr>
        <w:t>.</w:t>
      </w:r>
      <w:proofErr w:type="gramEnd"/>
      <w:r w:rsidR="0002686F">
        <w:rPr>
          <w:rFonts w:hint="cs"/>
          <w:rtl/>
        </w:rPr>
        <w:t xml:space="preserve"> </w:t>
      </w:r>
      <w:proofErr w:type="gramStart"/>
      <w:r w:rsidR="00590DE2">
        <w:rPr>
          <w:rFonts w:hint="cs"/>
          <w:rtl/>
        </w:rPr>
        <w:t>وسأل</w:t>
      </w:r>
      <w:proofErr w:type="gramEnd"/>
      <w:r w:rsidR="00590DE2">
        <w:rPr>
          <w:rFonts w:hint="cs"/>
          <w:rtl/>
        </w:rPr>
        <w:t xml:space="preserve"> المستخدمون من المملكة المتحدة إذا كان من الممكن أن يحسب المكتب الدولي مهل الرد وأن يُحدّد تاريخاً واضحاً للرد على الصفحة الأولى من كل رسالة.</w:t>
      </w:r>
    </w:p>
    <w:p w:rsidR="006D774E" w:rsidRDefault="009D7CC3" w:rsidP="007B1FFF">
      <w:pPr>
        <w:pStyle w:val="NumberedParaAR"/>
        <w:numPr>
          <w:ilvl w:val="0"/>
          <w:numId w:val="21"/>
        </w:numPr>
      </w:pPr>
      <w:r>
        <w:rPr>
          <w:rFonts w:hint="cs"/>
          <w:rtl/>
        </w:rPr>
        <w:t xml:space="preserve">وبالنظر إلى مدى أبعد، </w:t>
      </w:r>
      <w:proofErr w:type="gramStart"/>
      <w:r>
        <w:rPr>
          <w:rFonts w:hint="cs"/>
          <w:rtl/>
        </w:rPr>
        <w:t>فإننا</w:t>
      </w:r>
      <w:proofErr w:type="gramEnd"/>
      <w:r>
        <w:rPr>
          <w:rFonts w:hint="cs"/>
          <w:rtl/>
        </w:rPr>
        <w:t xml:space="preserve"> نعتبر أن الاقتراحات الواردة في ورقة المستقبل مفيدة. </w:t>
      </w:r>
      <w:r w:rsidR="006D774E">
        <w:rPr>
          <w:rFonts w:hint="cs"/>
          <w:rtl/>
        </w:rPr>
        <w:t xml:space="preserve">وسنرحب بالمناقشات في إطار الفريق العامل بشأن مجانسة المهل بين أعضاء نظام مدريد سعياً إلى زيادة يقين المستخدمين والمكاتب والمكتب الدولي. </w:t>
      </w:r>
    </w:p>
    <w:p w:rsidR="009E18B7" w:rsidRDefault="009E18B7" w:rsidP="0005597F">
      <w:pPr>
        <w:pStyle w:val="NumberedParaAR"/>
        <w:numPr>
          <w:ilvl w:val="0"/>
          <w:numId w:val="0"/>
        </w:numPr>
        <w:ind w:hanging="1"/>
      </w:pPr>
      <w:r w:rsidRPr="001C6BDF">
        <w:rPr>
          <w:rFonts w:hint="cs"/>
          <w:b/>
          <w:bCs/>
          <w:i/>
          <w:iCs/>
          <w:rtl/>
        </w:rPr>
        <w:t xml:space="preserve">خصم تلقائي لرسوم الجزء الثاني </w:t>
      </w:r>
      <w:proofErr w:type="gramStart"/>
      <w:r w:rsidRPr="001C6BDF">
        <w:rPr>
          <w:rFonts w:hint="cs"/>
          <w:b/>
          <w:bCs/>
          <w:i/>
          <w:iCs/>
          <w:rtl/>
        </w:rPr>
        <w:t>عند</w:t>
      </w:r>
      <w:proofErr w:type="gramEnd"/>
      <w:r w:rsidRPr="001C6BDF">
        <w:rPr>
          <w:rFonts w:hint="cs"/>
          <w:b/>
          <w:bCs/>
          <w:i/>
          <w:iCs/>
          <w:rtl/>
        </w:rPr>
        <w:t xml:space="preserve"> </w:t>
      </w:r>
      <w:r w:rsidR="001E1B45">
        <w:rPr>
          <w:rFonts w:hint="cs"/>
          <w:b/>
          <w:bCs/>
          <w:i/>
          <w:iCs/>
          <w:rtl/>
        </w:rPr>
        <w:t xml:space="preserve">تعيين بلدان </w:t>
      </w:r>
      <w:r w:rsidR="001C6BDF" w:rsidRPr="001C6BDF">
        <w:rPr>
          <w:rFonts w:hint="cs"/>
          <w:b/>
          <w:bCs/>
          <w:i/>
          <w:iCs/>
          <w:rtl/>
        </w:rPr>
        <w:t>معنية بهذا الشرط</w:t>
      </w:r>
      <w:r w:rsidR="001C6BDF">
        <w:rPr>
          <w:rFonts w:hint="cs"/>
          <w:rtl/>
        </w:rPr>
        <w:t>.</w:t>
      </w:r>
    </w:p>
    <w:p w:rsidR="00F36AC6" w:rsidRDefault="00651BF9" w:rsidP="00F36AC6">
      <w:pPr>
        <w:pStyle w:val="NumberedParaAR"/>
        <w:numPr>
          <w:ilvl w:val="0"/>
          <w:numId w:val="21"/>
        </w:numPr>
      </w:pPr>
      <w:proofErr w:type="gramStart"/>
      <w:r>
        <w:rPr>
          <w:rFonts w:hint="cs"/>
          <w:rtl/>
        </w:rPr>
        <w:t>تشير</w:t>
      </w:r>
      <w:proofErr w:type="gramEnd"/>
      <w:r>
        <w:rPr>
          <w:rFonts w:hint="cs"/>
          <w:rtl/>
        </w:rPr>
        <w:t xml:space="preserve"> ورقة المستقبل إلى أن آخر استعراض لجدول الرسوم يعود إلى أكثر من عشرين عاماً. وتنص الورقة على</w:t>
      </w:r>
      <w:r w:rsidR="00C94BCD">
        <w:rPr>
          <w:rFonts w:hint="cs"/>
          <w:rtl/>
        </w:rPr>
        <w:t xml:space="preserve"> أن</w:t>
      </w:r>
      <w:r>
        <w:rPr>
          <w:rFonts w:hint="cs"/>
          <w:rtl/>
        </w:rPr>
        <w:t xml:space="preserve"> الوقت قد حان لإجراء استعراض جديد </w:t>
      </w:r>
      <w:r w:rsidR="002D6A03">
        <w:rPr>
          <w:rFonts w:hint="cs"/>
          <w:rtl/>
        </w:rPr>
        <w:t>ينبغي أن يركز على خيار جديد للدفع، خاصة فيما يخص الخدمات ال</w:t>
      </w:r>
      <w:r w:rsidR="002D6A03" w:rsidRPr="002D6A03">
        <w:rPr>
          <w:rtl/>
        </w:rPr>
        <w:t>مؤتمتة</w:t>
      </w:r>
      <w:r w:rsidR="002D6A03">
        <w:rPr>
          <w:rFonts w:hint="cs"/>
          <w:rtl/>
        </w:rPr>
        <w:t>. وإننا ندعم هذه الاقتراحات دعماً كاملاً، كما ندعم إدراج مراجعة للرسوم وخيارات للدفع في خريطة الطريق المتفق عليها.</w:t>
      </w:r>
      <w:r w:rsidR="00F36AC6">
        <w:rPr>
          <w:rFonts w:hint="cs"/>
          <w:rtl/>
        </w:rPr>
        <w:t xml:space="preserve"> وإننا نعتقد أن استعراضاً لجدول الرسوم سيضمن أن عملية الدفع في نظام مدريد تواكب عصرها وأنها تستمر في دعم مصالح المستخدمين والمكاتب الوطنية والمكتب الدولي نفسه. </w:t>
      </w:r>
    </w:p>
    <w:p w:rsidR="001D646C" w:rsidRDefault="009E18B7" w:rsidP="00BF31C8">
      <w:pPr>
        <w:pStyle w:val="NumberedParaAR"/>
        <w:numPr>
          <w:ilvl w:val="0"/>
          <w:numId w:val="21"/>
        </w:numPr>
      </w:pPr>
      <w:proofErr w:type="gramStart"/>
      <w:r>
        <w:rPr>
          <w:rFonts w:hint="cs"/>
          <w:rtl/>
        </w:rPr>
        <w:t>وناقش</w:t>
      </w:r>
      <w:proofErr w:type="gramEnd"/>
      <w:r>
        <w:rPr>
          <w:rFonts w:hint="cs"/>
          <w:rtl/>
        </w:rPr>
        <w:t xml:space="preserve"> م</w:t>
      </w:r>
      <w:r w:rsidRPr="00E11BDF">
        <w:rPr>
          <w:rtl/>
        </w:rPr>
        <w:t xml:space="preserve">كتب </w:t>
      </w:r>
      <w:r>
        <w:rPr>
          <w:rtl/>
        </w:rPr>
        <w:t>الملكية الفكرية في المملكة المت</w:t>
      </w:r>
      <w:r w:rsidRPr="00E11BDF">
        <w:rPr>
          <w:rtl/>
        </w:rPr>
        <w:t>حدة</w:t>
      </w:r>
      <w:r>
        <w:rPr>
          <w:rFonts w:hint="cs"/>
          <w:rtl/>
        </w:rPr>
        <w:t xml:space="preserve"> مع أصحاب المصلحة في المملكة المتحدة أيضاً مسألة دفع رسوم الجزء الثاني.</w:t>
      </w:r>
      <w:r w:rsidR="005F2995">
        <w:rPr>
          <w:rFonts w:hint="cs"/>
          <w:rtl/>
        </w:rPr>
        <w:t xml:space="preserve"> </w:t>
      </w:r>
      <w:proofErr w:type="gramStart"/>
      <w:r w:rsidR="005F2995">
        <w:rPr>
          <w:rFonts w:hint="cs"/>
          <w:rtl/>
        </w:rPr>
        <w:t>وإننا</w:t>
      </w:r>
      <w:proofErr w:type="gramEnd"/>
      <w:r w:rsidR="005F2995">
        <w:rPr>
          <w:rFonts w:hint="cs"/>
          <w:rtl/>
        </w:rPr>
        <w:t xml:space="preserve"> نُدرك أن دفع الرسم الثاني قد يُغفل بسهولة وأن</w:t>
      </w:r>
      <w:r w:rsidR="00210975">
        <w:rPr>
          <w:rFonts w:hint="cs"/>
          <w:rtl/>
        </w:rPr>
        <w:t xml:space="preserve"> بعض المستخدمين لا يعلمون بوجود هذا الشرط</w:t>
      </w:r>
      <w:r w:rsidR="005F2995">
        <w:rPr>
          <w:rFonts w:hint="cs"/>
          <w:rtl/>
        </w:rPr>
        <w:t xml:space="preserve">. وللمساعدة في حل هذه المشكلة، نود أن نقترح إضافة خانة في </w:t>
      </w:r>
      <w:r w:rsidR="005F2995" w:rsidRPr="005F2995">
        <w:rPr>
          <w:rtl/>
        </w:rPr>
        <w:t xml:space="preserve">الاستمارة </w:t>
      </w:r>
      <w:r w:rsidR="005F2995" w:rsidRPr="005F2995">
        <w:t>MM2</w:t>
      </w:r>
      <w:r w:rsidR="005F2995">
        <w:rPr>
          <w:rFonts w:hint="cs"/>
          <w:rtl/>
        </w:rPr>
        <w:t xml:space="preserve"> تجيز للويبو أن تسحب تلقائياً </w:t>
      </w:r>
      <w:r w:rsidR="00210975">
        <w:rPr>
          <w:rFonts w:hint="cs"/>
          <w:rtl/>
        </w:rPr>
        <w:t xml:space="preserve">مبلغ </w:t>
      </w:r>
      <w:r w:rsidR="005F2995">
        <w:rPr>
          <w:rFonts w:hint="cs"/>
          <w:rtl/>
        </w:rPr>
        <w:t xml:space="preserve">الرسم الثاني من حساب مقدم الطلب. </w:t>
      </w:r>
      <w:r w:rsidR="00BF31C8">
        <w:rPr>
          <w:rFonts w:hint="cs"/>
          <w:rtl/>
        </w:rPr>
        <w:t xml:space="preserve">ونود أن نقترح أيضاً إضافة </w:t>
      </w:r>
      <w:r w:rsidR="00210975">
        <w:rPr>
          <w:rFonts w:hint="cs"/>
          <w:rtl/>
        </w:rPr>
        <w:t>ال</w:t>
      </w:r>
      <w:r w:rsidR="00BF31C8">
        <w:rPr>
          <w:rFonts w:hint="cs"/>
          <w:rtl/>
        </w:rPr>
        <w:t xml:space="preserve">رقم المرجعي لعملية الدفع في قاعدة </w:t>
      </w:r>
      <w:r w:rsidR="00BF31C8" w:rsidRPr="00BF31C8">
        <w:rPr>
          <w:rtl/>
        </w:rPr>
        <w:t>البيانات الخاصة بالعلامات التجارية الدولية (</w:t>
      </w:r>
      <w:proofErr w:type="spellStart"/>
      <w:r w:rsidR="00BF31C8" w:rsidRPr="00BF31C8">
        <w:t>R</w:t>
      </w:r>
      <w:r w:rsidR="00BF31C8">
        <w:t>omarin</w:t>
      </w:r>
      <w:proofErr w:type="spellEnd"/>
      <w:r w:rsidR="00BF31C8" w:rsidRPr="00BF31C8">
        <w:rPr>
          <w:rtl/>
        </w:rPr>
        <w:t>)</w:t>
      </w:r>
      <w:r w:rsidR="00BF31C8">
        <w:rPr>
          <w:rFonts w:hint="cs"/>
          <w:rtl/>
        </w:rPr>
        <w:t xml:space="preserve">، أو </w:t>
      </w:r>
      <w:r w:rsidR="00BF31C8" w:rsidRPr="00BF31C8">
        <w:rPr>
          <w:rtl/>
        </w:rPr>
        <w:t>أداة الرصد في نظام مدريد</w:t>
      </w:r>
      <w:r w:rsidR="00BF31C8">
        <w:rPr>
          <w:rFonts w:hint="cs"/>
          <w:rtl/>
        </w:rPr>
        <w:t xml:space="preserve"> (</w:t>
      </w:r>
      <w:r w:rsidR="00BF31C8">
        <w:t>Madrid Monitor</w:t>
      </w:r>
      <w:r w:rsidR="00BF31C8">
        <w:rPr>
          <w:rFonts w:hint="cs"/>
          <w:rtl/>
        </w:rPr>
        <w:t xml:space="preserve">) التي ستخلفها، بحيث لا يُضطر المستخدم إلى انتظار استلام الطلب الورقي. ونرى أن ذلك سيقلص أيضاً عبء عمل المكتب الدولي والمكاتب الوطنية </w:t>
      </w:r>
      <w:r w:rsidR="00D152AB">
        <w:rPr>
          <w:rFonts w:hint="cs"/>
          <w:rtl/>
        </w:rPr>
        <w:t xml:space="preserve">لأن معلومات الدفع ستكون متاحة بسهولة وستنتفي الحاجة إلى مراسلات إضافية مع مقدم الطلب. </w:t>
      </w:r>
    </w:p>
    <w:p w:rsidR="00FB5F9D" w:rsidRDefault="00FB5F9D" w:rsidP="00FB5F9D">
      <w:pPr>
        <w:pStyle w:val="NumberedParaAR"/>
        <w:numPr>
          <w:ilvl w:val="0"/>
          <w:numId w:val="21"/>
        </w:numPr>
      </w:pPr>
      <w:proofErr w:type="gramStart"/>
      <w:r>
        <w:rPr>
          <w:rFonts w:hint="cs"/>
          <w:rtl/>
        </w:rPr>
        <w:t>وعلى</w:t>
      </w:r>
      <w:proofErr w:type="gramEnd"/>
      <w:r>
        <w:rPr>
          <w:rFonts w:hint="cs"/>
          <w:rtl/>
        </w:rPr>
        <w:t xml:space="preserve"> مدى أبعد، نود أن نقترح إدراج المناقشات في موضوع شرط رسوم الجزء الثاني ودورها في مسار الطلب، في أي استعراض أوسع نطاقاً للرسوم. وسنُقدّر أي فرصة لاستطلاع هذه المسألة وسنرحب بآراء الأطراف المتعاقدة الأخرى وأمانة الويبو في هذا الشأن. </w:t>
      </w:r>
    </w:p>
    <w:p w:rsidR="00914C1C" w:rsidRPr="00914C1C" w:rsidRDefault="00914C1C" w:rsidP="00E77ECE">
      <w:pPr>
        <w:pStyle w:val="NumberedParaAR"/>
        <w:numPr>
          <w:ilvl w:val="0"/>
          <w:numId w:val="0"/>
        </w:numPr>
        <w:ind w:hanging="1"/>
        <w:rPr>
          <w:b/>
          <w:bCs/>
          <w:i/>
          <w:iCs/>
        </w:rPr>
      </w:pPr>
      <w:r w:rsidRPr="00914C1C">
        <w:rPr>
          <w:rFonts w:hint="cs"/>
          <w:b/>
          <w:bCs/>
          <w:i/>
          <w:iCs/>
          <w:rtl/>
        </w:rPr>
        <w:t xml:space="preserve">ممارسات مختلفة بشأن مواصفات السلع والخدمات </w:t>
      </w:r>
      <w:r w:rsidRPr="00914C1C">
        <w:rPr>
          <w:b/>
          <w:bCs/>
          <w:i/>
          <w:iCs/>
          <w:rtl/>
        </w:rPr>
        <w:t>–</w:t>
      </w:r>
      <w:r w:rsidRPr="00914C1C">
        <w:rPr>
          <w:rFonts w:hint="cs"/>
          <w:b/>
          <w:bCs/>
          <w:i/>
          <w:iCs/>
          <w:rtl/>
        </w:rPr>
        <w:t xml:space="preserve"> احتمال زيادة التعاون بين الويب</w:t>
      </w:r>
      <w:r w:rsidR="00A4096D">
        <w:rPr>
          <w:rFonts w:hint="cs"/>
          <w:b/>
          <w:bCs/>
          <w:i/>
          <w:iCs/>
          <w:rtl/>
        </w:rPr>
        <w:t>و</w:t>
      </w:r>
      <w:r w:rsidRPr="00914C1C">
        <w:rPr>
          <w:rFonts w:hint="cs"/>
          <w:b/>
          <w:bCs/>
          <w:i/>
          <w:iCs/>
          <w:rtl/>
        </w:rPr>
        <w:t xml:space="preserve"> والمكاتب المعيّنة </w:t>
      </w:r>
    </w:p>
    <w:p w:rsidR="000816A1" w:rsidRDefault="00914C1C" w:rsidP="000816A1">
      <w:pPr>
        <w:pStyle w:val="NumberedParaAR"/>
        <w:numPr>
          <w:ilvl w:val="0"/>
          <w:numId w:val="21"/>
        </w:numPr>
      </w:pPr>
      <w:r>
        <w:rPr>
          <w:rFonts w:hint="cs"/>
          <w:rtl/>
        </w:rPr>
        <w:t xml:space="preserve">تشير ورقة المستقبل بوضوح إلى التحديات المحيطة بمسألة تحقيق التجانس في المواصفات بسبب الاختلاف في الممارسات على المستوى العالمي. وإننا نشيد بالعمل </w:t>
      </w:r>
      <w:r w:rsidR="000816A1">
        <w:rPr>
          <w:rFonts w:hint="cs"/>
          <w:rtl/>
        </w:rPr>
        <w:t xml:space="preserve">القيّم الذي اضطلع به المكتب الدولي بشأن قاعدة </w:t>
      </w:r>
      <w:r w:rsidR="000816A1" w:rsidRPr="000816A1">
        <w:rPr>
          <w:rtl/>
        </w:rPr>
        <w:t>بيانات إدارة السلع والخدمات في نظام مدريد</w:t>
      </w:r>
      <w:r w:rsidR="000816A1">
        <w:rPr>
          <w:rFonts w:hint="cs"/>
          <w:rtl/>
        </w:rPr>
        <w:t>. ونشيد أيضاً بتعميم "</w:t>
      </w:r>
      <w:r w:rsidR="000816A1" w:rsidRPr="000816A1">
        <w:rPr>
          <w:rtl/>
        </w:rPr>
        <w:t xml:space="preserve">مبادئ الفحص التوجيهية بشأن تصنيف السلع والخدمات في الطلبات </w:t>
      </w:r>
      <w:r w:rsidR="000816A1" w:rsidRPr="000816A1">
        <w:rPr>
          <w:rtl/>
        </w:rPr>
        <w:lastRenderedPageBreak/>
        <w:t>الدولية</w:t>
      </w:r>
      <w:r w:rsidR="000816A1">
        <w:rPr>
          <w:rFonts w:hint="cs"/>
          <w:rtl/>
        </w:rPr>
        <w:t>"</w:t>
      </w:r>
      <w:r w:rsidR="00E77ECE">
        <w:rPr>
          <w:rStyle w:val="FootnoteReference"/>
          <w:rtl/>
        </w:rPr>
        <w:footnoteReference w:id="4"/>
      </w:r>
      <w:r w:rsidR="000816A1">
        <w:rPr>
          <w:rFonts w:hint="cs"/>
          <w:rtl/>
        </w:rPr>
        <w:t xml:space="preserve"> لتقديم المشورة للمستخدمين والأطراف المتعاقدة بشأن المبادئ التي يطبقها فاحصو العلامات التجارية العاملين لدى الويبو. </w:t>
      </w:r>
      <w:r w:rsidR="005F163F">
        <w:rPr>
          <w:rFonts w:hint="cs"/>
          <w:rtl/>
        </w:rPr>
        <w:t xml:space="preserve">ونود أن نسلط الضوء على احتمال زيادة التعاون بين الويبو والمكاتب المعيّنة عند تقييم المواصفات، كجزء مكمل لهذا العمل. </w:t>
      </w:r>
      <w:proofErr w:type="gramStart"/>
      <w:r w:rsidR="005F163F">
        <w:rPr>
          <w:rFonts w:hint="cs"/>
          <w:rtl/>
        </w:rPr>
        <w:t>وعلى</w:t>
      </w:r>
      <w:proofErr w:type="gramEnd"/>
      <w:r w:rsidR="005F163F">
        <w:rPr>
          <w:rFonts w:hint="cs"/>
          <w:rtl/>
        </w:rPr>
        <w:t xml:space="preserve"> سبيل المثال، يهمنا أن نعرف إذا كان يمكن استحداث آلية تسمح للمكتب الدولي </w:t>
      </w:r>
      <w:r w:rsidR="007A3856">
        <w:rPr>
          <w:rFonts w:hint="cs"/>
          <w:rtl/>
        </w:rPr>
        <w:t xml:space="preserve">أن يتواصل مع المكاتب والمودعين قبل أن يبتّ في ضرورة فرض رسوم إضافة لأصناف إضافية من السلع والخدمات. </w:t>
      </w:r>
    </w:p>
    <w:p w:rsidR="0009696C" w:rsidRDefault="007A3856" w:rsidP="000816A1">
      <w:pPr>
        <w:pStyle w:val="NumberedParaAR"/>
        <w:numPr>
          <w:ilvl w:val="0"/>
          <w:numId w:val="21"/>
        </w:numPr>
      </w:pPr>
      <w:r>
        <w:rPr>
          <w:rFonts w:hint="cs"/>
          <w:rtl/>
        </w:rPr>
        <w:t xml:space="preserve">ونحن نرى أن تعزيز تعاون من هذا النوع سيسمح للمستخدمين بتأمين الأموال قبل دفع أية مبالغ. وعلاوة على ذلك، </w:t>
      </w:r>
      <w:r w:rsidR="0009696C">
        <w:rPr>
          <w:rFonts w:hint="cs"/>
          <w:rtl/>
        </w:rPr>
        <w:t xml:space="preserve">فقد يؤدي هذا التعاون إلى تحقيق الإدارة المالية في المكتب المعيّن وفي المكتب الدولي </w:t>
      </w:r>
      <w:proofErr w:type="spellStart"/>
      <w:r w:rsidR="0009696C">
        <w:rPr>
          <w:rFonts w:hint="cs"/>
          <w:rtl/>
        </w:rPr>
        <w:t>لوف</w:t>
      </w:r>
      <w:bookmarkStart w:id="2" w:name="_GoBack"/>
      <w:bookmarkEnd w:id="2"/>
      <w:r w:rsidR="0009696C">
        <w:rPr>
          <w:rFonts w:hint="cs"/>
          <w:rtl/>
        </w:rPr>
        <w:t>ورات</w:t>
      </w:r>
      <w:proofErr w:type="spellEnd"/>
      <w:r w:rsidR="0009696C">
        <w:rPr>
          <w:rFonts w:hint="cs"/>
          <w:rtl/>
        </w:rPr>
        <w:t xml:space="preserve"> في الفعالية بفضل تحسين فعالية إدارة عمليات الدفع وخفض الاتصالات التي يمكن تفاديها. </w:t>
      </w:r>
    </w:p>
    <w:p w:rsidR="00803110" w:rsidRPr="00803110" w:rsidRDefault="00803110" w:rsidP="00E77ECE">
      <w:pPr>
        <w:pStyle w:val="NumberedParaAR"/>
        <w:numPr>
          <w:ilvl w:val="0"/>
          <w:numId w:val="0"/>
        </w:numPr>
        <w:ind w:hanging="1"/>
        <w:rPr>
          <w:b/>
          <w:bCs/>
          <w:i/>
          <w:iCs/>
        </w:rPr>
      </w:pPr>
      <w:r w:rsidRPr="00803110">
        <w:rPr>
          <w:rFonts w:hint="cs"/>
          <w:b/>
          <w:bCs/>
          <w:i/>
          <w:iCs/>
          <w:rtl/>
        </w:rPr>
        <w:t xml:space="preserve">تسليم عالمي لبيانات شاملة </w:t>
      </w:r>
      <w:proofErr w:type="gramStart"/>
      <w:r w:rsidRPr="00803110">
        <w:rPr>
          <w:rFonts w:hint="cs"/>
          <w:b/>
          <w:bCs/>
          <w:i/>
          <w:iCs/>
          <w:rtl/>
        </w:rPr>
        <w:t>عن</w:t>
      </w:r>
      <w:proofErr w:type="gramEnd"/>
      <w:r w:rsidRPr="00803110">
        <w:rPr>
          <w:rFonts w:hint="cs"/>
          <w:b/>
          <w:bCs/>
          <w:i/>
          <w:iCs/>
          <w:rtl/>
        </w:rPr>
        <w:t xml:space="preserve"> منح الحماية من جميع الأطراف المتعاقدة. </w:t>
      </w:r>
    </w:p>
    <w:p w:rsidR="00D41030" w:rsidRDefault="005D6425" w:rsidP="004265DA">
      <w:pPr>
        <w:pStyle w:val="NumberedParaAR"/>
        <w:numPr>
          <w:ilvl w:val="0"/>
          <w:numId w:val="21"/>
        </w:numPr>
      </w:pPr>
      <w:proofErr w:type="gramStart"/>
      <w:r>
        <w:rPr>
          <w:rFonts w:hint="cs"/>
          <w:rtl/>
        </w:rPr>
        <w:t>إننا</w:t>
      </w:r>
      <w:proofErr w:type="gramEnd"/>
      <w:r>
        <w:rPr>
          <w:rFonts w:hint="cs"/>
          <w:rtl/>
        </w:rPr>
        <w:t xml:space="preserve"> نرحب بالاقتراحات الواردة في ورقة المستقبل عن احتمال تزويد المستخدمين، عند الطلب، بشهادات تسجيل دولية تبيّن وضع العلامة في كل طرف متعاقد. ونود أن نؤكد أيضاً أن بيانات منح الحماية </w:t>
      </w:r>
      <w:r w:rsidR="00925791">
        <w:rPr>
          <w:rFonts w:hint="cs"/>
          <w:rtl/>
        </w:rPr>
        <w:t xml:space="preserve">يمكن أن تكون مفيدة جداً للمستخدمين في سعيهم إلى إعمال حقوقهم في الأسواق الخارجية. </w:t>
      </w:r>
      <w:proofErr w:type="gramStart"/>
      <w:r w:rsidR="00925791">
        <w:rPr>
          <w:rFonts w:hint="cs"/>
          <w:rtl/>
        </w:rPr>
        <w:t>وفي</w:t>
      </w:r>
      <w:proofErr w:type="gramEnd"/>
      <w:r w:rsidR="00925791">
        <w:rPr>
          <w:rFonts w:hint="cs"/>
          <w:rtl/>
        </w:rPr>
        <w:t xml:space="preserve"> البلدان ا</w:t>
      </w:r>
      <w:r w:rsidR="00000E83">
        <w:rPr>
          <w:rFonts w:hint="cs"/>
          <w:rtl/>
        </w:rPr>
        <w:t xml:space="preserve">لتي لا تُصدر بيانات منح للحماية، يتعين على المستخدمين الاعتماد على المعلومات المستخرجة من قاعدتي البيانات </w:t>
      </w:r>
      <w:r w:rsidR="00000E83" w:rsidRPr="00BF31C8">
        <w:rPr>
          <w:rtl/>
        </w:rPr>
        <w:t>(</w:t>
      </w:r>
      <w:proofErr w:type="spellStart"/>
      <w:r w:rsidR="00000E83" w:rsidRPr="00BF31C8">
        <w:t>R</w:t>
      </w:r>
      <w:r w:rsidR="00000E83">
        <w:t>omarin</w:t>
      </w:r>
      <w:proofErr w:type="spellEnd"/>
      <w:r w:rsidR="00000E83" w:rsidRPr="00BF31C8">
        <w:rPr>
          <w:rtl/>
        </w:rPr>
        <w:t>)</w:t>
      </w:r>
      <w:r>
        <w:rPr>
          <w:rFonts w:hint="cs"/>
          <w:rtl/>
        </w:rPr>
        <w:t xml:space="preserve"> </w:t>
      </w:r>
      <w:r w:rsidR="00000E83">
        <w:rPr>
          <w:rFonts w:hint="cs"/>
          <w:rtl/>
        </w:rPr>
        <w:t>و(</w:t>
      </w:r>
      <w:r w:rsidR="00000E83">
        <w:t>Madrid Monitor</w:t>
      </w:r>
      <w:r w:rsidR="00000E83">
        <w:rPr>
          <w:rFonts w:hint="cs"/>
          <w:rtl/>
        </w:rPr>
        <w:t>)</w:t>
      </w:r>
      <w:r w:rsidR="00D60A07">
        <w:rPr>
          <w:rFonts w:hint="cs"/>
          <w:rtl/>
        </w:rPr>
        <w:t xml:space="preserve">، لكننا ندرك أن هذه المعلومات قد لا تشكل في بعض الحالات أدلة كافية. </w:t>
      </w:r>
      <w:r w:rsidR="00307AAB">
        <w:rPr>
          <w:rFonts w:hint="cs"/>
          <w:rtl/>
        </w:rPr>
        <w:t>وتشير ورقة المستقبل إلى وجود بعض المشاكل في الاعتراف بعلامات نظام مدريد وإنفاذها في بعض الأطراف المتعاقدة</w:t>
      </w:r>
      <w:r w:rsidR="007B796C">
        <w:rPr>
          <w:rFonts w:hint="cs"/>
          <w:rtl/>
        </w:rPr>
        <w:t>،</w:t>
      </w:r>
      <w:r w:rsidR="00307AAB">
        <w:rPr>
          <w:rFonts w:hint="cs"/>
          <w:rtl/>
        </w:rPr>
        <w:t xml:space="preserve"> وقد وردتنا تعليقات من المستخدمين في المملكة المتحدة تدعم هذا الرأي</w:t>
      </w:r>
      <w:r w:rsidR="00D41030">
        <w:rPr>
          <w:rFonts w:hint="cs"/>
          <w:rtl/>
        </w:rPr>
        <w:t xml:space="preserve">، ويفيد المستخدمون فيها بأنهم واجهوا بعض المشاكل في </w:t>
      </w:r>
      <w:r w:rsidR="007B796C">
        <w:rPr>
          <w:rFonts w:hint="cs"/>
          <w:rtl/>
        </w:rPr>
        <w:t>أنشطتهم التجارية</w:t>
      </w:r>
      <w:r w:rsidR="00D41030">
        <w:rPr>
          <w:rFonts w:hint="cs"/>
          <w:rtl/>
        </w:rPr>
        <w:t xml:space="preserve"> في بعض الأسواق. </w:t>
      </w:r>
    </w:p>
    <w:p w:rsidR="00C27BDD" w:rsidRDefault="00700FA7" w:rsidP="004663E9">
      <w:pPr>
        <w:pStyle w:val="NumberedParaAR"/>
        <w:numPr>
          <w:ilvl w:val="0"/>
          <w:numId w:val="21"/>
        </w:numPr>
      </w:pPr>
      <w:proofErr w:type="gramStart"/>
      <w:r>
        <w:rPr>
          <w:rFonts w:hint="cs"/>
          <w:rtl/>
        </w:rPr>
        <w:t>لذا</w:t>
      </w:r>
      <w:proofErr w:type="gramEnd"/>
      <w:r>
        <w:rPr>
          <w:rFonts w:hint="cs"/>
          <w:rtl/>
        </w:rPr>
        <w:t xml:space="preserve">، فإننا نقترح أن تناقش الدول الأعضاء ما إذا كان يتسنى أن يتعهد الأعضاء بتسليم بيان شامل بمنح الحماية يكون </w:t>
      </w:r>
      <w:r w:rsidR="004265DA">
        <w:rPr>
          <w:rFonts w:hint="cs"/>
          <w:rtl/>
        </w:rPr>
        <w:t>خاصاً بالعلامة التجارية المعنية-</w:t>
      </w:r>
      <w:r>
        <w:rPr>
          <w:rFonts w:hint="cs"/>
          <w:rtl/>
        </w:rPr>
        <w:t xml:space="preserve"> ويمكن أن تحل هذه البيانات محل قائمة أرقام التسجيل التي يُصدرها بعض الأعضاء. </w:t>
      </w:r>
      <w:proofErr w:type="gramStart"/>
      <w:r>
        <w:rPr>
          <w:rFonts w:hint="cs"/>
          <w:rtl/>
        </w:rPr>
        <w:t>ويمكن</w:t>
      </w:r>
      <w:proofErr w:type="gramEnd"/>
      <w:r>
        <w:rPr>
          <w:rFonts w:hint="cs"/>
          <w:rtl/>
        </w:rPr>
        <w:t xml:space="preserve"> أن يتضمن بيان شامل لمنح الحماية جميع المعلومات الرئيسية، بما فيها التفاصيل عن المودع/المالك والعلامة </w:t>
      </w:r>
      <w:r w:rsidR="008E0DCA">
        <w:rPr>
          <w:rFonts w:hint="cs"/>
          <w:rtl/>
        </w:rPr>
        <w:t>التي يُقدم لأجلها الطلب وخصائص الحماية وت</w:t>
      </w:r>
      <w:r w:rsidR="00B87F39">
        <w:rPr>
          <w:rFonts w:hint="cs"/>
          <w:rtl/>
        </w:rPr>
        <w:t>و</w:t>
      </w:r>
      <w:r w:rsidR="008E0DCA">
        <w:rPr>
          <w:rFonts w:hint="cs"/>
          <w:rtl/>
        </w:rPr>
        <w:t>اريخها.</w:t>
      </w:r>
      <w:r w:rsidR="00B87F39">
        <w:rPr>
          <w:rFonts w:hint="cs"/>
          <w:rtl/>
        </w:rPr>
        <w:t xml:space="preserve"> وسيكون من المفيد في نظرنا أن يُتاح البيان باللغات الرئيسية الثلاث (الإنكليزية</w:t>
      </w:r>
      <w:r w:rsidR="004663E9">
        <w:rPr>
          <w:rFonts w:hint="eastAsia"/>
          <w:rtl/>
        </w:rPr>
        <w:t> </w:t>
      </w:r>
      <w:r w:rsidR="00B87F39">
        <w:rPr>
          <w:rFonts w:hint="cs"/>
          <w:rtl/>
        </w:rPr>
        <w:t>والفرنسية والإسبانية) وباللغة المحلية لاستخدامها مع الجهات الأخرى أو أمام المحاكم أو لدى الجمارك وغيرها من السلطات في أي منازعا</w:t>
      </w:r>
      <w:r w:rsidR="00B87F39">
        <w:rPr>
          <w:rFonts w:hint="eastAsia"/>
          <w:rtl/>
        </w:rPr>
        <w:t>ت</w:t>
      </w:r>
      <w:r w:rsidR="00B87F39">
        <w:rPr>
          <w:rFonts w:hint="cs"/>
          <w:rtl/>
        </w:rPr>
        <w:t xml:space="preserve"> محلية.</w:t>
      </w:r>
      <w:r w:rsidR="00C27BDD">
        <w:t xml:space="preserve"> </w:t>
      </w:r>
    </w:p>
    <w:p w:rsidR="00CF4888" w:rsidRDefault="00C27BDD" w:rsidP="00CF4888">
      <w:pPr>
        <w:pStyle w:val="NumberedParaAR"/>
        <w:numPr>
          <w:ilvl w:val="0"/>
          <w:numId w:val="21"/>
        </w:numPr>
      </w:pPr>
      <w:r>
        <w:rPr>
          <w:rFonts w:hint="cs"/>
          <w:rtl/>
        </w:rPr>
        <w:t xml:space="preserve">وإننا نرى أن تسليماً </w:t>
      </w:r>
      <w:r w:rsidRPr="00C27BDD">
        <w:rPr>
          <w:rtl/>
        </w:rPr>
        <w:t>عالمي</w:t>
      </w:r>
      <w:r>
        <w:rPr>
          <w:rFonts w:hint="cs"/>
          <w:rtl/>
        </w:rPr>
        <w:t>اً</w:t>
      </w:r>
      <w:r w:rsidRPr="00C27BDD">
        <w:rPr>
          <w:rtl/>
        </w:rPr>
        <w:t xml:space="preserve"> لبيانات شاملة عن منح الحماية</w:t>
      </w:r>
      <w:r>
        <w:rPr>
          <w:rFonts w:hint="cs"/>
          <w:rtl/>
        </w:rPr>
        <w:t xml:space="preserve"> سيعزز نظام مدريد وسيساعد المستخدمين في </w:t>
      </w:r>
      <w:r w:rsidR="00CF4888">
        <w:rPr>
          <w:rFonts w:hint="cs"/>
          <w:rtl/>
        </w:rPr>
        <w:t>الانتفاع بأفضل قيمة لحقوقهم. لذا فسيزداد، حسب اعتقادنا، استخدام النظام لأن ثقة المودعين في قوة حقوقهم الدولية ستزداد.</w:t>
      </w:r>
    </w:p>
    <w:p w:rsidR="00CF4888" w:rsidRPr="000939B4" w:rsidRDefault="00CF4888" w:rsidP="001671D1">
      <w:pPr>
        <w:pStyle w:val="NumberedParaAR"/>
        <w:numPr>
          <w:ilvl w:val="0"/>
          <w:numId w:val="0"/>
        </w:numPr>
        <w:ind w:hanging="1"/>
        <w:rPr>
          <w:b/>
          <w:bCs/>
          <w:i/>
          <w:iCs/>
        </w:rPr>
      </w:pPr>
      <w:r w:rsidRPr="000939B4">
        <w:rPr>
          <w:rFonts w:hint="cs"/>
          <w:b/>
          <w:bCs/>
          <w:i/>
          <w:iCs/>
          <w:rtl/>
        </w:rPr>
        <w:t xml:space="preserve">خيار طلب </w:t>
      </w:r>
      <w:proofErr w:type="gramStart"/>
      <w:r w:rsidRPr="000939B4">
        <w:rPr>
          <w:rFonts w:hint="cs"/>
          <w:b/>
          <w:bCs/>
          <w:i/>
          <w:iCs/>
          <w:rtl/>
        </w:rPr>
        <w:t>بحث</w:t>
      </w:r>
      <w:proofErr w:type="gramEnd"/>
      <w:r w:rsidRPr="000939B4">
        <w:rPr>
          <w:rFonts w:hint="cs"/>
          <w:b/>
          <w:bCs/>
          <w:i/>
          <w:iCs/>
          <w:rtl/>
        </w:rPr>
        <w:t xml:space="preserve"> عند </w:t>
      </w:r>
      <w:r w:rsidR="00F07F35">
        <w:rPr>
          <w:rFonts w:hint="cs"/>
          <w:b/>
          <w:bCs/>
          <w:i/>
          <w:iCs/>
          <w:rtl/>
        </w:rPr>
        <w:t xml:space="preserve">تعيين الاتحاد الأوروبي </w:t>
      </w:r>
    </w:p>
    <w:p w:rsidR="0001216A" w:rsidRDefault="000939B4" w:rsidP="004663E9">
      <w:pPr>
        <w:pStyle w:val="NumberedParaAR"/>
        <w:numPr>
          <w:ilvl w:val="0"/>
          <w:numId w:val="21"/>
        </w:numPr>
      </w:pPr>
      <w:r>
        <w:rPr>
          <w:rFonts w:hint="cs"/>
          <w:rtl/>
        </w:rPr>
        <w:t>نود أن نقترح إضا</w:t>
      </w:r>
      <w:r w:rsidR="009704DE">
        <w:rPr>
          <w:rFonts w:hint="cs"/>
          <w:rtl/>
        </w:rPr>
        <w:t xml:space="preserve">فة خيار </w:t>
      </w:r>
      <w:proofErr w:type="gramStart"/>
      <w:r w:rsidR="009704DE">
        <w:rPr>
          <w:rFonts w:hint="cs"/>
          <w:rtl/>
        </w:rPr>
        <w:t>لطلب</w:t>
      </w:r>
      <w:proofErr w:type="gramEnd"/>
      <w:r w:rsidR="009704DE">
        <w:rPr>
          <w:rFonts w:hint="cs"/>
          <w:rtl/>
        </w:rPr>
        <w:t xml:space="preserve"> بحث عند تعيين</w:t>
      </w:r>
      <w:r>
        <w:rPr>
          <w:rFonts w:hint="cs"/>
          <w:rtl/>
        </w:rPr>
        <w:t xml:space="preserve"> </w:t>
      </w:r>
      <w:r w:rsidR="009704DE">
        <w:rPr>
          <w:rFonts w:hint="cs"/>
          <w:rtl/>
        </w:rPr>
        <w:t>الاتحاد الأوروبي</w:t>
      </w:r>
      <w:r>
        <w:rPr>
          <w:rFonts w:hint="cs"/>
          <w:rtl/>
        </w:rPr>
        <w:t xml:space="preserve">. </w:t>
      </w:r>
      <w:proofErr w:type="gramStart"/>
      <w:r>
        <w:rPr>
          <w:rFonts w:hint="cs"/>
          <w:rtl/>
        </w:rPr>
        <w:t>وعلى</w:t>
      </w:r>
      <w:proofErr w:type="gramEnd"/>
      <w:r>
        <w:rPr>
          <w:rFonts w:hint="cs"/>
          <w:rtl/>
        </w:rPr>
        <w:t xml:space="preserve"> سبيل المثال، يمكن إضافة هذا الخيار بإدراج خانة في الاستمارتين </w:t>
      </w:r>
      <w:r>
        <w:t>MM2</w:t>
      </w:r>
      <w:r>
        <w:rPr>
          <w:rFonts w:hint="cs"/>
          <w:rtl/>
        </w:rPr>
        <w:t xml:space="preserve"> و</w:t>
      </w:r>
      <w:r w:rsidRPr="000939B4">
        <w:t xml:space="preserve"> </w:t>
      </w:r>
      <w:r>
        <w:t>MM4</w:t>
      </w:r>
      <w:r w:rsidR="0001216A">
        <w:rPr>
          <w:rFonts w:hint="cs"/>
          <w:rtl/>
        </w:rPr>
        <w:t>يمكن أن يشير بواسطتها المستخدمون إلى رغبتهم في أن يُجرى بحث (</w:t>
      </w:r>
      <w:proofErr w:type="gramStart"/>
      <w:r w:rsidR="0001216A">
        <w:rPr>
          <w:rFonts w:hint="cs"/>
          <w:rtl/>
        </w:rPr>
        <w:t>مع</w:t>
      </w:r>
      <w:proofErr w:type="gramEnd"/>
      <w:r w:rsidR="004663E9">
        <w:rPr>
          <w:rFonts w:hint="eastAsia"/>
          <w:rtl/>
        </w:rPr>
        <w:t> </w:t>
      </w:r>
      <w:r w:rsidR="0001216A">
        <w:rPr>
          <w:rFonts w:hint="cs"/>
          <w:rtl/>
        </w:rPr>
        <w:t xml:space="preserve">تحديد الأقاليم). </w:t>
      </w:r>
    </w:p>
    <w:p w:rsidR="00FA6B49" w:rsidRDefault="0001216A" w:rsidP="00FA6B49">
      <w:pPr>
        <w:pStyle w:val="NumberedParaAR"/>
        <w:numPr>
          <w:ilvl w:val="0"/>
          <w:numId w:val="21"/>
        </w:numPr>
      </w:pPr>
      <w:r>
        <w:rPr>
          <w:rFonts w:hint="cs"/>
          <w:rtl/>
        </w:rPr>
        <w:t xml:space="preserve">وتسمح إضافة هذه الخانة بحساب </w:t>
      </w:r>
      <w:proofErr w:type="gramStart"/>
      <w:r>
        <w:rPr>
          <w:rFonts w:hint="cs"/>
          <w:rtl/>
        </w:rPr>
        <w:t>رسم</w:t>
      </w:r>
      <w:proofErr w:type="gramEnd"/>
      <w:r>
        <w:rPr>
          <w:rFonts w:hint="cs"/>
          <w:rtl/>
        </w:rPr>
        <w:t xml:space="preserve"> البحث مع رسوم الطلب. ومن شأن ذلك أن يبسّط العملية الحالية ويدّخر وقت المكتب الدولي والمكاتب الوطنية ويساعد في تجنيب المودع/الممثل تلقي طلب بدفع رسوم إضافية </w:t>
      </w:r>
      <w:r w:rsidR="00FA6B49">
        <w:rPr>
          <w:rFonts w:hint="cs"/>
          <w:rtl/>
        </w:rPr>
        <w:t xml:space="preserve">في مرحلة الفحص. </w:t>
      </w:r>
    </w:p>
    <w:p w:rsidR="003922EA" w:rsidRPr="005363CF" w:rsidRDefault="00FA6B49" w:rsidP="003922EA">
      <w:pPr>
        <w:pStyle w:val="NumberedParaAR"/>
        <w:keepNext/>
        <w:numPr>
          <w:ilvl w:val="0"/>
          <w:numId w:val="0"/>
        </w:numPr>
        <w:rPr>
          <w:b/>
          <w:bCs/>
          <w:rtl/>
        </w:rPr>
      </w:pPr>
      <w:r w:rsidRPr="005363CF">
        <w:rPr>
          <w:rFonts w:hint="cs"/>
          <w:b/>
          <w:bCs/>
          <w:rtl/>
        </w:rPr>
        <w:lastRenderedPageBreak/>
        <w:t xml:space="preserve">الخلاصات </w:t>
      </w:r>
    </w:p>
    <w:p w:rsidR="006430C9" w:rsidRDefault="008645A7" w:rsidP="005707FF">
      <w:pPr>
        <w:pStyle w:val="NumberedParaAR"/>
        <w:keepNext/>
        <w:numPr>
          <w:ilvl w:val="0"/>
          <w:numId w:val="0"/>
        </w:numPr>
        <w:rPr>
          <w:rtl/>
        </w:rPr>
      </w:pPr>
      <w:r>
        <w:rPr>
          <w:rFonts w:hint="cs"/>
          <w:rtl/>
        </w:rPr>
        <w:t>تتقدم المملك</w:t>
      </w:r>
      <w:r w:rsidR="0024056C">
        <w:rPr>
          <w:rFonts w:hint="cs"/>
          <w:rtl/>
        </w:rPr>
        <w:t xml:space="preserve">ة المتحدة </w:t>
      </w:r>
      <w:proofErr w:type="gramStart"/>
      <w:r w:rsidR="0024056C">
        <w:rPr>
          <w:rFonts w:hint="cs"/>
          <w:rtl/>
        </w:rPr>
        <w:t>مجدداً</w:t>
      </w:r>
      <w:proofErr w:type="gramEnd"/>
      <w:r w:rsidR="0024056C">
        <w:rPr>
          <w:rFonts w:hint="cs"/>
          <w:rtl/>
        </w:rPr>
        <w:t xml:space="preserve"> بالشكر للأمانة</w:t>
      </w:r>
      <w:r>
        <w:rPr>
          <w:rFonts w:hint="cs"/>
          <w:rtl/>
        </w:rPr>
        <w:t xml:space="preserve"> لإعدادها هذه الورقة </w:t>
      </w:r>
      <w:r w:rsidR="0024056C">
        <w:rPr>
          <w:rFonts w:hint="cs"/>
          <w:rtl/>
        </w:rPr>
        <w:t xml:space="preserve">الثاقبة. وكان نظام مدريد ولا يزال نجاحاً </w:t>
      </w:r>
      <w:r w:rsidR="005707FF">
        <w:rPr>
          <w:rFonts w:hint="cs"/>
          <w:rtl/>
        </w:rPr>
        <w:t>هائلاً</w:t>
      </w:r>
      <w:r w:rsidR="0024056C">
        <w:rPr>
          <w:rFonts w:hint="cs"/>
          <w:rtl/>
        </w:rPr>
        <w:t xml:space="preserve">. وتتطلع المملكة المتحدة إلى التعاون مع المكتب الدولي والدول الأعضاء </w:t>
      </w:r>
      <w:proofErr w:type="gramStart"/>
      <w:r w:rsidR="0024056C">
        <w:rPr>
          <w:rFonts w:hint="cs"/>
          <w:rtl/>
        </w:rPr>
        <w:t>الأخرى</w:t>
      </w:r>
      <w:proofErr w:type="gramEnd"/>
      <w:r w:rsidR="0024056C">
        <w:rPr>
          <w:rFonts w:hint="cs"/>
          <w:rtl/>
        </w:rPr>
        <w:t xml:space="preserve"> ومستخدمي النظام لمناقشة كيفية تحسين النظام الدولي للتجارة. </w:t>
      </w:r>
      <w:r w:rsidR="006430C9">
        <w:rPr>
          <w:rFonts w:hint="cs"/>
          <w:rtl/>
        </w:rPr>
        <w:t xml:space="preserve">وتعرض هذه الورقة بعض الخيارات وتبين أفكارنا الأولية بشأنها لكن المملكة المتحدة منفتحة بالطبع على مناقشة خيارات وأولويات أخرى. </w:t>
      </w:r>
    </w:p>
    <w:p w:rsidR="008804F1" w:rsidRDefault="008804F1" w:rsidP="003922EA">
      <w:pPr>
        <w:pStyle w:val="NumberedParaAR"/>
        <w:keepNext/>
        <w:numPr>
          <w:ilvl w:val="0"/>
          <w:numId w:val="0"/>
        </w:numPr>
        <w:rPr>
          <w:rtl/>
        </w:rPr>
      </w:pPr>
    </w:p>
    <w:p w:rsidR="008804F1" w:rsidRDefault="008804F1" w:rsidP="003922EA">
      <w:pPr>
        <w:pStyle w:val="NumberedParaAR"/>
        <w:keepNext/>
        <w:numPr>
          <w:ilvl w:val="0"/>
          <w:numId w:val="0"/>
        </w:numPr>
        <w:rPr>
          <w:rtl/>
        </w:rPr>
      </w:pPr>
      <w:proofErr w:type="gramStart"/>
      <w:r>
        <w:rPr>
          <w:rFonts w:hint="cs"/>
          <w:rtl/>
        </w:rPr>
        <w:t>ورقة</w:t>
      </w:r>
      <w:proofErr w:type="gramEnd"/>
      <w:r>
        <w:rPr>
          <w:rFonts w:hint="cs"/>
          <w:rtl/>
        </w:rPr>
        <w:t xml:space="preserve"> قُدمت في مايو 2017. </w:t>
      </w:r>
    </w:p>
    <w:p w:rsidR="008804F1" w:rsidRDefault="008804F1" w:rsidP="003922EA">
      <w:pPr>
        <w:pStyle w:val="NumberedParaAR"/>
        <w:keepNext/>
        <w:numPr>
          <w:ilvl w:val="0"/>
          <w:numId w:val="0"/>
        </w:numPr>
        <w:rPr>
          <w:rtl/>
        </w:rPr>
      </w:pPr>
    </w:p>
    <w:p w:rsidR="008804F1" w:rsidRPr="00795210" w:rsidRDefault="008804F1" w:rsidP="008804F1">
      <w:pPr>
        <w:pStyle w:val="EndofDocumentAR"/>
        <w:rPr>
          <w:rtl/>
        </w:rPr>
      </w:pPr>
      <w:r w:rsidRPr="001D646C">
        <w:rPr>
          <w:rtl/>
        </w:rPr>
        <w:t>[</w:t>
      </w:r>
      <w:r>
        <w:rPr>
          <w:rFonts w:hint="cs"/>
          <w:rtl/>
        </w:rPr>
        <w:t>نهاية</w:t>
      </w:r>
      <w:r w:rsidRPr="001D646C">
        <w:rPr>
          <w:rtl/>
        </w:rPr>
        <w:t xml:space="preserve"> المرفق</w:t>
      </w:r>
      <w:r>
        <w:rPr>
          <w:rFonts w:hint="cs"/>
          <w:rtl/>
        </w:rPr>
        <w:t xml:space="preserve"> </w:t>
      </w:r>
      <w:proofErr w:type="gramStart"/>
      <w:r>
        <w:rPr>
          <w:rFonts w:hint="cs"/>
          <w:rtl/>
        </w:rPr>
        <w:t>والوثيقة</w:t>
      </w:r>
      <w:proofErr w:type="gramEnd"/>
      <w:r w:rsidRPr="001D646C">
        <w:rPr>
          <w:rtl/>
        </w:rPr>
        <w:t>]</w:t>
      </w:r>
    </w:p>
    <w:p w:rsidR="001D646C" w:rsidRPr="007F38D1" w:rsidRDefault="001D646C" w:rsidP="008804F1">
      <w:pPr>
        <w:pStyle w:val="EndofDocumentAR"/>
        <w:rPr>
          <w:rtl/>
        </w:rPr>
      </w:pPr>
    </w:p>
    <w:sectPr w:rsidR="001D646C" w:rsidRPr="007F38D1" w:rsidSect="004663E9">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F39" w:rsidRDefault="00B87F39">
      <w:r>
        <w:separator/>
      </w:r>
    </w:p>
  </w:endnote>
  <w:endnote w:type="continuationSeparator" w:id="0">
    <w:p w:rsidR="00B87F39" w:rsidRDefault="00B8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F39" w:rsidRDefault="00B87F39" w:rsidP="009622BF">
      <w:pPr>
        <w:bidi/>
      </w:pPr>
      <w:bookmarkStart w:id="0" w:name="OLE_LINK1"/>
      <w:bookmarkStart w:id="1" w:name="OLE_LINK2"/>
      <w:r>
        <w:separator/>
      </w:r>
      <w:bookmarkEnd w:id="0"/>
      <w:bookmarkEnd w:id="1"/>
    </w:p>
  </w:footnote>
  <w:footnote w:type="continuationSeparator" w:id="0">
    <w:p w:rsidR="00B87F39" w:rsidRDefault="00B87F39" w:rsidP="009622BF">
      <w:pPr>
        <w:bidi/>
      </w:pPr>
      <w:r>
        <w:separator/>
      </w:r>
    </w:p>
  </w:footnote>
  <w:footnote w:id="1">
    <w:p w:rsidR="00F846E1" w:rsidRDefault="00F846E1" w:rsidP="00BF0986">
      <w:pPr>
        <w:pStyle w:val="FootnoteText"/>
        <w:tabs>
          <w:tab w:val="left" w:pos="566"/>
        </w:tabs>
        <w:rPr>
          <w:rtl/>
        </w:rPr>
      </w:pPr>
      <w:r>
        <w:rPr>
          <w:rStyle w:val="FootnoteReference"/>
        </w:rPr>
        <w:footnoteRef/>
      </w:r>
      <w:r>
        <w:rPr>
          <w:rtl/>
        </w:rPr>
        <w:t xml:space="preserve"> </w:t>
      </w:r>
      <w:r w:rsidR="00034346">
        <w:rPr>
          <w:rFonts w:hint="cs"/>
          <w:rtl/>
        </w:rPr>
        <w:t xml:space="preserve">الوثيقة </w:t>
      </w:r>
      <w:hyperlink r:id="rId1" w:history="1">
        <w:r w:rsidR="00034346" w:rsidRPr="009065C7">
          <w:t>MM/LD/WG/14/4</w:t>
        </w:r>
      </w:hyperlink>
      <w:r w:rsidR="00034346">
        <w:rPr>
          <w:rFonts w:hint="cs"/>
          <w:rtl/>
        </w:rPr>
        <w:t xml:space="preserve"> المتاحة على الرابط التالي: </w:t>
      </w:r>
    </w:p>
    <w:p w:rsidR="006D6EDE" w:rsidRDefault="007228AE" w:rsidP="004663E9">
      <w:pPr>
        <w:pStyle w:val="FootnoteText"/>
      </w:pPr>
      <w:hyperlink r:id="rId2" w:history="1">
        <w:r w:rsidR="006D6EDE" w:rsidRPr="005C270A">
          <w:rPr>
            <w:rStyle w:val="Hyperlink"/>
          </w:rPr>
          <w:t>http://www.wipo.int/edocs/mdocs/madrid/ar/mm_ld_wg_14/mm_ld_wg_14_4.pdf</w:t>
        </w:r>
      </w:hyperlink>
    </w:p>
  </w:footnote>
  <w:footnote w:id="2">
    <w:p w:rsidR="0002686F" w:rsidRDefault="0002686F">
      <w:pPr>
        <w:pStyle w:val="FootnoteText"/>
      </w:pPr>
      <w:r>
        <w:rPr>
          <w:rStyle w:val="FootnoteReference"/>
        </w:rPr>
        <w:footnoteRef/>
      </w:r>
      <w:r w:rsidR="00862BCA">
        <w:rPr>
          <w:rFonts w:hint="cs"/>
          <w:rtl/>
        </w:rPr>
        <w:t xml:space="preserve"> </w:t>
      </w:r>
      <w:hyperlink r:id="rId3" w:history="1">
        <w:r w:rsidR="00862BCA">
          <w:rPr>
            <w:rStyle w:val="Hyperlink"/>
          </w:rPr>
          <w:t>http://www.wipo.int/madrid/en/members/ipoffices_info.html</w:t>
        </w:r>
      </w:hyperlink>
      <w:r>
        <w:rPr>
          <w:rtl/>
        </w:rPr>
        <w:t xml:space="preserve"> </w:t>
      </w:r>
    </w:p>
  </w:footnote>
  <w:footnote w:id="3">
    <w:p w:rsidR="002173B7" w:rsidRDefault="002173B7">
      <w:pPr>
        <w:pStyle w:val="FootnoteText"/>
        <w:rPr>
          <w:rtl/>
        </w:rPr>
      </w:pPr>
      <w:r>
        <w:rPr>
          <w:rStyle w:val="FootnoteReference"/>
        </w:rPr>
        <w:footnoteRef/>
      </w:r>
      <w:r>
        <w:rPr>
          <w:rtl/>
        </w:rPr>
        <w:t xml:space="preserve"> </w:t>
      </w:r>
      <w:r w:rsidR="00862BCA">
        <w:rPr>
          <w:rFonts w:hint="cs"/>
          <w:rtl/>
        </w:rPr>
        <w:t xml:space="preserve">المرفق الرابع للوثيقة </w:t>
      </w:r>
      <w:r w:rsidR="00862BCA">
        <w:t>MM/LD/WG/14/6</w:t>
      </w:r>
      <w:r w:rsidR="00862BCA">
        <w:rPr>
          <w:rFonts w:hint="cs"/>
          <w:rtl/>
        </w:rPr>
        <w:t>، "</w:t>
      </w:r>
      <w:proofErr w:type="gramStart"/>
      <w:r w:rsidR="00862BCA">
        <w:rPr>
          <w:rFonts w:hint="cs"/>
          <w:rtl/>
        </w:rPr>
        <w:t>ملخص</w:t>
      </w:r>
      <w:proofErr w:type="gramEnd"/>
      <w:r w:rsidR="00862BCA">
        <w:rPr>
          <w:rFonts w:hint="cs"/>
          <w:rtl/>
        </w:rPr>
        <w:t xml:space="preserve"> الرئيس" المتاحة على الرابط التالي: </w:t>
      </w:r>
    </w:p>
    <w:p w:rsidR="00862BCA" w:rsidRPr="00862BCA" w:rsidRDefault="007228AE" w:rsidP="004663E9">
      <w:pPr>
        <w:pStyle w:val="FootnoteText"/>
      </w:pPr>
      <w:hyperlink r:id="rId4" w:history="1">
        <w:r w:rsidR="00862BCA" w:rsidRPr="005C270A">
          <w:rPr>
            <w:rStyle w:val="Hyperlink"/>
          </w:rPr>
          <w:t>http://www.wipo.int/edocs/mdocs/madrid/ar/mm_ld_wg_14/mm_ld_wg_14_6.pdf</w:t>
        </w:r>
      </w:hyperlink>
    </w:p>
  </w:footnote>
  <w:footnote w:id="4">
    <w:p w:rsidR="00E77ECE" w:rsidRDefault="00E77ECE">
      <w:pPr>
        <w:pStyle w:val="FootnoteText"/>
        <w:rPr>
          <w:rFonts w:hint="cs"/>
        </w:rPr>
      </w:pPr>
      <w:r>
        <w:rPr>
          <w:rStyle w:val="FootnoteReference"/>
        </w:rPr>
        <w:footnoteRef/>
      </w:r>
      <w:r>
        <w:rPr>
          <w:rtl/>
        </w:rPr>
        <w:t xml:space="preserve"> </w:t>
      </w:r>
      <w:r>
        <w:rPr>
          <w:rFonts w:hint="cs"/>
          <w:rtl/>
        </w:rPr>
        <w:t xml:space="preserve">المتاحة على الرابط التالي: </w:t>
      </w:r>
      <w:hyperlink r:id="rId5" w:history="1">
        <w:r w:rsidRPr="00AB5155">
          <w:rPr>
            <w:rStyle w:val="Hyperlink"/>
          </w:rPr>
          <w:t>http://www.wipo.int/edocs/mdocs/madrid/en/mm_ld_wg_15_rt/mm_ld_wg_15_rt_classification_guidelines_ib.pdf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F369E7" w:rsidP="007E51F8">
    <w:pPr>
      <w:rPr>
        <w:rtl/>
      </w:rPr>
    </w:pPr>
    <w:r w:rsidRPr="00F369E7">
      <w:t>MM/LD/WG/</w:t>
    </w:r>
    <w:r w:rsidR="00BA4140">
      <w:t>15</w:t>
    </w:r>
    <w:r w:rsidRPr="00F369E7">
      <w:t>/</w:t>
    </w:r>
    <w:r w:rsidR="007E51F8">
      <w:t>4</w:t>
    </w:r>
  </w:p>
  <w:p w:rsidR="007E51F8" w:rsidRDefault="007E51F8" w:rsidP="007E51F8">
    <w:pPr>
      <w:rPr>
        <w:rtl/>
      </w:rPr>
    </w:pPr>
    <w:r>
      <w:t>ANNEX</w:t>
    </w:r>
  </w:p>
  <w:p w:rsidR="007E51F8" w:rsidRPr="007E51F8" w:rsidRDefault="007E51F8" w:rsidP="007E51F8">
    <w:pPr>
      <w:rPr>
        <w:rFonts w:ascii="Arabic Typesetting" w:hAnsi="Arabic Typesetting" w:cs="Arabic Typesetting"/>
        <w:sz w:val="36"/>
        <w:szCs w:val="36"/>
      </w:rPr>
    </w:pPr>
    <w:r w:rsidRPr="007E51F8">
      <w:rPr>
        <w:rFonts w:ascii="Arabic Typesetting" w:hAnsi="Arabic Typesetting" w:cs="Arabic Typesetting"/>
        <w:sz w:val="36"/>
        <w:szCs w:val="36"/>
        <w:rtl/>
      </w:rPr>
      <w:t>المرفق</w:t>
    </w:r>
  </w:p>
  <w:p w:rsidR="002F77FC" w:rsidRDefault="002F77FC" w:rsidP="00D61541">
    <w:r>
      <w:fldChar w:fldCharType="begin"/>
    </w:r>
    <w:r>
      <w:instrText xml:space="preserve"> PAGE  \* MERGEFORMAT </w:instrText>
    </w:r>
    <w:r>
      <w:fldChar w:fldCharType="separate"/>
    </w:r>
    <w:r w:rsidR="004663E9">
      <w:rPr>
        <w:noProof/>
      </w:rPr>
      <w:t>3</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3E9" w:rsidRPr="004663E9" w:rsidRDefault="004663E9" w:rsidP="004663E9">
    <w:pPr>
      <w:rPr>
        <w:rtl/>
      </w:rPr>
    </w:pPr>
    <w:r w:rsidRPr="004663E9">
      <w:t>MM/LD/WG/15/4</w:t>
    </w:r>
  </w:p>
  <w:p w:rsidR="004663E9" w:rsidRPr="004663E9" w:rsidRDefault="004663E9" w:rsidP="004663E9">
    <w:r>
      <w:t>Annex</w:t>
    </w:r>
  </w:p>
  <w:p w:rsidR="004663E9" w:rsidRDefault="004663E9" w:rsidP="00D61541">
    <w:r>
      <w:fldChar w:fldCharType="begin"/>
    </w:r>
    <w:r>
      <w:instrText xml:space="preserve"> PAGE   \* MERGEFORMAT </w:instrText>
    </w:r>
    <w:r>
      <w:fldChar w:fldCharType="separate"/>
    </w:r>
    <w:r w:rsidR="007228AE">
      <w:rPr>
        <w:noProof/>
      </w:rPr>
      <w:t>4</w:t>
    </w:r>
    <w:r>
      <w:rPr>
        <w:noProof/>
      </w:rPr>
      <w:fldChar w:fldCharType="end"/>
    </w:r>
  </w:p>
  <w:p w:rsidR="004663E9" w:rsidRDefault="004663E9"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3E9" w:rsidRPr="004663E9" w:rsidRDefault="004663E9" w:rsidP="004663E9">
    <w:pPr>
      <w:pStyle w:val="Header"/>
      <w:rPr>
        <w:rtl/>
      </w:rPr>
    </w:pPr>
    <w:r w:rsidRPr="004663E9">
      <w:t>MM/LD/WG/15/4</w:t>
    </w:r>
  </w:p>
  <w:p w:rsidR="004663E9" w:rsidRPr="004663E9" w:rsidRDefault="004663E9" w:rsidP="004663E9">
    <w:pPr>
      <w:pStyle w:val="Header"/>
      <w:rPr>
        <w:rtl/>
      </w:rPr>
    </w:pPr>
    <w:r w:rsidRPr="004663E9">
      <w:t>ANNEX</w:t>
    </w:r>
  </w:p>
  <w:p w:rsidR="004663E9" w:rsidRPr="004663E9" w:rsidRDefault="004663E9" w:rsidP="004663E9">
    <w:pPr>
      <w:pStyle w:val="Header"/>
      <w:rPr>
        <w:rFonts w:ascii="Arabic Typesetting" w:hAnsi="Arabic Typesetting" w:cs="Arabic Typesetting"/>
        <w:sz w:val="36"/>
        <w:szCs w:val="36"/>
      </w:rPr>
    </w:pPr>
    <w:r w:rsidRPr="004663E9">
      <w:rPr>
        <w:rFonts w:ascii="Arabic Typesetting" w:hAnsi="Arabic Typesetting" w:cs="Arabic Typesetting"/>
        <w:sz w:val="36"/>
        <w:szCs w:val="36"/>
        <w:rtl/>
      </w:rPr>
      <w:t>المرفق</w:t>
    </w:r>
  </w:p>
  <w:p w:rsidR="004663E9" w:rsidRDefault="004663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39"/>
    <w:rsid w:val="00000E83"/>
    <w:rsid w:val="00002CBE"/>
    <w:rsid w:val="00003232"/>
    <w:rsid w:val="000033DA"/>
    <w:rsid w:val="0000579F"/>
    <w:rsid w:val="000074D1"/>
    <w:rsid w:val="000076BD"/>
    <w:rsid w:val="00010481"/>
    <w:rsid w:val="00010671"/>
    <w:rsid w:val="000114E2"/>
    <w:rsid w:val="0001216A"/>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686F"/>
    <w:rsid w:val="00031B2C"/>
    <w:rsid w:val="00033D2C"/>
    <w:rsid w:val="00034346"/>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97F"/>
    <w:rsid w:val="00055FA2"/>
    <w:rsid w:val="000571DD"/>
    <w:rsid w:val="00061FF5"/>
    <w:rsid w:val="00062502"/>
    <w:rsid w:val="00063C91"/>
    <w:rsid w:val="000640E7"/>
    <w:rsid w:val="00066DC7"/>
    <w:rsid w:val="0006794A"/>
    <w:rsid w:val="00067F31"/>
    <w:rsid w:val="00071138"/>
    <w:rsid w:val="00073402"/>
    <w:rsid w:val="00075745"/>
    <w:rsid w:val="00075A04"/>
    <w:rsid w:val="00075C42"/>
    <w:rsid w:val="00075D39"/>
    <w:rsid w:val="000760C3"/>
    <w:rsid w:val="000763A4"/>
    <w:rsid w:val="00076901"/>
    <w:rsid w:val="000770E3"/>
    <w:rsid w:val="000816A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39B4"/>
    <w:rsid w:val="00094C85"/>
    <w:rsid w:val="00094D7E"/>
    <w:rsid w:val="0009517B"/>
    <w:rsid w:val="00095AE2"/>
    <w:rsid w:val="000962DF"/>
    <w:rsid w:val="0009661E"/>
    <w:rsid w:val="0009696C"/>
    <w:rsid w:val="000A12BC"/>
    <w:rsid w:val="000A1306"/>
    <w:rsid w:val="000A1521"/>
    <w:rsid w:val="000A2FC1"/>
    <w:rsid w:val="000A3A57"/>
    <w:rsid w:val="000A4A93"/>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99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AE8"/>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1D1"/>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082"/>
    <w:rsid w:val="001A2AB7"/>
    <w:rsid w:val="001A3F04"/>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6BDF"/>
    <w:rsid w:val="001C73C2"/>
    <w:rsid w:val="001D0474"/>
    <w:rsid w:val="001D141D"/>
    <w:rsid w:val="001D1EBD"/>
    <w:rsid w:val="001D2184"/>
    <w:rsid w:val="001D24F3"/>
    <w:rsid w:val="001D2678"/>
    <w:rsid w:val="001D2DC4"/>
    <w:rsid w:val="001D3B0F"/>
    <w:rsid w:val="001D646C"/>
    <w:rsid w:val="001D6A48"/>
    <w:rsid w:val="001E1043"/>
    <w:rsid w:val="001E10E1"/>
    <w:rsid w:val="001E175F"/>
    <w:rsid w:val="001E19F7"/>
    <w:rsid w:val="001E1B45"/>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0975"/>
    <w:rsid w:val="002112E6"/>
    <w:rsid w:val="00213213"/>
    <w:rsid w:val="0021457F"/>
    <w:rsid w:val="0021505D"/>
    <w:rsid w:val="0021604B"/>
    <w:rsid w:val="00216545"/>
    <w:rsid w:val="002173B7"/>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6CE0"/>
    <w:rsid w:val="00237419"/>
    <w:rsid w:val="0024056C"/>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A03"/>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07AAB"/>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795B"/>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2EA"/>
    <w:rsid w:val="00392705"/>
    <w:rsid w:val="00393364"/>
    <w:rsid w:val="00393A79"/>
    <w:rsid w:val="0039419C"/>
    <w:rsid w:val="00395987"/>
    <w:rsid w:val="00396375"/>
    <w:rsid w:val="00396801"/>
    <w:rsid w:val="00396E82"/>
    <w:rsid w:val="00397AB0"/>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265DA"/>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3E9"/>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2D3A"/>
    <w:rsid w:val="004A31A2"/>
    <w:rsid w:val="004A48A7"/>
    <w:rsid w:val="004A655D"/>
    <w:rsid w:val="004B01B1"/>
    <w:rsid w:val="004B08D1"/>
    <w:rsid w:val="004B10E6"/>
    <w:rsid w:val="004B198F"/>
    <w:rsid w:val="004B46D0"/>
    <w:rsid w:val="004B57B0"/>
    <w:rsid w:val="004B60CE"/>
    <w:rsid w:val="004B61C9"/>
    <w:rsid w:val="004C0B26"/>
    <w:rsid w:val="004C11DA"/>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63CF"/>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09D"/>
    <w:rsid w:val="0055621D"/>
    <w:rsid w:val="0055764D"/>
    <w:rsid w:val="00560C6A"/>
    <w:rsid w:val="00560F85"/>
    <w:rsid w:val="005610A0"/>
    <w:rsid w:val="0056248F"/>
    <w:rsid w:val="00564985"/>
    <w:rsid w:val="00565379"/>
    <w:rsid w:val="005674C3"/>
    <w:rsid w:val="00567990"/>
    <w:rsid w:val="00567C4C"/>
    <w:rsid w:val="005707FF"/>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DE2"/>
    <w:rsid w:val="005918E4"/>
    <w:rsid w:val="00591C6D"/>
    <w:rsid w:val="00591C71"/>
    <w:rsid w:val="00592392"/>
    <w:rsid w:val="00592484"/>
    <w:rsid w:val="0059283D"/>
    <w:rsid w:val="005928D3"/>
    <w:rsid w:val="00592D5D"/>
    <w:rsid w:val="00593C79"/>
    <w:rsid w:val="005955C0"/>
    <w:rsid w:val="00595B68"/>
    <w:rsid w:val="00595EAA"/>
    <w:rsid w:val="0059672B"/>
    <w:rsid w:val="005A0C60"/>
    <w:rsid w:val="005A255F"/>
    <w:rsid w:val="005A330E"/>
    <w:rsid w:val="005A5554"/>
    <w:rsid w:val="005A5651"/>
    <w:rsid w:val="005A6AFE"/>
    <w:rsid w:val="005A7BF3"/>
    <w:rsid w:val="005A7DE0"/>
    <w:rsid w:val="005B08A1"/>
    <w:rsid w:val="005B0AEF"/>
    <w:rsid w:val="005B37D9"/>
    <w:rsid w:val="005B3A73"/>
    <w:rsid w:val="005B445B"/>
    <w:rsid w:val="005B474E"/>
    <w:rsid w:val="005B489A"/>
    <w:rsid w:val="005B63A6"/>
    <w:rsid w:val="005B64D1"/>
    <w:rsid w:val="005B6A88"/>
    <w:rsid w:val="005B6E05"/>
    <w:rsid w:val="005B7F42"/>
    <w:rsid w:val="005C0A37"/>
    <w:rsid w:val="005C1D45"/>
    <w:rsid w:val="005C3C9B"/>
    <w:rsid w:val="005C42AB"/>
    <w:rsid w:val="005C45C0"/>
    <w:rsid w:val="005C5335"/>
    <w:rsid w:val="005C5D7B"/>
    <w:rsid w:val="005C5E29"/>
    <w:rsid w:val="005C6474"/>
    <w:rsid w:val="005C6A68"/>
    <w:rsid w:val="005D0AE3"/>
    <w:rsid w:val="005D1103"/>
    <w:rsid w:val="005D1FD7"/>
    <w:rsid w:val="005D276D"/>
    <w:rsid w:val="005D5912"/>
    <w:rsid w:val="005D6425"/>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163F"/>
    <w:rsid w:val="005F2995"/>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30C9"/>
    <w:rsid w:val="0064656E"/>
    <w:rsid w:val="00646DF5"/>
    <w:rsid w:val="00647BD1"/>
    <w:rsid w:val="00650397"/>
    <w:rsid w:val="006507E8"/>
    <w:rsid w:val="00650C73"/>
    <w:rsid w:val="00651143"/>
    <w:rsid w:val="00651959"/>
    <w:rsid w:val="00651BF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0E7"/>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6EDE"/>
    <w:rsid w:val="006D774E"/>
    <w:rsid w:val="006D7FA8"/>
    <w:rsid w:val="006E4601"/>
    <w:rsid w:val="006E5B86"/>
    <w:rsid w:val="006E63FF"/>
    <w:rsid w:val="006E652D"/>
    <w:rsid w:val="006E7572"/>
    <w:rsid w:val="006F2F22"/>
    <w:rsid w:val="006F434A"/>
    <w:rsid w:val="006F7974"/>
    <w:rsid w:val="00700A60"/>
    <w:rsid w:val="00700FA7"/>
    <w:rsid w:val="00705027"/>
    <w:rsid w:val="00710494"/>
    <w:rsid w:val="007117BD"/>
    <w:rsid w:val="00715129"/>
    <w:rsid w:val="007154CE"/>
    <w:rsid w:val="00715B25"/>
    <w:rsid w:val="00716020"/>
    <w:rsid w:val="007205B1"/>
    <w:rsid w:val="00720860"/>
    <w:rsid w:val="00721087"/>
    <w:rsid w:val="00721530"/>
    <w:rsid w:val="007228AE"/>
    <w:rsid w:val="00723422"/>
    <w:rsid w:val="007260FE"/>
    <w:rsid w:val="00726DD6"/>
    <w:rsid w:val="0073076E"/>
    <w:rsid w:val="00733416"/>
    <w:rsid w:val="0073377E"/>
    <w:rsid w:val="00733E05"/>
    <w:rsid w:val="00735C8A"/>
    <w:rsid w:val="00735FE2"/>
    <w:rsid w:val="0073719A"/>
    <w:rsid w:val="00737C62"/>
    <w:rsid w:val="00737C91"/>
    <w:rsid w:val="007408B3"/>
    <w:rsid w:val="0074130E"/>
    <w:rsid w:val="00743937"/>
    <w:rsid w:val="00744889"/>
    <w:rsid w:val="00744910"/>
    <w:rsid w:val="00745BA4"/>
    <w:rsid w:val="00745E8A"/>
    <w:rsid w:val="007462E8"/>
    <w:rsid w:val="00746F2D"/>
    <w:rsid w:val="00747095"/>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210"/>
    <w:rsid w:val="00795460"/>
    <w:rsid w:val="00796CF7"/>
    <w:rsid w:val="007A0313"/>
    <w:rsid w:val="007A0A83"/>
    <w:rsid w:val="007A3856"/>
    <w:rsid w:val="007A4BB3"/>
    <w:rsid w:val="007A6307"/>
    <w:rsid w:val="007A6822"/>
    <w:rsid w:val="007A724D"/>
    <w:rsid w:val="007A749D"/>
    <w:rsid w:val="007A7B37"/>
    <w:rsid w:val="007B024C"/>
    <w:rsid w:val="007B1C4C"/>
    <w:rsid w:val="007B1FFF"/>
    <w:rsid w:val="007B2800"/>
    <w:rsid w:val="007B38F7"/>
    <w:rsid w:val="007B40D4"/>
    <w:rsid w:val="007B4511"/>
    <w:rsid w:val="007B5C86"/>
    <w:rsid w:val="007B6071"/>
    <w:rsid w:val="007B6540"/>
    <w:rsid w:val="007B69A2"/>
    <w:rsid w:val="007B796C"/>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51F8"/>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3110"/>
    <w:rsid w:val="00803B51"/>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2BCA"/>
    <w:rsid w:val="00863013"/>
    <w:rsid w:val="00863F67"/>
    <w:rsid w:val="008645A7"/>
    <w:rsid w:val="0086483A"/>
    <w:rsid w:val="0087049C"/>
    <w:rsid w:val="00870AAD"/>
    <w:rsid w:val="00870EDE"/>
    <w:rsid w:val="00871DA0"/>
    <w:rsid w:val="00872030"/>
    <w:rsid w:val="00873973"/>
    <w:rsid w:val="00875C28"/>
    <w:rsid w:val="00875E75"/>
    <w:rsid w:val="0087658F"/>
    <w:rsid w:val="0087762E"/>
    <w:rsid w:val="00877823"/>
    <w:rsid w:val="008803F5"/>
    <w:rsid w:val="008804F1"/>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5755"/>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6213"/>
    <w:rsid w:val="008D7D8C"/>
    <w:rsid w:val="008E004E"/>
    <w:rsid w:val="008E04FB"/>
    <w:rsid w:val="008E0DCA"/>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4C1C"/>
    <w:rsid w:val="009158EF"/>
    <w:rsid w:val="009163CC"/>
    <w:rsid w:val="0091674C"/>
    <w:rsid w:val="00916862"/>
    <w:rsid w:val="00916B2A"/>
    <w:rsid w:val="00916D96"/>
    <w:rsid w:val="009174F7"/>
    <w:rsid w:val="00917E76"/>
    <w:rsid w:val="00920167"/>
    <w:rsid w:val="00921BB8"/>
    <w:rsid w:val="00921D28"/>
    <w:rsid w:val="00922034"/>
    <w:rsid w:val="0092266C"/>
    <w:rsid w:val="009241E8"/>
    <w:rsid w:val="00925791"/>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04DE"/>
    <w:rsid w:val="00971568"/>
    <w:rsid w:val="009728F2"/>
    <w:rsid w:val="00972BEF"/>
    <w:rsid w:val="00973BCF"/>
    <w:rsid w:val="009744BC"/>
    <w:rsid w:val="00974E60"/>
    <w:rsid w:val="00975896"/>
    <w:rsid w:val="00975DF1"/>
    <w:rsid w:val="009769C0"/>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D7CC3"/>
    <w:rsid w:val="009E09F5"/>
    <w:rsid w:val="009E0DBC"/>
    <w:rsid w:val="009E11BD"/>
    <w:rsid w:val="009E18B7"/>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566C"/>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96D"/>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2E48"/>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0DFE"/>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7AD"/>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87F39"/>
    <w:rsid w:val="00B90558"/>
    <w:rsid w:val="00B92958"/>
    <w:rsid w:val="00B93957"/>
    <w:rsid w:val="00B9404A"/>
    <w:rsid w:val="00B94877"/>
    <w:rsid w:val="00B9491F"/>
    <w:rsid w:val="00B96043"/>
    <w:rsid w:val="00B96F5D"/>
    <w:rsid w:val="00BA02F9"/>
    <w:rsid w:val="00BA1987"/>
    <w:rsid w:val="00BA2682"/>
    <w:rsid w:val="00BA31E4"/>
    <w:rsid w:val="00BA3959"/>
    <w:rsid w:val="00BA4140"/>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20D"/>
    <w:rsid w:val="00BE350E"/>
    <w:rsid w:val="00BE3801"/>
    <w:rsid w:val="00BE38CF"/>
    <w:rsid w:val="00BE394B"/>
    <w:rsid w:val="00BE48A8"/>
    <w:rsid w:val="00BE528F"/>
    <w:rsid w:val="00BE5850"/>
    <w:rsid w:val="00BE58D6"/>
    <w:rsid w:val="00BE5CA6"/>
    <w:rsid w:val="00BE707F"/>
    <w:rsid w:val="00BE7F5D"/>
    <w:rsid w:val="00BF0707"/>
    <w:rsid w:val="00BF0986"/>
    <w:rsid w:val="00BF164F"/>
    <w:rsid w:val="00BF1AAF"/>
    <w:rsid w:val="00BF268B"/>
    <w:rsid w:val="00BF31C8"/>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7BDD"/>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4B2"/>
    <w:rsid w:val="00C57ED3"/>
    <w:rsid w:val="00C61640"/>
    <w:rsid w:val="00C61AA7"/>
    <w:rsid w:val="00C61B8E"/>
    <w:rsid w:val="00C668DE"/>
    <w:rsid w:val="00C7044F"/>
    <w:rsid w:val="00C720F8"/>
    <w:rsid w:val="00C7226B"/>
    <w:rsid w:val="00C7294B"/>
    <w:rsid w:val="00C75139"/>
    <w:rsid w:val="00C7525C"/>
    <w:rsid w:val="00C76CF7"/>
    <w:rsid w:val="00C83A4C"/>
    <w:rsid w:val="00C8533B"/>
    <w:rsid w:val="00C858BA"/>
    <w:rsid w:val="00C86977"/>
    <w:rsid w:val="00C916C8"/>
    <w:rsid w:val="00C9398D"/>
    <w:rsid w:val="00C939EE"/>
    <w:rsid w:val="00C93C6E"/>
    <w:rsid w:val="00C93F93"/>
    <w:rsid w:val="00C94BCD"/>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4888"/>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2AB"/>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030"/>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0A07"/>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1BC"/>
    <w:rsid w:val="00DC2641"/>
    <w:rsid w:val="00DC2B1E"/>
    <w:rsid w:val="00DC7481"/>
    <w:rsid w:val="00DC7591"/>
    <w:rsid w:val="00DD0839"/>
    <w:rsid w:val="00DD26D0"/>
    <w:rsid w:val="00DD47D5"/>
    <w:rsid w:val="00DD6729"/>
    <w:rsid w:val="00DD748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1BDF"/>
    <w:rsid w:val="00E13F46"/>
    <w:rsid w:val="00E15113"/>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4B8E"/>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77EC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C7D0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8A6"/>
    <w:rsid w:val="00F05E6D"/>
    <w:rsid w:val="00F07F35"/>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9E7"/>
    <w:rsid w:val="00F36AC6"/>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6E1"/>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1A05"/>
    <w:rsid w:val="00FA2C4B"/>
    <w:rsid w:val="00FA5CC6"/>
    <w:rsid w:val="00FA64D5"/>
    <w:rsid w:val="00FA6760"/>
    <w:rsid w:val="00FA6B49"/>
    <w:rsid w:val="00FA70F6"/>
    <w:rsid w:val="00FA7420"/>
    <w:rsid w:val="00FA756C"/>
    <w:rsid w:val="00FA75E4"/>
    <w:rsid w:val="00FA776B"/>
    <w:rsid w:val="00FB0AB1"/>
    <w:rsid w:val="00FB2BEF"/>
    <w:rsid w:val="00FB36CA"/>
    <w:rsid w:val="00FB5F9D"/>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Hyperlink">
    <w:name w:val="Hyperlink"/>
    <w:uiPriority w:val="99"/>
    <w:unhideWhenUsed/>
    <w:rsid w:val="00862BCA"/>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styleId="Hyperlink">
    <w:name w:val="Hyperlink"/>
    <w:uiPriority w:val="99"/>
    <w:unhideWhenUsed/>
    <w:rsid w:val="00862BC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91295">
      <w:bodyDiv w:val="1"/>
      <w:marLeft w:val="0"/>
      <w:marRight w:val="0"/>
      <w:marTop w:val="0"/>
      <w:marBottom w:val="0"/>
      <w:divBdr>
        <w:top w:val="none" w:sz="0" w:space="0" w:color="auto"/>
        <w:left w:val="none" w:sz="0" w:space="0" w:color="auto"/>
        <w:bottom w:val="none" w:sz="0" w:space="0" w:color="auto"/>
        <w:right w:val="none" w:sz="0" w:space="0" w:color="auto"/>
      </w:divBdr>
    </w:div>
    <w:div w:id="1287421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adrid/en/members/ipoffices_info.html" TargetMode="External"/><Relationship Id="rId2" Type="http://schemas.openxmlformats.org/officeDocument/2006/relationships/hyperlink" Target="http://www.wipo.int/edocs/mdocs/madrid/ar/mm_ld_wg_14/mm_ld_wg_14_4.pdf" TargetMode="External"/><Relationship Id="rId1" Type="http://schemas.openxmlformats.org/officeDocument/2006/relationships/hyperlink" Target="http://www.wipo.int/meetings/en/doc_details.jsp?doc_id=336264" TargetMode="External"/><Relationship Id="rId5" Type="http://schemas.openxmlformats.org/officeDocument/2006/relationships/hyperlink" Target="http://www.wipo.int/edocs/mdocs/madrid/en/mm_ld_wg_15_rt/mm_ld_wg_15_rt_classification_guidelines_ib.pdf" TargetMode="External"/><Relationship Id="rId4" Type="http://schemas.openxmlformats.org/officeDocument/2006/relationships/hyperlink" Target="http://www.wipo.int/edocs/mdocs/madrid/ar/mm_ld_wg_14/mm_ld_wg_14_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team\Awada\Translations\mm_ld_wg_15_4_4228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0AF9C-5995-4E1A-B31A-D688CD0F9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mm_ld_wg_15_4_42284_AR.dotx</Template>
  <TotalTime>27</TotalTime>
  <Pages>5</Pages>
  <Words>1477</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MM/LD/WG/15/-- (Arabic)</vt:lpstr>
    </vt:vector>
  </TitlesOfParts>
  <Company>World Intellectual Property Organization</Company>
  <LinksUpToDate>false</LinksUpToDate>
  <CharactersWithSpaces>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MM/LD/WG/15/-- (Arabic)</dc:title>
  <dc:creator>AWADA Sabah</dc:creator>
  <cp:lastModifiedBy>YOUSSEF Randa</cp:lastModifiedBy>
  <cp:revision>7</cp:revision>
  <cp:lastPrinted>2017-06-14T09:10:00Z</cp:lastPrinted>
  <dcterms:created xsi:type="dcterms:W3CDTF">2017-06-13T08:44:00Z</dcterms:created>
  <dcterms:modified xsi:type="dcterms:W3CDTF">2017-06-14T09:10:00Z</dcterms:modified>
</cp:coreProperties>
</file>