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963" w:rsidTr="0088395E">
        <w:tc>
          <w:tcPr>
            <w:tcW w:w="4513" w:type="dxa"/>
            <w:tcBorders>
              <w:bottom w:val="single" w:sz="4" w:space="0" w:color="auto"/>
            </w:tcBorders>
            <w:tcMar>
              <w:bottom w:w="170" w:type="dxa"/>
            </w:tcMar>
          </w:tcPr>
          <w:p w:rsidR="00E504E5" w:rsidRPr="008B2963" w:rsidRDefault="00E504E5" w:rsidP="00AB613D"/>
        </w:tc>
        <w:tc>
          <w:tcPr>
            <w:tcW w:w="4337" w:type="dxa"/>
            <w:tcBorders>
              <w:bottom w:val="single" w:sz="4" w:space="0" w:color="auto"/>
            </w:tcBorders>
            <w:tcMar>
              <w:left w:w="0" w:type="dxa"/>
              <w:right w:w="0" w:type="dxa"/>
            </w:tcMar>
          </w:tcPr>
          <w:p w:rsidR="00E504E5" w:rsidRPr="008B2963" w:rsidRDefault="003B3D85" w:rsidP="00AB613D">
            <w:r w:rsidRPr="008B2963">
              <w:rPr>
                <w:noProof/>
                <w:lang w:val="en-US" w:eastAsia="en-US"/>
              </w:rPr>
              <w:drawing>
                <wp:inline distT="0" distB="0" distL="0" distR="0" wp14:anchorId="0234FE67" wp14:editId="46107089">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963" w:rsidRDefault="00E504E5" w:rsidP="00AB613D">
            <w:pPr>
              <w:jc w:val="right"/>
            </w:pPr>
            <w:r w:rsidRPr="008B2963">
              <w:rPr>
                <w:b/>
                <w:sz w:val="40"/>
                <w:szCs w:val="40"/>
              </w:rPr>
              <w:t>S</w:t>
            </w:r>
          </w:p>
        </w:tc>
      </w:tr>
      <w:tr w:rsidR="008B2CC1" w:rsidRPr="008B296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B2963" w:rsidRDefault="000A550C" w:rsidP="003B3D85">
            <w:pPr>
              <w:jc w:val="right"/>
              <w:rPr>
                <w:rFonts w:ascii="Arial Black" w:hAnsi="Arial Black"/>
                <w:caps/>
                <w:sz w:val="15"/>
              </w:rPr>
            </w:pPr>
            <w:r w:rsidRPr="008B2963">
              <w:rPr>
                <w:rFonts w:ascii="Arial Black" w:hAnsi="Arial Black"/>
                <w:caps/>
                <w:sz w:val="15"/>
              </w:rPr>
              <w:t>mm/ld/wg/16</w:t>
            </w:r>
            <w:r w:rsidR="003B3D85" w:rsidRPr="008B2963">
              <w:rPr>
                <w:rFonts w:ascii="Arial Black" w:hAnsi="Arial Black"/>
                <w:caps/>
                <w:sz w:val="15"/>
              </w:rPr>
              <w:t>/</w:t>
            </w:r>
            <w:bookmarkStart w:id="0" w:name="Code"/>
            <w:bookmarkEnd w:id="0"/>
            <w:r w:rsidR="00A901D0" w:rsidRPr="008B2963">
              <w:rPr>
                <w:rFonts w:ascii="Arial Black" w:hAnsi="Arial Black"/>
                <w:caps/>
                <w:sz w:val="15"/>
              </w:rPr>
              <w:t>4</w:t>
            </w:r>
          </w:p>
        </w:tc>
      </w:tr>
      <w:tr w:rsidR="008B2CC1" w:rsidRPr="008B2963" w:rsidTr="00AB613D">
        <w:trPr>
          <w:trHeight w:hRule="exact" w:val="170"/>
        </w:trPr>
        <w:tc>
          <w:tcPr>
            <w:tcW w:w="9356" w:type="dxa"/>
            <w:gridSpan w:val="3"/>
            <w:noWrap/>
            <w:tcMar>
              <w:left w:w="0" w:type="dxa"/>
              <w:right w:w="0" w:type="dxa"/>
            </w:tcMar>
            <w:vAlign w:val="bottom"/>
          </w:tcPr>
          <w:p w:rsidR="008B2CC1" w:rsidRPr="008B2963" w:rsidRDefault="008B2CC1" w:rsidP="0046793F">
            <w:pPr>
              <w:jc w:val="right"/>
              <w:rPr>
                <w:rFonts w:ascii="Arial Black" w:hAnsi="Arial Black"/>
                <w:caps/>
                <w:sz w:val="15"/>
              </w:rPr>
            </w:pPr>
            <w:r w:rsidRPr="008B2963">
              <w:rPr>
                <w:rFonts w:ascii="Arial Black" w:hAnsi="Arial Black"/>
                <w:caps/>
                <w:sz w:val="15"/>
              </w:rPr>
              <w:t>ORIGINAL:</w:t>
            </w:r>
            <w:r w:rsidR="009A20CD" w:rsidRPr="008B2963">
              <w:rPr>
                <w:rFonts w:ascii="Arial Black" w:hAnsi="Arial Black"/>
                <w:caps/>
                <w:sz w:val="15"/>
              </w:rPr>
              <w:t xml:space="preserve">  </w:t>
            </w:r>
            <w:bookmarkStart w:id="1" w:name="Original"/>
            <w:bookmarkEnd w:id="1"/>
            <w:r w:rsidR="00A901D0" w:rsidRPr="008B2963">
              <w:rPr>
                <w:rFonts w:ascii="Arial Black" w:hAnsi="Arial Black"/>
                <w:caps/>
                <w:sz w:val="15"/>
              </w:rPr>
              <w:t>INGLÉS</w:t>
            </w:r>
            <w:r w:rsidRPr="008B2963">
              <w:rPr>
                <w:rFonts w:ascii="Arial Black" w:hAnsi="Arial Black"/>
                <w:caps/>
                <w:sz w:val="15"/>
              </w:rPr>
              <w:t xml:space="preserve"> </w:t>
            </w:r>
          </w:p>
        </w:tc>
      </w:tr>
      <w:tr w:rsidR="008B2CC1" w:rsidRPr="008B2963" w:rsidTr="00AB613D">
        <w:trPr>
          <w:trHeight w:hRule="exact" w:val="198"/>
        </w:trPr>
        <w:tc>
          <w:tcPr>
            <w:tcW w:w="9356" w:type="dxa"/>
            <w:gridSpan w:val="3"/>
            <w:tcMar>
              <w:left w:w="0" w:type="dxa"/>
              <w:right w:w="0" w:type="dxa"/>
            </w:tcMar>
            <w:vAlign w:val="bottom"/>
          </w:tcPr>
          <w:p w:rsidR="008B2CC1" w:rsidRPr="008B2963" w:rsidRDefault="00675021" w:rsidP="00727C97">
            <w:pPr>
              <w:jc w:val="right"/>
              <w:rPr>
                <w:rFonts w:ascii="Arial Black" w:hAnsi="Arial Black"/>
                <w:caps/>
                <w:sz w:val="15"/>
              </w:rPr>
            </w:pPr>
            <w:r w:rsidRPr="00516747">
              <w:rPr>
                <w:rFonts w:ascii="Arial Black" w:hAnsi="Arial Black"/>
                <w:caps/>
                <w:sz w:val="15"/>
              </w:rPr>
              <w:t>fecha</w:t>
            </w:r>
            <w:r w:rsidR="008B2CC1" w:rsidRPr="00516747">
              <w:rPr>
                <w:rFonts w:ascii="Arial Black" w:hAnsi="Arial Black"/>
                <w:caps/>
                <w:sz w:val="15"/>
              </w:rPr>
              <w:t>:</w:t>
            </w:r>
            <w:r w:rsidR="009A20CD" w:rsidRPr="00516747">
              <w:rPr>
                <w:rFonts w:ascii="Arial Black" w:hAnsi="Arial Black"/>
                <w:caps/>
                <w:sz w:val="15"/>
              </w:rPr>
              <w:t xml:space="preserve"> </w:t>
            </w:r>
            <w:bookmarkStart w:id="2" w:name="Date"/>
            <w:bookmarkEnd w:id="2"/>
            <w:r w:rsidR="00A901D0" w:rsidRPr="00516747">
              <w:rPr>
                <w:rFonts w:ascii="Arial Black" w:hAnsi="Arial Black"/>
                <w:caps/>
                <w:sz w:val="15"/>
              </w:rPr>
              <w:t xml:space="preserve"> </w:t>
            </w:r>
            <w:r w:rsidR="00727C97">
              <w:rPr>
                <w:rFonts w:ascii="Arial Black" w:hAnsi="Arial Black"/>
                <w:caps/>
                <w:sz w:val="15"/>
              </w:rPr>
              <w:t>2</w:t>
            </w:r>
            <w:r w:rsidR="00A901D0" w:rsidRPr="00516747">
              <w:rPr>
                <w:rFonts w:ascii="Arial Black" w:hAnsi="Arial Black"/>
                <w:caps/>
                <w:sz w:val="15"/>
              </w:rPr>
              <w:t xml:space="preserve"> DE </w:t>
            </w:r>
            <w:r w:rsidR="00727C97">
              <w:rPr>
                <w:rFonts w:ascii="Arial Black" w:hAnsi="Arial Black"/>
                <w:caps/>
                <w:sz w:val="15"/>
              </w:rPr>
              <w:t>mayo</w:t>
            </w:r>
            <w:r w:rsidR="00A901D0" w:rsidRPr="00516747">
              <w:rPr>
                <w:rFonts w:ascii="Arial Black" w:hAnsi="Arial Black"/>
                <w:caps/>
                <w:sz w:val="15"/>
              </w:rPr>
              <w:t xml:space="preserve"> DE 2018</w:t>
            </w:r>
            <w:r w:rsidR="008B2CC1" w:rsidRPr="008B2963">
              <w:rPr>
                <w:rFonts w:ascii="Arial Black" w:hAnsi="Arial Black"/>
                <w:caps/>
                <w:sz w:val="15"/>
              </w:rPr>
              <w:t xml:space="preserve"> </w:t>
            </w:r>
          </w:p>
        </w:tc>
      </w:tr>
    </w:tbl>
    <w:p w:rsidR="008B2CC1" w:rsidRPr="008B2963" w:rsidRDefault="008B2CC1" w:rsidP="008B2CC1"/>
    <w:p w:rsidR="008B2CC1" w:rsidRPr="008B2963" w:rsidRDefault="008B2CC1" w:rsidP="008B2CC1"/>
    <w:p w:rsidR="008B2CC1" w:rsidRPr="008B2963" w:rsidRDefault="008B2CC1" w:rsidP="008B2CC1"/>
    <w:p w:rsidR="008B2CC1" w:rsidRPr="008B2963" w:rsidRDefault="008B2CC1" w:rsidP="008B2CC1"/>
    <w:p w:rsidR="008B2CC1" w:rsidRPr="008B2963" w:rsidRDefault="008B2CC1" w:rsidP="008B2CC1"/>
    <w:p w:rsidR="00B67CDC" w:rsidRPr="008B2963" w:rsidRDefault="003B3D85" w:rsidP="00B67CDC">
      <w:pPr>
        <w:rPr>
          <w:b/>
          <w:sz w:val="28"/>
          <w:szCs w:val="28"/>
        </w:rPr>
      </w:pPr>
      <w:r w:rsidRPr="008B2963">
        <w:rPr>
          <w:b/>
          <w:sz w:val="28"/>
          <w:szCs w:val="28"/>
        </w:rPr>
        <w:t>Grupo de Trabajo sobre el Desarrollo Jurídico del Sistema de Madrid para el Registro Internacional de Marcas</w:t>
      </w:r>
    </w:p>
    <w:p w:rsidR="003845C1" w:rsidRPr="008B2963" w:rsidRDefault="003845C1" w:rsidP="003845C1"/>
    <w:p w:rsidR="003845C1" w:rsidRPr="008B2963" w:rsidRDefault="003845C1" w:rsidP="003845C1"/>
    <w:p w:rsidR="003B3D85" w:rsidRPr="008B2963" w:rsidRDefault="000A550C" w:rsidP="003B3D85">
      <w:pPr>
        <w:rPr>
          <w:b/>
          <w:sz w:val="24"/>
          <w:szCs w:val="24"/>
        </w:rPr>
      </w:pPr>
      <w:r w:rsidRPr="008B2963">
        <w:rPr>
          <w:b/>
          <w:sz w:val="24"/>
          <w:szCs w:val="24"/>
        </w:rPr>
        <w:t>Decimosexta</w:t>
      </w:r>
      <w:r w:rsidR="003B3D85" w:rsidRPr="008B2963">
        <w:rPr>
          <w:b/>
          <w:sz w:val="24"/>
          <w:szCs w:val="24"/>
        </w:rPr>
        <w:t xml:space="preserve"> reunión</w:t>
      </w:r>
    </w:p>
    <w:p w:rsidR="003B3D85" w:rsidRPr="008B2963" w:rsidRDefault="000A550C" w:rsidP="003B3D85">
      <w:pPr>
        <w:rPr>
          <w:b/>
          <w:sz w:val="24"/>
          <w:szCs w:val="24"/>
        </w:rPr>
      </w:pPr>
      <w:r w:rsidRPr="008B2963">
        <w:rPr>
          <w:b/>
          <w:sz w:val="24"/>
          <w:szCs w:val="24"/>
        </w:rPr>
        <w:t>Ginebra, 2 a 6 de julio de 2018</w:t>
      </w:r>
    </w:p>
    <w:p w:rsidR="008B2CC1" w:rsidRPr="008B2963" w:rsidRDefault="008B2CC1" w:rsidP="008B2CC1"/>
    <w:p w:rsidR="008B2CC1" w:rsidRPr="008B2963" w:rsidRDefault="008B2CC1" w:rsidP="008B2CC1"/>
    <w:p w:rsidR="008B2CC1" w:rsidRPr="008B2963" w:rsidRDefault="008B2CC1" w:rsidP="008B2CC1"/>
    <w:p w:rsidR="00C76B7A" w:rsidRPr="008B2963" w:rsidRDefault="00C76B7A" w:rsidP="00C76B7A">
      <w:pPr>
        <w:rPr>
          <w:caps/>
          <w:sz w:val="24"/>
        </w:rPr>
      </w:pPr>
      <w:bookmarkStart w:id="3" w:name="TitleOfDoc"/>
      <w:bookmarkEnd w:id="3"/>
      <w:r w:rsidRPr="008B2963">
        <w:rPr>
          <w:caps/>
          <w:sz w:val="24"/>
        </w:rPr>
        <w:t>N</w:t>
      </w:r>
      <w:r w:rsidR="00C50CAF" w:rsidRPr="008B2963">
        <w:rPr>
          <w:caps/>
          <w:sz w:val="24"/>
        </w:rPr>
        <w:t>UEVOS TIPOS DE MARCAS Y NUEVOS MEDIOS DE REPRESENTACIÓN</w:t>
      </w:r>
    </w:p>
    <w:p w:rsidR="00C76B7A" w:rsidRPr="008B2963" w:rsidRDefault="00C76B7A" w:rsidP="00C76B7A"/>
    <w:p w:rsidR="00C76B7A" w:rsidRPr="008B2963" w:rsidRDefault="00C76B7A" w:rsidP="00C76B7A">
      <w:pPr>
        <w:rPr>
          <w:i/>
        </w:rPr>
      </w:pPr>
      <w:bookmarkStart w:id="4" w:name="Prepared"/>
      <w:bookmarkEnd w:id="4"/>
      <w:r w:rsidRPr="008B2963">
        <w:rPr>
          <w:i/>
        </w:rPr>
        <w:t>Document</w:t>
      </w:r>
      <w:r w:rsidR="00C50CAF" w:rsidRPr="008B2963">
        <w:rPr>
          <w:i/>
        </w:rPr>
        <w:t>o</w:t>
      </w:r>
      <w:r w:rsidR="00D0170E" w:rsidRPr="008B2963">
        <w:rPr>
          <w:i/>
        </w:rPr>
        <w:t xml:space="preserve"> prepara</w:t>
      </w:r>
      <w:r w:rsidRPr="008B2963">
        <w:rPr>
          <w:i/>
        </w:rPr>
        <w:t>d</w:t>
      </w:r>
      <w:r w:rsidR="00C50CAF" w:rsidRPr="008B2963">
        <w:rPr>
          <w:i/>
        </w:rPr>
        <w:t>o</w:t>
      </w:r>
      <w:r w:rsidRPr="008B2963">
        <w:rPr>
          <w:i/>
        </w:rPr>
        <w:t xml:space="preserve"> </w:t>
      </w:r>
      <w:r w:rsidR="00C50CAF" w:rsidRPr="008B2963">
        <w:rPr>
          <w:i/>
        </w:rPr>
        <w:t>por la Oficina Internacional</w:t>
      </w:r>
    </w:p>
    <w:p w:rsidR="00C76B7A" w:rsidRPr="008B2963" w:rsidRDefault="00C76B7A" w:rsidP="00C76B7A"/>
    <w:p w:rsidR="00C76B7A" w:rsidRPr="008B2963" w:rsidRDefault="00C76B7A" w:rsidP="00C76B7A"/>
    <w:p w:rsidR="00C76B7A" w:rsidRPr="008B2963" w:rsidRDefault="00C76B7A" w:rsidP="00C76B7A"/>
    <w:p w:rsidR="00C76B7A" w:rsidRDefault="003C5450" w:rsidP="00FC3C07">
      <w:pPr>
        <w:pStyle w:val="Heading1"/>
        <w:spacing w:after="200"/>
      </w:pPr>
      <w:r w:rsidRPr="008B2963">
        <w:t>IntroducCiÓ</w:t>
      </w:r>
      <w:r w:rsidR="00C76B7A" w:rsidRPr="008B2963">
        <w:t>n</w:t>
      </w:r>
    </w:p>
    <w:p w:rsidR="004A670E" w:rsidRPr="004A670E" w:rsidRDefault="004A670E" w:rsidP="004A670E"/>
    <w:p w:rsidR="00C76B7A" w:rsidRPr="008B2963" w:rsidRDefault="003C5450" w:rsidP="00C76B7A">
      <w:pPr>
        <w:pStyle w:val="ONUMFS"/>
      </w:pPr>
      <w:r w:rsidRPr="008B2963">
        <w:t>En su decimocuarta reunión, celebrada en Ginebra del 13 al 17 de junio de 2016, el</w:t>
      </w:r>
      <w:r w:rsidR="00516747">
        <w:t> </w:t>
      </w:r>
      <w:r w:rsidRPr="008B2963">
        <w:t>Grupo de Trabajo sobre el Desarrollo Jurídico del Sistema de Madrid para el Registro Internacional de Marcas</w:t>
      </w:r>
      <w:r w:rsidR="00C76B7A" w:rsidRPr="008B2963">
        <w:t xml:space="preserve"> (</w:t>
      </w:r>
      <w:r w:rsidRPr="008B2963">
        <w:t>en</w:t>
      </w:r>
      <w:r w:rsidR="00813D61" w:rsidRPr="008B2963">
        <w:t xml:space="preserve"> lo sucesivo de</w:t>
      </w:r>
      <w:r w:rsidRPr="008B2963">
        <w:t>nominados</w:t>
      </w:r>
      <w:r w:rsidR="00C76B7A" w:rsidRPr="008B2963">
        <w:t xml:space="preserve"> “</w:t>
      </w:r>
      <w:r w:rsidRPr="008B2963">
        <w:t>el Grupo de Trabajo” y “el Sistema de Madrid”, respectivamente</w:t>
      </w:r>
      <w:r w:rsidR="00C76B7A" w:rsidRPr="008B2963">
        <w:t xml:space="preserve">) </w:t>
      </w:r>
      <w:r w:rsidR="00C14BDA" w:rsidRPr="008B2963">
        <w:t>llegó a un acuerdo sobre</w:t>
      </w:r>
      <w:r w:rsidRPr="008B2963">
        <w:t xml:space="preserve"> una lista de tema</w:t>
      </w:r>
      <w:r w:rsidR="00C14BDA" w:rsidRPr="008B2963">
        <w:t>s</w:t>
      </w:r>
      <w:r w:rsidRPr="008B2963">
        <w:t xml:space="preserve"> que </w:t>
      </w:r>
      <w:r w:rsidR="00C14BDA" w:rsidRPr="008B2963">
        <w:t>ha de examinar en el futuro</w:t>
      </w:r>
      <w:r w:rsidRPr="008B2963">
        <w:t xml:space="preserve"> (“</w:t>
      </w:r>
      <w:r w:rsidR="0082499D">
        <w:t>la hoja de r</w:t>
      </w:r>
      <w:r w:rsidR="00C14BDA" w:rsidRPr="008B2963">
        <w:t>u</w:t>
      </w:r>
      <w:r w:rsidRPr="008B2963">
        <w:t>ta”)</w:t>
      </w:r>
      <w:r w:rsidR="00AB2963" w:rsidRPr="008B2963">
        <w:rPr>
          <w:vertAlign w:val="superscript"/>
        </w:rPr>
        <w:footnoteReference w:id="2"/>
      </w:r>
      <w:r w:rsidR="00516747">
        <w:t>,</w:t>
      </w:r>
      <w:r w:rsidR="00C76B7A" w:rsidRPr="008B2963">
        <w:t xml:space="preserve"> </w:t>
      </w:r>
      <w:r w:rsidR="00C14BDA" w:rsidRPr="008B2963">
        <w:t>a corto, medio y largo plazo</w:t>
      </w:r>
      <w:r w:rsidR="00C76B7A" w:rsidRPr="008B2963">
        <w:t xml:space="preserve">.  </w:t>
      </w:r>
      <w:r w:rsidR="00813D61" w:rsidRPr="008B2963">
        <w:t xml:space="preserve">El Grupo de Trabajo revisó la </w:t>
      </w:r>
      <w:r w:rsidR="0082499D">
        <w:t>h</w:t>
      </w:r>
      <w:r w:rsidR="00813D61" w:rsidRPr="008B2963">
        <w:t>oja de</w:t>
      </w:r>
      <w:r w:rsidR="00516747">
        <w:t> </w:t>
      </w:r>
      <w:r w:rsidR="0082499D">
        <w:t>r</w:t>
      </w:r>
      <w:r w:rsidR="00813D61" w:rsidRPr="008B2963">
        <w:t>uta en su decimoquinta reunión</w:t>
      </w:r>
      <w:r w:rsidR="00AB2963" w:rsidRPr="008B2963">
        <w:rPr>
          <w:vertAlign w:val="superscript"/>
        </w:rPr>
        <w:footnoteReference w:id="3"/>
      </w:r>
      <w:r w:rsidR="00516747">
        <w:t>,</w:t>
      </w:r>
      <w:r w:rsidR="00813D61" w:rsidRPr="008B2963">
        <w:t xml:space="preserve"> que tuvo lugar en Ginebra del 19 al 22 de junio de 2017.</w:t>
      </w:r>
      <w:r w:rsidR="00516747">
        <w:t xml:space="preserve">  </w:t>
      </w:r>
    </w:p>
    <w:p w:rsidR="00C76B7A" w:rsidRPr="008B2963" w:rsidRDefault="009E148C" w:rsidP="009E148C">
      <w:pPr>
        <w:pStyle w:val="ONUMFS"/>
      </w:pPr>
      <w:r w:rsidRPr="008B2963">
        <w:t>A corto plazo, el Grupo de Trabajo acordó examinar los tipos de marcas que no se mencionan de forma explícita en el Reglamento Común del Arreglo de Madrid relativo al Registro Internacional de Marcas y del Protocolo concerniente a ese Arreglo</w:t>
      </w:r>
      <w:r w:rsidR="00C76B7A" w:rsidRPr="008B2963">
        <w:t xml:space="preserve"> (</w:t>
      </w:r>
      <w:r w:rsidRPr="008B2963">
        <w:t xml:space="preserve">en lo sucesivo denominados </w:t>
      </w:r>
      <w:r w:rsidR="00C76B7A" w:rsidRPr="008B2963">
        <w:t>“</w:t>
      </w:r>
      <w:r w:rsidRPr="008B2963">
        <w:t>el Reglamento Común” y “el</w:t>
      </w:r>
      <w:r w:rsidR="00C76B7A" w:rsidRPr="008B2963">
        <w:t xml:space="preserve"> Protocol</w:t>
      </w:r>
      <w:r w:rsidRPr="008B2963">
        <w:t>o</w:t>
      </w:r>
      <w:r w:rsidR="00C76B7A" w:rsidRPr="008B2963">
        <w:t>”</w:t>
      </w:r>
      <w:r w:rsidRPr="008B2963">
        <w:t>, respectivamente).</w:t>
      </w:r>
      <w:r w:rsidR="00516747">
        <w:t xml:space="preserve">  </w:t>
      </w:r>
    </w:p>
    <w:p w:rsidR="00C76B7A" w:rsidRDefault="00457CE7" w:rsidP="00C76B7A">
      <w:pPr>
        <w:pStyle w:val="ONUMFS"/>
      </w:pPr>
      <w:r w:rsidRPr="008B2963">
        <w:t>En el presente documento se ofrece una perspectiva general del marco jurídico actual del Sistema de Madrid en lo que respecta a los tipos de marcas, se enumeran cuestiones que el Grupo de Trabajo deberá examinar como base para los debates sobre la labor futura en el ámb</w:t>
      </w:r>
      <w:r w:rsidR="009D664C" w:rsidRPr="008B2963">
        <w:t xml:space="preserve">ito de la representación de </w:t>
      </w:r>
      <w:r w:rsidR="00FC494E" w:rsidRPr="008B2963">
        <w:t xml:space="preserve">las </w:t>
      </w:r>
      <w:r w:rsidRPr="008B2963">
        <w:t>marcas</w:t>
      </w:r>
      <w:r w:rsidR="00C76B7A" w:rsidRPr="008B2963">
        <w:t xml:space="preserve"> </w:t>
      </w:r>
      <w:r w:rsidR="009D664C" w:rsidRPr="008B2963">
        <w:t xml:space="preserve">y se invita al Grupo de Trabajo a que ofrezca asesoramiento sobre cómo avanzar en </w:t>
      </w:r>
      <w:r w:rsidR="004B53E6">
        <w:t>ese asunto</w:t>
      </w:r>
      <w:r w:rsidR="009D664C" w:rsidRPr="008B2963">
        <w:t>.</w:t>
      </w:r>
      <w:r w:rsidR="00516747">
        <w:t xml:space="preserve">  </w:t>
      </w:r>
    </w:p>
    <w:p w:rsidR="00C60DA2" w:rsidRDefault="00C60DA2" w:rsidP="00C60DA2">
      <w:pPr>
        <w:pStyle w:val="ONUMFS"/>
        <w:numPr>
          <w:ilvl w:val="0"/>
          <w:numId w:val="0"/>
        </w:numPr>
      </w:pPr>
      <w:r>
        <w:br w:type="page"/>
      </w:r>
    </w:p>
    <w:p w:rsidR="00C76B7A" w:rsidRDefault="00FE2911" w:rsidP="007102DE">
      <w:pPr>
        <w:pStyle w:val="Heading1"/>
      </w:pPr>
      <w:r w:rsidRPr="008B2963">
        <w:t>MARCO JURÍDICO DEL SISTEMA DE MADRID EN LO QUE RESPECTA A LOS TIPOS DE</w:t>
      </w:r>
      <w:r w:rsidR="00557868">
        <w:t> </w:t>
      </w:r>
      <w:r w:rsidRPr="008B2963">
        <w:t xml:space="preserve">MARCAS y </w:t>
      </w:r>
      <w:r w:rsidR="00A9613E" w:rsidRPr="008B2963">
        <w:t>CONDI</w:t>
      </w:r>
      <w:r w:rsidRPr="008B2963">
        <w:t>ción de suministrar una representación gráfica</w:t>
      </w:r>
    </w:p>
    <w:p w:rsidR="004A670E" w:rsidRPr="004A670E" w:rsidRDefault="004A670E" w:rsidP="004A670E"/>
    <w:p w:rsidR="00C76B7A" w:rsidRPr="008B2963" w:rsidRDefault="00FE2911" w:rsidP="00C76B7A">
      <w:pPr>
        <w:pStyle w:val="ONUMFS"/>
      </w:pPr>
      <w:r w:rsidRPr="008B2963">
        <w:t xml:space="preserve">En el </w:t>
      </w:r>
      <w:r w:rsidR="00BA2FA8">
        <w:t>Artículo</w:t>
      </w:r>
      <w:r w:rsidRPr="008B2963">
        <w:t> 2.</w:t>
      </w:r>
      <w:r w:rsidR="00C76B7A" w:rsidRPr="008B2963">
        <w:t xml:space="preserve">1) </w:t>
      </w:r>
      <w:r w:rsidRPr="008B2963">
        <w:t>del</w:t>
      </w:r>
      <w:r w:rsidR="00C76B7A" w:rsidRPr="008B2963">
        <w:t xml:space="preserve"> Protocol</w:t>
      </w:r>
      <w:r w:rsidRPr="008B2963">
        <w:t>o</w:t>
      </w:r>
      <w:r w:rsidR="00C76B7A" w:rsidRPr="008B2963">
        <w:t xml:space="preserve"> </w:t>
      </w:r>
      <w:r w:rsidR="004000D1" w:rsidRPr="008B2963">
        <w:t>se dispone que, para obtener la protección de una marca con arreglo al Sistema de Madrid, se deberá presentar una solicitud de</w:t>
      </w:r>
      <w:r w:rsidR="008C2A41">
        <w:t xml:space="preserve"> registro de dicha marca en la o</w:t>
      </w:r>
      <w:r w:rsidR="004000D1" w:rsidRPr="008B2963">
        <w:t xml:space="preserve">ficina de una Parte Contratante, o bien registrar la marca </w:t>
      </w:r>
      <w:r w:rsidR="008C2A41">
        <w:t xml:space="preserve">en el </w:t>
      </w:r>
      <w:r w:rsidR="004B53E6">
        <w:t>R</w:t>
      </w:r>
      <w:r w:rsidR="008C2A41">
        <w:t>egistro de esa o</w:t>
      </w:r>
      <w:r w:rsidR="004000D1" w:rsidRPr="008B2963">
        <w:t>ficina (en lo sucesivo denominada “la oficina de origen”)</w:t>
      </w:r>
      <w:r w:rsidR="00C76B7A" w:rsidRPr="008B2963">
        <w:t>.</w:t>
      </w:r>
      <w:r w:rsidR="00557868">
        <w:t xml:space="preserve">  </w:t>
      </w:r>
    </w:p>
    <w:p w:rsidR="00C76B7A" w:rsidRPr="008B2963" w:rsidRDefault="00794EE3" w:rsidP="00C76B7A">
      <w:pPr>
        <w:pStyle w:val="ONUMFS"/>
      </w:pPr>
      <w:r w:rsidRPr="008B2963">
        <w:t xml:space="preserve">Por consiguiente, se </w:t>
      </w:r>
      <w:r w:rsidR="00642038">
        <w:t xml:space="preserve">puede </w:t>
      </w:r>
      <w:r w:rsidRPr="008B2963">
        <w:t>solicitar el registro internacional de cualquier tipo de marca que se pueda registrar de acuerdo con la legislación aplicable de la Parte Contratante de la oficina de origen</w:t>
      </w:r>
      <w:r w:rsidR="00C76B7A" w:rsidRPr="008B2963">
        <w:t xml:space="preserve">.  </w:t>
      </w:r>
      <w:r w:rsidRPr="008B2963">
        <w:t>Además, en el Reglamento Común no se establece ninguna restricción respecto del tipo de marcas para las que se puede presentar una solicitud internacional.  Simplemente se exige que, para ciertos tipos de marcas, se incluya un</w:t>
      </w:r>
      <w:r w:rsidR="00E4384B" w:rsidRPr="008B2963">
        <w:t>a</w:t>
      </w:r>
      <w:r w:rsidRPr="008B2963">
        <w:t xml:space="preserve"> </w:t>
      </w:r>
      <w:r w:rsidR="00E4384B" w:rsidRPr="008B2963">
        <w:t>indicación</w:t>
      </w:r>
      <w:r w:rsidRPr="008B2963">
        <w:t xml:space="preserve"> en la solicitud internacional.</w:t>
      </w:r>
      <w:r w:rsidR="00557868">
        <w:t xml:space="preserve">  </w:t>
      </w:r>
    </w:p>
    <w:p w:rsidR="00C76B7A" w:rsidRPr="008B2963" w:rsidRDefault="00411EF5" w:rsidP="00C76B7A">
      <w:pPr>
        <w:pStyle w:val="ONUMFS"/>
      </w:pPr>
      <w:r w:rsidRPr="008B2963">
        <w:t>Lo anterior lo corrobora el hecho de que hay tipos de marcas registradas con arreglo al</w:t>
      </w:r>
      <w:r w:rsidR="00557868">
        <w:t> </w:t>
      </w:r>
      <w:r w:rsidRPr="008B2963">
        <w:t xml:space="preserve">Sistema de Madrid que no se mencionan de forma explícita en el Reglamento Común. </w:t>
      </w:r>
      <w:r w:rsidR="00557868">
        <w:t xml:space="preserve"> </w:t>
      </w:r>
      <w:r w:rsidRPr="008B2963">
        <w:t>Por</w:t>
      </w:r>
      <w:r w:rsidR="00557868">
        <w:t> </w:t>
      </w:r>
      <w:r w:rsidRPr="008B2963">
        <w:t>ejemplo</w:t>
      </w:r>
      <w:r w:rsidR="009F2DB1">
        <w:t>,</w:t>
      </w:r>
      <w:r w:rsidRPr="008B2963">
        <w:t xml:space="preserve"> en la descripción de la marca que es objeto del número de registro internacional</w:t>
      </w:r>
      <w:r w:rsidR="00C76B7A" w:rsidRPr="008B2963">
        <w:t xml:space="preserve"> 1156391 </w:t>
      </w:r>
      <w:r w:rsidRPr="008B2963">
        <w:t xml:space="preserve">se indica que </w:t>
      </w:r>
      <w:r w:rsidR="00D81092" w:rsidRPr="008B2963">
        <w:t>“</w:t>
      </w:r>
      <w:r w:rsidRPr="008B2963">
        <w:t xml:space="preserve">la marca consiste en parte </w:t>
      </w:r>
      <w:r w:rsidR="00743408">
        <w:t xml:space="preserve">de un </w:t>
      </w:r>
      <w:r w:rsidRPr="008B2963">
        <w:t>hologr</w:t>
      </w:r>
      <w:r w:rsidR="00743408">
        <w:t>ama</w:t>
      </w:r>
      <w:r w:rsidRPr="008B2963">
        <w:t xml:space="preserve"> en el centro de la </w:t>
      </w:r>
      <w:r w:rsidR="00743408">
        <w:t>imagen</w:t>
      </w:r>
      <w:r w:rsidR="00D81092" w:rsidRPr="008B2963">
        <w:t>”</w:t>
      </w:r>
      <w:r w:rsidRPr="008B2963">
        <w:t xml:space="preserve">. </w:t>
      </w:r>
      <w:r w:rsidR="00762197">
        <w:t xml:space="preserve"> </w:t>
      </w:r>
      <w:r w:rsidRPr="008B2963">
        <w:t>Otro ejemplo de ello lo encontramos en la descripción de la marca que es objeto del número de registro internacional </w:t>
      </w:r>
      <w:r w:rsidR="00C76B7A" w:rsidRPr="008B2963">
        <w:t>1169173</w:t>
      </w:r>
      <w:r w:rsidRPr="008B2963">
        <w:t>,</w:t>
      </w:r>
      <w:r w:rsidR="00C76B7A" w:rsidRPr="008B2963">
        <w:t xml:space="preserve"> </w:t>
      </w:r>
      <w:r w:rsidRPr="008B2963">
        <w:t xml:space="preserve">en la que se señala que </w:t>
      </w:r>
      <w:r w:rsidR="00D81092" w:rsidRPr="008B2963">
        <w:t>“</w:t>
      </w:r>
      <w:r w:rsidRPr="008B2963">
        <w:t xml:space="preserve">la marca consiste en una marca de posición que representa un escorpión en el arco de la suela de un zapato; </w:t>
      </w:r>
      <w:r w:rsidR="00D81092" w:rsidRPr="008B2963">
        <w:t xml:space="preserve"> el contorno</w:t>
      </w:r>
      <w:r w:rsidR="00743408">
        <w:t xml:space="preserve"> de puntos</w:t>
      </w:r>
      <w:r w:rsidR="00D81092" w:rsidRPr="008B2963">
        <w:t xml:space="preserve"> del</w:t>
      </w:r>
      <w:r w:rsidRPr="008B2963">
        <w:t xml:space="preserve"> zapato no forma parte de la marca</w:t>
      </w:r>
      <w:r w:rsidR="00D81092" w:rsidRPr="008B2963">
        <w:t>”.</w:t>
      </w:r>
      <w:r w:rsidR="00557868">
        <w:t xml:space="preserve">  </w:t>
      </w:r>
    </w:p>
    <w:p w:rsidR="00C76B7A" w:rsidRPr="008B2963" w:rsidRDefault="003716F4" w:rsidP="00586FC0">
      <w:pPr>
        <w:pStyle w:val="ONUMFS"/>
      </w:pPr>
      <w:r w:rsidRPr="008B2963">
        <w:t xml:space="preserve">Si bien el número de marcas no tradicionales es escaso, lo cierto es que en algunas Partes Contratantes </w:t>
      </w:r>
      <w:r w:rsidR="00642038">
        <w:t>se han registrado unas cuantas</w:t>
      </w:r>
      <w:r w:rsidRPr="008B2963">
        <w:t xml:space="preserve">. </w:t>
      </w:r>
      <w:r w:rsidR="008244D2">
        <w:t xml:space="preserve"> </w:t>
      </w:r>
      <w:r w:rsidRPr="008B2963">
        <w:t>Por ejemplo, en 2016</w:t>
      </w:r>
      <w:r w:rsidR="00642038">
        <w:t>,</w:t>
      </w:r>
      <w:r w:rsidRPr="008B2963">
        <w:t xml:space="preserve"> la Oficina de Propiedad Intelectual de la Unión Europea </w:t>
      </w:r>
      <w:r w:rsidR="00C76B7A" w:rsidRPr="008B2963">
        <w:t>(EUIPO) rec</w:t>
      </w:r>
      <w:r w:rsidRPr="008B2963">
        <w:t>ibió 116.</w:t>
      </w:r>
      <w:r w:rsidR="00C76B7A" w:rsidRPr="008B2963">
        <w:t xml:space="preserve">512 </w:t>
      </w:r>
      <w:r w:rsidRPr="008B2963">
        <w:t xml:space="preserve">solicitudes; </w:t>
      </w:r>
      <w:r w:rsidR="008244D2">
        <w:t xml:space="preserve"> </w:t>
      </w:r>
      <w:r w:rsidRPr="008B2963">
        <w:t xml:space="preserve">de ellas </w:t>
      </w:r>
      <w:r w:rsidR="00557868">
        <w:t>cinco</w:t>
      </w:r>
      <w:r w:rsidRPr="008B2963">
        <w:t xml:space="preserve"> eran </w:t>
      </w:r>
      <w:r w:rsidR="00642038">
        <w:t xml:space="preserve">para </w:t>
      </w:r>
      <w:r w:rsidRPr="008B2963">
        <w:t>marcas sonoras y</w:t>
      </w:r>
      <w:r w:rsidR="00C76B7A" w:rsidRPr="008B2963">
        <w:t xml:space="preserve"> 190 </w:t>
      </w:r>
      <w:r w:rsidR="00642038">
        <w:t xml:space="preserve">para </w:t>
      </w:r>
      <w:r w:rsidRPr="008B2963">
        <w:t>marcas tridimensionales</w:t>
      </w:r>
      <w:r w:rsidR="00C76B7A" w:rsidRPr="008B2963">
        <w:t xml:space="preserve">.  </w:t>
      </w:r>
      <w:r w:rsidRPr="008B2963">
        <w:t xml:space="preserve">La </w:t>
      </w:r>
      <w:r w:rsidR="00C76B7A" w:rsidRPr="008B2963">
        <w:t xml:space="preserve">EUIPO </w:t>
      </w:r>
      <w:r w:rsidRPr="008B2963">
        <w:t>cuenta en su Registro con</w:t>
      </w:r>
      <w:r w:rsidR="00C76B7A" w:rsidRPr="008B2963">
        <w:t xml:space="preserve"> 196 </w:t>
      </w:r>
      <w:r w:rsidRPr="008B2963">
        <w:t xml:space="preserve">marcas sonoras, </w:t>
      </w:r>
      <w:r w:rsidR="00557868">
        <w:t>una</w:t>
      </w:r>
      <w:r w:rsidRPr="008B2963">
        <w:t xml:space="preserve"> marca animada</w:t>
      </w:r>
      <w:r w:rsidR="00C76B7A" w:rsidRPr="008B2963">
        <w:t xml:space="preserve">, </w:t>
      </w:r>
      <w:r w:rsidR="00557868">
        <w:t>tres</w:t>
      </w:r>
      <w:r w:rsidRPr="008B2963">
        <w:t xml:space="preserve"> hologramas y 4.</w:t>
      </w:r>
      <w:r w:rsidR="00C76B7A" w:rsidRPr="008B2963">
        <w:t>621 </w:t>
      </w:r>
      <w:r w:rsidRPr="008B2963">
        <w:t>marcas tridimensionales</w:t>
      </w:r>
      <w:r w:rsidR="00C76B7A" w:rsidRPr="008B2963">
        <w:t xml:space="preserve">.  </w:t>
      </w:r>
      <w:r w:rsidR="00B17FBD" w:rsidRPr="008B2963">
        <w:t>Sirva como ejemplo también que, en</w:t>
      </w:r>
      <w:r w:rsidR="00557868">
        <w:t> </w:t>
      </w:r>
      <w:r w:rsidR="00B17FBD" w:rsidRPr="008B2963">
        <w:t>2016, la Oficina de Patentes y Marcas de los Estados Unidos de América</w:t>
      </w:r>
      <w:r w:rsidR="00C76B7A" w:rsidRPr="008B2963">
        <w:t xml:space="preserve"> (USPTO) rec</w:t>
      </w:r>
      <w:r w:rsidR="00B17FBD" w:rsidRPr="008B2963">
        <w:t>ibió 391.</w:t>
      </w:r>
      <w:r w:rsidR="00C76B7A" w:rsidRPr="008B2963">
        <w:t>837 </w:t>
      </w:r>
      <w:r w:rsidR="00B17FBD" w:rsidRPr="008B2963">
        <w:t xml:space="preserve">solicitudes, de las cuales 26 se referían a marcas sonoras u otras marcas que no se pueden representar mediante un dibujo. </w:t>
      </w:r>
      <w:r w:rsidR="00B54FE4">
        <w:t xml:space="preserve"> </w:t>
      </w:r>
      <w:r w:rsidR="00B17FBD" w:rsidRPr="008B2963">
        <w:t>Además, en 2016 la OMPI registró 44.</w:t>
      </w:r>
      <w:r w:rsidR="00C76B7A" w:rsidRPr="008B2963">
        <w:t>726 mar</w:t>
      </w:r>
      <w:r w:rsidR="00D62202" w:rsidRPr="008B2963">
        <w:t>ca</w:t>
      </w:r>
      <w:r w:rsidR="00C76B7A" w:rsidRPr="008B2963">
        <w:t xml:space="preserve">s;  </w:t>
      </w:r>
      <w:r w:rsidR="00557868">
        <w:t>dos</w:t>
      </w:r>
      <w:r w:rsidR="00B17FBD" w:rsidRPr="008B2963">
        <w:t xml:space="preserve"> de ellas eran marcas sonoras y</w:t>
      </w:r>
      <w:r w:rsidR="00C76B7A" w:rsidRPr="008B2963">
        <w:t xml:space="preserve"> 166 </w:t>
      </w:r>
      <w:r w:rsidR="00B17FBD" w:rsidRPr="008B2963">
        <w:t>eran marcas tridimensionales</w:t>
      </w:r>
      <w:r w:rsidR="00C76B7A" w:rsidRPr="008B2963">
        <w:t xml:space="preserve">.  </w:t>
      </w:r>
      <w:r w:rsidR="00586FC0" w:rsidRPr="008B2963">
        <w:t>El Registro Internacional del Sistema de Madrid</w:t>
      </w:r>
      <w:r w:rsidR="00C76B7A" w:rsidRPr="008B2963">
        <w:t xml:space="preserve"> </w:t>
      </w:r>
      <w:r w:rsidR="00586FC0" w:rsidRPr="008B2963">
        <w:t xml:space="preserve">contiene actualmente </w:t>
      </w:r>
      <w:r w:rsidR="00C76B7A" w:rsidRPr="008B2963">
        <w:t xml:space="preserve">54 registros </w:t>
      </w:r>
      <w:r w:rsidR="00586FC0" w:rsidRPr="008B2963">
        <w:t>de marcas sonoras y</w:t>
      </w:r>
      <w:r w:rsidR="00C76B7A" w:rsidRPr="008B2963">
        <w:t xml:space="preserve"> 3</w:t>
      </w:r>
      <w:r w:rsidR="00586FC0" w:rsidRPr="008B2963">
        <w:t>.270 registr</w:t>
      </w:r>
      <w:r w:rsidR="00C76B7A" w:rsidRPr="008B2963">
        <w:t xml:space="preserve">os </w:t>
      </w:r>
      <w:r w:rsidR="00586FC0" w:rsidRPr="008B2963">
        <w:t>de marcas tridimensionales</w:t>
      </w:r>
      <w:r w:rsidR="00C76B7A" w:rsidRPr="008B2963">
        <w:t>.</w:t>
      </w:r>
      <w:r w:rsidR="00557868">
        <w:t xml:space="preserve">  </w:t>
      </w:r>
    </w:p>
    <w:p w:rsidR="00C76B7A" w:rsidRPr="008B2963" w:rsidRDefault="00A530B5" w:rsidP="000E2D26">
      <w:pPr>
        <w:pStyle w:val="ONUMFS"/>
      </w:pPr>
      <w:r w:rsidRPr="008B2963">
        <w:t xml:space="preserve">El tema de las marcas no tradicionales ha sido objeto de examen </w:t>
      </w:r>
      <w:r w:rsidR="00BC10A5">
        <w:t xml:space="preserve">por parte </w:t>
      </w:r>
      <w:r w:rsidR="00DB7710" w:rsidRPr="008B2963">
        <w:t>del Comité Permanente sobre el Derecho de Marcas, Diseños Industriales e Indicaciones Geográficas</w:t>
      </w:r>
      <w:r w:rsidR="00C76B7A" w:rsidRPr="008B2963">
        <w:t xml:space="preserve"> (</w:t>
      </w:r>
      <w:r w:rsidR="00DB7710" w:rsidRPr="008B2963">
        <w:t>en</w:t>
      </w:r>
      <w:r w:rsidR="00C60DA2">
        <w:t> </w:t>
      </w:r>
      <w:r w:rsidR="00DB7710" w:rsidRPr="008B2963">
        <w:t>lo sucesivo denominado</w:t>
      </w:r>
      <w:r w:rsidR="00C76B7A" w:rsidRPr="008B2963">
        <w:t> “</w:t>
      </w:r>
      <w:r w:rsidR="00DB7710" w:rsidRPr="008B2963">
        <w:t>el</w:t>
      </w:r>
      <w:r w:rsidR="00C76B7A" w:rsidRPr="008B2963">
        <w:t xml:space="preserve"> SCT”).  </w:t>
      </w:r>
      <w:r w:rsidR="00DB7710" w:rsidRPr="008B2963">
        <w:t>En su vigésima sesión, que se celebró en Ginebra del</w:t>
      </w:r>
      <w:r w:rsidR="004A670E">
        <w:t> </w:t>
      </w:r>
      <w:r w:rsidR="00DB7710" w:rsidRPr="008B2963">
        <w:t>1</w:t>
      </w:r>
      <w:r w:rsidR="004A670E">
        <w:t> </w:t>
      </w:r>
      <w:r w:rsidR="00DB7710" w:rsidRPr="008B2963">
        <w:t>al</w:t>
      </w:r>
      <w:r w:rsidR="004A670E">
        <w:t> </w:t>
      </w:r>
      <w:r w:rsidR="00DB7710" w:rsidRPr="008B2963">
        <w:t>5</w:t>
      </w:r>
      <w:r w:rsidR="004A670E">
        <w:t> </w:t>
      </w:r>
      <w:r w:rsidR="00DB7710" w:rsidRPr="008B2963">
        <w:t>de diciembre de</w:t>
      </w:r>
      <w:r w:rsidR="00C76B7A" w:rsidRPr="008B2963">
        <w:t xml:space="preserve"> 2008, </w:t>
      </w:r>
      <w:r w:rsidR="00DB7710" w:rsidRPr="008B2963">
        <w:t>el</w:t>
      </w:r>
      <w:r w:rsidR="00C76B7A" w:rsidRPr="008B2963">
        <w:t xml:space="preserve"> SCT </w:t>
      </w:r>
      <w:r w:rsidR="000E2D26" w:rsidRPr="008B2963">
        <w:t>llegó</w:t>
      </w:r>
      <w:r w:rsidR="00C87061">
        <w:t xml:space="preserve"> a un acuerdo respecto de los á</w:t>
      </w:r>
      <w:r w:rsidR="000E2D26" w:rsidRPr="008B2963">
        <w:t>mbitos de convergencia relativos a la representación de marcas no tradicionales</w:t>
      </w:r>
      <w:r w:rsidR="00C76B7A" w:rsidRPr="008B2963">
        <w:rPr>
          <w:rStyle w:val="FootnoteReference"/>
        </w:rPr>
        <w:footnoteReference w:id="4"/>
      </w:r>
      <w:r w:rsidR="004A670E">
        <w:t>,</w:t>
      </w:r>
      <w:r w:rsidR="00C76B7A" w:rsidRPr="008B2963">
        <w:t xml:space="preserve"> </w:t>
      </w:r>
      <w:r w:rsidR="00E322B8">
        <w:t xml:space="preserve">lo </w:t>
      </w:r>
      <w:r w:rsidR="000E2D26" w:rsidRPr="008B2963">
        <w:t xml:space="preserve">que engloba las marcas tridimensionales, las marcas de </w:t>
      </w:r>
      <w:r w:rsidR="00C76B7A" w:rsidRPr="008B2963">
        <w:t xml:space="preserve">color, </w:t>
      </w:r>
      <w:r w:rsidR="000E2D26" w:rsidRPr="008B2963">
        <w:t>los hologramas</w:t>
      </w:r>
      <w:r w:rsidR="00C76B7A" w:rsidRPr="008B2963">
        <w:t xml:space="preserve">, </w:t>
      </w:r>
      <w:r w:rsidR="000E2D26" w:rsidRPr="008B2963">
        <w:t>las marcas animadas o multimedios</w:t>
      </w:r>
      <w:r w:rsidR="00C76B7A" w:rsidRPr="008B2963">
        <w:t xml:space="preserve">, </w:t>
      </w:r>
      <w:r w:rsidR="000E2D26" w:rsidRPr="008B2963">
        <w:t>las marcas de posición</w:t>
      </w:r>
      <w:r w:rsidR="00C76B7A" w:rsidRPr="008B2963">
        <w:t xml:space="preserve">, </w:t>
      </w:r>
      <w:r w:rsidR="000E2D26" w:rsidRPr="008B2963">
        <w:t>las marca</w:t>
      </w:r>
      <w:r w:rsidR="00C76B7A" w:rsidRPr="008B2963">
        <w:t>s</w:t>
      </w:r>
      <w:r w:rsidR="000E2D26" w:rsidRPr="008B2963">
        <w:t xml:space="preserve"> gestuales</w:t>
      </w:r>
      <w:r w:rsidR="00C76B7A" w:rsidRPr="008B2963">
        <w:t xml:space="preserve"> </w:t>
      </w:r>
      <w:r w:rsidR="00C50566" w:rsidRPr="008B2963">
        <w:t>y las marcas sonoras</w:t>
      </w:r>
      <w:r w:rsidR="00C76B7A" w:rsidRPr="008B2963">
        <w:t>.</w:t>
      </w:r>
      <w:r w:rsidR="00C60DA2">
        <w:t xml:space="preserve">  </w:t>
      </w:r>
    </w:p>
    <w:p w:rsidR="00C76B7A" w:rsidRPr="008B2963" w:rsidRDefault="00890358" w:rsidP="00865589">
      <w:pPr>
        <w:pStyle w:val="ONUMFS"/>
      </w:pPr>
      <w:r w:rsidRPr="008B2963">
        <w:t xml:space="preserve">En la Regla 9.4)a)v) del Reglamento Común se establece la </w:t>
      </w:r>
      <w:r w:rsidR="009120CE" w:rsidRPr="008B2963">
        <w:t>condi</w:t>
      </w:r>
      <w:r w:rsidRPr="008B2963">
        <w:t xml:space="preserve">ción de </w:t>
      </w:r>
      <w:r w:rsidR="00865589" w:rsidRPr="008B2963">
        <w:t xml:space="preserve">suministrar una representación gráfica de las marcas, señalando que “[e]n la solicitud internacional figurará o se indicará una reproducción de la marca que se ajuste al recuadro previsto en el formulario oficial; </w:t>
      </w:r>
      <w:r w:rsidR="00653E47">
        <w:t xml:space="preserve"> </w:t>
      </w:r>
      <w:r w:rsidR="00865589" w:rsidRPr="008B2963">
        <w:t>esa reproducción será clara y, dependiendo de que en la solicitud de base o en el registro de base se haya plasmado en blanco y negro o en color, será una reproducción en blanco y negro o en color”.</w:t>
      </w:r>
      <w:r w:rsidR="004A670E">
        <w:t xml:space="preserve">  </w:t>
      </w:r>
    </w:p>
    <w:p w:rsidR="00C60DA2" w:rsidRDefault="00C60DA2" w:rsidP="007102DE">
      <w:pPr>
        <w:pStyle w:val="Heading1"/>
      </w:pPr>
      <w:r>
        <w:lastRenderedPageBreak/>
        <w:br w:type="page"/>
      </w:r>
    </w:p>
    <w:p w:rsidR="00C76B7A" w:rsidRDefault="00095BF6" w:rsidP="007102DE">
      <w:pPr>
        <w:pStyle w:val="Heading1"/>
      </w:pPr>
      <w:r w:rsidRPr="008B2963">
        <w:t xml:space="preserve">SOLICITUDES INTERNACIONALES </w:t>
      </w:r>
      <w:r w:rsidR="004F7E35">
        <w:t>DE REGISTRO DE</w:t>
      </w:r>
      <w:r w:rsidRPr="008B2963">
        <w:t xml:space="preserve"> NUEVOS TIPOS DE MARCAS Y POSIBILIDADES EN CUANTO A NUEV</w:t>
      </w:r>
      <w:r w:rsidR="00C952C9" w:rsidRPr="008B2963">
        <w:t>O</w:t>
      </w:r>
      <w:r w:rsidRPr="008B2963">
        <w:t xml:space="preserve">S </w:t>
      </w:r>
      <w:r w:rsidR="00C952C9" w:rsidRPr="008B2963">
        <w:t>MEDIO</w:t>
      </w:r>
      <w:r w:rsidRPr="008B2963">
        <w:t>S DE REPRESENTACIÓN</w:t>
      </w:r>
    </w:p>
    <w:p w:rsidR="007102DE" w:rsidRPr="007102DE" w:rsidRDefault="007102DE" w:rsidP="007102DE"/>
    <w:p w:rsidR="00C76B7A" w:rsidRPr="008B2963" w:rsidRDefault="008030F8" w:rsidP="00C76B7A">
      <w:pPr>
        <w:pStyle w:val="ONUMFS"/>
      </w:pPr>
      <w:r w:rsidRPr="008B2963">
        <w:t xml:space="preserve">En los párrafos siguientes se señalan </w:t>
      </w:r>
      <w:r w:rsidR="008952D0" w:rsidRPr="008B2963">
        <w:t>brevemente</w:t>
      </w:r>
      <w:r w:rsidRPr="008B2963">
        <w:t xml:space="preserve"> algunos aspectos que afectan a la presentación de solicitudes internacionales relativas a nuevos tipos de marcas, con arreglo al Sistema de Madrid</w:t>
      </w:r>
      <w:r w:rsidR="00C76B7A" w:rsidRPr="008B2963">
        <w:t>.</w:t>
      </w:r>
      <w:r w:rsidR="004A670E">
        <w:t xml:space="preserve">  </w:t>
      </w:r>
    </w:p>
    <w:p w:rsidR="00C76B7A" w:rsidRDefault="00C76B7A" w:rsidP="007102DE">
      <w:pPr>
        <w:pStyle w:val="Heading2"/>
      </w:pPr>
      <w:r w:rsidRPr="008B2963">
        <w:t>INDICA</w:t>
      </w:r>
      <w:r w:rsidR="006658CB" w:rsidRPr="008B2963">
        <w:t>CIÓN DEL TIPO DE MARCA EN LA SOLICITUD INTERNACIONAL</w:t>
      </w:r>
    </w:p>
    <w:p w:rsidR="007102DE" w:rsidRPr="007102DE" w:rsidRDefault="007102DE" w:rsidP="007102DE"/>
    <w:p w:rsidR="00C76B7A" w:rsidRPr="008B2963" w:rsidRDefault="006658CB" w:rsidP="00553C98">
      <w:pPr>
        <w:pStyle w:val="ONUMFS"/>
      </w:pPr>
      <w:r w:rsidRPr="008B2963">
        <w:t xml:space="preserve">De acuerdo con </w:t>
      </w:r>
      <w:r w:rsidR="009065ED">
        <w:t xml:space="preserve">los incisos </w:t>
      </w:r>
      <w:proofErr w:type="spellStart"/>
      <w:r w:rsidR="009065ED" w:rsidRPr="008B2963">
        <w:t>vii</w:t>
      </w:r>
      <w:r w:rsidR="009065ED" w:rsidRPr="008B2963">
        <w:rPr>
          <w:i/>
        </w:rPr>
        <w:t>bis</w:t>
      </w:r>
      <w:proofErr w:type="spellEnd"/>
      <w:r w:rsidR="009065ED" w:rsidRPr="008B2963">
        <w:t xml:space="preserve">) a x) </w:t>
      </w:r>
      <w:r w:rsidR="009065ED">
        <w:t xml:space="preserve">de </w:t>
      </w:r>
      <w:r w:rsidRPr="008B2963">
        <w:t>la Regla 9.4)a)</w:t>
      </w:r>
      <w:r w:rsidR="009065ED">
        <w:t xml:space="preserve"> </w:t>
      </w:r>
      <w:r w:rsidRPr="008B2963">
        <w:t>del Regl</w:t>
      </w:r>
      <w:r w:rsidR="00B2507E" w:rsidRPr="008B2963">
        <w:t>ame</w:t>
      </w:r>
      <w:r w:rsidRPr="008B2963">
        <w:t>nto Común</w:t>
      </w:r>
      <w:r w:rsidRPr="008B2963">
        <w:rPr>
          <w:rStyle w:val="FootnoteReference"/>
        </w:rPr>
        <w:footnoteReference w:id="5"/>
      </w:r>
      <w:r w:rsidR="00C60DA2">
        <w:t>,</w:t>
      </w:r>
      <w:r w:rsidR="00C76B7A" w:rsidRPr="008B2963">
        <w:t xml:space="preserve"> </w:t>
      </w:r>
      <w:r w:rsidR="00553C98" w:rsidRPr="008B2963">
        <w:t xml:space="preserve">los solicitantes deben indicar en la solicitud internacional si la marca </w:t>
      </w:r>
      <w:r w:rsidR="00B2507E" w:rsidRPr="008B2963">
        <w:t xml:space="preserve">objeto </w:t>
      </w:r>
      <w:r w:rsidR="00553C98" w:rsidRPr="008B2963">
        <w:t xml:space="preserve">de la solicitud de base o </w:t>
      </w:r>
      <w:r w:rsidR="00B2507E" w:rsidRPr="008B2963">
        <w:t xml:space="preserve">del </w:t>
      </w:r>
      <w:r w:rsidR="00553C98" w:rsidRPr="008B2963">
        <w:t>registro de base (en lo sucesivo, denominada la “marca de base”)</w:t>
      </w:r>
      <w:r w:rsidR="00C76B7A" w:rsidRPr="008B2963">
        <w:t xml:space="preserve"> </w:t>
      </w:r>
      <w:r w:rsidR="00B2507E" w:rsidRPr="008B2963">
        <w:t xml:space="preserve">consiste en un color o una combinación de colores, o si se trata de una marca tridimensional, sonora, colectiva, de certificación o de garantía. </w:t>
      </w:r>
      <w:r w:rsidR="002E554D">
        <w:t xml:space="preserve"> </w:t>
      </w:r>
      <w:r w:rsidR="00B2507E" w:rsidRPr="008B2963">
        <w:t>Según la Regla 9.5)d</w:t>
      </w:r>
      <w:proofErr w:type="gramStart"/>
      <w:r w:rsidR="00B2507E" w:rsidRPr="008B2963">
        <w:t>)</w:t>
      </w:r>
      <w:r w:rsidR="00C76B7A" w:rsidRPr="008B2963">
        <w:t>iii</w:t>
      </w:r>
      <w:proofErr w:type="gramEnd"/>
      <w:r w:rsidR="00C76B7A" w:rsidRPr="008B2963">
        <w:t xml:space="preserve">), </w:t>
      </w:r>
      <w:r w:rsidR="00B2507E" w:rsidRPr="008B2963">
        <w:t xml:space="preserve">la oficina de origen debe certificar que cualquier indicación en ese sentido que figure en la solicitud internacional lo haga también en la marca </w:t>
      </w:r>
      <w:r w:rsidR="00D62202" w:rsidRPr="008B2963">
        <w:t>de base</w:t>
      </w:r>
      <w:r w:rsidR="00B2507E" w:rsidRPr="008B2963">
        <w:t>.</w:t>
      </w:r>
    </w:p>
    <w:p w:rsidR="00C76B7A" w:rsidRPr="008B2963" w:rsidRDefault="004F095D" w:rsidP="00C76B7A">
      <w:pPr>
        <w:pStyle w:val="ONUMFS"/>
      </w:pPr>
      <w:r w:rsidRPr="008B2963">
        <w:t xml:space="preserve">En el Sistema de Madrid no se establecen restricciones con respecto al tipo de marcas para las que se puede presentar una solicitud internacional.  Por lo tanto, se podría valorar la conveniencia o incluso la necesidad de modificar el Reglamento Común para exigir que se indiquen otros tipos de marcas aparte de los que ya se mencionan en </w:t>
      </w:r>
      <w:r w:rsidR="009065ED">
        <w:t xml:space="preserve">los incisos </w:t>
      </w:r>
      <w:proofErr w:type="spellStart"/>
      <w:r w:rsidR="009065ED" w:rsidRPr="008B2963">
        <w:t>vii</w:t>
      </w:r>
      <w:r w:rsidR="009065ED" w:rsidRPr="008B2963">
        <w:rPr>
          <w:i/>
        </w:rPr>
        <w:t>bis</w:t>
      </w:r>
      <w:proofErr w:type="spellEnd"/>
      <w:r w:rsidR="009065ED" w:rsidRPr="008B2963">
        <w:t xml:space="preserve">) a x) </w:t>
      </w:r>
      <w:r w:rsidR="009065ED">
        <w:t xml:space="preserve">de </w:t>
      </w:r>
      <w:r w:rsidR="009065ED" w:rsidRPr="008B2963">
        <w:t>la Regla 9.4)a)</w:t>
      </w:r>
      <w:r w:rsidR="00C76B7A" w:rsidRPr="008B2963">
        <w:t xml:space="preserve"> </w:t>
      </w:r>
      <w:r w:rsidR="00733785" w:rsidRPr="008B2963">
        <w:t>del Reglamento y, en tal caso,</w:t>
      </w:r>
      <w:r w:rsidR="00C76B7A" w:rsidRPr="008B2963">
        <w:t xml:space="preserve"> </w:t>
      </w:r>
      <w:r w:rsidR="00733785" w:rsidRPr="008B2963">
        <w:t>cuáles deberían ser esos tipos de marcas.</w:t>
      </w:r>
    </w:p>
    <w:p w:rsidR="00C76B7A" w:rsidRPr="008B2963" w:rsidRDefault="00DB301A" w:rsidP="00C76B7A">
      <w:pPr>
        <w:pStyle w:val="ONUMFS"/>
      </w:pPr>
      <w:r w:rsidRPr="008B2963">
        <w:t xml:space="preserve">Puede que la modificación mencionada no sea absolutamente necesaria, ya que el marco jurídico no impide que ningún tipo de marca sea objeto de una solicitud internacional. </w:t>
      </w:r>
      <w:r w:rsidR="00D62202" w:rsidRPr="008B2963">
        <w:t xml:space="preserve"> Al contrario, dicha modificación podría tener consecuencias negativas para los t</w:t>
      </w:r>
      <w:r w:rsidR="002F0645" w:rsidRPr="008B2963">
        <w:t xml:space="preserve">itulares de </w:t>
      </w:r>
      <w:r w:rsidR="00A005C4">
        <w:t xml:space="preserve">registros de </w:t>
      </w:r>
      <w:r w:rsidR="002F0645" w:rsidRPr="008B2963">
        <w:t>marcas, por ejemplo</w:t>
      </w:r>
      <w:r w:rsidR="00D62202" w:rsidRPr="008B2963">
        <w:t xml:space="preserve"> en los casos en que la oficina de origen no exige que se incluya una indicación del tipo de marca en la solicitud </w:t>
      </w:r>
      <w:r w:rsidR="002F0645" w:rsidRPr="008B2963">
        <w:t>de base</w:t>
      </w:r>
      <w:r w:rsidR="00C76B7A" w:rsidRPr="008B2963">
        <w:t>, o</w:t>
      </w:r>
      <w:r w:rsidR="002F0645" w:rsidRPr="008B2963">
        <w:t xml:space="preserve"> si dicha oficina clasifica las marcas de una forma distinta. </w:t>
      </w:r>
      <w:r w:rsidR="00653E47">
        <w:t xml:space="preserve"> </w:t>
      </w:r>
      <w:r w:rsidR="002F0645" w:rsidRPr="008B2963">
        <w:t>En ese caso la oficina de origen no podría certificar que la indicación de marca figura asimismo en la marca de base.</w:t>
      </w:r>
    </w:p>
    <w:p w:rsidR="00C76B7A" w:rsidRPr="008B2963" w:rsidRDefault="00953BDD" w:rsidP="00C76B7A">
      <w:pPr>
        <w:pStyle w:val="ONUMFS"/>
      </w:pPr>
      <w:r w:rsidRPr="008B2963">
        <w:t>Otra alternativa sería que bastara con que los solicitante</w:t>
      </w:r>
      <w:r w:rsidR="00F51FC0" w:rsidRPr="008B2963">
        <w:t>s</w:t>
      </w:r>
      <w:r w:rsidRPr="008B2963">
        <w:t xml:space="preserve"> o los titulares </w:t>
      </w:r>
      <w:r w:rsidR="00884C0B" w:rsidRPr="008B2963">
        <w:t>incluye</w:t>
      </w:r>
      <w:r w:rsidRPr="008B2963">
        <w:t>ran una indicación relativa al tipo de marca para cumplir es</w:t>
      </w:r>
      <w:r w:rsidR="00F51FC0" w:rsidRPr="008B2963">
        <w:t>a condición</w:t>
      </w:r>
      <w:r w:rsidRPr="008B2963">
        <w:t xml:space="preserve"> en las Partes </w:t>
      </w:r>
      <w:r w:rsidR="00F51FC0" w:rsidRPr="008B2963">
        <w:t>C</w:t>
      </w:r>
      <w:r w:rsidRPr="008B2963">
        <w:t>ontrat</w:t>
      </w:r>
      <w:r w:rsidR="00F51FC0" w:rsidRPr="008B2963">
        <w:t>a</w:t>
      </w:r>
      <w:r w:rsidRPr="008B2963">
        <w:t xml:space="preserve">ntes designadas.  </w:t>
      </w:r>
      <w:r w:rsidR="00884C0B" w:rsidRPr="008B2963">
        <w:t>Por ejemplo, con arreglo a la Regla 9.4)b</w:t>
      </w:r>
      <w:proofErr w:type="gramStart"/>
      <w:r w:rsidR="00884C0B" w:rsidRPr="008B2963">
        <w:t>)</w:t>
      </w:r>
      <w:r w:rsidR="00C76B7A" w:rsidRPr="008B2963">
        <w:t>vi</w:t>
      </w:r>
      <w:proofErr w:type="gramEnd"/>
      <w:r w:rsidR="00C76B7A" w:rsidRPr="008B2963">
        <w:t>)</w:t>
      </w:r>
      <w:r w:rsidR="00884C0B" w:rsidRPr="008B2963">
        <w:rPr>
          <w:rStyle w:val="FootnoteReference"/>
        </w:rPr>
        <w:footnoteReference w:id="6"/>
      </w:r>
      <w:r w:rsidR="00C60DA2">
        <w:t>,</w:t>
      </w:r>
      <w:r w:rsidR="00884C0B" w:rsidRPr="008B2963">
        <w:t xml:space="preserve"> si se considerara necesario</w:t>
      </w:r>
      <w:r w:rsidR="009F225B" w:rsidRPr="008B2963">
        <w:t>,</w:t>
      </w:r>
      <w:r w:rsidR="00884C0B" w:rsidRPr="008B2963">
        <w:t xml:space="preserve"> el solicitante podría i</w:t>
      </w:r>
      <w:r w:rsidR="00C76B7A" w:rsidRPr="008B2963">
        <w:t>nclu</w:t>
      </w:r>
      <w:r w:rsidR="00884C0B" w:rsidRPr="008B2963">
        <w:t xml:space="preserve">ir en la descripción de la marca </w:t>
      </w:r>
      <w:r w:rsidR="009F225B" w:rsidRPr="008B2963">
        <w:t>una referencia a</w:t>
      </w:r>
      <w:r w:rsidR="00487A6F" w:rsidRPr="008B2963">
        <w:t xml:space="preserve">l </w:t>
      </w:r>
      <w:r w:rsidR="009F225B" w:rsidRPr="008B2963">
        <w:t xml:space="preserve">tipo específico de marca </w:t>
      </w:r>
      <w:r w:rsidR="00C76B7A" w:rsidRPr="008B2963">
        <w:t xml:space="preserve">de </w:t>
      </w:r>
      <w:r w:rsidR="00487A6F" w:rsidRPr="008B2963">
        <w:t>que s</w:t>
      </w:r>
      <w:r w:rsidR="00A824A8">
        <w:t>e trate</w:t>
      </w:r>
      <w:r w:rsidR="00487A6F" w:rsidRPr="008B2963">
        <w:t xml:space="preserve">. </w:t>
      </w:r>
      <w:r w:rsidR="00C76B7A" w:rsidRPr="008B2963">
        <w:t xml:space="preserve"> </w:t>
      </w:r>
      <w:r w:rsidR="00487A6F" w:rsidRPr="008B2963">
        <w:t xml:space="preserve">De esta forma, el solicitante podría aprovechar una característica ya presente en el Reglamento Común </w:t>
      </w:r>
      <w:r w:rsidR="00C76B7A" w:rsidRPr="008B2963">
        <w:t>(</w:t>
      </w:r>
      <w:r w:rsidR="00487A6F" w:rsidRPr="008B2963">
        <w:t>la descripción voluntaria</w:t>
      </w:r>
      <w:r w:rsidR="00C76B7A" w:rsidRPr="008B2963">
        <w:t>)</w:t>
      </w:r>
      <w:r w:rsidR="00487A6F" w:rsidRPr="008B2963">
        <w:t>.</w:t>
      </w:r>
      <w:r w:rsidR="00C60DA2">
        <w:t xml:space="preserve">  </w:t>
      </w:r>
    </w:p>
    <w:p w:rsidR="00C76B7A" w:rsidRDefault="0099370C" w:rsidP="007102DE">
      <w:pPr>
        <w:pStyle w:val="Heading2"/>
      </w:pPr>
      <w:r w:rsidRPr="008B2963">
        <w:t>CONDICIÓN DE REPRODUCCIÓN GRÁFICA</w:t>
      </w:r>
    </w:p>
    <w:p w:rsidR="007102DE" w:rsidRPr="007102DE" w:rsidRDefault="007102DE" w:rsidP="007102DE"/>
    <w:p w:rsidR="00C76B7A" w:rsidRPr="008B2963" w:rsidRDefault="0099370C" w:rsidP="00C76B7A">
      <w:pPr>
        <w:pStyle w:val="ONUMFS"/>
      </w:pPr>
      <w:r w:rsidRPr="008B2963">
        <w:t>Otro tema importante que se debe examinar es el hecho de que, actualmente, en la Regla</w:t>
      </w:r>
      <w:r w:rsidR="00C76B7A" w:rsidRPr="008B2963">
        <w:t> 9</w:t>
      </w:r>
      <w:r w:rsidRPr="008B2963">
        <w:t>.4)a)</w:t>
      </w:r>
      <w:r w:rsidR="00C76B7A" w:rsidRPr="008B2963">
        <w:t xml:space="preserve">v) </w:t>
      </w:r>
      <w:r w:rsidRPr="008B2963">
        <w:t xml:space="preserve">se establece una condición de reproducción gráfica, por la que se dispone que la marca se debe reproducir de manera que se ajuste al recuadro previsto en el formulario oficial.  Este formulario no se encuentra disponible en un formato que </w:t>
      </w:r>
      <w:r w:rsidR="007B67DD" w:rsidRPr="008B2963">
        <w:t xml:space="preserve">permita </w:t>
      </w:r>
      <w:r w:rsidR="008D6BF8">
        <w:t>que</w:t>
      </w:r>
      <w:r w:rsidR="007B67DD" w:rsidRPr="008B2963">
        <w:t xml:space="preserve"> los usuarios evit</w:t>
      </w:r>
      <w:r w:rsidR="008D6BF8">
        <w:t>en</w:t>
      </w:r>
      <w:r w:rsidR="007B67DD" w:rsidRPr="008B2963">
        <w:t xml:space="preserve"> la reproducción gráfica.</w:t>
      </w:r>
    </w:p>
    <w:p w:rsidR="00C76B7A" w:rsidRPr="008B2963" w:rsidRDefault="00F24DED" w:rsidP="00C76B7A">
      <w:pPr>
        <w:pStyle w:val="ONUMFS"/>
      </w:pPr>
      <w:r w:rsidRPr="008B2963">
        <w:t>Teniendo en cuenta que la inmensa mayoría de las marcas cumplen la condición de representación gráfica</w:t>
      </w:r>
      <w:r w:rsidR="003C528B">
        <w:t>,</w:t>
      </w:r>
      <w:r w:rsidRPr="008B2963">
        <w:t xml:space="preserve"> y dado que dicha representación es un estándar de reproducción para las marcas que se aplica en tod</w:t>
      </w:r>
      <w:r w:rsidR="008257ED" w:rsidRPr="008B2963">
        <w:t xml:space="preserve">as las </w:t>
      </w:r>
      <w:r w:rsidR="00AB4D1F">
        <w:t>o</w:t>
      </w:r>
      <w:r w:rsidRPr="008B2963">
        <w:t xml:space="preserve">ficinas de los miembros de la Unión de Madrid, aunque no necesariamente de forma exclusiva en todas ellas, cabe </w:t>
      </w:r>
      <w:r w:rsidR="00A005C4">
        <w:t>plantear</w:t>
      </w:r>
      <w:r w:rsidRPr="008B2963">
        <w:t xml:space="preserve"> si </w:t>
      </w:r>
      <w:r w:rsidR="00C952C9" w:rsidRPr="008B2963">
        <w:t xml:space="preserve">en </w:t>
      </w:r>
      <w:r w:rsidRPr="008B2963">
        <w:t xml:space="preserve">los procedimientos del Sistema de Madrid </w:t>
      </w:r>
      <w:r w:rsidR="00C952C9" w:rsidRPr="008B2963">
        <w:t xml:space="preserve">se </w:t>
      </w:r>
      <w:r w:rsidRPr="008B2963">
        <w:t>deber</w:t>
      </w:r>
      <w:r w:rsidR="00C952C9" w:rsidRPr="008B2963">
        <w:t>ía</w:t>
      </w:r>
      <w:r w:rsidRPr="008B2963">
        <w:t xml:space="preserve"> </w:t>
      </w:r>
      <w:r w:rsidR="00C952C9" w:rsidRPr="008B2963">
        <w:t>dar cabida</w:t>
      </w:r>
      <w:r w:rsidRPr="008B2963">
        <w:t xml:space="preserve"> </w:t>
      </w:r>
      <w:r w:rsidR="00C952C9" w:rsidRPr="008B2963">
        <w:t xml:space="preserve">a </w:t>
      </w:r>
      <w:r w:rsidR="00484D2F" w:rsidRPr="008B2963">
        <w:t>otr</w:t>
      </w:r>
      <w:r w:rsidR="00C952C9" w:rsidRPr="008B2963">
        <w:t>os medio</w:t>
      </w:r>
      <w:r w:rsidR="00FC494E" w:rsidRPr="008B2963">
        <w:t>s de representación de</w:t>
      </w:r>
      <w:r w:rsidR="00484D2F" w:rsidRPr="008B2963">
        <w:t xml:space="preserve"> </w:t>
      </w:r>
      <w:r w:rsidR="00FC494E" w:rsidRPr="008B2963">
        <w:t xml:space="preserve">las </w:t>
      </w:r>
      <w:r w:rsidR="00484D2F" w:rsidRPr="008B2963">
        <w:t>marcas.  En tal caso, habría que preguntarse cuáles deberían ser es</w:t>
      </w:r>
      <w:r w:rsidR="00C952C9" w:rsidRPr="008B2963">
        <w:t>os medio</w:t>
      </w:r>
      <w:r w:rsidR="00484D2F" w:rsidRPr="008B2963">
        <w:t>s y qué consecuencias jurídicas se derivarían de la introducci</w:t>
      </w:r>
      <w:r w:rsidR="00C952C9" w:rsidRPr="008B2963">
        <w:t>ón de eso</w:t>
      </w:r>
      <w:r w:rsidR="00484D2F" w:rsidRPr="008B2963">
        <w:t>s nuev</w:t>
      </w:r>
      <w:r w:rsidR="00C952C9" w:rsidRPr="008B2963">
        <w:t>os medio</w:t>
      </w:r>
      <w:r w:rsidR="00484D2F" w:rsidRPr="008B2963">
        <w:t>s de representación y, en particular, de la representación digital.</w:t>
      </w:r>
    </w:p>
    <w:p w:rsidR="00C76B7A" w:rsidRPr="008B2963" w:rsidRDefault="008441E3" w:rsidP="008441E3">
      <w:pPr>
        <w:pStyle w:val="ONUMFS"/>
      </w:pPr>
      <w:r w:rsidRPr="008B2963">
        <w:t xml:space="preserve">Por otra parte, cabe pensar que </w:t>
      </w:r>
      <w:r w:rsidR="007E0C43" w:rsidRPr="008B2963">
        <w:t xml:space="preserve">el mejor lugar para abordar </w:t>
      </w:r>
      <w:r w:rsidRPr="008B2963">
        <w:t>la manera en que la solicitud internacional debe contener una representación de la marca, así como los formatos v</w:t>
      </w:r>
      <w:r w:rsidR="007E0C43" w:rsidRPr="008B2963">
        <w:t xml:space="preserve">álidos para ello serían las </w:t>
      </w:r>
      <w:r w:rsidRPr="008B2963">
        <w:t>Instrucciones Administrativas para la aplicación del Arreglo de Madrid relativo al Registro Internacional de Marcas y el Protocolo concerniente a ese Arreglo</w:t>
      </w:r>
      <w:r w:rsidR="00C76B7A" w:rsidRPr="008B2963">
        <w:t xml:space="preserve">, </w:t>
      </w:r>
      <w:r w:rsidR="007E0C43" w:rsidRPr="008B2963">
        <w:t>en las que, inicialmente, se podría exigir la inclusión de una representación visual de la marca.</w:t>
      </w:r>
      <w:r w:rsidR="00C60DA2">
        <w:t xml:space="preserve">  </w:t>
      </w:r>
    </w:p>
    <w:p w:rsidR="00C76B7A" w:rsidRPr="008B2963" w:rsidRDefault="00256324" w:rsidP="007102DE">
      <w:pPr>
        <w:pStyle w:val="ONUME"/>
        <w:numPr>
          <w:ilvl w:val="0"/>
          <w:numId w:val="0"/>
        </w:numPr>
      </w:pPr>
      <w:r w:rsidRPr="008B2963">
        <w:t>CONSECUENCIAS DE LA INTRODUCCIÓN DE NUEV</w:t>
      </w:r>
      <w:r w:rsidR="00E00498" w:rsidRPr="008B2963">
        <w:t>OS MEDIO</w:t>
      </w:r>
      <w:r w:rsidRPr="008B2963">
        <w:t>S DE REPRESENTACIÓN</w:t>
      </w:r>
    </w:p>
    <w:p w:rsidR="00C76B7A" w:rsidRDefault="00256324" w:rsidP="007102DE">
      <w:pPr>
        <w:pStyle w:val="Heading3"/>
      </w:pPr>
      <w:r w:rsidRPr="008B2963">
        <w:t>Consecuencias jurídicas</w:t>
      </w:r>
    </w:p>
    <w:p w:rsidR="007102DE" w:rsidRPr="007102DE" w:rsidRDefault="007102DE" w:rsidP="007102DE"/>
    <w:p w:rsidR="00C76B7A" w:rsidRPr="008B2963" w:rsidRDefault="00196BC1" w:rsidP="00C76B7A">
      <w:pPr>
        <w:pStyle w:val="ONUMFS"/>
      </w:pPr>
      <w:r w:rsidRPr="008B2963">
        <w:t xml:space="preserve">La representación gráfica de las marcas es una condición que las Partes Contratantes del Sistema de Madrid siguen aplicando ampliamente, aunque no necesariamente de forma exclusiva. </w:t>
      </w:r>
      <w:r w:rsidR="00653E47">
        <w:t xml:space="preserve"> </w:t>
      </w:r>
      <w:r w:rsidRPr="008B2963">
        <w:t>La introducción en el Sistema de Madrid de nuev</w:t>
      </w:r>
      <w:r w:rsidR="00E00498" w:rsidRPr="008B2963">
        <w:t>os medio</w:t>
      </w:r>
      <w:r w:rsidRPr="008B2963">
        <w:t xml:space="preserve">s de representación </w:t>
      </w:r>
      <w:r w:rsidR="00CC2D87" w:rsidRPr="008B2963">
        <w:t>tendría consecuencias para las Partes Contratantes, tanto cuando actuaran en calidad de Parte Contratante de la oficina de origen como cuando fueran designadas.</w:t>
      </w:r>
      <w:r w:rsidR="00C60DA2">
        <w:t xml:space="preserve">  </w:t>
      </w:r>
    </w:p>
    <w:p w:rsidR="00C76B7A" w:rsidRPr="008B2963" w:rsidRDefault="00D15D5C" w:rsidP="00C76B7A">
      <w:pPr>
        <w:pStyle w:val="ONUMFS"/>
      </w:pPr>
      <w:r w:rsidRPr="008B2963">
        <w:t xml:space="preserve">De conformidad con el </w:t>
      </w:r>
      <w:r w:rsidR="00BA2FA8">
        <w:t>Artículo</w:t>
      </w:r>
      <w:r w:rsidRPr="008B2963">
        <w:t> 2.</w:t>
      </w:r>
      <w:r w:rsidR="00C76B7A" w:rsidRPr="008B2963">
        <w:t xml:space="preserve">2) </w:t>
      </w:r>
      <w:r w:rsidRPr="008B2963">
        <w:t>del</w:t>
      </w:r>
      <w:r w:rsidR="00C76B7A" w:rsidRPr="008B2963">
        <w:t xml:space="preserve"> Protocol</w:t>
      </w:r>
      <w:r w:rsidRPr="008B2963">
        <w:t>o</w:t>
      </w:r>
      <w:r w:rsidR="00C76B7A" w:rsidRPr="008B2963">
        <w:t xml:space="preserve">, </w:t>
      </w:r>
      <w:r w:rsidRPr="008B2963">
        <w:t xml:space="preserve">las solicitudes internacionales se presentan en la Oficina Internacional por conducto de la oficina de origen. </w:t>
      </w:r>
      <w:r w:rsidR="00CD0926">
        <w:t xml:space="preserve"> </w:t>
      </w:r>
      <w:r w:rsidR="00592515">
        <w:t>Por lo tanto,</w:t>
      </w:r>
      <w:r w:rsidRPr="008B2963">
        <w:t xml:space="preserve"> </w:t>
      </w:r>
      <w:r w:rsidR="0085125B" w:rsidRPr="008B2963">
        <w:t>la primera pregunta que surgiría sería si las oficinas de origen aceptarían con fines de certificación las solicitudes internacionales que contuvieran nuevos medios de representación de la marca.</w:t>
      </w:r>
    </w:p>
    <w:p w:rsidR="00C76B7A" w:rsidRPr="008B2963" w:rsidRDefault="008257ED" w:rsidP="00C76B7A">
      <w:pPr>
        <w:pStyle w:val="ONUMFS"/>
      </w:pPr>
      <w:r w:rsidRPr="008B2963">
        <w:t xml:space="preserve">Según el </w:t>
      </w:r>
      <w:r w:rsidR="00BA2FA8">
        <w:t>Artículo</w:t>
      </w:r>
      <w:r w:rsidRPr="008B2963">
        <w:t> 5.</w:t>
      </w:r>
      <w:r w:rsidR="00C76B7A" w:rsidRPr="008B2963">
        <w:t xml:space="preserve">1) </w:t>
      </w:r>
      <w:r w:rsidRPr="008B2963">
        <w:t>del</w:t>
      </w:r>
      <w:r w:rsidR="00C76B7A" w:rsidRPr="008B2963">
        <w:t xml:space="preserve"> Protocol</w:t>
      </w:r>
      <w:r w:rsidRPr="008B2963">
        <w:t>o</w:t>
      </w:r>
      <w:r w:rsidR="00C76B7A" w:rsidRPr="008B2963">
        <w:t xml:space="preserve">, </w:t>
      </w:r>
      <w:r w:rsidRPr="008B2963">
        <w:t xml:space="preserve">las </w:t>
      </w:r>
      <w:r w:rsidR="00C95308">
        <w:t>o</w:t>
      </w:r>
      <w:r w:rsidRPr="008B2963">
        <w:t>ficinas de las Partes Contratantes designadas pueden denegar la protecci</w:t>
      </w:r>
      <w:r w:rsidR="008E624A" w:rsidRPr="008B2963">
        <w:t>ón de un registro internacional, por ejemplo cuando la marca en cuestión consista en un signo que no se considere que pueda constituir una marca con arreglo a la legislación de dicha Parte Contratante, o cuando se r</w:t>
      </w:r>
      <w:r w:rsidR="00F11549">
        <w:t>epresente de una manera que la o</w:t>
      </w:r>
      <w:r w:rsidR="008E624A" w:rsidRPr="008B2963">
        <w:t>ficina de esa Parte Contratante no considere válida.</w:t>
      </w:r>
      <w:r w:rsidR="00C60DA2">
        <w:t xml:space="preserve">  </w:t>
      </w:r>
    </w:p>
    <w:p w:rsidR="00C60DA2" w:rsidRDefault="006B0C2D" w:rsidP="00C76B7A">
      <w:pPr>
        <w:pStyle w:val="ONUMFS"/>
      </w:pPr>
      <w:r w:rsidRPr="008B2963">
        <w:t>No obstante, la aceptación de nuevos medios de representación podría exigir cambios en el marco jurídico de algunas Partes Contratantes.  Una alternativa sería que los nuevos medios de representación se introdujeran en el Sistema de Madrid con la condición de que su aceptación fuera gradual en función de cómo fueran evolucionando los marcos jurídicos de las Partes Contratantes.</w:t>
      </w:r>
      <w:r w:rsidR="00C60DA2">
        <w:t xml:space="preserve">  </w:t>
      </w:r>
      <w:r w:rsidR="00C60DA2">
        <w:br w:type="page"/>
      </w:r>
    </w:p>
    <w:p w:rsidR="00C76B7A" w:rsidRDefault="00FC494E" w:rsidP="007102DE">
      <w:pPr>
        <w:pStyle w:val="Heading3"/>
        <w:keepLines/>
      </w:pPr>
      <w:r w:rsidRPr="008B2963">
        <w:t>Consecuencias para el intercambio electrónico de comunicaci</w:t>
      </w:r>
      <w:r w:rsidR="00D049F8">
        <w:t>ones</w:t>
      </w:r>
      <w:r w:rsidRPr="008B2963">
        <w:t xml:space="preserve"> y </w:t>
      </w:r>
      <w:r w:rsidR="008B2963">
        <w:t xml:space="preserve">para </w:t>
      </w:r>
      <w:r w:rsidRPr="008B2963">
        <w:t>los sistemas de información y comunicaci</w:t>
      </w:r>
      <w:r w:rsidR="008B2963">
        <w:t>ón</w:t>
      </w:r>
    </w:p>
    <w:p w:rsidR="007102DE" w:rsidRPr="007102DE" w:rsidRDefault="007102DE" w:rsidP="007102DE"/>
    <w:p w:rsidR="00C76B7A" w:rsidRPr="008B2963" w:rsidRDefault="00FC494E" w:rsidP="00EF3EA4">
      <w:pPr>
        <w:pStyle w:val="ONUMFS"/>
        <w:keepNext/>
        <w:keepLines/>
      </w:pPr>
      <w:r w:rsidRPr="008B2963">
        <w:t>La introducción eficaz en el Sistema de Madrid de nuevos medios de representación se debe examinar en el marco de las representaciones digitales de las marcas transmitidas por medios electrónicos</w:t>
      </w:r>
      <w:r w:rsidR="00666F38" w:rsidRPr="008B2963">
        <w:t>.  Los avances en el ámbito de las tecnologías de la información y de las telecomunicaciones han hecho que los archivos digitales sean asequibles y fáciles de transmitir.  Gracias a ello</w:t>
      </w:r>
      <w:r w:rsidR="00450297" w:rsidRPr="008B2963">
        <w:t>,</w:t>
      </w:r>
      <w:r w:rsidR="00666F38" w:rsidRPr="008B2963">
        <w:t xml:space="preserve"> </w:t>
      </w:r>
      <w:r w:rsidR="00450297" w:rsidRPr="008B2963">
        <w:t xml:space="preserve">hoy en día </w:t>
      </w:r>
      <w:r w:rsidR="00666F38" w:rsidRPr="008B2963">
        <w:t xml:space="preserve">algunas oficinas </w:t>
      </w:r>
      <w:r w:rsidR="00450297" w:rsidRPr="008B2963">
        <w:t>mantienen representaciones digitales de marcas y pueden intercambiarlas electrónicamente.</w:t>
      </w:r>
    </w:p>
    <w:p w:rsidR="00C76B7A" w:rsidRPr="008B2963" w:rsidRDefault="00ED59B3" w:rsidP="00C76B7A">
      <w:pPr>
        <w:pStyle w:val="ONUMFS"/>
      </w:pPr>
      <w:r w:rsidRPr="008B2963">
        <w:t xml:space="preserve">Aun cuando la mayoría de las solicitudes internacionales se transmiten a la Oficina Internacional de forma electrónica, algunas oficinas siguen presentando las solicitudes internacionales en papel.  </w:t>
      </w:r>
      <w:r w:rsidR="00D049F8">
        <w:t>También sigue habiendo</w:t>
      </w:r>
      <w:r w:rsidRPr="008B2963">
        <w:t xml:space="preserve"> oficinas </w:t>
      </w:r>
      <w:r w:rsidR="00D049F8">
        <w:t>que</w:t>
      </w:r>
      <w:r w:rsidRPr="008B2963">
        <w:t xml:space="preserve"> pid</w:t>
      </w:r>
      <w:r w:rsidR="00D049F8">
        <w:t>en</w:t>
      </w:r>
      <w:r w:rsidRPr="008B2963">
        <w:t xml:space="preserve"> a la Oficina Internacional que les envíe las notificaciones en papel.</w:t>
      </w:r>
      <w:r w:rsidR="00C60DA2">
        <w:t xml:space="preserve">  </w:t>
      </w:r>
    </w:p>
    <w:p w:rsidR="00C76B7A" w:rsidRPr="008B2963" w:rsidRDefault="005C7153" w:rsidP="00C76B7A">
      <w:pPr>
        <w:pStyle w:val="ONUMFS"/>
      </w:pPr>
      <w:r w:rsidRPr="008B2963">
        <w:t>El Grupo de Trabajo podría valorar la posibilidad de desarrollar el intercambio electrónico de datos en el Sistema de Madrid para incluir la transmisión de archivos de datos con contenido no gráfico</w:t>
      </w:r>
      <w:r w:rsidR="00BE657B" w:rsidRPr="008B2963">
        <w:t>, por ejemplo</w:t>
      </w:r>
      <w:r w:rsidRPr="008B2963">
        <w:t xml:space="preserve"> archivos de sonido.  En el análisis del Grupo de Trabajo se debería tener en cuenta que el intercambio de este tipo de archivos afectará a las oficinas de origen, concretamente a sus funciones de recepción, certificación y transmisión, y a las </w:t>
      </w:r>
      <w:r w:rsidR="00E110FE">
        <w:t>o</w:t>
      </w:r>
      <w:r w:rsidRPr="008B2963">
        <w:t xml:space="preserve">ficinas de las Partes Contratantes designadas, a las que se notificarán los registros internacionales, </w:t>
      </w:r>
      <w:r w:rsidR="00D049F8">
        <w:t>y que</w:t>
      </w:r>
      <w:r w:rsidRPr="008B2963">
        <w:t xml:space="preserve"> tendrán que examinar</w:t>
      </w:r>
      <w:r w:rsidR="00D049F8">
        <w:t>los</w:t>
      </w:r>
      <w:r w:rsidRPr="008B2963">
        <w:t xml:space="preserve">, y conceder o denegar la protección.  </w:t>
      </w:r>
      <w:r w:rsidR="00D049F8">
        <w:t>En e</w:t>
      </w:r>
      <w:r w:rsidRPr="008B2963">
        <w:t>l análisis del Grupo de Trabajo se</w:t>
      </w:r>
      <w:r w:rsidR="00D049F8">
        <w:t>ría útil tener en cuenta</w:t>
      </w:r>
      <w:r w:rsidRPr="008B2963">
        <w:t xml:space="preserve"> </w:t>
      </w:r>
      <w:r w:rsidR="009F31E3" w:rsidRPr="008B2963">
        <w:t>la experiencia de las oficinas que ya aceptan el intercambio electrónico y de archivos de datos con contenido no gráfico.</w:t>
      </w:r>
      <w:bookmarkStart w:id="5" w:name="_GoBack"/>
      <w:bookmarkEnd w:id="5"/>
    </w:p>
    <w:p w:rsidR="00C76B7A" w:rsidRDefault="00177ED1" w:rsidP="00C76B7A">
      <w:pPr>
        <w:pStyle w:val="ONUMFS"/>
      </w:pPr>
      <w:r w:rsidRPr="008B2963">
        <w:t>En los debates se debería tener en cuenta asimismo la incidencia que podría tener la introducción de nuevos medios de representación en los sistemas de información y comunicaci</w:t>
      </w:r>
      <w:r w:rsidR="00653E47">
        <w:t>ón de las o</w:t>
      </w:r>
      <w:r w:rsidRPr="008B2963">
        <w:t>ficinas de las Partes Contratantes.</w:t>
      </w:r>
    </w:p>
    <w:p w:rsidR="00C76B7A" w:rsidRPr="008B2963" w:rsidRDefault="00700096" w:rsidP="00C76B7A">
      <w:pPr>
        <w:pStyle w:val="ONUMFS"/>
        <w:tabs>
          <w:tab w:val="clear" w:pos="567"/>
        </w:tabs>
        <w:ind w:left="5529"/>
        <w:rPr>
          <w:i/>
        </w:rPr>
      </w:pPr>
      <w:r w:rsidRPr="008B2963">
        <w:rPr>
          <w:i/>
        </w:rPr>
        <w:t>Se invita al Grupo de Trabajo a</w:t>
      </w:r>
      <w:r w:rsidR="00C76B7A" w:rsidRPr="008B2963">
        <w:rPr>
          <w:i/>
        </w:rPr>
        <w:t>:</w:t>
      </w:r>
    </w:p>
    <w:p w:rsidR="00C76B7A" w:rsidRPr="008B2963" w:rsidRDefault="00A33BAD" w:rsidP="00C76B7A">
      <w:pPr>
        <w:pStyle w:val="ONUMFS"/>
        <w:numPr>
          <w:ilvl w:val="2"/>
          <w:numId w:val="6"/>
        </w:numPr>
        <w:tabs>
          <w:tab w:val="clear" w:pos="1701"/>
        </w:tabs>
        <w:ind w:left="6237"/>
        <w:rPr>
          <w:i/>
        </w:rPr>
      </w:pPr>
      <w:r w:rsidRPr="008B2963">
        <w:rPr>
          <w:i/>
        </w:rPr>
        <w:t>examinar</w:t>
      </w:r>
      <w:r w:rsidR="00C76B7A" w:rsidRPr="008B2963">
        <w:rPr>
          <w:i/>
        </w:rPr>
        <w:t xml:space="preserve"> </w:t>
      </w:r>
      <w:r w:rsidR="00700096" w:rsidRPr="008B2963">
        <w:rPr>
          <w:i/>
        </w:rPr>
        <w:t>el</w:t>
      </w:r>
      <w:r w:rsidR="00C76B7A" w:rsidRPr="008B2963">
        <w:rPr>
          <w:i/>
        </w:rPr>
        <w:t xml:space="preserve"> present</w:t>
      </w:r>
      <w:r w:rsidR="00700096" w:rsidRPr="008B2963">
        <w:rPr>
          <w:i/>
        </w:rPr>
        <w:t>e</w:t>
      </w:r>
      <w:r w:rsidR="00C76B7A" w:rsidRPr="008B2963">
        <w:rPr>
          <w:i/>
        </w:rPr>
        <w:t xml:space="preserve"> document</w:t>
      </w:r>
      <w:r w:rsidR="00700096" w:rsidRPr="008B2963">
        <w:rPr>
          <w:i/>
        </w:rPr>
        <w:t>o</w:t>
      </w:r>
      <w:r w:rsidRPr="008B2963">
        <w:rPr>
          <w:i/>
        </w:rPr>
        <w:t>;</w:t>
      </w:r>
      <w:r w:rsidR="007338EC" w:rsidRPr="008B2963">
        <w:rPr>
          <w:i/>
        </w:rPr>
        <w:t xml:space="preserve">  </w:t>
      </w:r>
    </w:p>
    <w:p w:rsidR="00C76B7A" w:rsidRPr="008B2963" w:rsidRDefault="00A33BAD" w:rsidP="00C76B7A">
      <w:pPr>
        <w:pStyle w:val="ONUMFS"/>
        <w:numPr>
          <w:ilvl w:val="2"/>
          <w:numId w:val="6"/>
        </w:numPr>
        <w:tabs>
          <w:tab w:val="clear" w:pos="1701"/>
        </w:tabs>
        <w:ind w:left="6237"/>
        <w:rPr>
          <w:i/>
        </w:rPr>
      </w:pPr>
      <w:r w:rsidRPr="008B2963">
        <w:rPr>
          <w:i/>
        </w:rPr>
        <w:t xml:space="preserve">dar su opinión sobre la representación de </w:t>
      </w:r>
      <w:r w:rsidR="00291A8F" w:rsidRPr="008B2963">
        <w:rPr>
          <w:i/>
        </w:rPr>
        <w:t>nuevos tipos de marcas en los procedimientos del Sistema de</w:t>
      </w:r>
      <w:r w:rsidR="00C76B7A" w:rsidRPr="008B2963">
        <w:rPr>
          <w:i/>
        </w:rPr>
        <w:t xml:space="preserve"> Madrid;  </w:t>
      </w:r>
      <w:r w:rsidR="00291A8F" w:rsidRPr="008B2963">
        <w:rPr>
          <w:i/>
        </w:rPr>
        <w:t>y</w:t>
      </w:r>
    </w:p>
    <w:p w:rsidR="00C76B7A" w:rsidRPr="008B2963" w:rsidRDefault="00C76B7A" w:rsidP="00C76B7A">
      <w:pPr>
        <w:pStyle w:val="ONUMFS"/>
        <w:numPr>
          <w:ilvl w:val="2"/>
          <w:numId w:val="6"/>
        </w:numPr>
        <w:tabs>
          <w:tab w:val="clear" w:pos="1701"/>
        </w:tabs>
        <w:ind w:left="6237"/>
        <w:rPr>
          <w:i/>
        </w:rPr>
      </w:pPr>
      <w:r w:rsidRPr="008B2963">
        <w:rPr>
          <w:i/>
        </w:rPr>
        <w:t>expres</w:t>
      </w:r>
      <w:r w:rsidR="007338EC" w:rsidRPr="008B2963">
        <w:rPr>
          <w:i/>
        </w:rPr>
        <w:t>ar</w:t>
      </w:r>
      <w:r w:rsidRPr="008B2963">
        <w:rPr>
          <w:i/>
        </w:rPr>
        <w:t xml:space="preserve"> </w:t>
      </w:r>
      <w:r w:rsidR="007338EC" w:rsidRPr="008B2963">
        <w:rPr>
          <w:i/>
        </w:rPr>
        <w:t xml:space="preserve">su </w:t>
      </w:r>
      <w:r w:rsidR="00D049F8">
        <w:rPr>
          <w:i/>
        </w:rPr>
        <w:t>opinión</w:t>
      </w:r>
      <w:r w:rsidR="007338EC" w:rsidRPr="008B2963">
        <w:rPr>
          <w:i/>
        </w:rPr>
        <w:t xml:space="preserve"> sobre la labor ulterior </w:t>
      </w:r>
      <w:r w:rsidR="007935C1" w:rsidRPr="008B2963">
        <w:rPr>
          <w:i/>
        </w:rPr>
        <w:t>relativa a este tema</w:t>
      </w:r>
      <w:r w:rsidRPr="008B2963">
        <w:rPr>
          <w:i/>
        </w:rPr>
        <w:t>.</w:t>
      </w:r>
    </w:p>
    <w:p w:rsidR="00152CEA" w:rsidRPr="008B2963" w:rsidRDefault="00C76B7A" w:rsidP="00C76B7A">
      <w:pPr>
        <w:pStyle w:val="Endofdocument-Annex"/>
        <w:spacing w:before="600"/>
        <w:rPr>
          <w:lang w:val="es-ES"/>
        </w:rPr>
      </w:pPr>
      <w:r w:rsidRPr="008B2963">
        <w:rPr>
          <w:lang w:val="es-ES"/>
        </w:rPr>
        <w:t>[</w:t>
      </w:r>
      <w:r w:rsidR="00445F74" w:rsidRPr="008B2963">
        <w:rPr>
          <w:lang w:val="es-ES"/>
        </w:rPr>
        <w:t>Fin del</w:t>
      </w:r>
      <w:r w:rsidRPr="008B2963">
        <w:rPr>
          <w:lang w:val="es-ES"/>
        </w:rPr>
        <w:t xml:space="preserve"> document</w:t>
      </w:r>
      <w:r w:rsidR="00445F74" w:rsidRPr="008B2963">
        <w:rPr>
          <w:lang w:val="es-ES"/>
        </w:rPr>
        <w:t>o</w:t>
      </w:r>
      <w:r w:rsidRPr="008B2963">
        <w:rPr>
          <w:lang w:val="es-ES"/>
        </w:rPr>
        <w:t>]</w:t>
      </w:r>
    </w:p>
    <w:sectPr w:rsidR="00152CEA" w:rsidRPr="008B2963" w:rsidSect="00C60DA2">
      <w:headerReference w:type="default" r:id="rId9"/>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EC" w:rsidRDefault="004521EC">
      <w:r>
        <w:separator/>
      </w:r>
    </w:p>
  </w:endnote>
  <w:endnote w:type="continuationSeparator" w:id="0">
    <w:p w:rsidR="004521EC" w:rsidRPr="009D30E6" w:rsidRDefault="004521EC" w:rsidP="007E663E">
      <w:pPr>
        <w:rPr>
          <w:sz w:val="17"/>
          <w:szCs w:val="17"/>
        </w:rPr>
      </w:pPr>
      <w:r w:rsidRPr="009D30E6">
        <w:rPr>
          <w:sz w:val="17"/>
          <w:szCs w:val="17"/>
        </w:rPr>
        <w:separator/>
      </w:r>
    </w:p>
    <w:p w:rsidR="004521EC" w:rsidRPr="007E663E" w:rsidRDefault="004521EC" w:rsidP="007E663E">
      <w:pPr>
        <w:spacing w:after="60"/>
        <w:rPr>
          <w:sz w:val="17"/>
          <w:szCs w:val="17"/>
        </w:rPr>
      </w:pPr>
      <w:r>
        <w:rPr>
          <w:sz w:val="17"/>
        </w:rPr>
        <w:t>[Continuación de la nota de la página anterior]</w:t>
      </w:r>
    </w:p>
  </w:endnote>
  <w:endnote w:type="continuationNotice" w:id="1">
    <w:p w:rsidR="004521EC" w:rsidRPr="007E663E" w:rsidRDefault="004521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EC" w:rsidRDefault="004521EC">
      <w:r>
        <w:separator/>
      </w:r>
    </w:p>
  </w:footnote>
  <w:footnote w:type="continuationSeparator" w:id="0">
    <w:p w:rsidR="004521EC" w:rsidRPr="009D30E6" w:rsidRDefault="004521EC" w:rsidP="007E663E">
      <w:pPr>
        <w:rPr>
          <w:sz w:val="17"/>
          <w:szCs w:val="17"/>
        </w:rPr>
      </w:pPr>
      <w:r w:rsidRPr="009D30E6">
        <w:rPr>
          <w:sz w:val="17"/>
          <w:szCs w:val="17"/>
        </w:rPr>
        <w:separator/>
      </w:r>
    </w:p>
    <w:p w:rsidR="004521EC" w:rsidRPr="007E663E" w:rsidRDefault="004521EC" w:rsidP="007E663E">
      <w:pPr>
        <w:spacing w:after="60"/>
        <w:rPr>
          <w:sz w:val="17"/>
          <w:szCs w:val="17"/>
        </w:rPr>
      </w:pPr>
      <w:r>
        <w:rPr>
          <w:sz w:val="17"/>
        </w:rPr>
        <w:t>[Continuación de la nota de la página anterior]</w:t>
      </w:r>
    </w:p>
  </w:footnote>
  <w:footnote w:type="continuationNotice" w:id="1">
    <w:p w:rsidR="004521EC" w:rsidRPr="007E663E" w:rsidRDefault="004521EC" w:rsidP="007E663E">
      <w:pPr>
        <w:spacing w:before="60"/>
        <w:jc w:val="right"/>
        <w:rPr>
          <w:sz w:val="17"/>
          <w:szCs w:val="17"/>
        </w:rPr>
      </w:pPr>
      <w:r w:rsidRPr="007E663E">
        <w:rPr>
          <w:sz w:val="17"/>
          <w:szCs w:val="17"/>
        </w:rPr>
        <w:t>[Sigue la nota en la página siguiente]</w:t>
      </w:r>
    </w:p>
  </w:footnote>
  <w:footnote w:id="2">
    <w:p w:rsidR="00D15D5C" w:rsidRPr="003808FB" w:rsidRDefault="00D15D5C" w:rsidP="00AB2963">
      <w:pPr>
        <w:pStyle w:val="FootnoteText"/>
      </w:pPr>
      <w:r w:rsidRPr="003808FB">
        <w:rPr>
          <w:rStyle w:val="FootnoteReference"/>
        </w:rPr>
        <w:footnoteRef/>
      </w:r>
      <w:r w:rsidRPr="003808FB">
        <w:tab/>
        <w:t>Véase el documento MM/LD/WG/14/6, Anexo IV.</w:t>
      </w:r>
      <w:r w:rsidR="00516747">
        <w:t xml:space="preserve">  </w:t>
      </w:r>
    </w:p>
  </w:footnote>
  <w:footnote w:id="3">
    <w:p w:rsidR="00D15D5C" w:rsidRPr="003808FB" w:rsidRDefault="00D15D5C" w:rsidP="00AB2963">
      <w:pPr>
        <w:pStyle w:val="FootnoteText"/>
      </w:pPr>
      <w:r w:rsidRPr="003808FB">
        <w:rPr>
          <w:rStyle w:val="FootnoteReference"/>
        </w:rPr>
        <w:footnoteRef/>
      </w:r>
      <w:r w:rsidRPr="003808FB">
        <w:t xml:space="preserve"> </w:t>
      </w:r>
      <w:r w:rsidRPr="003808FB">
        <w:tab/>
        <w:t>Véase el documento MM/LD/WG/15/5, Anexo II.</w:t>
      </w:r>
      <w:r w:rsidR="00516747">
        <w:t xml:space="preserve">  </w:t>
      </w:r>
    </w:p>
  </w:footnote>
  <w:footnote w:id="4">
    <w:p w:rsidR="00D15D5C" w:rsidRPr="003808FB" w:rsidRDefault="00D15D5C" w:rsidP="00C76B7A">
      <w:pPr>
        <w:pStyle w:val="FootnoteText"/>
      </w:pPr>
      <w:r w:rsidRPr="003808FB">
        <w:rPr>
          <w:rStyle w:val="FootnoteReference"/>
        </w:rPr>
        <w:footnoteRef/>
      </w:r>
      <w:r w:rsidRPr="003808FB">
        <w:t xml:space="preserve"> </w:t>
      </w:r>
      <w:r w:rsidRPr="003808FB">
        <w:tab/>
        <w:t>Véase el documento SCT/20/2.</w:t>
      </w:r>
      <w:r w:rsidR="004A670E">
        <w:t xml:space="preserve">  </w:t>
      </w:r>
    </w:p>
  </w:footnote>
  <w:footnote w:id="5">
    <w:p w:rsidR="00D15D5C" w:rsidRDefault="00D15D5C" w:rsidP="006658CB">
      <w:pPr>
        <w:pStyle w:val="FootnoteText"/>
      </w:pPr>
      <w:r w:rsidRPr="003808FB">
        <w:rPr>
          <w:rStyle w:val="FootnoteReference"/>
        </w:rPr>
        <w:footnoteRef/>
      </w:r>
      <w:r w:rsidRPr="003808FB">
        <w:t xml:space="preserve"> </w:t>
      </w:r>
      <w:r w:rsidRPr="003808FB">
        <w:tab/>
        <w:t>La Regla 9.4)a)</w:t>
      </w:r>
      <w:proofErr w:type="spellStart"/>
      <w:r w:rsidRPr="003808FB">
        <w:t>vii</w:t>
      </w:r>
      <w:r w:rsidRPr="003808FB">
        <w:rPr>
          <w:i/>
        </w:rPr>
        <w:t>bis</w:t>
      </w:r>
      <w:proofErr w:type="spellEnd"/>
      <w:r w:rsidRPr="003808FB">
        <w:t xml:space="preserve"> a x) del Reglamento Común </w:t>
      </w:r>
      <w:r w:rsidR="004755E7">
        <w:t>establec</w:t>
      </w:r>
      <w:r w:rsidRPr="003808FB">
        <w:t>e lo siguiente:</w:t>
      </w:r>
    </w:p>
    <w:p w:rsidR="00557868" w:rsidRPr="003808FB" w:rsidRDefault="00557868" w:rsidP="006658CB">
      <w:pPr>
        <w:pStyle w:val="FootnoteText"/>
      </w:pPr>
    </w:p>
    <w:p w:rsidR="00D15D5C" w:rsidRPr="003808FB" w:rsidRDefault="00557868" w:rsidP="00557868">
      <w:pPr>
        <w:pStyle w:val="FootnoteText"/>
        <w:spacing w:before="60"/>
        <w:ind w:left="567"/>
      </w:pPr>
      <w:r>
        <w:tab/>
      </w:r>
      <w:r w:rsidR="00D15D5C" w:rsidRPr="003808FB">
        <w:t>“4)</w:t>
      </w:r>
      <w:r w:rsidR="00D15D5C" w:rsidRPr="003808FB">
        <w:tab/>
      </w:r>
      <w:r w:rsidR="00D15D5C" w:rsidRPr="003808FB">
        <w:rPr>
          <w:i/>
        </w:rPr>
        <w:t xml:space="preserve">[Contenido de la solicitud internacional]  </w:t>
      </w:r>
      <w:r w:rsidR="00D15D5C" w:rsidRPr="003808FB">
        <w:t>a)  En la solicitud internacional figurará o se indicará</w:t>
      </w:r>
    </w:p>
    <w:p w:rsidR="00D15D5C" w:rsidRPr="003808FB" w:rsidRDefault="00557868" w:rsidP="00557868">
      <w:pPr>
        <w:pStyle w:val="FootnoteText"/>
        <w:ind w:left="567" w:firstLine="567"/>
      </w:pPr>
      <w:r>
        <w:tab/>
      </w:r>
      <w:r>
        <w:tab/>
        <w:t>“</w:t>
      </w:r>
      <w:r w:rsidR="00D15D5C" w:rsidRPr="003808FB">
        <w:t>[…]</w:t>
      </w:r>
    </w:p>
    <w:p w:rsidR="00D15D5C" w:rsidRPr="003808FB" w:rsidRDefault="00557868" w:rsidP="00557868">
      <w:pPr>
        <w:pStyle w:val="FootnoteText"/>
        <w:tabs>
          <w:tab w:val="left" w:pos="1843"/>
        </w:tabs>
        <w:ind w:left="567" w:firstLine="567"/>
      </w:pPr>
      <w:r>
        <w:tab/>
      </w:r>
      <w:r>
        <w:tab/>
        <w:t>“</w:t>
      </w:r>
      <w:proofErr w:type="spellStart"/>
      <w:r w:rsidR="00D15D5C" w:rsidRPr="003808FB">
        <w:t>vii</w:t>
      </w:r>
      <w:r w:rsidR="00D15D5C" w:rsidRPr="003808FB">
        <w:rPr>
          <w:i/>
        </w:rPr>
        <w:t>bis</w:t>
      </w:r>
      <w:proofErr w:type="spellEnd"/>
      <w:r w:rsidR="00D15D5C" w:rsidRPr="003808FB">
        <w:t>)</w:t>
      </w:r>
      <w:r w:rsidR="00D15D5C" w:rsidRPr="003808FB">
        <w:tab/>
        <w:t>cuando la marca que sea objeto de la solicitud de base o del registro de base consista en un color o una combinación de colores como tales, una indicación a tal efecto,</w:t>
      </w:r>
    </w:p>
    <w:p w:rsidR="00D15D5C" w:rsidRPr="003808FB" w:rsidRDefault="00557868" w:rsidP="00557868">
      <w:pPr>
        <w:pStyle w:val="FootnoteText"/>
        <w:tabs>
          <w:tab w:val="left" w:pos="1843"/>
        </w:tabs>
        <w:ind w:left="567" w:firstLine="567"/>
      </w:pPr>
      <w:r>
        <w:tab/>
      </w:r>
      <w:r>
        <w:tab/>
        <w:t>“</w:t>
      </w:r>
      <w:r w:rsidR="00D15D5C" w:rsidRPr="003808FB">
        <w:t>viii)</w:t>
      </w:r>
      <w:r w:rsidR="00D15D5C" w:rsidRPr="003808FB">
        <w:tab/>
        <w:t>cuando la solicitud de base o el registro de base se refieran a una marca tridimensional, la indicación “marca tridimensional”,</w:t>
      </w:r>
    </w:p>
    <w:p w:rsidR="00D15D5C" w:rsidRPr="003808FB" w:rsidRDefault="00557868" w:rsidP="00557868">
      <w:pPr>
        <w:pStyle w:val="FootnoteText"/>
        <w:tabs>
          <w:tab w:val="left" w:pos="1843"/>
        </w:tabs>
        <w:ind w:left="567" w:firstLine="567"/>
      </w:pPr>
      <w:r>
        <w:tab/>
      </w:r>
      <w:r>
        <w:tab/>
        <w:t>“</w:t>
      </w:r>
      <w:r w:rsidR="00D15D5C" w:rsidRPr="003808FB">
        <w:t>ix)</w:t>
      </w:r>
      <w:r w:rsidR="00D15D5C" w:rsidRPr="003808FB">
        <w:tab/>
        <w:t>cuando la solicitud de base o el registro de base se refieran a una marca sonora, la indicación “marca sonora”,</w:t>
      </w:r>
    </w:p>
    <w:p w:rsidR="00D15D5C" w:rsidRPr="003808FB" w:rsidRDefault="00557868" w:rsidP="00557868">
      <w:pPr>
        <w:pStyle w:val="FootnoteText"/>
        <w:tabs>
          <w:tab w:val="left" w:pos="1843"/>
        </w:tabs>
        <w:spacing w:after="240"/>
        <w:ind w:left="567" w:firstLine="567"/>
      </w:pPr>
      <w:r>
        <w:tab/>
      </w:r>
      <w:r>
        <w:tab/>
        <w:t>“</w:t>
      </w:r>
      <w:r w:rsidR="00D15D5C" w:rsidRPr="003808FB">
        <w:t>x)</w:t>
      </w:r>
      <w:r w:rsidR="00D15D5C" w:rsidRPr="003808FB">
        <w:tab/>
        <w:t>cuando la solicitud de base o el registro de base se refieran a una marca colectiva, una marca de certificación o una marca de garantía,</w:t>
      </w:r>
      <w:r>
        <w:t xml:space="preserve"> una indicación en ese sentido,”</w:t>
      </w:r>
    </w:p>
  </w:footnote>
  <w:footnote w:id="6">
    <w:p w:rsidR="00D15D5C" w:rsidRDefault="00D15D5C" w:rsidP="00EF3EA4">
      <w:pPr>
        <w:pStyle w:val="FootnoteText"/>
        <w:spacing w:after="60"/>
      </w:pPr>
      <w:r w:rsidRPr="003808FB">
        <w:rPr>
          <w:rStyle w:val="FootnoteReference"/>
        </w:rPr>
        <w:footnoteRef/>
      </w:r>
      <w:r w:rsidRPr="003808FB">
        <w:t xml:space="preserve"> </w:t>
      </w:r>
      <w:r w:rsidRPr="003808FB">
        <w:tab/>
        <w:t xml:space="preserve">La Regla 9.4)b)vi) del Reglamento Común </w:t>
      </w:r>
      <w:r w:rsidR="004755E7">
        <w:t>estable</w:t>
      </w:r>
      <w:r w:rsidRPr="003808FB">
        <w:t>ce lo siguiente:</w:t>
      </w:r>
    </w:p>
    <w:p w:rsidR="00557868" w:rsidRPr="003808FB" w:rsidRDefault="00557868" w:rsidP="00EF3EA4">
      <w:pPr>
        <w:pStyle w:val="FootnoteText"/>
        <w:spacing w:after="60"/>
      </w:pPr>
    </w:p>
    <w:p w:rsidR="00D15D5C" w:rsidRPr="003808FB" w:rsidRDefault="00557868" w:rsidP="00557868">
      <w:pPr>
        <w:pStyle w:val="FootnoteText"/>
        <w:ind w:left="567"/>
      </w:pPr>
      <w:r>
        <w:tab/>
      </w:r>
      <w:r w:rsidR="00D15D5C" w:rsidRPr="003808FB">
        <w:t>“4)</w:t>
      </w:r>
      <w:r w:rsidR="00D15D5C" w:rsidRPr="003808FB">
        <w:tab/>
      </w:r>
      <w:r w:rsidR="00D15D5C" w:rsidRPr="003808FB">
        <w:rPr>
          <w:i/>
        </w:rPr>
        <w:t>[Contenido de la solicitud internacional]</w:t>
      </w:r>
      <w:r w:rsidR="00D15D5C" w:rsidRPr="003808FB">
        <w:t>  […]</w:t>
      </w:r>
    </w:p>
    <w:p w:rsidR="00D15D5C" w:rsidRPr="003808FB" w:rsidRDefault="00557868" w:rsidP="00557868">
      <w:pPr>
        <w:pStyle w:val="FootnoteText"/>
        <w:ind w:left="567"/>
      </w:pPr>
      <w:r>
        <w:tab/>
      </w:r>
      <w:r>
        <w:tab/>
        <w:t>“</w:t>
      </w:r>
      <w:r w:rsidR="00D15D5C" w:rsidRPr="003808FB">
        <w:t>b)</w:t>
      </w:r>
      <w:r w:rsidR="00D15D5C" w:rsidRPr="003808FB">
        <w:tab/>
        <w:t>En la solicitud internacional podrán figurar asimismo,</w:t>
      </w:r>
    </w:p>
    <w:p w:rsidR="00D15D5C" w:rsidRPr="003808FB" w:rsidRDefault="00557868" w:rsidP="00557868">
      <w:pPr>
        <w:pStyle w:val="FootnoteText"/>
        <w:ind w:left="567"/>
      </w:pPr>
      <w:r>
        <w:tab/>
      </w:r>
      <w:r>
        <w:tab/>
      </w:r>
      <w:r>
        <w:tab/>
        <w:t>“</w:t>
      </w:r>
      <w:r w:rsidR="00D15D5C" w:rsidRPr="003808FB">
        <w:t>[…]</w:t>
      </w:r>
    </w:p>
    <w:p w:rsidR="00D15D5C" w:rsidRPr="003808FB" w:rsidRDefault="00557868" w:rsidP="00557868">
      <w:pPr>
        <w:pStyle w:val="FootnoteText"/>
        <w:ind w:left="567"/>
      </w:pPr>
      <w:r>
        <w:tab/>
      </w:r>
      <w:r>
        <w:tab/>
      </w:r>
      <w:r>
        <w:tab/>
        <w:t>“</w:t>
      </w:r>
      <w:r w:rsidR="00D15D5C" w:rsidRPr="003808FB">
        <w:t>vi)</w:t>
      </w:r>
      <w:r w:rsidR="00D15D5C" w:rsidRPr="003808FB">
        <w:tab/>
        <w:t xml:space="preserve">una descripción de la marca en palabras o, si el solicitante así lo desea, la descripción de la marca en palabras que figura en la solicitud de base o el registro de base, cuando no haya sido proporcionada según lo </w:t>
      </w:r>
      <w:r>
        <w:t>previsto en el párrafo 4)a</w:t>
      </w:r>
      <w:proofErr w:type="gramStart"/>
      <w:r>
        <w:t>)xi</w:t>
      </w:r>
      <w:proofErr w:type="gram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D5C" w:rsidRDefault="00D15D5C" w:rsidP="00477D6B">
    <w:pPr>
      <w:jc w:val="right"/>
    </w:pPr>
    <w:bookmarkStart w:id="6" w:name="Code2"/>
    <w:bookmarkEnd w:id="6"/>
    <w:r>
      <w:t>MM/LD/WG/16</w:t>
    </w:r>
    <w:r w:rsidR="00700868">
      <w:t>/</w:t>
    </w:r>
    <w:r>
      <w:t>4</w:t>
    </w:r>
  </w:p>
  <w:p w:rsidR="00D15D5C" w:rsidRDefault="00D15D5C" w:rsidP="00477D6B">
    <w:pPr>
      <w:jc w:val="right"/>
    </w:pPr>
    <w:proofErr w:type="gramStart"/>
    <w:r>
      <w:t>página</w:t>
    </w:r>
    <w:proofErr w:type="gramEnd"/>
    <w:r>
      <w:t xml:space="preserve"> </w:t>
    </w:r>
    <w:r>
      <w:fldChar w:fldCharType="begin"/>
    </w:r>
    <w:r>
      <w:instrText xml:space="preserve"> PAGE  \* MERGEFORMAT </w:instrText>
    </w:r>
    <w:r>
      <w:fldChar w:fldCharType="separate"/>
    </w:r>
    <w:r w:rsidR="00C60DA2">
      <w:rPr>
        <w:noProof/>
      </w:rPr>
      <w:t>5</w:t>
    </w:r>
    <w:r>
      <w:fldChar w:fldCharType="end"/>
    </w:r>
  </w:p>
  <w:p w:rsidR="00D15D5C" w:rsidRDefault="00D15D5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D0"/>
    <w:rsid w:val="00010686"/>
    <w:rsid w:val="00023505"/>
    <w:rsid w:val="00052915"/>
    <w:rsid w:val="00095BF6"/>
    <w:rsid w:val="000A037D"/>
    <w:rsid w:val="000A550C"/>
    <w:rsid w:val="000E2D26"/>
    <w:rsid w:val="000E3BB3"/>
    <w:rsid w:val="000F5E56"/>
    <w:rsid w:val="00124752"/>
    <w:rsid w:val="001362EE"/>
    <w:rsid w:val="00137F6B"/>
    <w:rsid w:val="00152CEA"/>
    <w:rsid w:val="00177ED1"/>
    <w:rsid w:val="001832A6"/>
    <w:rsid w:val="00196BC1"/>
    <w:rsid w:val="001C2265"/>
    <w:rsid w:val="002331E8"/>
    <w:rsid w:val="00256324"/>
    <w:rsid w:val="002634C4"/>
    <w:rsid w:val="00291A8F"/>
    <w:rsid w:val="002B3B95"/>
    <w:rsid w:val="002E0F47"/>
    <w:rsid w:val="002E554D"/>
    <w:rsid w:val="002F0645"/>
    <w:rsid w:val="002F0D62"/>
    <w:rsid w:val="002F4E68"/>
    <w:rsid w:val="00303B0E"/>
    <w:rsid w:val="00325A0C"/>
    <w:rsid w:val="0034582B"/>
    <w:rsid w:val="00354647"/>
    <w:rsid w:val="003716F4"/>
    <w:rsid w:val="00377273"/>
    <w:rsid w:val="003808FB"/>
    <w:rsid w:val="003845C1"/>
    <w:rsid w:val="00387287"/>
    <w:rsid w:val="003B3D85"/>
    <w:rsid w:val="003C4AE5"/>
    <w:rsid w:val="003C528B"/>
    <w:rsid w:val="003C5450"/>
    <w:rsid w:val="003E48F1"/>
    <w:rsid w:val="003F347A"/>
    <w:rsid w:val="004000D1"/>
    <w:rsid w:val="0040709E"/>
    <w:rsid w:val="00411EF5"/>
    <w:rsid w:val="00423E3E"/>
    <w:rsid w:val="00427AF4"/>
    <w:rsid w:val="00445F74"/>
    <w:rsid w:val="00450297"/>
    <w:rsid w:val="004521EC"/>
    <w:rsid w:val="0045231F"/>
    <w:rsid w:val="00454F4B"/>
    <w:rsid w:val="00457CE7"/>
    <w:rsid w:val="004647DA"/>
    <w:rsid w:val="0046793F"/>
    <w:rsid w:val="004755E7"/>
    <w:rsid w:val="00477808"/>
    <w:rsid w:val="00477D6B"/>
    <w:rsid w:val="00484D2F"/>
    <w:rsid w:val="00487A6F"/>
    <w:rsid w:val="004A670E"/>
    <w:rsid w:val="004A6C37"/>
    <w:rsid w:val="004B53E6"/>
    <w:rsid w:val="004D7BCE"/>
    <w:rsid w:val="004E297D"/>
    <w:rsid w:val="004F095D"/>
    <w:rsid w:val="004F7E35"/>
    <w:rsid w:val="00516747"/>
    <w:rsid w:val="00530845"/>
    <w:rsid w:val="00531B02"/>
    <w:rsid w:val="005332F0"/>
    <w:rsid w:val="0055013B"/>
    <w:rsid w:val="00553C98"/>
    <w:rsid w:val="00557868"/>
    <w:rsid w:val="00571B99"/>
    <w:rsid w:val="00586FC0"/>
    <w:rsid w:val="00592515"/>
    <w:rsid w:val="005B4ED6"/>
    <w:rsid w:val="005C7153"/>
    <w:rsid w:val="00605827"/>
    <w:rsid w:val="0063108E"/>
    <w:rsid w:val="00642038"/>
    <w:rsid w:val="00651769"/>
    <w:rsid w:val="00653E47"/>
    <w:rsid w:val="006658CB"/>
    <w:rsid w:val="00666F38"/>
    <w:rsid w:val="00675021"/>
    <w:rsid w:val="006A06C6"/>
    <w:rsid w:val="006B0C2D"/>
    <w:rsid w:val="006D5BC0"/>
    <w:rsid w:val="00700096"/>
    <w:rsid w:val="00700868"/>
    <w:rsid w:val="007102DE"/>
    <w:rsid w:val="007224C8"/>
    <w:rsid w:val="00727C97"/>
    <w:rsid w:val="00733785"/>
    <w:rsid w:val="007338EC"/>
    <w:rsid w:val="00743408"/>
    <w:rsid w:val="00755F5F"/>
    <w:rsid w:val="00762197"/>
    <w:rsid w:val="007935C1"/>
    <w:rsid w:val="00794BE2"/>
    <w:rsid w:val="00794EE3"/>
    <w:rsid w:val="007A5581"/>
    <w:rsid w:val="007B67DD"/>
    <w:rsid w:val="007B71FE"/>
    <w:rsid w:val="007D781E"/>
    <w:rsid w:val="007E0C43"/>
    <w:rsid w:val="007E64F5"/>
    <w:rsid w:val="007E663E"/>
    <w:rsid w:val="008030F8"/>
    <w:rsid w:val="00813D61"/>
    <w:rsid w:val="00814E71"/>
    <w:rsid w:val="00815082"/>
    <w:rsid w:val="00824387"/>
    <w:rsid w:val="008244D2"/>
    <w:rsid w:val="0082499D"/>
    <w:rsid w:val="008257ED"/>
    <w:rsid w:val="008441E3"/>
    <w:rsid w:val="0085125B"/>
    <w:rsid w:val="0085284C"/>
    <w:rsid w:val="00856A96"/>
    <w:rsid w:val="00865589"/>
    <w:rsid w:val="0088395E"/>
    <w:rsid w:val="00884C0B"/>
    <w:rsid w:val="00890358"/>
    <w:rsid w:val="008952D0"/>
    <w:rsid w:val="008B2963"/>
    <w:rsid w:val="008B2CC1"/>
    <w:rsid w:val="008C2A41"/>
    <w:rsid w:val="008D6BF8"/>
    <w:rsid w:val="008E624A"/>
    <w:rsid w:val="008E6BD6"/>
    <w:rsid w:val="008E7D15"/>
    <w:rsid w:val="009065ED"/>
    <w:rsid w:val="0090731E"/>
    <w:rsid w:val="009120CE"/>
    <w:rsid w:val="00953BDD"/>
    <w:rsid w:val="00966A22"/>
    <w:rsid w:val="00972F03"/>
    <w:rsid w:val="00993254"/>
    <w:rsid w:val="0099370C"/>
    <w:rsid w:val="009A0C8B"/>
    <w:rsid w:val="009A20CD"/>
    <w:rsid w:val="009B6241"/>
    <w:rsid w:val="009D664C"/>
    <w:rsid w:val="009E148C"/>
    <w:rsid w:val="009F225B"/>
    <w:rsid w:val="009F2DB1"/>
    <w:rsid w:val="009F31E3"/>
    <w:rsid w:val="00A005C4"/>
    <w:rsid w:val="00A16FC0"/>
    <w:rsid w:val="00A32C9E"/>
    <w:rsid w:val="00A33BAD"/>
    <w:rsid w:val="00A530B5"/>
    <w:rsid w:val="00A7716A"/>
    <w:rsid w:val="00A824A8"/>
    <w:rsid w:val="00A901D0"/>
    <w:rsid w:val="00A9613E"/>
    <w:rsid w:val="00AB2963"/>
    <w:rsid w:val="00AB4D1F"/>
    <w:rsid w:val="00AB613D"/>
    <w:rsid w:val="00AE7F20"/>
    <w:rsid w:val="00B17FBD"/>
    <w:rsid w:val="00B2507E"/>
    <w:rsid w:val="00B534D5"/>
    <w:rsid w:val="00B54FE4"/>
    <w:rsid w:val="00B65A0A"/>
    <w:rsid w:val="00B67CDC"/>
    <w:rsid w:val="00B72D36"/>
    <w:rsid w:val="00BA2FA8"/>
    <w:rsid w:val="00BC10A5"/>
    <w:rsid w:val="00BC4164"/>
    <w:rsid w:val="00BD2DCC"/>
    <w:rsid w:val="00BE657B"/>
    <w:rsid w:val="00C14BDA"/>
    <w:rsid w:val="00C44A3C"/>
    <w:rsid w:val="00C50566"/>
    <w:rsid w:val="00C50CAF"/>
    <w:rsid w:val="00C60DA2"/>
    <w:rsid w:val="00C76B7A"/>
    <w:rsid w:val="00C87061"/>
    <w:rsid w:val="00C90559"/>
    <w:rsid w:val="00C952C9"/>
    <w:rsid w:val="00C95308"/>
    <w:rsid w:val="00CA2251"/>
    <w:rsid w:val="00CB283C"/>
    <w:rsid w:val="00CC2D87"/>
    <w:rsid w:val="00CD0926"/>
    <w:rsid w:val="00CD6631"/>
    <w:rsid w:val="00CE158D"/>
    <w:rsid w:val="00D0170E"/>
    <w:rsid w:val="00D049F8"/>
    <w:rsid w:val="00D15D5C"/>
    <w:rsid w:val="00D56C7C"/>
    <w:rsid w:val="00D62202"/>
    <w:rsid w:val="00D71B4D"/>
    <w:rsid w:val="00D81092"/>
    <w:rsid w:val="00D90289"/>
    <w:rsid w:val="00D93D55"/>
    <w:rsid w:val="00D95E83"/>
    <w:rsid w:val="00DB301A"/>
    <w:rsid w:val="00DB7710"/>
    <w:rsid w:val="00DC4C60"/>
    <w:rsid w:val="00DD33B1"/>
    <w:rsid w:val="00E00498"/>
    <w:rsid w:val="00E0079A"/>
    <w:rsid w:val="00E110FE"/>
    <w:rsid w:val="00E322B8"/>
    <w:rsid w:val="00E35723"/>
    <w:rsid w:val="00E407CA"/>
    <w:rsid w:val="00E4384B"/>
    <w:rsid w:val="00E444DA"/>
    <w:rsid w:val="00E45C84"/>
    <w:rsid w:val="00E504E5"/>
    <w:rsid w:val="00E62905"/>
    <w:rsid w:val="00E7276D"/>
    <w:rsid w:val="00E8598D"/>
    <w:rsid w:val="00EB7A3E"/>
    <w:rsid w:val="00EC401A"/>
    <w:rsid w:val="00ED59B3"/>
    <w:rsid w:val="00EE379D"/>
    <w:rsid w:val="00EF3EA4"/>
    <w:rsid w:val="00EF530A"/>
    <w:rsid w:val="00EF6622"/>
    <w:rsid w:val="00EF78A9"/>
    <w:rsid w:val="00F11549"/>
    <w:rsid w:val="00F118C4"/>
    <w:rsid w:val="00F23AB3"/>
    <w:rsid w:val="00F24DED"/>
    <w:rsid w:val="00F51FC0"/>
    <w:rsid w:val="00F55408"/>
    <w:rsid w:val="00F66152"/>
    <w:rsid w:val="00F73A4C"/>
    <w:rsid w:val="00F80845"/>
    <w:rsid w:val="00F84474"/>
    <w:rsid w:val="00FA0F0D"/>
    <w:rsid w:val="00FC3C07"/>
    <w:rsid w:val="00FC494E"/>
    <w:rsid w:val="00FD59D1"/>
    <w:rsid w:val="00FE291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rsid w:val="00C76B7A"/>
    <w:rPr>
      <w:vertAlign w:val="superscript"/>
    </w:rPr>
  </w:style>
  <w:style w:type="character" w:styleId="CommentReference">
    <w:name w:val="annotation reference"/>
    <w:basedOn w:val="DefaultParagraphFont"/>
    <w:semiHidden/>
    <w:unhideWhenUsed/>
    <w:rsid w:val="00743408"/>
    <w:rPr>
      <w:sz w:val="16"/>
      <w:szCs w:val="16"/>
    </w:rPr>
  </w:style>
  <w:style w:type="paragraph" w:styleId="CommentSubject">
    <w:name w:val="annotation subject"/>
    <w:basedOn w:val="CommentText"/>
    <w:next w:val="CommentText"/>
    <w:link w:val="CommentSubjectChar"/>
    <w:semiHidden/>
    <w:unhideWhenUsed/>
    <w:rsid w:val="00743408"/>
    <w:rPr>
      <w:b/>
      <w:bCs/>
      <w:sz w:val="20"/>
    </w:rPr>
  </w:style>
  <w:style w:type="character" w:customStyle="1" w:styleId="CommentTextChar">
    <w:name w:val="Comment Text Char"/>
    <w:basedOn w:val="DefaultParagraphFont"/>
    <w:link w:val="CommentText"/>
    <w:semiHidden/>
    <w:rsid w:val="0074340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43408"/>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rsid w:val="00C76B7A"/>
    <w:rPr>
      <w:vertAlign w:val="superscript"/>
    </w:rPr>
  </w:style>
  <w:style w:type="character" w:styleId="CommentReference">
    <w:name w:val="annotation reference"/>
    <w:basedOn w:val="DefaultParagraphFont"/>
    <w:semiHidden/>
    <w:unhideWhenUsed/>
    <w:rsid w:val="00743408"/>
    <w:rPr>
      <w:sz w:val="16"/>
      <w:szCs w:val="16"/>
    </w:rPr>
  </w:style>
  <w:style w:type="paragraph" w:styleId="CommentSubject">
    <w:name w:val="annotation subject"/>
    <w:basedOn w:val="CommentText"/>
    <w:next w:val="CommentText"/>
    <w:link w:val="CommentSubjectChar"/>
    <w:semiHidden/>
    <w:unhideWhenUsed/>
    <w:rsid w:val="00743408"/>
    <w:rPr>
      <w:b/>
      <w:bCs/>
      <w:sz w:val="20"/>
    </w:rPr>
  </w:style>
  <w:style w:type="character" w:customStyle="1" w:styleId="CommentTextChar">
    <w:name w:val="Comment Text Char"/>
    <w:basedOn w:val="DefaultParagraphFont"/>
    <w:link w:val="CommentText"/>
    <w:semiHidden/>
    <w:rsid w:val="0074340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43408"/>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2181</Words>
  <Characters>11190</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MM/LD/WG/16/4 - Nuevos tipos de marcas y nuevos medios de representación</vt:lpstr>
      <vt:lpstr>MM/LD/WG/16/4</vt:lpstr>
    </vt:vector>
  </TitlesOfParts>
  <Company>WIPO</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MM/LD/WG/16/4 - Nuevos tipos de marcas y nuevos medios de representación</dc:title>
  <dc:creator>WIPO</dc:creator>
  <dc:description>IS (trad.ext.) - 20/4/2018 //KP (QC) - 24/4/2018</dc:description>
  <cp:lastModifiedBy>Madrid Registry</cp:lastModifiedBy>
  <cp:revision>3</cp:revision>
  <cp:lastPrinted>2018-04-24T08:20:00Z</cp:lastPrinted>
  <dcterms:created xsi:type="dcterms:W3CDTF">2018-05-01T12:36:00Z</dcterms:created>
  <dcterms:modified xsi:type="dcterms:W3CDTF">2018-05-01T13:27:00Z</dcterms:modified>
</cp:coreProperties>
</file>