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B3D85" w:rsidP="00AB613D">
            <w:r>
              <w:rPr>
                <w:noProof/>
                <w:lang w:val="en-US" w:eastAsia="en-US"/>
              </w:rPr>
              <w:drawing>
                <wp:inline distT="0" distB="0" distL="0" distR="0">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204A0" w:rsidP="00F204A0">
            <w:pPr>
              <w:jc w:val="right"/>
              <w:rPr>
                <w:rFonts w:ascii="Arial Black" w:hAnsi="Arial Black"/>
                <w:caps/>
                <w:sz w:val="15"/>
              </w:rPr>
            </w:pPr>
            <w:r>
              <w:rPr>
                <w:rFonts w:ascii="Arial Black" w:hAnsi="Arial Black"/>
                <w:caps/>
                <w:sz w:val="15"/>
              </w:rPr>
              <w:t>mm/ld/wg/17</w:t>
            </w:r>
            <w:r w:rsidR="003B3D85">
              <w:rPr>
                <w:rFonts w:ascii="Arial Black" w:hAnsi="Arial Black"/>
                <w:caps/>
                <w:sz w:val="15"/>
              </w:rPr>
              <w:t>/</w:t>
            </w:r>
            <w:bookmarkStart w:id="0" w:name="Code"/>
            <w:bookmarkEnd w:id="0"/>
            <w:r>
              <w:rPr>
                <w:rFonts w:ascii="Arial Black" w:hAnsi="Arial Black"/>
                <w:caps/>
                <w:sz w:val="15"/>
              </w:rPr>
              <w:t>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F204A0">
            <w:pPr>
              <w:jc w:val="right"/>
              <w:rPr>
                <w:rFonts w:ascii="Arial Black" w:hAnsi="Arial Black"/>
                <w:caps/>
                <w:sz w:val="15"/>
              </w:rPr>
            </w:pPr>
            <w:r w:rsidRPr="0090731E">
              <w:rPr>
                <w:rFonts w:ascii="Arial Black" w:hAnsi="Arial Black"/>
                <w:caps/>
                <w:sz w:val="15"/>
              </w:rPr>
              <w:t>ORIGINAL</w:t>
            </w:r>
            <w:r w:rsidR="00F204A0">
              <w:rPr>
                <w:rFonts w:ascii="Arial Black" w:hAnsi="Arial Black"/>
                <w:caps/>
                <w:sz w:val="15"/>
              </w:rPr>
              <w:t>: inglés</w:t>
            </w:r>
            <w:r w:rsidR="009A20CD">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F204A0">
            <w:pPr>
              <w:jc w:val="right"/>
              <w:rPr>
                <w:rFonts w:ascii="Arial Black" w:hAnsi="Arial Black"/>
                <w:caps/>
                <w:sz w:val="15"/>
              </w:rPr>
            </w:pPr>
            <w:r>
              <w:rPr>
                <w:rFonts w:ascii="Arial Black" w:hAnsi="Arial Black"/>
                <w:caps/>
                <w:sz w:val="15"/>
              </w:rPr>
              <w:t>fecha</w:t>
            </w:r>
            <w:r w:rsidR="00F204A0">
              <w:rPr>
                <w:rFonts w:ascii="Arial Black" w:hAnsi="Arial Black"/>
                <w:caps/>
                <w:sz w:val="15"/>
              </w:rPr>
              <w:t xml:space="preserve">: </w:t>
            </w:r>
            <w:r w:rsidR="00775EFB">
              <w:rPr>
                <w:rFonts w:ascii="Arial Black" w:hAnsi="Arial Black"/>
                <w:caps/>
                <w:sz w:val="15"/>
              </w:rPr>
              <w:t>21</w:t>
            </w:r>
            <w:r w:rsidR="00F204A0">
              <w:rPr>
                <w:rFonts w:ascii="Arial Black" w:hAnsi="Arial Black"/>
                <w:caps/>
                <w:sz w:val="15"/>
              </w:rPr>
              <w:t xml:space="preserve"> de mayo de 2019</w:t>
            </w:r>
            <w:r w:rsidR="009A20CD">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3B3D85" w:rsidP="00B67CDC">
      <w:pPr>
        <w:rPr>
          <w:b/>
          <w:sz w:val="28"/>
          <w:szCs w:val="28"/>
        </w:rPr>
      </w:pPr>
      <w:r w:rsidRPr="003B3D85">
        <w:rPr>
          <w:b/>
          <w:sz w:val="28"/>
          <w:szCs w:val="28"/>
        </w:rPr>
        <w:t>Grupo de Trabajo sobre el Desarrollo Jurídico del Sistema de Madrid para el Registro Internacional de Marcas</w:t>
      </w:r>
    </w:p>
    <w:p w:rsidR="003845C1" w:rsidRDefault="003845C1" w:rsidP="003845C1"/>
    <w:p w:rsidR="003845C1" w:rsidRDefault="003845C1" w:rsidP="003845C1"/>
    <w:p w:rsidR="003B3D85" w:rsidRPr="003845C1" w:rsidRDefault="00E34125" w:rsidP="003B3D85">
      <w:pPr>
        <w:rPr>
          <w:b/>
          <w:sz w:val="24"/>
          <w:szCs w:val="24"/>
        </w:rPr>
      </w:pPr>
      <w:r>
        <w:rPr>
          <w:b/>
          <w:sz w:val="24"/>
          <w:szCs w:val="24"/>
        </w:rPr>
        <w:t>Decimoséptima</w:t>
      </w:r>
      <w:r w:rsidR="003B3D85">
        <w:rPr>
          <w:b/>
          <w:sz w:val="24"/>
          <w:szCs w:val="24"/>
        </w:rPr>
        <w:t xml:space="preserve"> reunión</w:t>
      </w:r>
    </w:p>
    <w:p w:rsidR="00E34125" w:rsidRPr="00574CFE" w:rsidRDefault="000A550C" w:rsidP="00E34125">
      <w:pPr>
        <w:rPr>
          <w:b/>
          <w:sz w:val="24"/>
          <w:szCs w:val="24"/>
        </w:rPr>
      </w:pPr>
      <w:r>
        <w:rPr>
          <w:b/>
          <w:sz w:val="24"/>
          <w:szCs w:val="24"/>
        </w:rPr>
        <w:t>Ginebra, 2</w:t>
      </w:r>
      <w:r w:rsidR="00E34125">
        <w:rPr>
          <w:b/>
          <w:sz w:val="24"/>
          <w:szCs w:val="24"/>
        </w:rPr>
        <w:t>2</w:t>
      </w:r>
      <w:r>
        <w:rPr>
          <w:b/>
          <w:sz w:val="24"/>
          <w:szCs w:val="24"/>
        </w:rPr>
        <w:t xml:space="preserve"> a </w:t>
      </w:r>
      <w:r w:rsidR="00E34125">
        <w:rPr>
          <w:b/>
          <w:sz w:val="24"/>
          <w:szCs w:val="24"/>
        </w:rPr>
        <w:t>26</w:t>
      </w:r>
      <w:r>
        <w:rPr>
          <w:b/>
          <w:sz w:val="24"/>
          <w:szCs w:val="24"/>
        </w:rPr>
        <w:t xml:space="preserve"> de julio de 201</w:t>
      </w:r>
      <w:r w:rsidR="00E34125">
        <w:rPr>
          <w:b/>
          <w:sz w:val="24"/>
          <w:szCs w:val="24"/>
        </w:rPr>
        <w:t>9</w:t>
      </w:r>
    </w:p>
    <w:p w:rsidR="00E34125" w:rsidRPr="00574CFE" w:rsidRDefault="00E34125" w:rsidP="00E34125"/>
    <w:p w:rsidR="00E34125" w:rsidRPr="00574CFE" w:rsidRDefault="00E34125" w:rsidP="00E34125"/>
    <w:p w:rsidR="008229EA" w:rsidRDefault="008229EA" w:rsidP="008229EA">
      <w:pPr>
        <w:pStyle w:val="Heading2"/>
      </w:pPr>
      <w:r w:rsidRPr="00267085">
        <w:rPr>
          <w:lang w:val="es-ES_tradnl"/>
        </w:rPr>
        <w:t>Posible modificación de la Regla 9 del Reglamento Común del Arreglo de Madrid relativo al Registro Internacional de Marcas y del Protocolo concerniente a ese Arreglo</w:t>
      </w:r>
    </w:p>
    <w:p w:rsidR="008229EA" w:rsidRDefault="008229EA" w:rsidP="008229EA">
      <w:pPr>
        <w:rPr>
          <w:i/>
        </w:rPr>
      </w:pPr>
    </w:p>
    <w:p w:rsidR="008229EA" w:rsidRDefault="008229EA" w:rsidP="008229EA">
      <w:pPr>
        <w:rPr>
          <w:i/>
        </w:rPr>
      </w:pPr>
      <w:r w:rsidRPr="00267085">
        <w:rPr>
          <w:i/>
          <w:lang w:val="es-ES_tradnl"/>
        </w:rPr>
        <w:t>Documento preparado por la Oficina Internacional</w:t>
      </w:r>
      <w:r w:rsidRPr="00F8157E">
        <w:rPr>
          <w:i/>
        </w:rPr>
        <w:t xml:space="preserve"> </w:t>
      </w:r>
    </w:p>
    <w:p w:rsidR="00E34125" w:rsidRPr="00E44267" w:rsidRDefault="00E34125" w:rsidP="00E34125"/>
    <w:p w:rsidR="00E34125" w:rsidRDefault="00E34125" w:rsidP="00E34125"/>
    <w:p w:rsidR="00E44267" w:rsidRPr="00574CFE" w:rsidRDefault="00E44267" w:rsidP="00E34125"/>
    <w:p w:rsidR="00E34125" w:rsidRPr="00574CFE" w:rsidRDefault="00E34125" w:rsidP="00E34125"/>
    <w:p w:rsidR="008229EA" w:rsidRDefault="008229EA" w:rsidP="008229EA">
      <w:pPr>
        <w:pStyle w:val="Heading1"/>
      </w:pPr>
      <w:r w:rsidRPr="00267085">
        <w:rPr>
          <w:lang w:val="es-ES_tradnl"/>
        </w:rPr>
        <w:t>INTRODUCCIÓN</w:t>
      </w:r>
    </w:p>
    <w:p w:rsidR="00E34125" w:rsidRPr="00574CFE" w:rsidRDefault="00E34125" w:rsidP="00E34125"/>
    <w:p w:rsidR="00E34125" w:rsidRPr="00574CFE" w:rsidRDefault="00D43B39" w:rsidP="00E34125">
      <w:pPr>
        <w:pStyle w:val="ONUME"/>
      </w:pPr>
      <w:r w:rsidRPr="00267085">
        <w:rPr>
          <w:lang w:val="es-ES_tradnl"/>
        </w:rPr>
        <w:t xml:space="preserve">En su decimosexta reunión, celebrada en Ginebra del 2 al 6 de julio de 2018, el Grupo de Trabajo sobre el Desarrollo Jurídico del Sistema de Madrid para el Registro Internacional de </w:t>
      </w:r>
      <w:r>
        <w:rPr>
          <w:lang w:val="es-ES_tradnl"/>
        </w:rPr>
        <w:t>Marcas (en adelante denominado “</w:t>
      </w:r>
      <w:r w:rsidRPr="00267085">
        <w:rPr>
          <w:lang w:val="es-ES_tradnl"/>
        </w:rPr>
        <w:t>el Grupo</w:t>
      </w:r>
      <w:r>
        <w:rPr>
          <w:lang w:val="es-ES_tradnl"/>
        </w:rPr>
        <w:t xml:space="preserve"> de Trabajo”</w:t>
      </w:r>
      <w:r w:rsidRPr="00267085">
        <w:rPr>
          <w:lang w:val="es-ES_tradnl"/>
        </w:rPr>
        <w:t xml:space="preserve">) examinó </w:t>
      </w:r>
      <w:r w:rsidR="00962529">
        <w:rPr>
          <w:lang w:val="es-ES_tradnl"/>
        </w:rPr>
        <w:t xml:space="preserve">varios </w:t>
      </w:r>
      <w:r w:rsidR="00C652AF">
        <w:rPr>
          <w:lang w:val="es-ES_tradnl"/>
        </w:rPr>
        <w:t>tipos de marcas distintas de las mencionada</w:t>
      </w:r>
      <w:r w:rsidRPr="00267085">
        <w:rPr>
          <w:lang w:val="es-ES_tradnl"/>
        </w:rPr>
        <w:t>s expresamente en el Reglamento Común del Arreglo de Madrid relativo al Registro Internacional de Marcas y del Protocolo concerniente a ese Ar</w:t>
      </w:r>
      <w:r>
        <w:rPr>
          <w:lang w:val="es-ES_tradnl"/>
        </w:rPr>
        <w:t>reglo (en</w:t>
      </w:r>
      <w:r w:rsidR="00E44267">
        <w:rPr>
          <w:lang w:val="es-ES_tradnl"/>
        </w:rPr>
        <w:t> </w:t>
      </w:r>
      <w:r>
        <w:rPr>
          <w:lang w:val="es-ES_tradnl"/>
        </w:rPr>
        <w:t>adelante denominados “</w:t>
      </w:r>
      <w:r w:rsidRPr="00267085">
        <w:rPr>
          <w:lang w:val="es-ES_tradnl"/>
        </w:rPr>
        <w:t>el Reglamento Co</w:t>
      </w:r>
      <w:r>
        <w:rPr>
          <w:lang w:val="es-ES_tradnl"/>
        </w:rPr>
        <w:t>mún” y “el Protocolo”</w:t>
      </w:r>
      <w:r w:rsidRPr="00267085">
        <w:rPr>
          <w:lang w:val="es-ES_tradnl"/>
        </w:rPr>
        <w:t>).</w:t>
      </w:r>
      <w:r w:rsidR="00E34125" w:rsidRPr="00574CFE">
        <w:rPr>
          <w:rStyle w:val="FootnoteReference"/>
        </w:rPr>
        <w:footnoteReference w:id="2"/>
      </w:r>
    </w:p>
    <w:p w:rsidR="00E34125" w:rsidRPr="00574CFE" w:rsidRDefault="008229EA" w:rsidP="00E34125">
      <w:pPr>
        <w:pStyle w:val="ONUME"/>
      </w:pPr>
      <w:r w:rsidRPr="00267085">
        <w:rPr>
          <w:lang w:val="es-ES_tradnl"/>
        </w:rPr>
        <w:t>El Grupo de Trabajo pidió a la Oficina Internacional que preparara un documento en el</w:t>
      </w:r>
      <w:r w:rsidR="00E44267">
        <w:rPr>
          <w:lang w:val="es-ES_tradnl"/>
        </w:rPr>
        <w:t> </w:t>
      </w:r>
      <w:r w:rsidRPr="00267085">
        <w:rPr>
          <w:lang w:val="es-ES_tradnl"/>
        </w:rPr>
        <w:t>que se describ</w:t>
      </w:r>
      <w:r w:rsidR="00D43B39">
        <w:rPr>
          <w:lang w:val="es-ES_tradnl"/>
        </w:rPr>
        <w:t>ier</w:t>
      </w:r>
      <w:r w:rsidRPr="00267085">
        <w:rPr>
          <w:lang w:val="es-ES_tradnl"/>
        </w:rPr>
        <w:t>an las posibles modificaciones de la Regla 9 del Reglamento Común con</w:t>
      </w:r>
      <w:r w:rsidR="00E44267">
        <w:rPr>
          <w:lang w:val="es-ES_tradnl"/>
        </w:rPr>
        <w:t> </w:t>
      </w:r>
      <w:r w:rsidRPr="00267085">
        <w:rPr>
          <w:lang w:val="es-ES_tradnl"/>
        </w:rPr>
        <w:t>miras a introducir nuevos medios de representación.</w:t>
      </w:r>
    </w:p>
    <w:p w:rsidR="00D43B39" w:rsidRDefault="00E34125" w:rsidP="00D43B39">
      <w:pPr>
        <w:pStyle w:val="Heading1"/>
        <w:keepLines/>
      </w:pPr>
      <w:r w:rsidRPr="00574CFE">
        <w:lastRenderedPageBreak/>
        <w:t>I.</w:t>
      </w:r>
      <w:r w:rsidRPr="00574CFE">
        <w:tab/>
      </w:r>
      <w:r w:rsidR="00D43B39" w:rsidRPr="00267085">
        <w:rPr>
          <w:lang w:val="es-ES_tradnl"/>
        </w:rPr>
        <w:t>Posible modificación de la Regla 9 del Reglamento Común</w:t>
      </w:r>
    </w:p>
    <w:p w:rsidR="00E34125" w:rsidRPr="00574CFE" w:rsidRDefault="00E34125" w:rsidP="00E34125">
      <w:pPr>
        <w:keepNext/>
        <w:keepLines/>
      </w:pPr>
    </w:p>
    <w:p w:rsidR="00E34125" w:rsidRPr="00574CFE" w:rsidRDefault="00DA0FA8" w:rsidP="00E34125">
      <w:pPr>
        <w:pStyle w:val="ONUME"/>
        <w:keepNext/>
        <w:keepLines/>
        <w:rPr>
          <w:szCs w:val="22"/>
        </w:rPr>
      </w:pPr>
      <w:bookmarkStart w:id="3" w:name="_Ref9598773"/>
      <w:r w:rsidRPr="00267085">
        <w:rPr>
          <w:szCs w:val="22"/>
          <w:lang w:val="es-ES_tradnl"/>
        </w:rPr>
        <w:t xml:space="preserve">En </w:t>
      </w:r>
      <w:r>
        <w:rPr>
          <w:szCs w:val="22"/>
          <w:lang w:val="es-ES_tradnl"/>
        </w:rPr>
        <w:t xml:space="preserve">la Regla </w:t>
      </w:r>
      <w:r>
        <w:rPr>
          <w:szCs w:val="22"/>
        </w:rPr>
        <w:t>9.4)a)</w:t>
      </w:r>
      <w:r w:rsidRPr="00574CFE">
        <w:rPr>
          <w:szCs w:val="22"/>
        </w:rPr>
        <w:t xml:space="preserve">v) </w:t>
      </w:r>
      <w:r w:rsidRPr="00267085">
        <w:rPr>
          <w:szCs w:val="22"/>
          <w:lang w:val="es-ES_tradnl"/>
        </w:rPr>
        <w:t xml:space="preserve">del Reglamento Común se exige que </w:t>
      </w:r>
      <w:r>
        <w:rPr>
          <w:szCs w:val="22"/>
          <w:lang w:val="es-ES_tradnl"/>
        </w:rPr>
        <w:t xml:space="preserve">en </w:t>
      </w:r>
      <w:r w:rsidRPr="00267085">
        <w:rPr>
          <w:szCs w:val="22"/>
          <w:lang w:val="es-ES_tradnl"/>
        </w:rPr>
        <w:t xml:space="preserve">la solicitud internacional </w:t>
      </w:r>
      <w:r>
        <w:rPr>
          <w:szCs w:val="22"/>
          <w:lang w:val="es-ES_tradnl"/>
        </w:rPr>
        <w:t xml:space="preserve">figure o se indique </w:t>
      </w:r>
      <w:r w:rsidRPr="00267085">
        <w:rPr>
          <w:szCs w:val="22"/>
          <w:lang w:val="es-ES_tradnl"/>
        </w:rPr>
        <w:t>una reproducción de la marca que se ajuste al recuadro previsto en el formulario oficial.</w:t>
      </w:r>
      <w:r>
        <w:rPr>
          <w:szCs w:val="22"/>
        </w:rPr>
        <w:t xml:space="preserve"> </w:t>
      </w:r>
      <w:r w:rsidRPr="00267085">
        <w:rPr>
          <w:szCs w:val="22"/>
          <w:lang w:val="es-ES_tradnl"/>
        </w:rPr>
        <w:t xml:space="preserve">Esa regla podría modificarse para exigir que </w:t>
      </w:r>
      <w:r>
        <w:rPr>
          <w:szCs w:val="22"/>
          <w:lang w:val="es-ES_tradnl"/>
        </w:rPr>
        <w:t xml:space="preserve">en </w:t>
      </w:r>
      <w:r w:rsidRPr="00267085">
        <w:rPr>
          <w:szCs w:val="22"/>
          <w:lang w:val="es-ES_tradnl"/>
        </w:rPr>
        <w:t xml:space="preserve">la solicitud internacional </w:t>
      </w:r>
      <w:r>
        <w:rPr>
          <w:szCs w:val="22"/>
          <w:lang w:val="es-ES_tradnl"/>
        </w:rPr>
        <w:t xml:space="preserve">figure o se indique </w:t>
      </w:r>
      <w:r w:rsidRPr="00267085">
        <w:rPr>
          <w:szCs w:val="22"/>
          <w:lang w:val="es-ES_tradnl"/>
        </w:rPr>
        <w:t>una representación clara y precisa de la marca.</w:t>
      </w:r>
      <w:r>
        <w:rPr>
          <w:szCs w:val="22"/>
        </w:rPr>
        <w:t xml:space="preserve"> </w:t>
      </w:r>
      <w:r>
        <w:rPr>
          <w:szCs w:val="22"/>
          <w:lang w:val="es-ES_tradnl"/>
        </w:rPr>
        <w:t>Es</w:t>
      </w:r>
      <w:r w:rsidRPr="00267085">
        <w:rPr>
          <w:szCs w:val="22"/>
          <w:lang w:val="es-ES_tradnl"/>
        </w:rPr>
        <w:t xml:space="preserve">a </w:t>
      </w:r>
      <w:r w:rsidR="008A60D0">
        <w:rPr>
          <w:szCs w:val="22"/>
          <w:lang w:val="es-ES_tradnl"/>
        </w:rPr>
        <w:t>modificación</w:t>
      </w:r>
      <w:r w:rsidRPr="00267085">
        <w:rPr>
          <w:szCs w:val="22"/>
          <w:lang w:val="es-ES_tradnl"/>
        </w:rPr>
        <w:t xml:space="preserve"> permitiría presentar una solicitud internacional </w:t>
      </w:r>
      <w:r w:rsidR="00C652AF">
        <w:rPr>
          <w:szCs w:val="22"/>
          <w:lang w:val="es-ES_tradnl"/>
        </w:rPr>
        <w:t>en la que figure</w:t>
      </w:r>
      <w:r w:rsidRPr="00267085">
        <w:rPr>
          <w:szCs w:val="22"/>
          <w:lang w:val="es-ES_tradnl"/>
        </w:rPr>
        <w:t xml:space="preserve"> cualquier representación de la marca, gráfica o no gráfica.</w:t>
      </w:r>
      <w:bookmarkEnd w:id="3"/>
      <w:r w:rsidR="00E34125" w:rsidRPr="00574CFE">
        <w:rPr>
          <w:szCs w:val="22"/>
        </w:rPr>
        <w:t xml:space="preserve"> </w:t>
      </w:r>
    </w:p>
    <w:p w:rsidR="00E34125" w:rsidRPr="00574CFE" w:rsidRDefault="00A270B6" w:rsidP="00A270B6">
      <w:pPr>
        <w:pStyle w:val="ONUME"/>
        <w:rPr>
          <w:szCs w:val="22"/>
        </w:rPr>
      </w:pPr>
      <w:r w:rsidRPr="00267085">
        <w:rPr>
          <w:szCs w:val="22"/>
          <w:lang w:val="es-ES_tradnl"/>
        </w:rPr>
        <w:t xml:space="preserve">A modo de simplificación adicional, </w:t>
      </w:r>
      <w:r>
        <w:rPr>
          <w:szCs w:val="22"/>
          <w:lang w:val="es-ES_tradnl"/>
        </w:rPr>
        <w:t xml:space="preserve">en </w:t>
      </w:r>
      <w:r w:rsidRPr="00267085">
        <w:rPr>
          <w:szCs w:val="22"/>
          <w:lang w:val="es-ES_tradnl"/>
        </w:rPr>
        <w:t>la Regla</w:t>
      </w:r>
      <w:r w:rsidR="00E44267">
        <w:rPr>
          <w:szCs w:val="22"/>
          <w:lang w:val="es-ES_tradnl"/>
        </w:rPr>
        <w:t> </w:t>
      </w:r>
      <w:r w:rsidRPr="00267085">
        <w:rPr>
          <w:szCs w:val="22"/>
          <w:lang w:val="es-ES_tradnl"/>
        </w:rPr>
        <w:t>9</w:t>
      </w:r>
      <w:r>
        <w:rPr>
          <w:szCs w:val="22"/>
          <w:lang w:val="es-ES_tradnl"/>
        </w:rPr>
        <w:t xml:space="preserve"> se</w:t>
      </w:r>
      <w:r w:rsidRPr="00267085">
        <w:rPr>
          <w:szCs w:val="22"/>
          <w:lang w:val="es-ES_tradnl"/>
        </w:rPr>
        <w:t xml:space="preserve"> podría exigir que la representación </w:t>
      </w:r>
      <w:r>
        <w:rPr>
          <w:szCs w:val="22"/>
          <w:lang w:val="es-ES_tradnl"/>
        </w:rPr>
        <w:t xml:space="preserve">figure </w:t>
      </w:r>
      <w:r w:rsidRPr="00267085">
        <w:rPr>
          <w:szCs w:val="22"/>
          <w:lang w:val="es-ES_tradnl"/>
        </w:rPr>
        <w:t xml:space="preserve">en color cuando se reivindique el color como </w:t>
      </w:r>
      <w:r>
        <w:rPr>
          <w:szCs w:val="22"/>
          <w:lang w:val="es-ES_tradnl"/>
        </w:rPr>
        <w:t>elemento distintivo</w:t>
      </w:r>
      <w:r w:rsidRPr="00267085">
        <w:rPr>
          <w:szCs w:val="22"/>
          <w:lang w:val="es-ES_tradnl"/>
        </w:rPr>
        <w:t>, de conformidad con el</w:t>
      </w:r>
      <w:r w:rsidR="00E44267">
        <w:rPr>
          <w:szCs w:val="22"/>
          <w:lang w:val="es-ES_tradnl"/>
        </w:rPr>
        <w:t> </w:t>
      </w:r>
      <w:r>
        <w:rPr>
          <w:szCs w:val="22"/>
          <w:lang w:val="es-ES_tradnl"/>
        </w:rPr>
        <w:t>párrafo 4)a)vii)</w:t>
      </w:r>
      <w:r w:rsidRPr="00267085">
        <w:rPr>
          <w:szCs w:val="22"/>
          <w:lang w:val="es-ES_tradnl"/>
        </w:rPr>
        <w:t>.</w:t>
      </w:r>
      <w:r w:rsidRPr="00F8157E">
        <w:rPr>
          <w:szCs w:val="22"/>
        </w:rPr>
        <w:t xml:space="preserve"> </w:t>
      </w:r>
      <w:r>
        <w:rPr>
          <w:szCs w:val="22"/>
        </w:rPr>
        <w:t>Se podría suprimir de ese párrafo</w:t>
      </w:r>
      <w:r w:rsidRPr="00F8157E">
        <w:rPr>
          <w:szCs w:val="22"/>
        </w:rPr>
        <w:t xml:space="preserve"> </w:t>
      </w:r>
      <w:r>
        <w:rPr>
          <w:szCs w:val="22"/>
        </w:rPr>
        <w:t>e</w:t>
      </w:r>
      <w:r w:rsidRPr="00267085">
        <w:rPr>
          <w:szCs w:val="22"/>
          <w:lang w:val="es-ES_tradnl"/>
        </w:rPr>
        <w:t xml:space="preserve">l requisito de </w:t>
      </w:r>
      <w:r w:rsidR="00C652AF">
        <w:rPr>
          <w:szCs w:val="22"/>
          <w:lang w:val="es-ES_tradnl"/>
        </w:rPr>
        <w:t>aportar</w:t>
      </w:r>
      <w:r w:rsidRPr="00267085">
        <w:rPr>
          <w:szCs w:val="22"/>
          <w:lang w:val="es-ES_tradnl"/>
        </w:rPr>
        <w:t xml:space="preserve"> una segunda representación de la marca</w:t>
      </w:r>
      <w:r w:rsidR="00E34125" w:rsidRPr="00574CFE">
        <w:rPr>
          <w:rStyle w:val="FootnoteReference"/>
          <w:szCs w:val="22"/>
        </w:rPr>
        <w:footnoteReference w:id="3"/>
      </w:r>
      <w:r w:rsidR="00E44267">
        <w:rPr>
          <w:szCs w:val="22"/>
          <w:lang w:val="es-ES_tradnl"/>
        </w:rPr>
        <w:t>,</w:t>
      </w:r>
      <w:r w:rsidR="00E34125" w:rsidRPr="00574CFE">
        <w:rPr>
          <w:szCs w:val="22"/>
        </w:rPr>
        <w:t xml:space="preserve"> </w:t>
      </w:r>
      <w:r w:rsidR="00DA0FA8" w:rsidRPr="00267085">
        <w:rPr>
          <w:szCs w:val="22"/>
          <w:lang w:val="es-ES_tradnl"/>
        </w:rPr>
        <w:t xml:space="preserve">con la consiguiente supresión </w:t>
      </w:r>
      <w:r>
        <w:rPr>
          <w:szCs w:val="22"/>
          <w:lang w:val="es-ES_tradnl"/>
        </w:rPr>
        <w:t>del recuadro</w:t>
      </w:r>
      <w:r w:rsidR="00DA0FA8" w:rsidRPr="00267085">
        <w:rPr>
          <w:szCs w:val="22"/>
          <w:lang w:val="es-ES_tradnl"/>
        </w:rPr>
        <w:t xml:space="preserve"> que figura en el</w:t>
      </w:r>
      <w:r w:rsidR="00E44267">
        <w:rPr>
          <w:szCs w:val="22"/>
          <w:lang w:val="es-ES_tradnl"/>
        </w:rPr>
        <w:t> </w:t>
      </w:r>
      <w:r w:rsidR="00DA0FA8" w:rsidRPr="00267085">
        <w:rPr>
          <w:szCs w:val="22"/>
          <w:lang w:val="es-ES_tradnl"/>
        </w:rPr>
        <w:t xml:space="preserve">apartado </w:t>
      </w:r>
      <w:proofErr w:type="spellStart"/>
      <w:r w:rsidR="00DA0FA8" w:rsidRPr="00267085">
        <w:rPr>
          <w:szCs w:val="22"/>
          <w:lang w:val="es-ES_tradnl"/>
        </w:rPr>
        <w:t>7</w:t>
      </w:r>
      <w:r w:rsidR="00525E8A">
        <w:rPr>
          <w:szCs w:val="22"/>
          <w:lang w:val="es-ES_tradnl"/>
        </w:rPr>
        <w:t>.b</w:t>
      </w:r>
      <w:proofErr w:type="spellEnd"/>
      <w:r w:rsidR="00525E8A">
        <w:rPr>
          <w:szCs w:val="22"/>
          <w:lang w:val="es-ES_tradnl"/>
        </w:rPr>
        <w:t>)</w:t>
      </w:r>
      <w:r w:rsidR="00DA0FA8" w:rsidRPr="00267085">
        <w:rPr>
          <w:szCs w:val="22"/>
          <w:lang w:val="es-ES_tradnl"/>
        </w:rPr>
        <w:t xml:space="preserve"> del formulario oficial MM2.</w:t>
      </w:r>
    </w:p>
    <w:p w:rsidR="00DA0FA8" w:rsidRDefault="00525E8A" w:rsidP="00DA0FA8">
      <w:pPr>
        <w:pStyle w:val="ONUME"/>
      </w:pPr>
      <w:r>
        <w:rPr>
          <w:lang w:val="es-ES_tradnl"/>
        </w:rPr>
        <w:t xml:space="preserve">Podría modificarse la Regla 9.5)d)iv) </w:t>
      </w:r>
      <w:r w:rsidR="00DA0FA8" w:rsidRPr="00267085">
        <w:rPr>
          <w:lang w:val="es-ES_tradnl"/>
        </w:rPr>
        <w:t>para exigir que la Oficina de origen certifique que la marca que figura en la solicitud internacional corresponde a la marca que figura en la solicitud de base o en el registro d</w:t>
      </w:r>
      <w:r>
        <w:rPr>
          <w:lang w:val="es-ES_tradnl"/>
        </w:rPr>
        <w:t>e base (denominada en adelante “l</w:t>
      </w:r>
      <w:r w:rsidR="00DA0FA8" w:rsidRPr="00267085">
        <w:rPr>
          <w:lang w:val="es-ES_tradnl"/>
        </w:rPr>
        <w:t>a marca de base</w:t>
      </w:r>
      <w:r>
        <w:rPr>
          <w:lang w:val="es-ES_tradnl"/>
        </w:rPr>
        <w:t>”</w:t>
      </w:r>
      <w:r w:rsidR="00DA0FA8" w:rsidRPr="00267085">
        <w:rPr>
          <w:lang w:val="es-ES_tradnl"/>
        </w:rPr>
        <w:t>).</w:t>
      </w:r>
      <w:r>
        <w:t xml:space="preserve"> </w:t>
      </w:r>
      <w:r>
        <w:rPr>
          <w:lang w:val="es-ES_tradnl"/>
        </w:rPr>
        <w:t>Es</w:t>
      </w:r>
      <w:r w:rsidR="00DA0FA8" w:rsidRPr="00267085">
        <w:rPr>
          <w:lang w:val="es-ES_tradnl"/>
        </w:rPr>
        <w:t xml:space="preserve">e cambio proporcionaría más flexibilidad a las Oficinas al certificar las solicitudes internacionales y armonizaría la regla con el texto que figura en </w:t>
      </w:r>
      <w:r>
        <w:rPr>
          <w:lang w:val="es-ES_tradnl"/>
        </w:rPr>
        <w:t>A</w:t>
      </w:r>
      <w:r w:rsidR="00DA0FA8" w:rsidRPr="00267085">
        <w:rPr>
          <w:lang w:val="es-ES_tradnl"/>
        </w:rPr>
        <w:t>rtículo 3</w:t>
      </w:r>
      <w:r>
        <w:rPr>
          <w:lang w:val="es-ES_tradnl"/>
        </w:rPr>
        <w:t>.1)</w:t>
      </w:r>
      <w:r w:rsidR="00DA0FA8" w:rsidRPr="00267085">
        <w:rPr>
          <w:lang w:val="es-ES_tradnl"/>
        </w:rPr>
        <w:t xml:space="preserve"> del Protocolo.</w:t>
      </w:r>
      <w:r>
        <w:rPr>
          <w:szCs w:val="22"/>
        </w:rPr>
        <w:t xml:space="preserve"> </w:t>
      </w:r>
      <w:r w:rsidR="00DA0FA8" w:rsidRPr="00267085">
        <w:rPr>
          <w:szCs w:val="22"/>
          <w:lang w:val="es-ES_tradnl"/>
        </w:rPr>
        <w:t>Por lo tanto, disipar</w:t>
      </w:r>
      <w:r>
        <w:rPr>
          <w:szCs w:val="22"/>
          <w:lang w:val="es-ES_tradnl"/>
        </w:rPr>
        <w:t>ía</w:t>
      </w:r>
      <w:r w:rsidR="00DA0FA8" w:rsidRPr="00267085">
        <w:rPr>
          <w:szCs w:val="22"/>
          <w:lang w:val="es-ES_tradnl"/>
        </w:rPr>
        <w:t xml:space="preserve"> </w:t>
      </w:r>
      <w:r>
        <w:rPr>
          <w:szCs w:val="22"/>
          <w:lang w:val="es-ES_tradnl"/>
        </w:rPr>
        <w:t xml:space="preserve">las </w:t>
      </w:r>
      <w:r w:rsidR="00DA0FA8" w:rsidRPr="00267085">
        <w:rPr>
          <w:szCs w:val="22"/>
          <w:lang w:val="es-ES_tradnl"/>
        </w:rPr>
        <w:t>duda</w:t>
      </w:r>
      <w:r>
        <w:rPr>
          <w:szCs w:val="22"/>
          <w:lang w:val="es-ES_tradnl"/>
        </w:rPr>
        <w:t>s</w:t>
      </w:r>
      <w:r w:rsidR="00DA0FA8" w:rsidRPr="00267085">
        <w:rPr>
          <w:szCs w:val="22"/>
          <w:lang w:val="es-ES_tradnl"/>
        </w:rPr>
        <w:t xml:space="preserve"> en cua</w:t>
      </w:r>
      <w:r>
        <w:rPr>
          <w:szCs w:val="22"/>
          <w:lang w:val="es-ES_tradnl"/>
        </w:rPr>
        <w:t>nto a si el requisito de que la marca</w:t>
      </w:r>
      <w:r w:rsidR="00DA0FA8" w:rsidRPr="00267085">
        <w:rPr>
          <w:szCs w:val="22"/>
          <w:lang w:val="es-ES_tradnl"/>
        </w:rPr>
        <w:t xml:space="preserve"> de base </w:t>
      </w:r>
      <w:r>
        <w:rPr>
          <w:szCs w:val="22"/>
          <w:lang w:val="es-ES_tradnl"/>
        </w:rPr>
        <w:t>sea la misma que</w:t>
      </w:r>
      <w:r w:rsidR="00DA0FA8" w:rsidRPr="00267085">
        <w:rPr>
          <w:szCs w:val="22"/>
          <w:lang w:val="es-ES_tradnl"/>
        </w:rPr>
        <w:t xml:space="preserve"> la</w:t>
      </w:r>
      <w:r>
        <w:rPr>
          <w:szCs w:val="22"/>
          <w:lang w:val="es-ES_tradnl"/>
        </w:rPr>
        <w:t xml:space="preserve"> marca internacional</w:t>
      </w:r>
      <w:r w:rsidR="00DA0FA8" w:rsidRPr="00267085">
        <w:rPr>
          <w:szCs w:val="22"/>
          <w:lang w:val="es-ES_tradnl"/>
        </w:rPr>
        <w:t xml:space="preserve">, que </w:t>
      </w:r>
      <w:r w:rsidR="00375C2B">
        <w:rPr>
          <w:szCs w:val="22"/>
          <w:lang w:val="es-ES_tradnl"/>
        </w:rPr>
        <w:t>figura actualmente en es</w:t>
      </w:r>
      <w:r w:rsidR="00DA0FA8" w:rsidRPr="00267085">
        <w:rPr>
          <w:szCs w:val="22"/>
          <w:lang w:val="es-ES_tradnl"/>
        </w:rPr>
        <w:t xml:space="preserve">a regla, es más estricto que el requisito previsto en el </w:t>
      </w:r>
      <w:r w:rsidR="00375C2B">
        <w:rPr>
          <w:szCs w:val="22"/>
          <w:lang w:val="es-ES_tradnl"/>
        </w:rPr>
        <w:t>Artículo 3.1</w:t>
      </w:r>
      <w:r w:rsidR="00DA0FA8" w:rsidRPr="00267085">
        <w:rPr>
          <w:szCs w:val="22"/>
          <w:lang w:val="es-ES_tradnl"/>
        </w:rPr>
        <w:t xml:space="preserve">) del Protocolo, que </w:t>
      </w:r>
      <w:r w:rsidR="00375C2B">
        <w:rPr>
          <w:szCs w:val="22"/>
          <w:lang w:val="es-ES_tradnl"/>
        </w:rPr>
        <w:t xml:space="preserve">hace referencia </w:t>
      </w:r>
      <w:r w:rsidR="00DA0FA8" w:rsidRPr="00267085">
        <w:rPr>
          <w:szCs w:val="22"/>
          <w:lang w:val="es-ES_tradnl"/>
        </w:rPr>
        <w:t xml:space="preserve">a la correspondencia entre </w:t>
      </w:r>
      <w:r w:rsidR="00375C2B">
        <w:rPr>
          <w:szCs w:val="22"/>
          <w:lang w:val="es-ES_tradnl"/>
        </w:rPr>
        <w:t xml:space="preserve">las indicaciones que figuran en </w:t>
      </w:r>
      <w:r w:rsidR="00DA0FA8" w:rsidRPr="00267085">
        <w:rPr>
          <w:szCs w:val="22"/>
          <w:lang w:val="es-ES_tradnl"/>
        </w:rPr>
        <w:t>la solicitud internacional y l</w:t>
      </w:r>
      <w:r w:rsidR="00375C2B">
        <w:rPr>
          <w:szCs w:val="22"/>
          <w:lang w:val="es-ES_tradnl"/>
        </w:rPr>
        <w:t>a</w:t>
      </w:r>
      <w:r w:rsidR="00DA0FA8" w:rsidRPr="00267085">
        <w:rPr>
          <w:szCs w:val="22"/>
          <w:lang w:val="es-ES_tradnl"/>
        </w:rPr>
        <w:t>s de la marca de base.</w:t>
      </w:r>
      <w:r w:rsidR="00DA0FA8" w:rsidRPr="00F8157E">
        <w:rPr>
          <w:szCs w:val="22"/>
        </w:rPr>
        <w:t xml:space="preserve"> </w:t>
      </w:r>
      <w:r w:rsidR="00DA0FA8" w:rsidRPr="00267085">
        <w:rPr>
          <w:szCs w:val="22"/>
          <w:lang w:val="es-ES_tradnl"/>
        </w:rPr>
        <w:t xml:space="preserve">No obstante, la certificación seguiría siendo una decisión de la Oficina de origen en estricta aplicación del Protocolo de Madrid y de la </w:t>
      </w:r>
      <w:r w:rsidR="00E44267">
        <w:rPr>
          <w:szCs w:val="22"/>
          <w:lang w:val="es-ES_tradnl"/>
        </w:rPr>
        <w:t>r</w:t>
      </w:r>
      <w:r w:rsidR="00DA0FA8" w:rsidRPr="00267085">
        <w:rPr>
          <w:szCs w:val="22"/>
          <w:lang w:val="es-ES_tradnl"/>
        </w:rPr>
        <w:t>egla.</w:t>
      </w:r>
      <w:r w:rsidR="00375C2B">
        <w:rPr>
          <w:szCs w:val="22"/>
        </w:rPr>
        <w:t xml:space="preserve"> </w:t>
      </w:r>
      <w:r w:rsidR="00DA0FA8" w:rsidRPr="00267085">
        <w:rPr>
          <w:szCs w:val="22"/>
          <w:lang w:val="es-ES_tradnl"/>
        </w:rPr>
        <w:t xml:space="preserve">Por ejemplo, la Oficina interesada </w:t>
      </w:r>
      <w:r w:rsidR="00097BE6">
        <w:rPr>
          <w:szCs w:val="22"/>
          <w:lang w:val="es-ES_tradnl"/>
        </w:rPr>
        <w:t>seguiría teniendo que</w:t>
      </w:r>
      <w:r w:rsidR="00DA0FA8" w:rsidRPr="00267085">
        <w:rPr>
          <w:szCs w:val="22"/>
          <w:lang w:val="es-ES_tradnl"/>
        </w:rPr>
        <w:t xml:space="preserve"> decidir si </w:t>
      </w:r>
      <w:r w:rsidR="00AD7888" w:rsidRPr="00267085">
        <w:rPr>
          <w:szCs w:val="22"/>
          <w:lang w:val="es-ES_tradnl"/>
        </w:rPr>
        <w:t xml:space="preserve">podría considerarse que </w:t>
      </w:r>
      <w:r w:rsidR="00DA0FA8" w:rsidRPr="00267085">
        <w:rPr>
          <w:szCs w:val="22"/>
          <w:lang w:val="es-ES_tradnl"/>
        </w:rPr>
        <w:t xml:space="preserve">una solicitud internacional con una representación más clara de la marca o con una marca representada por diferentes medios cumple los requisitos </w:t>
      </w:r>
      <w:r w:rsidR="00097BE6">
        <w:rPr>
          <w:szCs w:val="22"/>
          <w:lang w:val="es-ES_tradnl"/>
        </w:rPr>
        <w:t>previstos en el</w:t>
      </w:r>
      <w:r w:rsidR="00E44267">
        <w:rPr>
          <w:szCs w:val="22"/>
          <w:lang w:val="es-ES_tradnl"/>
        </w:rPr>
        <w:t> </w:t>
      </w:r>
      <w:r w:rsidR="00AD7888">
        <w:rPr>
          <w:szCs w:val="22"/>
          <w:lang w:val="es-ES_tradnl"/>
        </w:rPr>
        <w:t>A</w:t>
      </w:r>
      <w:r w:rsidR="00DA0FA8" w:rsidRPr="00267085">
        <w:rPr>
          <w:szCs w:val="22"/>
          <w:lang w:val="es-ES_tradnl"/>
        </w:rPr>
        <w:t>rtículo 3</w:t>
      </w:r>
      <w:r w:rsidR="00AD7888">
        <w:rPr>
          <w:szCs w:val="22"/>
          <w:lang w:val="es-ES_tradnl"/>
        </w:rPr>
        <w:t>.1)</w:t>
      </w:r>
      <w:r w:rsidR="00DA0FA8" w:rsidRPr="00267085">
        <w:rPr>
          <w:szCs w:val="22"/>
          <w:lang w:val="es-ES_tradnl"/>
        </w:rPr>
        <w:t xml:space="preserve"> del Protocolo.</w:t>
      </w:r>
    </w:p>
    <w:p w:rsidR="00E34125" w:rsidRPr="00574CFE" w:rsidRDefault="00DA0FA8" w:rsidP="002A3B63">
      <w:pPr>
        <w:pStyle w:val="ONUME"/>
      </w:pPr>
      <w:bookmarkStart w:id="4" w:name="_Ref9602056"/>
      <w:r w:rsidRPr="00DA0FA8">
        <w:rPr>
          <w:szCs w:val="22"/>
          <w:lang w:val="es-ES_tradnl"/>
        </w:rPr>
        <w:t>Las Instrucciones Administrativas para la aplicación del Arreglo de Madrid relativo al Registro Internacional de Marcas y el Protocolo concerniente a ese Ar</w:t>
      </w:r>
      <w:r w:rsidR="008A60D0">
        <w:rPr>
          <w:szCs w:val="22"/>
          <w:lang w:val="es-ES_tradnl"/>
        </w:rPr>
        <w:t>reglo (en adelante denominadas “</w:t>
      </w:r>
      <w:r w:rsidRPr="00DA0FA8">
        <w:rPr>
          <w:szCs w:val="22"/>
          <w:lang w:val="es-ES_tradnl"/>
        </w:rPr>
        <w:t>la</w:t>
      </w:r>
      <w:r w:rsidR="008A60D0">
        <w:rPr>
          <w:szCs w:val="22"/>
          <w:lang w:val="es-ES_tradnl"/>
        </w:rPr>
        <w:t>s Instrucciones Administrativas”</w:t>
      </w:r>
      <w:r w:rsidRPr="00DA0FA8">
        <w:rPr>
          <w:szCs w:val="22"/>
          <w:lang w:val="es-ES_tradnl"/>
        </w:rPr>
        <w:t xml:space="preserve">) podrían modificarse para indicar </w:t>
      </w:r>
      <w:r w:rsidR="008A60D0">
        <w:rPr>
          <w:szCs w:val="22"/>
          <w:lang w:val="es-ES_tradnl"/>
        </w:rPr>
        <w:t>la manera en</w:t>
      </w:r>
      <w:r w:rsidRPr="00DA0FA8">
        <w:rPr>
          <w:szCs w:val="22"/>
          <w:lang w:val="es-ES_tradnl"/>
        </w:rPr>
        <w:t xml:space="preserve"> </w:t>
      </w:r>
      <w:r w:rsidR="00097BE6">
        <w:rPr>
          <w:szCs w:val="22"/>
          <w:lang w:val="es-ES_tradnl"/>
        </w:rPr>
        <w:t xml:space="preserve">que </w:t>
      </w:r>
      <w:r w:rsidRPr="00DA0FA8">
        <w:rPr>
          <w:szCs w:val="22"/>
          <w:lang w:val="es-ES_tradnl"/>
        </w:rPr>
        <w:t>pueden representarse las marcas en la solicitud internacional.</w:t>
      </w:r>
      <w:r w:rsidR="008A60D0">
        <w:rPr>
          <w:szCs w:val="22"/>
        </w:rPr>
        <w:t xml:space="preserve"> </w:t>
      </w:r>
      <w:r w:rsidRPr="00DA0FA8">
        <w:rPr>
          <w:szCs w:val="22"/>
          <w:lang w:val="es-ES_tradnl"/>
        </w:rPr>
        <w:t>La repr</w:t>
      </w:r>
      <w:r w:rsidR="008A60D0">
        <w:rPr>
          <w:szCs w:val="22"/>
          <w:lang w:val="es-ES_tradnl"/>
        </w:rPr>
        <w:t xml:space="preserve">esentación de la marca vendría determinada </w:t>
      </w:r>
      <w:r w:rsidRPr="00DA0FA8">
        <w:rPr>
          <w:szCs w:val="22"/>
          <w:lang w:val="es-ES_tradnl"/>
        </w:rPr>
        <w:t>por la forma en que se transmite la solicitud internacional a la Oficina Internacional.</w:t>
      </w:r>
      <w:r w:rsidRPr="00DA0FA8">
        <w:rPr>
          <w:szCs w:val="22"/>
        </w:rPr>
        <w:t xml:space="preserve"> </w:t>
      </w:r>
      <w:r w:rsidR="008A60D0">
        <w:rPr>
          <w:szCs w:val="22"/>
        </w:rPr>
        <w:t>En el caso de l</w:t>
      </w:r>
      <w:r w:rsidRPr="00DA0FA8">
        <w:rPr>
          <w:szCs w:val="22"/>
          <w:lang w:val="es-ES_tradnl"/>
        </w:rPr>
        <w:t xml:space="preserve">as solicitudes internacionales transmitidas por </w:t>
      </w:r>
      <w:r w:rsidR="008A60D0">
        <w:rPr>
          <w:szCs w:val="22"/>
          <w:lang w:val="es-ES_tradnl"/>
        </w:rPr>
        <w:t xml:space="preserve">servicios </w:t>
      </w:r>
      <w:r w:rsidRPr="00DA0FA8">
        <w:rPr>
          <w:szCs w:val="22"/>
          <w:lang w:val="es-ES_tradnl"/>
        </w:rPr>
        <w:t>postal</w:t>
      </w:r>
      <w:r w:rsidR="008A60D0">
        <w:rPr>
          <w:szCs w:val="22"/>
          <w:lang w:val="es-ES_tradnl"/>
        </w:rPr>
        <w:t xml:space="preserve">es o de distribución, </w:t>
      </w:r>
      <w:r w:rsidR="008A60D0" w:rsidRPr="009D6450">
        <w:rPr>
          <w:szCs w:val="22"/>
        </w:rPr>
        <w:t>seguiría siendo</w:t>
      </w:r>
      <w:r w:rsidR="008A60D0">
        <w:rPr>
          <w:szCs w:val="22"/>
        </w:rPr>
        <w:t xml:space="preserve"> necesaria</w:t>
      </w:r>
      <w:r w:rsidR="008A60D0" w:rsidRPr="00DA0FA8">
        <w:rPr>
          <w:szCs w:val="22"/>
          <w:lang w:val="es-ES_tradnl"/>
        </w:rPr>
        <w:t xml:space="preserve"> </w:t>
      </w:r>
      <w:r w:rsidRPr="00DA0FA8">
        <w:rPr>
          <w:szCs w:val="22"/>
          <w:lang w:val="es-ES_tradnl"/>
        </w:rPr>
        <w:t>una representación gráfica de la marca que comprend</w:t>
      </w:r>
      <w:r w:rsidR="008A60D0">
        <w:rPr>
          <w:szCs w:val="22"/>
          <w:lang w:val="es-ES_tradnl"/>
        </w:rPr>
        <w:t>ier</w:t>
      </w:r>
      <w:r w:rsidRPr="00DA0FA8">
        <w:rPr>
          <w:szCs w:val="22"/>
          <w:lang w:val="es-ES_tradnl"/>
        </w:rPr>
        <w:t xml:space="preserve">a, por ejemplo, una o más imágenes de la marca </w:t>
      </w:r>
      <w:r w:rsidR="008A60D0">
        <w:rPr>
          <w:szCs w:val="22"/>
          <w:lang w:val="es-ES_tradnl"/>
        </w:rPr>
        <w:t>correspondientes a un tamaño de papel A</w:t>
      </w:r>
      <w:r w:rsidRPr="00DA0FA8">
        <w:rPr>
          <w:szCs w:val="22"/>
          <w:lang w:val="es-ES_tradnl"/>
        </w:rPr>
        <w:t>4 (es decir, 210 por 297 milímetros).</w:t>
      </w:r>
      <w:r w:rsidR="008A60D0">
        <w:rPr>
          <w:szCs w:val="22"/>
        </w:rPr>
        <w:t xml:space="preserve"> </w:t>
      </w:r>
      <w:r w:rsidRPr="00DA0FA8">
        <w:rPr>
          <w:szCs w:val="22"/>
          <w:lang w:val="es-ES_tradnl"/>
        </w:rPr>
        <w:t xml:space="preserve">Las solicitudes internacionales transmitidas electrónicamente </w:t>
      </w:r>
      <w:r w:rsidR="008A60D0">
        <w:rPr>
          <w:szCs w:val="22"/>
          <w:lang w:val="es-ES_tradnl"/>
        </w:rPr>
        <w:t>podrían</w:t>
      </w:r>
      <w:r w:rsidRPr="00DA0FA8">
        <w:rPr>
          <w:szCs w:val="22"/>
          <w:lang w:val="es-ES_tradnl"/>
        </w:rPr>
        <w:t xml:space="preserve"> presentarse </w:t>
      </w:r>
      <w:r w:rsidR="008A60D0">
        <w:rPr>
          <w:szCs w:val="22"/>
          <w:lang w:val="es-ES_tradnl"/>
        </w:rPr>
        <w:t>mediante</w:t>
      </w:r>
      <w:r w:rsidRPr="00DA0FA8">
        <w:rPr>
          <w:szCs w:val="22"/>
          <w:lang w:val="es-ES_tradnl"/>
        </w:rPr>
        <w:t xml:space="preserve"> una representación electrónica de</w:t>
      </w:r>
      <w:r w:rsidR="00E44267">
        <w:rPr>
          <w:szCs w:val="22"/>
          <w:lang w:val="es-ES_tradnl"/>
        </w:rPr>
        <w:t> </w:t>
      </w:r>
      <w:r w:rsidRPr="00DA0FA8">
        <w:rPr>
          <w:szCs w:val="22"/>
          <w:lang w:val="es-ES_tradnl"/>
        </w:rPr>
        <w:t>la marca.</w:t>
      </w:r>
      <w:r w:rsidR="008A60D0">
        <w:rPr>
          <w:szCs w:val="22"/>
        </w:rPr>
        <w:t xml:space="preserve"> </w:t>
      </w:r>
      <w:r w:rsidR="00097BE6">
        <w:rPr>
          <w:szCs w:val="22"/>
        </w:rPr>
        <w:t>En l</w:t>
      </w:r>
      <w:r w:rsidRPr="00DA0FA8">
        <w:rPr>
          <w:szCs w:val="22"/>
          <w:lang w:val="es-ES_tradnl"/>
        </w:rPr>
        <w:t xml:space="preserve">as Instrucciones Administrativas </w:t>
      </w:r>
      <w:r w:rsidR="00097BE6">
        <w:rPr>
          <w:szCs w:val="22"/>
          <w:lang w:val="es-ES_tradnl"/>
        </w:rPr>
        <w:t xml:space="preserve">se </w:t>
      </w:r>
      <w:r w:rsidRPr="00DA0FA8">
        <w:rPr>
          <w:szCs w:val="22"/>
          <w:lang w:val="es-ES_tradnl"/>
        </w:rPr>
        <w:t>podrían indicar los formatos y requisitos técnicos aceptables para cada forma de representación electrónica, a saber, imágenes</w:t>
      </w:r>
      <w:r w:rsidR="000E7959">
        <w:rPr>
          <w:szCs w:val="22"/>
          <w:lang w:val="es-ES_tradnl"/>
        </w:rPr>
        <w:t xml:space="preserve"> estáticas</w:t>
      </w:r>
      <w:r w:rsidRPr="00DA0FA8">
        <w:rPr>
          <w:szCs w:val="22"/>
          <w:lang w:val="es-ES_tradnl"/>
        </w:rPr>
        <w:t xml:space="preserve">, imágenes </w:t>
      </w:r>
      <w:r w:rsidR="000E7959">
        <w:rPr>
          <w:szCs w:val="22"/>
          <w:lang w:val="es-ES_tradnl"/>
        </w:rPr>
        <w:t>en movimiento</w:t>
      </w:r>
      <w:r w:rsidRPr="00DA0FA8">
        <w:rPr>
          <w:szCs w:val="22"/>
          <w:lang w:val="es-ES_tradnl"/>
        </w:rPr>
        <w:t>, sonidos e imágenes en movimiento con sonido.</w:t>
      </w:r>
      <w:bookmarkEnd w:id="4"/>
    </w:p>
    <w:p w:rsidR="00E34125" w:rsidRPr="00574CFE" w:rsidRDefault="00E34125" w:rsidP="00E34125">
      <w:pPr>
        <w:pStyle w:val="Heading1"/>
      </w:pPr>
      <w:r w:rsidRPr="00574CFE">
        <w:t>ii.</w:t>
      </w:r>
      <w:r w:rsidRPr="00574CFE">
        <w:tab/>
      </w:r>
      <w:r w:rsidR="007340BA">
        <w:t>OTRAS CONSIDERACIONES SOBRE LAS MODIFICACIONES PROPUESTAS</w:t>
      </w:r>
    </w:p>
    <w:p w:rsidR="00E34125" w:rsidRPr="00574CFE" w:rsidRDefault="00E34125" w:rsidP="00E34125"/>
    <w:p w:rsidR="00E34125" w:rsidRPr="00574CFE" w:rsidRDefault="00C000C8" w:rsidP="00E34125">
      <w:pPr>
        <w:pStyle w:val="ONUME"/>
      </w:pPr>
      <w:r>
        <w:rPr>
          <w:lang w:val="es-ES_tradnl"/>
        </w:rPr>
        <w:t>Resulta</w:t>
      </w:r>
      <w:r w:rsidR="007340BA" w:rsidRPr="002E3E25">
        <w:rPr>
          <w:lang w:val="es-ES_tradnl"/>
        </w:rPr>
        <w:t xml:space="preserve"> razonable esperar que, en un futuro </w:t>
      </w:r>
      <w:r>
        <w:rPr>
          <w:lang w:val="es-ES_tradnl"/>
        </w:rPr>
        <w:t>cercano</w:t>
      </w:r>
      <w:r w:rsidR="007340BA" w:rsidRPr="002E3E25">
        <w:rPr>
          <w:lang w:val="es-ES_tradnl"/>
        </w:rPr>
        <w:t>, todas las Partes Contratantes del Sistema de Madrid acepten distintos medios de representación, intercambiados por medios electrónicos y en formato digital.</w:t>
      </w:r>
      <w:r>
        <w:t xml:space="preserve"> </w:t>
      </w:r>
      <w:r w:rsidR="007340BA" w:rsidRPr="002E3E25">
        <w:rPr>
          <w:lang w:val="es-ES_tradnl"/>
        </w:rPr>
        <w:t xml:space="preserve">El Sistema de Madrid debe estar </w:t>
      </w:r>
      <w:r>
        <w:rPr>
          <w:lang w:val="es-ES_tradnl"/>
        </w:rPr>
        <w:t>preparado para</w:t>
      </w:r>
      <w:r w:rsidR="007340BA" w:rsidRPr="002E3E25">
        <w:rPr>
          <w:lang w:val="es-ES_tradnl"/>
        </w:rPr>
        <w:t xml:space="preserve"> servir a sus usuarios </w:t>
      </w:r>
      <w:r>
        <w:rPr>
          <w:lang w:val="es-ES_tradnl"/>
        </w:rPr>
        <w:t xml:space="preserve">a medida que evoluciona este </w:t>
      </w:r>
      <w:r w:rsidR="007340BA" w:rsidRPr="002E3E25">
        <w:rPr>
          <w:lang w:val="es-ES_tradnl"/>
        </w:rPr>
        <w:t>panorama, actualizando su marco jurídico y ajustando sus procesos, prácticas, organización e infraestructura.</w:t>
      </w:r>
      <w:r w:rsidR="0006311E">
        <w:t xml:space="preserve"> </w:t>
      </w:r>
      <w:r w:rsidR="007340BA" w:rsidRPr="002E3E25">
        <w:rPr>
          <w:lang w:val="es-ES_tradnl"/>
        </w:rPr>
        <w:t xml:space="preserve">Además, el Grupo de Trabajo </w:t>
      </w:r>
      <w:r w:rsidR="00EC1B3A">
        <w:rPr>
          <w:lang w:val="es-ES_tradnl"/>
        </w:rPr>
        <w:t>tal vez considere</w:t>
      </w:r>
      <w:r w:rsidR="002B646D">
        <w:rPr>
          <w:lang w:val="es-ES_tradnl"/>
        </w:rPr>
        <w:t xml:space="preserve"> conveniente examinar</w:t>
      </w:r>
      <w:r w:rsidR="007340BA" w:rsidRPr="002E3E25">
        <w:rPr>
          <w:lang w:val="es-ES_tradnl"/>
        </w:rPr>
        <w:t xml:space="preserve"> nuevas formas de </w:t>
      </w:r>
      <w:r w:rsidR="00B956C1">
        <w:rPr>
          <w:lang w:val="es-ES_tradnl"/>
        </w:rPr>
        <w:t xml:space="preserve">prestar apoyo </w:t>
      </w:r>
      <w:r w:rsidR="007340BA" w:rsidRPr="002E3E25">
        <w:rPr>
          <w:lang w:val="es-ES_tradnl"/>
        </w:rPr>
        <w:t>a los usuarios del Sistema de</w:t>
      </w:r>
      <w:r w:rsidR="00E44267">
        <w:rPr>
          <w:lang w:val="es-ES_tradnl"/>
        </w:rPr>
        <w:t> </w:t>
      </w:r>
      <w:r w:rsidR="007340BA" w:rsidRPr="002E3E25">
        <w:rPr>
          <w:lang w:val="es-ES_tradnl"/>
        </w:rPr>
        <w:t xml:space="preserve">Madrid, mientras que las Partes Contratantes </w:t>
      </w:r>
      <w:r w:rsidR="00B956C1">
        <w:rPr>
          <w:lang w:val="es-ES_tradnl"/>
        </w:rPr>
        <w:t xml:space="preserve">llevan a cabo la transición </w:t>
      </w:r>
      <w:r w:rsidR="007340BA" w:rsidRPr="002E3E25">
        <w:rPr>
          <w:lang w:val="es-ES_tradnl"/>
        </w:rPr>
        <w:t>a esa etapa.</w:t>
      </w:r>
      <w:r w:rsidR="00E34125" w:rsidRPr="00574CFE">
        <w:t xml:space="preserve">  </w:t>
      </w:r>
    </w:p>
    <w:p w:rsidR="00E34125" w:rsidRPr="00574CFE" w:rsidRDefault="00E34125" w:rsidP="00E34125">
      <w:pPr>
        <w:pStyle w:val="Heading2"/>
      </w:pPr>
      <w:r w:rsidRPr="00574CFE">
        <w:t>A.</w:t>
      </w:r>
      <w:r w:rsidRPr="00574CFE">
        <w:tab/>
      </w:r>
      <w:r w:rsidR="007340BA">
        <w:t>Consideraciones prácticas</w:t>
      </w:r>
    </w:p>
    <w:p w:rsidR="007340BA" w:rsidRDefault="00E34125" w:rsidP="007340BA">
      <w:pPr>
        <w:pStyle w:val="Heading4"/>
        <w:tabs>
          <w:tab w:val="left" w:pos="567"/>
        </w:tabs>
        <w:ind w:firstLine="567"/>
      </w:pPr>
      <w:r w:rsidRPr="00574CFE">
        <w:t>i)</w:t>
      </w:r>
      <w:r w:rsidRPr="00574CFE">
        <w:tab/>
      </w:r>
      <w:r w:rsidR="007340BA" w:rsidRPr="002E3E25">
        <w:rPr>
          <w:lang w:val="es-ES_tradnl"/>
        </w:rPr>
        <w:t>Signos que no pueden constituir una marca</w:t>
      </w:r>
    </w:p>
    <w:p w:rsidR="00E34125" w:rsidRPr="00574CFE" w:rsidRDefault="00E34125" w:rsidP="00E34125"/>
    <w:p w:rsidR="00E34125" w:rsidRPr="00574CFE" w:rsidRDefault="007340BA" w:rsidP="00E34125">
      <w:pPr>
        <w:pStyle w:val="ONUME"/>
        <w:rPr>
          <w:szCs w:val="22"/>
        </w:rPr>
      </w:pPr>
      <w:bookmarkStart w:id="5" w:name="_Ref9602190"/>
      <w:r w:rsidRPr="002E3E25">
        <w:rPr>
          <w:szCs w:val="22"/>
          <w:lang w:val="es-ES_tradnl"/>
        </w:rPr>
        <w:t xml:space="preserve">Al examinar </w:t>
      </w:r>
      <w:r w:rsidR="00651FB5">
        <w:rPr>
          <w:szCs w:val="22"/>
          <w:lang w:val="es-ES_tradnl"/>
        </w:rPr>
        <w:t xml:space="preserve">las posibles vías </w:t>
      </w:r>
      <w:r w:rsidR="00EE5D7D">
        <w:rPr>
          <w:szCs w:val="22"/>
          <w:lang w:val="es-ES_tradnl"/>
        </w:rPr>
        <w:t xml:space="preserve">para </w:t>
      </w:r>
      <w:r w:rsidRPr="002E3E25">
        <w:rPr>
          <w:szCs w:val="22"/>
          <w:lang w:val="es-ES_tradnl"/>
        </w:rPr>
        <w:t xml:space="preserve">seguir </w:t>
      </w:r>
      <w:r w:rsidR="00651FB5">
        <w:rPr>
          <w:szCs w:val="22"/>
          <w:lang w:val="es-ES_tradnl"/>
        </w:rPr>
        <w:t xml:space="preserve">avanzando </w:t>
      </w:r>
      <w:r w:rsidRPr="002E3E25">
        <w:rPr>
          <w:szCs w:val="22"/>
          <w:lang w:val="es-ES_tradnl"/>
        </w:rPr>
        <w:t>en relación con las modificac</w:t>
      </w:r>
      <w:r w:rsidR="00651FB5">
        <w:rPr>
          <w:szCs w:val="22"/>
          <w:lang w:val="es-ES_tradnl"/>
        </w:rPr>
        <w:t>iones descritas en los párrafos</w:t>
      </w:r>
      <w:r w:rsidR="00651FB5" w:rsidRPr="00574CFE">
        <w:rPr>
          <w:szCs w:val="22"/>
        </w:rPr>
        <w:t xml:space="preserve"> </w:t>
      </w:r>
      <w:r w:rsidR="00187A41">
        <w:rPr>
          <w:szCs w:val="22"/>
        </w:rPr>
        <w:fldChar w:fldCharType="begin"/>
      </w:r>
      <w:r w:rsidR="00187A41">
        <w:rPr>
          <w:szCs w:val="22"/>
        </w:rPr>
        <w:instrText xml:space="preserve"> REF _Ref9598773 \r \h </w:instrText>
      </w:r>
      <w:r w:rsidR="00187A41">
        <w:rPr>
          <w:szCs w:val="22"/>
        </w:rPr>
      </w:r>
      <w:r w:rsidR="00187A41">
        <w:rPr>
          <w:szCs w:val="22"/>
        </w:rPr>
        <w:fldChar w:fldCharType="separate"/>
      </w:r>
      <w:r w:rsidR="00E44267">
        <w:rPr>
          <w:szCs w:val="22"/>
        </w:rPr>
        <w:t>3</w:t>
      </w:r>
      <w:r w:rsidR="00187A41">
        <w:rPr>
          <w:szCs w:val="22"/>
        </w:rPr>
        <w:fldChar w:fldCharType="end"/>
      </w:r>
      <w:r w:rsidR="00297B95">
        <w:rPr>
          <w:szCs w:val="22"/>
        </w:rPr>
        <w:t xml:space="preserve"> </w:t>
      </w:r>
      <w:r w:rsidR="00651FB5">
        <w:rPr>
          <w:szCs w:val="22"/>
        </w:rPr>
        <w:t>a</w:t>
      </w:r>
      <w:r w:rsidR="00297B95">
        <w:rPr>
          <w:szCs w:val="22"/>
        </w:rPr>
        <w:t xml:space="preserve"> </w:t>
      </w:r>
      <w:r w:rsidR="009D6450">
        <w:rPr>
          <w:szCs w:val="22"/>
        </w:rPr>
        <w:fldChar w:fldCharType="begin"/>
      </w:r>
      <w:r w:rsidR="009D6450">
        <w:rPr>
          <w:szCs w:val="22"/>
        </w:rPr>
        <w:instrText xml:space="preserve"> REF _Ref9602056 \r \h </w:instrText>
      </w:r>
      <w:r w:rsidR="009D6450">
        <w:rPr>
          <w:szCs w:val="22"/>
        </w:rPr>
      </w:r>
      <w:r w:rsidR="009D6450">
        <w:rPr>
          <w:szCs w:val="22"/>
        </w:rPr>
        <w:fldChar w:fldCharType="separate"/>
      </w:r>
      <w:r w:rsidR="00E44267">
        <w:rPr>
          <w:szCs w:val="22"/>
        </w:rPr>
        <w:t>6</w:t>
      </w:r>
      <w:r w:rsidR="009D6450">
        <w:rPr>
          <w:szCs w:val="22"/>
        </w:rPr>
        <w:fldChar w:fldCharType="end"/>
      </w:r>
      <w:r w:rsidRPr="002E3E25">
        <w:rPr>
          <w:szCs w:val="22"/>
          <w:lang w:val="es-ES_tradnl"/>
        </w:rPr>
        <w:t xml:space="preserve">, el Grupo de Trabajo </w:t>
      </w:r>
      <w:r w:rsidR="003760FE">
        <w:rPr>
          <w:szCs w:val="22"/>
          <w:lang w:val="es-ES_tradnl"/>
        </w:rPr>
        <w:t xml:space="preserve">puede optar por tener </w:t>
      </w:r>
      <w:r w:rsidRPr="002E3E25">
        <w:rPr>
          <w:szCs w:val="22"/>
          <w:lang w:val="es-ES_tradnl"/>
        </w:rPr>
        <w:t xml:space="preserve">en cuenta las conclusiones de la encuesta sobre </w:t>
      </w:r>
      <w:r w:rsidR="00651FB5">
        <w:rPr>
          <w:szCs w:val="22"/>
          <w:lang w:val="es-ES_tradnl"/>
        </w:rPr>
        <w:t xml:space="preserve">los </w:t>
      </w:r>
      <w:r w:rsidRPr="002E3E25">
        <w:rPr>
          <w:szCs w:val="22"/>
          <w:lang w:val="es-ES_tradnl"/>
        </w:rPr>
        <w:t xml:space="preserve">tipos de marcas y </w:t>
      </w:r>
      <w:r w:rsidR="00651FB5">
        <w:rPr>
          <w:szCs w:val="22"/>
          <w:lang w:val="es-ES_tradnl"/>
        </w:rPr>
        <w:t xml:space="preserve">los </w:t>
      </w:r>
      <w:r w:rsidRPr="002E3E25">
        <w:rPr>
          <w:szCs w:val="22"/>
          <w:lang w:val="es-ES_tradnl"/>
        </w:rPr>
        <w:t xml:space="preserve">medios de representación aceptables, que figuran en el Anexo del documento MM/LD/WG/17/4. En </w:t>
      </w:r>
      <w:r w:rsidR="00651FB5">
        <w:rPr>
          <w:szCs w:val="22"/>
          <w:lang w:val="es-ES_tradnl"/>
        </w:rPr>
        <w:t>concreto</w:t>
      </w:r>
      <w:r w:rsidRPr="002E3E25">
        <w:rPr>
          <w:szCs w:val="22"/>
          <w:lang w:val="es-ES_tradnl"/>
        </w:rPr>
        <w:t xml:space="preserve">, sería pertinente considerar que en el caso de 47 de las 82 </w:t>
      </w:r>
      <w:r w:rsidR="00651FB5">
        <w:rPr>
          <w:szCs w:val="22"/>
          <w:lang w:val="es-ES_tradnl"/>
        </w:rPr>
        <w:t>O</w:t>
      </w:r>
      <w:r w:rsidRPr="002E3E25">
        <w:rPr>
          <w:szCs w:val="22"/>
          <w:lang w:val="es-ES_tradnl"/>
        </w:rPr>
        <w:t xml:space="preserve">ficinas que participaron en la encuesta, las marcas </w:t>
      </w:r>
      <w:r w:rsidR="00651FB5">
        <w:rPr>
          <w:szCs w:val="22"/>
          <w:lang w:val="es-ES_tradnl"/>
        </w:rPr>
        <w:t xml:space="preserve">se definen, </w:t>
      </w:r>
      <w:r w:rsidRPr="002E3E25">
        <w:rPr>
          <w:szCs w:val="22"/>
          <w:lang w:val="es-ES_tradnl"/>
        </w:rPr>
        <w:t xml:space="preserve">de conformidad con </w:t>
      </w:r>
      <w:r w:rsidR="00651FB5">
        <w:rPr>
          <w:szCs w:val="22"/>
          <w:lang w:val="es-ES_tradnl"/>
        </w:rPr>
        <w:t>su legislación aplicable y su</w:t>
      </w:r>
      <w:r w:rsidR="00EE5D7D">
        <w:rPr>
          <w:szCs w:val="22"/>
          <w:lang w:val="es-ES_tradnl"/>
        </w:rPr>
        <w:t>s</w:t>
      </w:r>
      <w:r w:rsidR="00651FB5">
        <w:rPr>
          <w:szCs w:val="22"/>
          <w:lang w:val="es-ES_tradnl"/>
        </w:rPr>
        <w:t xml:space="preserve"> práctica</w:t>
      </w:r>
      <w:r w:rsidR="00EE5D7D">
        <w:rPr>
          <w:szCs w:val="22"/>
          <w:lang w:val="es-ES_tradnl"/>
        </w:rPr>
        <w:t>s</w:t>
      </w:r>
      <w:r w:rsidR="00651FB5">
        <w:rPr>
          <w:szCs w:val="22"/>
          <w:lang w:val="es-ES_tradnl"/>
        </w:rPr>
        <w:t>,</w:t>
      </w:r>
      <w:r w:rsidRPr="002E3E25">
        <w:rPr>
          <w:szCs w:val="22"/>
          <w:lang w:val="es-ES_tradnl"/>
        </w:rPr>
        <w:t xml:space="preserve"> </w:t>
      </w:r>
      <w:r w:rsidR="00651FB5">
        <w:rPr>
          <w:szCs w:val="22"/>
          <w:lang w:val="es-ES_tradnl"/>
        </w:rPr>
        <w:t>c</w:t>
      </w:r>
      <w:r w:rsidRPr="002E3E25">
        <w:rPr>
          <w:szCs w:val="22"/>
          <w:lang w:val="es-ES_tradnl"/>
        </w:rPr>
        <w:t xml:space="preserve">omo signos que pueden representarse gráficamente </w:t>
      </w:r>
      <w:r w:rsidR="00651FB5">
        <w:rPr>
          <w:szCs w:val="22"/>
          <w:lang w:val="es-ES_tradnl"/>
        </w:rPr>
        <w:t>y</w:t>
      </w:r>
      <w:r w:rsidRPr="002E3E25">
        <w:rPr>
          <w:szCs w:val="22"/>
          <w:lang w:val="es-ES_tradnl"/>
        </w:rPr>
        <w:t xml:space="preserve"> </w:t>
      </w:r>
      <w:r w:rsidR="00651FB5">
        <w:rPr>
          <w:szCs w:val="22"/>
          <w:lang w:val="es-ES_tradnl"/>
        </w:rPr>
        <w:t>que</w:t>
      </w:r>
      <w:r w:rsidR="00A50374">
        <w:rPr>
          <w:szCs w:val="22"/>
          <w:lang w:val="es-ES_tradnl"/>
        </w:rPr>
        <w:t>,</w:t>
      </w:r>
      <w:r w:rsidR="00651FB5">
        <w:rPr>
          <w:szCs w:val="22"/>
          <w:lang w:val="es-ES_tradnl"/>
        </w:rPr>
        <w:t xml:space="preserve"> </w:t>
      </w:r>
      <w:r w:rsidRPr="002E3E25">
        <w:rPr>
          <w:szCs w:val="22"/>
          <w:lang w:val="es-ES_tradnl"/>
        </w:rPr>
        <w:t>en el caso de 35 de esas Oficinas, las</w:t>
      </w:r>
      <w:r w:rsidR="00E44267">
        <w:rPr>
          <w:szCs w:val="22"/>
          <w:lang w:val="es-ES_tradnl"/>
        </w:rPr>
        <w:t> </w:t>
      </w:r>
      <w:r w:rsidRPr="002E3E25">
        <w:rPr>
          <w:szCs w:val="22"/>
          <w:lang w:val="es-ES_tradnl"/>
        </w:rPr>
        <w:t>marcas se definen como signos perceptibles visualmente.</w:t>
      </w:r>
      <w:bookmarkEnd w:id="5"/>
    </w:p>
    <w:p w:rsidR="00E34125" w:rsidRPr="00574CFE" w:rsidRDefault="007340BA" w:rsidP="007340BA">
      <w:pPr>
        <w:pStyle w:val="ONUME"/>
      </w:pPr>
      <w:r w:rsidRPr="002E3E25">
        <w:rPr>
          <w:lang w:val="es-ES_tradnl"/>
        </w:rPr>
        <w:t xml:space="preserve">Las </w:t>
      </w:r>
      <w:r w:rsidR="00BA662D">
        <w:rPr>
          <w:lang w:val="es-ES_tradnl"/>
        </w:rPr>
        <w:t xml:space="preserve">modificaciones </w:t>
      </w:r>
      <w:r w:rsidRPr="002E3E25">
        <w:rPr>
          <w:lang w:val="es-ES_tradnl"/>
        </w:rPr>
        <w:t xml:space="preserve">mencionadas </w:t>
      </w:r>
      <w:r w:rsidR="00BA662D">
        <w:rPr>
          <w:lang w:val="es-ES_tradnl"/>
        </w:rPr>
        <w:t xml:space="preserve">anteriormente </w:t>
      </w:r>
      <w:r w:rsidRPr="002E3E25">
        <w:rPr>
          <w:lang w:val="es-ES_tradnl"/>
        </w:rPr>
        <w:t xml:space="preserve">no </w:t>
      </w:r>
      <w:r w:rsidR="00BA662D">
        <w:rPr>
          <w:lang w:val="es-ES_tradnl"/>
        </w:rPr>
        <w:t>restringirían</w:t>
      </w:r>
      <w:r w:rsidRPr="002E3E25">
        <w:rPr>
          <w:lang w:val="es-ES_tradnl"/>
        </w:rPr>
        <w:t xml:space="preserve"> el derecho de las Partes Contratantes designadas a denegar la protección cuando el signo que es objeto de un registro internacional no con</w:t>
      </w:r>
      <w:r w:rsidR="00A50374">
        <w:rPr>
          <w:lang w:val="es-ES_tradnl"/>
        </w:rPr>
        <w:t>stituya</w:t>
      </w:r>
      <w:r w:rsidR="00BA662D">
        <w:rPr>
          <w:lang w:val="es-ES_tradnl"/>
        </w:rPr>
        <w:t xml:space="preserve"> una marca conforme a su legislaci</w:t>
      </w:r>
      <w:r w:rsidR="0006311E">
        <w:rPr>
          <w:lang w:val="es-ES_tradnl"/>
        </w:rPr>
        <w:t>ón aplicable</w:t>
      </w:r>
      <w:r w:rsidR="00EE5D7D">
        <w:rPr>
          <w:lang w:val="es-ES_tradnl"/>
        </w:rPr>
        <w:t xml:space="preserve"> y sus</w:t>
      </w:r>
      <w:r w:rsidRPr="002E3E25">
        <w:rPr>
          <w:lang w:val="es-ES_tradnl"/>
        </w:rPr>
        <w:t xml:space="preserve"> </w:t>
      </w:r>
      <w:r w:rsidR="00EE5D7D">
        <w:rPr>
          <w:lang w:val="es-ES_tradnl"/>
        </w:rPr>
        <w:t>prácticas</w:t>
      </w:r>
      <w:r w:rsidRPr="002E3E25">
        <w:rPr>
          <w:lang w:val="es-ES_tradnl"/>
        </w:rPr>
        <w:t>.</w:t>
      </w:r>
      <w:r w:rsidRPr="00F8157E">
        <w:t xml:space="preserve"> </w:t>
      </w:r>
      <w:r w:rsidRPr="002E3E25">
        <w:rPr>
          <w:lang w:val="es-ES_tradnl"/>
        </w:rPr>
        <w:t>Por</w:t>
      </w:r>
      <w:r w:rsidR="00E44267">
        <w:rPr>
          <w:lang w:val="es-ES_tradnl"/>
        </w:rPr>
        <w:t> </w:t>
      </w:r>
      <w:r w:rsidRPr="002E3E25">
        <w:rPr>
          <w:lang w:val="es-ES_tradnl"/>
        </w:rPr>
        <w:t>ejemplo, si bien la mayoría de las Oficinas que respondieron al cuestionario protegen las</w:t>
      </w:r>
      <w:r w:rsidR="00E44267">
        <w:rPr>
          <w:lang w:val="es-ES_tradnl"/>
        </w:rPr>
        <w:t> </w:t>
      </w:r>
      <w:r w:rsidRPr="002E3E25">
        <w:rPr>
          <w:lang w:val="es-ES_tradnl"/>
        </w:rPr>
        <w:t xml:space="preserve">marcas </w:t>
      </w:r>
      <w:r w:rsidR="0006311E">
        <w:rPr>
          <w:lang w:val="es-ES_tradnl"/>
        </w:rPr>
        <w:t>denominativas</w:t>
      </w:r>
      <w:r w:rsidRPr="002E3E25">
        <w:rPr>
          <w:lang w:val="es-ES_tradnl"/>
        </w:rPr>
        <w:t>, figurativas, tridimensionales y de color, varias Oficinas no protegen, por</w:t>
      </w:r>
      <w:r w:rsidR="00E44267">
        <w:rPr>
          <w:lang w:val="es-ES_tradnl"/>
        </w:rPr>
        <w:t> </w:t>
      </w:r>
      <w:r w:rsidRPr="002E3E25">
        <w:rPr>
          <w:lang w:val="es-ES_tradnl"/>
        </w:rPr>
        <w:t xml:space="preserve">ejemplo, las marcas sonoras, </w:t>
      </w:r>
      <w:r w:rsidR="0006311E">
        <w:rPr>
          <w:lang w:val="es-ES_tradnl"/>
        </w:rPr>
        <w:t xml:space="preserve">los </w:t>
      </w:r>
      <w:r w:rsidR="00A50374">
        <w:rPr>
          <w:lang w:val="es-ES_tradnl"/>
        </w:rPr>
        <w:t>hologramas y</w:t>
      </w:r>
      <w:r w:rsidRPr="002E3E25">
        <w:rPr>
          <w:lang w:val="es-ES_tradnl"/>
        </w:rPr>
        <w:t xml:space="preserve"> </w:t>
      </w:r>
      <w:r w:rsidR="0006311E">
        <w:rPr>
          <w:lang w:val="es-ES_tradnl"/>
        </w:rPr>
        <w:t xml:space="preserve">las marcas </w:t>
      </w:r>
      <w:r w:rsidRPr="002E3E25">
        <w:rPr>
          <w:lang w:val="es-ES_tradnl"/>
        </w:rPr>
        <w:t>animadas o multimedia.</w:t>
      </w:r>
    </w:p>
    <w:p w:rsidR="00E34125" w:rsidRPr="00574CFE" w:rsidRDefault="007340BA" w:rsidP="007340BA">
      <w:pPr>
        <w:pStyle w:val="ONUME"/>
      </w:pPr>
      <w:bookmarkStart w:id="6" w:name="_Ref9602087"/>
      <w:r w:rsidRPr="002E3E25">
        <w:rPr>
          <w:lang w:val="es-ES_tradnl"/>
        </w:rPr>
        <w:t xml:space="preserve">Por lo tanto, los titulares de registros internacionales </w:t>
      </w:r>
      <w:r w:rsidR="00A50374">
        <w:rPr>
          <w:lang w:val="es-ES_tradnl"/>
        </w:rPr>
        <w:t xml:space="preserve">correspondientes a los denominados </w:t>
      </w:r>
      <w:r w:rsidRPr="002E3E25">
        <w:rPr>
          <w:lang w:val="es-ES_tradnl"/>
        </w:rPr>
        <w:t xml:space="preserve">nuevos tipos de marcas se </w:t>
      </w:r>
      <w:r w:rsidR="00A50374">
        <w:rPr>
          <w:lang w:val="es-ES_tradnl"/>
        </w:rPr>
        <w:t>seguirían enfrentando</w:t>
      </w:r>
      <w:r w:rsidRPr="002E3E25">
        <w:rPr>
          <w:lang w:val="es-ES_tradnl"/>
        </w:rPr>
        <w:t xml:space="preserve"> a </w:t>
      </w:r>
      <w:r w:rsidR="00A50374">
        <w:rPr>
          <w:lang w:val="es-ES_tradnl"/>
        </w:rPr>
        <w:t xml:space="preserve">la </w:t>
      </w:r>
      <w:r w:rsidRPr="002E3E25">
        <w:rPr>
          <w:lang w:val="es-ES_tradnl"/>
        </w:rPr>
        <w:t xml:space="preserve">denegación provisional </w:t>
      </w:r>
      <w:r w:rsidR="00A50374">
        <w:rPr>
          <w:lang w:val="es-ES_tradnl"/>
        </w:rPr>
        <w:t xml:space="preserve">cuando </w:t>
      </w:r>
      <w:r w:rsidRPr="002E3E25">
        <w:rPr>
          <w:lang w:val="es-ES_tradnl"/>
        </w:rPr>
        <w:t xml:space="preserve">el signo objeto </w:t>
      </w:r>
      <w:r w:rsidR="00A50374">
        <w:rPr>
          <w:lang w:val="es-ES_tradnl"/>
        </w:rPr>
        <w:t>d</w:t>
      </w:r>
      <w:r w:rsidRPr="002E3E25">
        <w:rPr>
          <w:lang w:val="es-ES_tradnl"/>
        </w:rPr>
        <w:t>el</w:t>
      </w:r>
      <w:r w:rsidR="00A50374">
        <w:rPr>
          <w:lang w:val="es-ES_tradnl"/>
        </w:rPr>
        <w:t xml:space="preserve"> registro internacional no constituya</w:t>
      </w:r>
      <w:r w:rsidRPr="002E3E25">
        <w:rPr>
          <w:lang w:val="es-ES_tradnl"/>
        </w:rPr>
        <w:t xml:space="preserve"> una marca en virtud de la</w:t>
      </w:r>
      <w:r w:rsidR="00EE5D7D">
        <w:rPr>
          <w:lang w:val="es-ES_tradnl"/>
        </w:rPr>
        <w:t xml:space="preserve"> legislación y las</w:t>
      </w:r>
      <w:r w:rsidR="00A50374">
        <w:rPr>
          <w:lang w:val="es-ES_tradnl"/>
        </w:rPr>
        <w:t xml:space="preserve"> </w:t>
      </w:r>
      <w:r w:rsidRPr="002E3E25">
        <w:rPr>
          <w:lang w:val="es-ES_tradnl"/>
        </w:rPr>
        <w:t xml:space="preserve">prácticas de las Partes Contratantes designadas, independientemente de la forma en que </w:t>
      </w:r>
      <w:r w:rsidR="00216906" w:rsidRPr="002E3E25">
        <w:rPr>
          <w:lang w:val="es-ES_tradnl"/>
        </w:rPr>
        <w:t xml:space="preserve">estén representadas </w:t>
      </w:r>
      <w:r w:rsidRPr="002E3E25">
        <w:rPr>
          <w:lang w:val="es-ES_tradnl"/>
        </w:rPr>
        <w:t>esas marcas.</w:t>
      </w:r>
      <w:bookmarkEnd w:id="6"/>
    </w:p>
    <w:p w:rsidR="00E34125" w:rsidRPr="00574CFE" w:rsidRDefault="007340BA" w:rsidP="007340BA">
      <w:pPr>
        <w:pStyle w:val="ONUME"/>
      </w:pPr>
      <w:r w:rsidRPr="002E3E25">
        <w:rPr>
          <w:lang w:val="es-ES_tradnl"/>
        </w:rPr>
        <w:t>Es probable que la situación descrita en el párrafo</w:t>
      </w:r>
      <w:r w:rsidR="00297B95">
        <w:rPr>
          <w:lang w:val="es-ES_tradnl"/>
        </w:rPr>
        <w:t xml:space="preserve"> </w:t>
      </w:r>
      <w:r w:rsidR="009D6450">
        <w:rPr>
          <w:lang w:val="es-ES_tradnl"/>
        </w:rPr>
        <w:fldChar w:fldCharType="begin"/>
      </w:r>
      <w:r w:rsidR="009D6450">
        <w:rPr>
          <w:lang w:val="es-ES_tradnl"/>
        </w:rPr>
        <w:instrText xml:space="preserve"> REF _Ref9602087 \r \h </w:instrText>
      </w:r>
      <w:r w:rsidR="009D6450">
        <w:rPr>
          <w:lang w:val="es-ES_tradnl"/>
        </w:rPr>
      </w:r>
      <w:r w:rsidR="009D6450">
        <w:rPr>
          <w:lang w:val="es-ES_tradnl"/>
        </w:rPr>
        <w:fldChar w:fldCharType="separate"/>
      </w:r>
      <w:r w:rsidR="00E44267">
        <w:rPr>
          <w:lang w:val="es-ES_tradnl"/>
        </w:rPr>
        <w:t>10</w:t>
      </w:r>
      <w:r w:rsidR="009D6450">
        <w:rPr>
          <w:lang w:val="es-ES_tradnl"/>
        </w:rPr>
        <w:fldChar w:fldCharType="end"/>
      </w:r>
      <w:r w:rsidR="009D6450">
        <w:rPr>
          <w:lang w:val="es-ES_tradnl"/>
        </w:rPr>
        <w:t xml:space="preserve"> </w:t>
      </w:r>
      <w:r w:rsidRPr="002E3E25">
        <w:rPr>
          <w:lang w:val="es-ES_tradnl"/>
        </w:rPr>
        <w:t>mejore a medida que las Partes Contratantes</w:t>
      </w:r>
      <w:r w:rsidR="00EC1B3A">
        <w:rPr>
          <w:lang w:val="es-ES_tradnl"/>
        </w:rPr>
        <w:t xml:space="preserve"> emprendan</w:t>
      </w:r>
      <w:r w:rsidRPr="002E3E25">
        <w:rPr>
          <w:lang w:val="es-ES_tradnl"/>
        </w:rPr>
        <w:t xml:space="preserve"> </w:t>
      </w:r>
      <w:r w:rsidR="00EC1B3A">
        <w:rPr>
          <w:lang w:val="es-ES_tradnl"/>
        </w:rPr>
        <w:t>el</w:t>
      </w:r>
      <w:r w:rsidRPr="002E3E25">
        <w:rPr>
          <w:lang w:val="es-ES_tradnl"/>
        </w:rPr>
        <w:t xml:space="preserve"> examen de</w:t>
      </w:r>
      <w:r w:rsidR="007365DF">
        <w:rPr>
          <w:lang w:val="es-ES_tradnl"/>
        </w:rPr>
        <w:t xml:space="preserve"> sus prácticas y marcos jurídico</w:t>
      </w:r>
      <w:r w:rsidRPr="002E3E25">
        <w:rPr>
          <w:lang w:val="es-ES_tradnl"/>
        </w:rPr>
        <w:t>s nacionales o regionales.</w:t>
      </w:r>
      <w:r>
        <w:t xml:space="preserve"> </w:t>
      </w:r>
      <w:r w:rsidR="003760FE">
        <w:t>E</w:t>
      </w:r>
      <w:r w:rsidRPr="002E3E25">
        <w:rPr>
          <w:lang w:val="es-ES_tradnl"/>
        </w:rPr>
        <w:t xml:space="preserve">l Grupo de Trabajo </w:t>
      </w:r>
      <w:r w:rsidR="003760FE">
        <w:rPr>
          <w:lang w:val="es-ES_tradnl"/>
        </w:rPr>
        <w:t>tal vez considere conveniente examinar</w:t>
      </w:r>
      <w:r w:rsidRPr="002E3E25">
        <w:rPr>
          <w:lang w:val="es-ES_tradnl"/>
        </w:rPr>
        <w:t xml:space="preserve"> si sería útil examinar periódicamente la evolución de la situación antes mencionada, probablemente en su mesa redonda.</w:t>
      </w:r>
    </w:p>
    <w:p w:rsidR="00E34125" w:rsidRPr="00574CFE" w:rsidRDefault="00E34125" w:rsidP="00E34125">
      <w:pPr>
        <w:pStyle w:val="Heading4"/>
        <w:ind w:firstLine="567"/>
      </w:pPr>
      <w:r w:rsidRPr="00574CFE">
        <w:t>ii)</w:t>
      </w:r>
      <w:r w:rsidRPr="00574CFE">
        <w:tab/>
      </w:r>
      <w:r w:rsidR="007365DF">
        <w:t>Requisitos de representación diferentes</w:t>
      </w:r>
    </w:p>
    <w:p w:rsidR="00E34125" w:rsidRPr="00574CFE" w:rsidRDefault="00E34125" w:rsidP="00E34125"/>
    <w:p w:rsidR="00E34125" w:rsidRPr="007340BA" w:rsidRDefault="007340BA" w:rsidP="007340BA">
      <w:pPr>
        <w:pStyle w:val="ONUME"/>
        <w:rPr>
          <w:szCs w:val="22"/>
        </w:rPr>
      </w:pPr>
      <w:r w:rsidRPr="0098563A">
        <w:rPr>
          <w:lang w:val="es-ES_tradnl"/>
        </w:rPr>
        <w:t>Las modificaciones descritas en los párrafos</w:t>
      </w:r>
      <w:r w:rsidR="007365DF" w:rsidRPr="00574CFE">
        <w:rPr>
          <w:szCs w:val="22"/>
        </w:rPr>
        <w:t> </w:t>
      </w:r>
      <w:r w:rsidR="009D6450">
        <w:rPr>
          <w:szCs w:val="22"/>
        </w:rPr>
        <w:fldChar w:fldCharType="begin"/>
      </w:r>
      <w:r w:rsidR="009D6450">
        <w:rPr>
          <w:szCs w:val="22"/>
        </w:rPr>
        <w:instrText xml:space="preserve"> REF _Ref9598773 \r \h </w:instrText>
      </w:r>
      <w:r w:rsidR="009D6450">
        <w:rPr>
          <w:szCs w:val="22"/>
        </w:rPr>
      </w:r>
      <w:r w:rsidR="009D6450">
        <w:rPr>
          <w:szCs w:val="22"/>
        </w:rPr>
        <w:fldChar w:fldCharType="separate"/>
      </w:r>
      <w:r w:rsidR="00E44267">
        <w:rPr>
          <w:szCs w:val="22"/>
        </w:rPr>
        <w:t>3</w:t>
      </w:r>
      <w:r w:rsidR="009D6450">
        <w:rPr>
          <w:szCs w:val="22"/>
        </w:rPr>
        <w:fldChar w:fldCharType="end"/>
      </w:r>
      <w:r w:rsidR="00297B95">
        <w:rPr>
          <w:szCs w:val="22"/>
        </w:rPr>
        <w:t xml:space="preserve"> a </w:t>
      </w:r>
      <w:r w:rsidR="009D6450">
        <w:rPr>
          <w:szCs w:val="22"/>
        </w:rPr>
        <w:fldChar w:fldCharType="begin"/>
      </w:r>
      <w:r w:rsidR="009D6450">
        <w:rPr>
          <w:szCs w:val="22"/>
        </w:rPr>
        <w:instrText xml:space="preserve"> REF _Ref9602056 \r \h </w:instrText>
      </w:r>
      <w:r w:rsidR="009D6450">
        <w:rPr>
          <w:szCs w:val="22"/>
        </w:rPr>
      </w:r>
      <w:r w:rsidR="009D6450">
        <w:rPr>
          <w:szCs w:val="22"/>
        </w:rPr>
        <w:fldChar w:fldCharType="separate"/>
      </w:r>
      <w:r w:rsidR="00E44267">
        <w:rPr>
          <w:szCs w:val="22"/>
        </w:rPr>
        <w:t>6</w:t>
      </w:r>
      <w:r w:rsidR="009D6450">
        <w:rPr>
          <w:szCs w:val="22"/>
        </w:rPr>
        <w:fldChar w:fldCharType="end"/>
      </w:r>
      <w:r w:rsidRPr="0098563A">
        <w:rPr>
          <w:lang w:val="es-ES_tradnl"/>
        </w:rPr>
        <w:t xml:space="preserve"> no eliminarán los inco</w:t>
      </w:r>
      <w:r w:rsidR="00EE5D7D">
        <w:rPr>
          <w:lang w:val="es-ES_tradnl"/>
        </w:rPr>
        <w:t xml:space="preserve">nvenientes que los titulares </w:t>
      </w:r>
      <w:r w:rsidRPr="0098563A">
        <w:rPr>
          <w:lang w:val="es-ES_tradnl"/>
        </w:rPr>
        <w:t xml:space="preserve">seguirían teniendo en el cumplimiento de </w:t>
      </w:r>
      <w:r w:rsidR="007365DF">
        <w:rPr>
          <w:lang w:val="es-ES_tradnl"/>
        </w:rPr>
        <w:t xml:space="preserve">los distintos </w:t>
      </w:r>
      <w:r w:rsidRPr="0098563A">
        <w:rPr>
          <w:lang w:val="es-ES_tradnl"/>
        </w:rPr>
        <w:t xml:space="preserve">requisitos de representación </w:t>
      </w:r>
      <w:r w:rsidR="007365DF">
        <w:rPr>
          <w:lang w:val="es-ES_tradnl"/>
        </w:rPr>
        <w:t xml:space="preserve">previstos </w:t>
      </w:r>
      <w:r w:rsidRPr="0098563A">
        <w:rPr>
          <w:lang w:val="es-ES_tradnl"/>
        </w:rPr>
        <w:t>en las Partes Contratantes designadas para un tipo determinado de marca</w:t>
      </w:r>
      <w:r w:rsidR="007365DF">
        <w:rPr>
          <w:lang w:val="es-ES_tradnl"/>
        </w:rPr>
        <w:t>, siempre y cuando</w:t>
      </w:r>
      <w:r w:rsidRPr="0098563A">
        <w:rPr>
          <w:lang w:val="es-ES_tradnl"/>
        </w:rPr>
        <w:t xml:space="preserve"> </w:t>
      </w:r>
      <w:r w:rsidR="007365DF">
        <w:rPr>
          <w:lang w:val="es-ES_tradnl"/>
        </w:rPr>
        <w:t>constituya</w:t>
      </w:r>
      <w:r w:rsidRPr="0098563A">
        <w:rPr>
          <w:lang w:val="es-ES_tradnl"/>
        </w:rPr>
        <w:t xml:space="preserve"> una marca en </w:t>
      </w:r>
      <w:r w:rsidR="007365DF">
        <w:rPr>
          <w:lang w:val="es-ES_tradnl"/>
        </w:rPr>
        <w:t xml:space="preserve">esas </w:t>
      </w:r>
      <w:r w:rsidRPr="0098563A">
        <w:rPr>
          <w:lang w:val="es-ES_tradnl"/>
        </w:rPr>
        <w:t>Partes Contratantes designadas.</w:t>
      </w:r>
      <w:r w:rsidR="007365DF">
        <w:t xml:space="preserve"> </w:t>
      </w:r>
      <w:r w:rsidRPr="0098563A">
        <w:rPr>
          <w:lang w:val="es-ES_tradnl"/>
        </w:rPr>
        <w:t xml:space="preserve">Algunas Partes Contratantes se están preparando para aceptar solicitudes nacionales </w:t>
      </w:r>
      <w:r w:rsidR="007365DF">
        <w:rPr>
          <w:lang w:val="es-ES_tradnl"/>
        </w:rPr>
        <w:t xml:space="preserve">en las que figure </w:t>
      </w:r>
      <w:r w:rsidRPr="0098563A">
        <w:rPr>
          <w:lang w:val="es-ES_tradnl"/>
        </w:rPr>
        <w:t xml:space="preserve">una representación no gráfica de la marca, mientras que otras Partes Contratantes </w:t>
      </w:r>
      <w:r w:rsidR="007365DF">
        <w:rPr>
          <w:lang w:val="es-ES_tradnl"/>
        </w:rPr>
        <w:t xml:space="preserve">siguen exigiendo </w:t>
      </w:r>
      <w:r w:rsidRPr="0098563A">
        <w:rPr>
          <w:lang w:val="es-ES_tradnl"/>
        </w:rPr>
        <w:t>una representación gráfica de la marca.</w:t>
      </w:r>
      <w:r>
        <w:rPr>
          <w:szCs w:val="22"/>
        </w:rPr>
        <w:t xml:space="preserve">  </w:t>
      </w:r>
    </w:p>
    <w:p w:rsidR="00E34125" w:rsidRPr="007365DF" w:rsidRDefault="007365DF" w:rsidP="00E44267">
      <w:pPr>
        <w:pStyle w:val="ONUME"/>
        <w:keepNext/>
        <w:keepLines/>
        <w:rPr>
          <w:szCs w:val="22"/>
        </w:rPr>
      </w:pPr>
      <w:r w:rsidRPr="002E3E25">
        <w:rPr>
          <w:szCs w:val="22"/>
          <w:lang w:val="es-ES_tradnl"/>
        </w:rPr>
        <w:t xml:space="preserve">Parece que la representación gráfica sigue siendo el medio de representación </w:t>
      </w:r>
      <w:r w:rsidR="00504AE2" w:rsidRPr="002E3E25">
        <w:rPr>
          <w:szCs w:val="22"/>
          <w:lang w:val="es-ES_tradnl"/>
        </w:rPr>
        <w:t xml:space="preserve">aceptado </w:t>
      </w:r>
      <w:r w:rsidRPr="002E3E25">
        <w:rPr>
          <w:szCs w:val="22"/>
          <w:lang w:val="es-ES_tradnl"/>
        </w:rPr>
        <w:t>más comúnmente para la mayoría de los tipos de marcas en la mayoría de las Partes Contratantes del Sistema de Madrid.</w:t>
      </w:r>
      <w:r w:rsidR="00504AE2">
        <w:rPr>
          <w:szCs w:val="22"/>
        </w:rPr>
        <w:t xml:space="preserve"> </w:t>
      </w:r>
      <w:r w:rsidRPr="002E3E25">
        <w:rPr>
          <w:szCs w:val="22"/>
          <w:lang w:val="es-ES_tradnl"/>
        </w:rPr>
        <w:t>Habida cuenta de lo anterior, el Grupo de Trabajo</w:t>
      </w:r>
      <w:r w:rsidR="003760FE">
        <w:rPr>
          <w:szCs w:val="22"/>
          <w:lang w:val="es-ES_tradnl"/>
        </w:rPr>
        <w:t xml:space="preserve"> quizá considere conveniente</w:t>
      </w:r>
      <w:r w:rsidRPr="002E3E25">
        <w:rPr>
          <w:szCs w:val="22"/>
          <w:lang w:val="es-ES_tradnl"/>
        </w:rPr>
        <w:t xml:space="preserve"> </w:t>
      </w:r>
      <w:r w:rsidR="003760FE">
        <w:rPr>
          <w:szCs w:val="22"/>
          <w:lang w:val="es-ES_tradnl"/>
        </w:rPr>
        <w:t>examinar</w:t>
      </w:r>
      <w:r w:rsidRPr="002E3E25">
        <w:rPr>
          <w:szCs w:val="22"/>
          <w:lang w:val="es-ES_tradnl"/>
        </w:rPr>
        <w:t xml:space="preserve"> si las </w:t>
      </w:r>
      <w:r w:rsidR="00504AE2">
        <w:rPr>
          <w:szCs w:val="22"/>
          <w:lang w:val="es-ES_tradnl"/>
        </w:rPr>
        <w:t xml:space="preserve">modificaciones </w:t>
      </w:r>
      <w:r w:rsidRPr="002E3E25">
        <w:rPr>
          <w:szCs w:val="22"/>
          <w:lang w:val="es-ES_tradnl"/>
        </w:rPr>
        <w:t>descritas en los párrafos</w:t>
      </w:r>
      <w:r w:rsidR="009D6450">
        <w:rPr>
          <w:szCs w:val="22"/>
          <w:lang w:val="es-ES_tradnl"/>
        </w:rPr>
        <w:t xml:space="preserve"> </w:t>
      </w:r>
      <w:r w:rsidR="009D6450">
        <w:rPr>
          <w:szCs w:val="22"/>
          <w:lang w:val="es-ES_tradnl"/>
        </w:rPr>
        <w:fldChar w:fldCharType="begin"/>
      </w:r>
      <w:r w:rsidR="009D6450">
        <w:rPr>
          <w:szCs w:val="22"/>
          <w:lang w:val="es-ES_tradnl"/>
        </w:rPr>
        <w:instrText xml:space="preserve"> REF _Ref9598773 \r \h </w:instrText>
      </w:r>
      <w:r w:rsidR="009D6450">
        <w:rPr>
          <w:szCs w:val="22"/>
          <w:lang w:val="es-ES_tradnl"/>
        </w:rPr>
      </w:r>
      <w:r w:rsidR="009D6450">
        <w:rPr>
          <w:szCs w:val="22"/>
          <w:lang w:val="es-ES_tradnl"/>
        </w:rPr>
        <w:fldChar w:fldCharType="separate"/>
      </w:r>
      <w:r w:rsidR="00E44267">
        <w:rPr>
          <w:szCs w:val="22"/>
          <w:lang w:val="es-ES_tradnl"/>
        </w:rPr>
        <w:t>3</w:t>
      </w:r>
      <w:r w:rsidR="009D6450">
        <w:rPr>
          <w:szCs w:val="22"/>
          <w:lang w:val="es-ES_tradnl"/>
        </w:rPr>
        <w:fldChar w:fldCharType="end"/>
      </w:r>
      <w:r w:rsidR="00297B95">
        <w:rPr>
          <w:szCs w:val="22"/>
          <w:lang w:val="es-ES_tradnl"/>
        </w:rPr>
        <w:t xml:space="preserve"> </w:t>
      </w:r>
      <w:r w:rsidR="00504AE2">
        <w:rPr>
          <w:szCs w:val="22"/>
        </w:rPr>
        <w:t>a</w:t>
      </w:r>
      <w:r w:rsidR="00504AE2" w:rsidRPr="00574CFE">
        <w:rPr>
          <w:szCs w:val="22"/>
        </w:rPr>
        <w:t> </w:t>
      </w:r>
      <w:r w:rsidR="009D6450">
        <w:rPr>
          <w:szCs w:val="22"/>
        </w:rPr>
        <w:fldChar w:fldCharType="begin"/>
      </w:r>
      <w:r w:rsidR="009D6450">
        <w:rPr>
          <w:szCs w:val="22"/>
        </w:rPr>
        <w:instrText xml:space="preserve"> REF _Ref9602056 \r \h </w:instrText>
      </w:r>
      <w:r w:rsidR="009D6450">
        <w:rPr>
          <w:szCs w:val="22"/>
        </w:rPr>
      </w:r>
      <w:r w:rsidR="009D6450">
        <w:rPr>
          <w:szCs w:val="22"/>
        </w:rPr>
        <w:fldChar w:fldCharType="separate"/>
      </w:r>
      <w:r w:rsidR="00E44267">
        <w:rPr>
          <w:szCs w:val="22"/>
        </w:rPr>
        <w:t>6</w:t>
      </w:r>
      <w:r w:rsidR="009D6450">
        <w:rPr>
          <w:szCs w:val="22"/>
        </w:rPr>
        <w:fldChar w:fldCharType="end"/>
      </w:r>
      <w:r w:rsidR="009D6450">
        <w:rPr>
          <w:szCs w:val="22"/>
        </w:rPr>
        <w:t>,</w:t>
      </w:r>
      <w:r w:rsidRPr="002E3E25">
        <w:rPr>
          <w:szCs w:val="22"/>
          <w:lang w:val="es-ES_tradnl"/>
        </w:rPr>
        <w:t xml:space="preserve"> al</w:t>
      </w:r>
      <w:r w:rsidR="00E44267">
        <w:rPr>
          <w:szCs w:val="22"/>
          <w:lang w:val="es-ES_tradnl"/>
        </w:rPr>
        <w:t> </w:t>
      </w:r>
      <w:r w:rsidRPr="002E3E25">
        <w:rPr>
          <w:szCs w:val="22"/>
          <w:lang w:val="es-ES_tradnl"/>
        </w:rPr>
        <w:t>introducir la posibilidad de presentar solicitud</w:t>
      </w:r>
      <w:r w:rsidR="00504AE2">
        <w:rPr>
          <w:szCs w:val="22"/>
          <w:lang w:val="es-ES_tradnl"/>
        </w:rPr>
        <w:t>es</w:t>
      </w:r>
      <w:r w:rsidRPr="002E3E25">
        <w:rPr>
          <w:szCs w:val="22"/>
          <w:lang w:val="es-ES_tradnl"/>
        </w:rPr>
        <w:t xml:space="preserve"> internacional</w:t>
      </w:r>
      <w:r w:rsidR="00504AE2">
        <w:rPr>
          <w:szCs w:val="22"/>
          <w:lang w:val="es-ES_tradnl"/>
        </w:rPr>
        <w:t>es</w:t>
      </w:r>
      <w:r w:rsidRPr="002E3E25">
        <w:rPr>
          <w:szCs w:val="22"/>
          <w:lang w:val="es-ES_tradnl"/>
        </w:rPr>
        <w:t xml:space="preserve"> </w:t>
      </w:r>
      <w:r w:rsidR="00504AE2">
        <w:rPr>
          <w:szCs w:val="22"/>
          <w:lang w:val="es-ES_tradnl"/>
        </w:rPr>
        <w:t xml:space="preserve">en las que figure </w:t>
      </w:r>
      <w:r w:rsidRPr="002E3E25">
        <w:rPr>
          <w:szCs w:val="22"/>
          <w:lang w:val="es-ES_tradnl"/>
        </w:rPr>
        <w:t xml:space="preserve">una representación no gráfica de la marca, complicarían </w:t>
      </w:r>
      <w:r w:rsidR="00504AE2">
        <w:rPr>
          <w:szCs w:val="22"/>
          <w:lang w:val="es-ES_tradnl"/>
        </w:rPr>
        <w:t xml:space="preserve">las cosas a </w:t>
      </w:r>
      <w:r w:rsidRPr="002E3E25">
        <w:rPr>
          <w:szCs w:val="22"/>
          <w:lang w:val="es-ES_tradnl"/>
        </w:rPr>
        <w:t>los usuarios.</w:t>
      </w:r>
    </w:p>
    <w:p w:rsidR="00E34125" w:rsidRPr="007365DF" w:rsidRDefault="007365DF" w:rsidP="007365DF">
      <w:pPr>
        <w:pStyle w:val="ONUME"/>
        <w:keepNext/>
        <w:keepLines/>
        <w:rPr>
          <w:szCs w:val="22"/>
        </w:rPr>
      </w:pPr>
      <w:bookmarkStart w:id="7" w:name="_Ref9602169"/>
      <w:r w:rsidRPr="002E3E25">
        <w:rPr>
          <w:szCs w:val="22"/>
          <w:lang w:val="es-ES_tradnl"/>
        </w:rPr>
        <w:t xml:space="preserve">Los titulares que presentan solicitudes internacionales </w:t>
      </w:r>
      <w:r w:rsidR="00FC34B4">
        <w:rPr>
          <w:szCs w:val="22"/>
          <w:lang w:val="es-ES_tradnl"/>
        </w:rPr>
        <w:t xml:space="preserve">en las que figure </w:t>
      </w:r>
      <w:r w:rsidRPr="002E3E25">
        <w:rPr>
          <w:szCs w:val="22"/>
          <w:lang w:val="es-ES_tradnl"/>
        </w:rPr>
        <w:t xml:space="preserve">una representación no gráfica de la marca recibirán, con toda probabilidad, una denegación provisional en las Partes Contratantes designadas que </w:t>
      </w:r>
      <w:r w:rsidR="00FC34B4">
        <w:rPr>
          <w:szCs w:val="22"/>
          <w:lang w:val="es-ES_tradnl"/>
        </w:rPr>
        <w:t xml:space="preserve">sigan exigiendo </w:t>
      </w:r>
      <w:r w:rsidRPr="002E3E25">
        <w:rPr>
          <w:szCs w:val="22"/>
          <w:lang w:val="es-ES_tradnl"/>
        </w:rPr>
        <w:t>una representación gráfica de las marcas.</w:t>
      </w:r>
      <w:r w:rsidR="00FC34B4">
        <w:rPr>
          <w:szCs w:val="22"/>
        </w:rPr>
        <w:t xml:space="preserve"> </w:t>
      </w:r>
      <w:r w:rsidRPr="002E3E25">
        <w:rPr>
          <w:szCs w:val="22"/>
          <w:lang w:val="es-ES_tradnl"/>
        </w:rPr>
        <w:t xml:space="preserve">En consecuencia, los titulares </w:t>
      </w:r>
      <w:r w:rsidR="00FC34B4">
        <w:rPr>
          <w:szCs w:val="22"/>
          <w:lang w:val="es-ES_tradnl"/>
        </w:rPr>
        <w:t xml:space="preserve">que tengan </w:t>
      </w:r>
      <w:r w:rsidRPr="002E3E25">
        <w:rPr>
          <w:szCs w:val="22"/>
          <w:lang w:val="es-ES_tradnl"/>
        </w:rPr>
        <w:t>una representación gráfica en la marca de base estarían limitados a designar Partes Contratantes que acepten esa representación gráfica.</w:t>
      </w:r>
      <w:r w:rsidR="00FC34B4">
        <w:rPr>
          <w:szCs w:val="22"/>
        </w:rPr>
        <w:t xml:space="preserve"> Convendría que e</w:t>
      </w:r>
      <w:r w:rsidRPr="002E3E25">
        <w:rPr>
          <w:szCs w:val="22"/>
          <w:lang w:val="es-ES_tradnl"/>
        </w:rPr>
        <w:t>l Grupo de Trabajo examinar</w:t>
      </w:r>
      <w:r w:rsidR="00FC34B4">
        <w:rPr>
          <w:szCs w:val="22"/>
          <w:lang w:val="es-ES_tradnl"/>
        </w:rPr>
        <w:t>a</w:t>
      </w:r>
      <w:r w:rsidR="00EE5D7D">
        <w:rPr>
          <w:szCs w:val="22"/>
          <w:lang w:val="es-ES_tradnl"/>
        </w:rPr>
        <w:t xml:space="preserve"> la manera de abordar es</w:t>
      </w:r>
      <w:r w:rsidRPr="002E3E25">
        <w:rPr>
          <w:szCs w:val="22"/>
          <w:lang w:val="es-ES_tradnl"/>
        </w:rPr>
        <w:t>a situación.</w:t>
      </w:r>
      <w:bookmarkEnd w:id="7"/>
    </w:p>
    <w:p w:rsidR="00E34125" w:rsidRPr="007365DF" w:rsidRDefault="00FC34B4" w:rsidP="007365DF">
      <w:pPr>
        <w:pStyle w:val="ONUME"/>
        <w:rPr>
          <w:szCs w:val="22"/>
        </w:rPr>
      </w:pPr>
      <w:r>
        <w:rPr>
          <w:szCs w:val="22"/>
          <w:lang w:val="es-ES_tradnl"/>
        </w:rPr>
        <w:t xml:space="preserve">A modo de </w:t>
      </w:r>
      <w:r w:rsidR="007365DF" w:rsidRPr="002E3E25">
        <w:rPr>
          <w:szCs w:val="22"/>
          <w:lang w:val="es-ES_tradnl"/>
        </w:rPr>
        <w:t xml:space="preserve">solución, el Grupo de Trabajo </w:t>
      </w:r>
      <w:r w:rsidR="003760FE">
        <w:rPr>
          <w:szCs w:val="22"/>
          <w:lang w:val="es-ES_tradnl"/>
        </w:rPr>
        <w:t xml:space="preserve">tal vez estime oportuno </w:t>
      </w:r>
      <w:r w:rsidR="007365DF" w:rsidRPr="002E3E25">
        <w:rPr>
          <w:szCs w:val="22"/>
          <w:lang w:val="es-ES_tradnl"/>
        </w:rPr>
        <w:t xml:space="preserve">considerar la posibilidad de permitir que los solicitantes presenten una solicitud internacional </w:t>
      </w:r>
      <w:r>
        <w:rPr>
          <w:szCs w:val="22"/>
          <w:lang w:val="es-ES_tradnl"/>
        </w:rPr>
        <w:t xml:space="preserve">en la que figure </w:t>
      </w:r>
      <w:r w:rsidR="007365DF" w:rsidRPr="002E3E25">
        <w:rPr>
          <w:szCs w:val="22"/>
          <w:lang w:val="es-ES_tradnl"/>
        </w:rPr>
        <w:t>una representación diferente de la que figura en la marca de base o un</w:t>
      </w:r>
      <w:r>
        <w:rPr>
          <w:szCs w:val="22"/>
          <w:lang w:val="es-ES_tradnl"/>
        </w:rPr>
        <w:t>a representación adicional, s</w:t>
      </w:r>
      <w:r w:rsidR="007365DF" w:rsidRPr="002E3E25">
        <w:rPr>
          <w:szCs w:val="22"/>
          <w:lang w:val="es-ES_tradnl"/>
        </w:rPr>
        <w:t xml:space="preserve">imilar a la </w:t>
      </w:r>
      <w:r>
        <w:rPr>
          <w:szCs w:val="22"/>
          <w:lang w:val="es-ES_tradnl"/>
        </w:rPr>
        <w:t xml:space="preserve">solución contemplada </w:t>
      </w:r>
      <w:r w:rsidR="007365DF" w:rsidRPr="002E3E25">
        <w:rPr>
          <w:szCs w:val="22"/>
          <w:lang w:val="es-ES_tradnl"/>
        </w:rPr>
        <w:t xml:space="preserve">actualmente en </w:t>
      </w:r>
      <w:r>
        <w:rPr>
          <w:szCs w:val="22"/>
          <w:lang w:val="es-ES_tradnl"/>
        </w:rPr>
        <w:t xml:space="preserve">la Regla </w:t>
      </w:r>
      <w:r w:rsidR="007365DF" w:rsidRPr="002E3E25">
        <w:rPr>
          <w:szCs w:val="22"/>
          <w:lang w:val="es-ES_tradnl"/>
        </w:rPr>
        <w:t>9</w:t>
      </w:r>
      <w:r>
        <w:rPr>
          <w:szCs w:val="22"/>
          <w:lang w:val="es-ES_tradnl"/>
        </w:rPr>
        <w:t>.4)a)vii)</w:t>
      </w:r>
      <w:r w:rsidR="007365DF" w:rsidRPr="002E3E25">
        <w:rPr>
          <w:szCs w:val="22"/>
          <w:lang w:val="es-ES_tradnl"/>
        </w:rPr>
        <w:t xml:space="preserve"> para las marcas en color.</w:t>
      </w:r>
      <w:r>
        <w:rPr>
          <w:szCs w:val="22"/>
        </w:rPr>
        <w:t xml:space="preserve"> </w:t>
      </w:r>
      <w:r w:rsidR="007365DF" w:rsidRPr="002E3E25">
        <w:rPr>
          <w:szCs w:val="22"/>
          <w:lang w:val="es-ES_tradnl"/>
        </w:rPr>
        <w:t xml:space="preserve">Como se </w:t>
      </w:r>
      <w:r>
        <w:rPr>
          <w:szCs w:val="22"/>
          <w:lang w:val="es-ES_tradnl"/>
        </w:rPr>
        <w:t>debatió</w:t>
      </w:r>
      <w:r w:rsidR="007365DF" w:rsidRPr="002E3E25">
        <w:rPr>
          <w:szCs w:val="22"/>
          <w:lang w:val="es-ES_tradnl"/>
        </w:rPr>
        <w:t xml:space="preserve"> en </w:t>
      </w:r>
      <w:r>
        <w:rPr>
          <w:szCs w:val="22"/>
          <w:lang w:val="es-ES_tradnl"/>
        </w:rPr>
        <w:t xml:space="preserve">reuniones anteriores </w:t>
      </w:r>
      <w:r w:rsidR="007365DF" w:rsidRPr="002E3E25">
        <w:rPr>
          <w:szCs w:val="22"/>
          <w:lang w:val="es-ES_tradnl"/>
        </w:rPr>
        <w:t>del Grupo de Trabajo, algunas Partes Contratantes exigen que la reproducción que figura en la solicitud internacional sea idéntica a la que figura en la marca de base</w:t>
      </w:r>
      <w:r w:rsidRPr="00574CFE">
        <w:rPr>
          <w:rStyle w:val="FootnoteReference"/>
          <w:szCs w:val="22"/>
        </w:rPr>
        <w:footnoteReference w:id="4"/>
      </w:r>
      <w:r w:rsidR="00E44267">
        <w:rPr>
          <w:szCs w:val="22"/>
          <w:lang w:val="es-ES_tradnl"/>
        </w:rPr>
        <w:t>.</w:t>
      </w:r>
      <w:r w:rsidRPr="00574CFE">
        <w:rPr>
          <w:szCs w:val="22"/>
        </w:rPr>
        <w:t xml:space="preserve"> </w:t>
      </w:r>
      <w:r w:rsidR="007365DF" w:rsidRPr="002E3E25">
        <w:rPr>
          <w:szCs w:val="22"/>
          <w:lang w:val="es-ES_tradnl"/>
        </w:rPr>
        <w:t xml:space="preserve">En esas Partes Contratantes, no se permitiría al titular presentar una solicitud internacional </w:t>
      </w:r>
      <w:r>
        <w:rPr>
          <w:szCs w:val="22"/>
          <w:lang w:val="es-ES_tradnl"/>
        </w:rPr>
        <w:t xml:space="preserve">en la que figure </w:t>
      </w:r>
      <w:r w:rsidR="007365DF" w:rsidRPr="002E3E25">
        <w:rPr>
          <w:szCs w:val="22"/>
          <w:lang w:val="es-ES_tradnl"/>
        </w:rPr>
        <w:t>una representación diferente de la marca, a menos que esas Partes Contratantes introduzcan algunas flexibilidades en sus prácticas de certificación.</w:t>
      </w:r>
      <w:r w:rsidR="007365DF" w:rsidRPr="00F8157E">
        <w:rPr>
          <w:szCs w:val="22"/>
        </w:rPr>
        <w:t xml:space="preserve">  </w:t>
      </w:r>
    </w:p>
    <w:p w:rsidR="00E34125" w:rsidRPr="007365DF" w:rsidRDefault="007365DF" w:rsidP="007365DF">
      <w:pPr>
        <w:pStyle w:val="ONUME"/>
        <w:rPr>
          <w:szCs w:val="22"/>
        </w:rPr>
      </w:pPr>
      <w:r w:rsidRPr="002E3E25">
        <w:rPr>
          <w:szCs w:val="22"/>
          <w:lang w:val="es-ES_tradnl"/>
        </w:rPr>
        <w:t>Otra solución a la situación descrita en el párrafo</w:t>
      </w:r>
      <w:r w:rsidR="00E44267">
        <w:rPr>
          <w:szCs w:val="22"/>
          <w:lang w:val="es-ES_tradnl"/>
        </w:rPr>
        <w:t> </w:t>
      </w:r>
      <w:r w:rsidR="009D6450">
        <w:rPr>
          <w:szCs w:val="22"/>
          <w:lang w:val="es-ES_tradnl"/>
        </w:rPr>
        <w:fldChar w:fldCharType="begin"/>
      </w:r>
      <w:r w:rsidR="009D6450">
        <w:rPr>
          <w:szCs w:val="22"/>
          <w:lang w:val="es-ES_tradnl"/>
        </w:rPr>
        <w:instrText xml:space="preserve"> REF _Ref9602169 \r \h </w:instrText>
      </w:r>
      <w:r w:rsidR="009D6450">
        <w:rPr>
          <w:szCs w:val="22"/>
          <w:lang w:val="es-ES_tradnl"/>
        </w:rPr>
      </w:r>
      <w:r w:rsidR="009D6450">
        <w:rPr>
          <w:szCs w:val="22"/>
          <w:lang w:val="es-ES_tradnl"/>
        </w:rPr>
        <w:fldChar w:fldCharType="separate"/>
      </w:r>
      <w:r w:rsidR="00E44267">
        <w:rPr>
          <w:szCs w:val="22"/>
          <w:lang w:val="es-ES_tradnl"/>
        </w:rPr>
        <w:t>14</w:t>
      </w:r>
      <w:r w:rsidR="009D6450">
        <w:rPr>
          <w:szCs w:val="22"/>
          <w:lang w:val="es-ES_tradnl"/>
        </w:rPr>
        <w:fldChar w:fldCharType="end"/>
      </w:r>
      <w:r w:rsidR="00297B95">
        <w:rPr>
          <w:szCs w:val="22"/>
          <w:lang w:val="es-ES_tradnl"/>
        </w:rPr>
        <w:t xml:space="preserve"> </w:t>
      </w:r>
      <w:r w:rsidRPr="002E3E25">
        <w:rPr>
          <w:szCs w:val="22"/>
          <w:lang w:val="es-ES_tradnl"/>
        </w:rPr>
        <w:t>sería que las Par</w:t>
      </w:r>
      <w:r w:rsidR="00EE5D7D">
        <w:rPr>
          <w:szCs w:val="22"/>
          <w:lang w:val="es-ES_tradnl"/>
        </w:rPr>
        <w:t>tes Contratantes designadas exigier</w:t>
      </w:r>
      <w:r w:rsidRPr="002E3E25">
        <w:rPr>
          <w:szCs w:val="22"/>
          <w:lang w:val="es-ES_tradnl"/>
        </w:rPr>
        <w:t>an, en una denegación provisiona</w:t>
      </w:r>
      <w:r w:rsidR="00EE5D7D">
        <w:rPr>
          <w:szCs w:val="22"/>
          <w:lang w:val="es-ES_tradnl"/>
        </w:rPr>
        <w:t>l, que los titulares proporcionara</w:t>
      </w:r>
      <w:r w:rsidRPr="002E3E25">
        <w:rPr>
          <w:szCs w:val="22"/>
          <w:lang w:val="es-ES_tradnl"/>
        </w:rPr>
        <w:t>n una representación de la marca de conformidad con su</w:t>
      </w:r>
      <w:r w:rsidR="00EE5D7D">
        <w:rPr>
          <w:szCs w:val="22"/>
          <w:lang w:val="es-ES_tradnl"/>
        </w:rPr>
        <w:t xml:space="preserve"> legislación aplicable</w:t>
      </w:r>
      <w:r w:rsidRPr="002E3E25">
        <w:rPr>
          <w:szCs w:val="22"/>
          <w:lang w:val="es-ES_tradnl"/>
        </w:rPr>
        <w:t xml:space="preserve"> y </w:t>
      </w:r>
      <w:r w:rsidR="00EE5D7D">
        <w:rPr>
          <w:szCs w:val="22"/>
          <w:lang w:val="es-ES_tradnl"/>
        </w:rPr>
        <w:t xml:space="preserve">sus </w:t>
      </w:r>
      <w:r w:rsidRPr="002E3E25">
        <w:rPr>
          <w:szCs w:val="22"/>
          <w:lang w:val="es-ES_tradnl"/>
        </w:rPr>
        <w:t>prácticas.</w:t>
      </w:r>
      <w:r w:rsidR="00BB1963">
        <w:rPr>
          <w:szCs w:val="22"/>
        </w:rPr>
        <w:t xml:space="preserve"> </w:t>
      </w:r>
      <w:r w:rsidRPr="002E3E25">
        <w:rPr>
          <w:szCs w:val="22"/>
          <w:lang w:val="es-ES_tradnl"/>
        </w:rPr>
        <w:t xml:space="preserve">Esta solución </w:t>
      </w:r>
      <w:r w:rsidR="00BB1963">
        <w:rPr>
          <w:szCs w:val="22"/>
          <w:lang w:val="es-ES_tradnl"/>
        </w:rPr>
        <w:t xml:space="preserve">quizá </w:t>
      </w:r>
      <w:r w:rsidRPr="002E3E25">
        <w:rPr>
          <w:szCs w:val="22"/>
          <w:lang w:val="es-ES_tradnl"/>
        </w:rPr>
        <w:t xml:space="preserve">no </w:t>
      </w:r>
      <w:r w:rsidR="00BB1963">
        <w:rPr>
          <w:szCs w:val="22"/>
          <w:lang w:val="es-ES_tradnl"/>
        </w:rPr>
        <w:t xml:space="preserve">sea </w:t>
      </w:r>
      <w:r w:rsidRPr="002E3E25">
        <w:rPr>
          <w:szCs w:val="22"/>
          <w:lang w:val="es-ES_tradnl"/>
        </w:rPr>
        <w:t>posible cuando la Parte Contratante designada considere que la reproducción, tal como figura en el Registro Internacional, no es suficiente para definir con claridad y precisión el objeto de la protección.</w:t>
      </w:r>
    </w:p>
    <w:p w:rsidR="00E34125" w:rsidRPr="007365DF" w:rsidRDefault="007365DF" w:rsidP="007365DF">
      <w:pPr>
        <w:pStyle w:val="ONUME"/>
        <w:rPr>
          <w:szCs w:val="22"/>
        </w:rPr>
      </w:pPr>
      <w:r w:rsidRPr="002E3E25">
        <w:rPr>
          <w:szCs w:val="22"/>
          <w:lang w:val="es-ES_tradnl"/>
        </w:rPr>
        <w:t>Por ejemplo, la mayoría de las solicitudes internacionales que indican que la marca es tridimensional se presentan con una reproducción gráfica o fotográfica bidimensional de la marca, como, por ejemplo, la imagen de una botella.</w:t>
      </w:r>
      <w:r w:rsidR="00FC34B4">
        <w:rPr>
          <w:szCs w:val="22"/>
        </w:rPr>
        <w:t xml:space="preserve"> </w:t>
      </w:r>
      <w:r w:rsidRPr="002E3E25">
        <w:rPr>
          <w:szCs w:val="22"/>
          <w:lang w:val="es-ES_tradnl"/>
        </w:rPr>
        <w:t xml:space="preserve">Algunas Partes Contratantes pueden exigir que las solicitudes de </w:t>
      </w:r>
      <w:r w:rsidR="00FC34B4">
        <w:rPr>
          <w:szCs w:val="22"/>
          <w:lang w:val="es-ES_tradnl"/>
        </w:rPr>
        <w:t xml:space="preserve">registro de </w:t>
      </w:r>
      <w:r w:rsidRPr="002E3E25">
        <w:rPr>
          <w:szCs w:val="22"/>
          <w:lang w:val="es-ES_tradnl"/>
        </w:rPr>
        <w:t xml:space="preserve">marcas tridimensionales estén representadas </w:t>
      </w:r>
      <w:r w:rsidR="00FC34B4">
        <w:rPr>
          <w:szCs w:val="22"/>
          <w:lang w:val="es-ES_tradnl"/>
        </w:rPr>
        <w:t xml:space="preserve">mediante </w:t>
      </w:r>
      <w:r w:rsidRPr="002E3E25">
        <w:rPr>
          <w:szCs w:val="22"/>
          <w:lang w:val="es-ES_tradnl"/>
        </w:rPr>
        <w:t>varias vistas de la marca para la concesión de una fecha de presentación.</w:t>
      </w:r>
      <w:r w:rsidR="00FC34B4">
        <w:rPr>
          <w:szCs w:val="22"/>
        </w:rPr>
        <w:t xml:space="preserve"> </w:t>
      </w:r>
      <w:r w:rsidRPr="002E3E25">
        <w:rPr>
          <w:szCs w:val="22"/>
          <w:lang w:val="es-ES_tradnl"/>
        </w:rPr>
        <w:t xml:space="preserve">En esas Partes Contratantes, el suministro de vistas adicionales </w:t>
      </w:r>
      <w:r w:rsidR="00FC34B4">
        <w:rPr>
          <w:szCs w:val="22"/>
          <w:lang w:val="es-ES_tradnl"/>
        </w:rPr>
        <w:t xml:space="preserve">quizá </w:t>
      </w:r>
      <w:r w:rsidRPr="002E3E25">
        <w:rPr>
          <w:szCs w:val="22"/>
          <w:lang w:val="es-ES_tradnl"/>
        </w:rPr>
        <w:t xml:space="preserve">no </w:t>
      </w:r>
      <w:r w:rsidR="00FC34B4">
        <w:rPr>
          <w:szCs w:val="22"/>
          <w:lang w:val="es-ES_tradnl"/>
        </w:rPr>
        <w:t xml:space="preserve">sirva para superar la </w:t>
      </w:r>
      <w:r w:rsidRPr="002E3E25">
        <w:rPr>
          <w:szCs w:val="22"/>
          <w:lang w:val="es-ES_tradnl"/>
        </w:rPr>
        <w:t xml:space="preserve">denegación de protección </w:t>
      </w:r>
      <w:r w:rsidR="009D6450">
        <w:rPr>
          <w:szCs w:val="22"/>
          <w:lang w:val="es-ES_tradnl"/>
        </w:rPr>
        <w:t>de</w:t>
      </w:r>
      <w:r w:rsidRPr="002E3E25">
        <w:rPr>
          <w:szCs w:val="22"/>
          <w:lang w:val="es-ES_tradnl"/>
        </w:rPr>
        <w:t xml:space="preserve"> una solicitud internacional presentada </w:t>
      </w:r>
      <w:r w:rsidR="00FC34B4">
        <w:rPr>
          <w:szCs w:val="22"/>
          <w:lang w:val="es-ES_tradnl"/>
        </w:rPr>
        <w:t>mediante</w:t>
      </w:r>
      <w:r w:rsidRPr="002E3E25">
        <w:rPr>
          <w:szCs w:val="22"/>
          <w:lang w:val="es-ES_tradnl"/>
        </w:rPr>
        <w:t xml:space="preserve"> una reproducción gráfica o fotográfica bidimensional de una marca tridimensional.</w:t>
      </w:r>
    </w:p>
    <w:p w:rsidR="00E34125" w:rsidRPr="007365DF" w:rsidRDefault="007365DF" w:rsidP="007365DF">
      <w:pPr>
        <w:pStyle w:val="ONUME"/>
        <w:rPr>
          <w:szCs w:val="22"/>
        </w:rPr>
      </w:pPr>
      <w:r w:rsidRPr="002E3E25">
        <w:rPr>
          <w:szCs w:val="22"/>
          <w:lang w:val="es-ES_tradnl"/>
        </w:rPr>
        <w:t xml:space="preserve">Habida cuenta de lo anterior, </w:t>
      </w:r>
      <w:r w:rsidR="001F69E3">
        <w:rPr>
          <w:szCs w:val="22"/>
          <w:lang w:val="es-ES_tradnl"/>
        </w:rPr>
        <w:t xml:space="preserve">convendría que </w:t>
      </w:r>
      <w:r w:rsidRPr="002E3E25">
        <w:rPr>
          <w:szCs w:val="22"/>
          <w:lang w:val="es-ES_tradnl"/>
        </w:rPr>
        <w:t>el Grupo de Trabajo examinar</w:t>
      </w:r>
      <w:r w:rsidR="001F69E3">
        <w:rPr>
          <w:szCs w:val="22"/>
          <w:lang w:val="es-ES_tradnl"/>
        </w:rPr>
        <w:t>a</w:t>
      </w:r>
      <w:r w:rsidRPr="002E3E25">
        <w:rPr>
          <w:szCs w:val="22"/>
          <w:lang w:val="es-ES_tradnl"/>
        </w:rPr>
        <w:t xml:space="preserve"> si </w:t>
      </w:r>
      <w:r w:rsidR="001F69E3">
        <w:rPr>
          <w:szCs w:val="22"/>
          <w:lang w:val="es-ES_tradnl"/>
        </w:rPr>
        <w:t xml:space="preserve">también </w:t>
      </w:r>
      <w:r w:rsidRPr="002E3E25">
        <w:rPr>
          <w:szCs w:val="22"/>
          <w:lang w:val="es-ES_tradnl"/>
        </w:rPr>
        <w:t xml:space="preserve">sería necesario establecer requisitos mínimos de representación para cada tipo de marca </w:t>
      </w:r>
      <w:r w:rsidR="001F69E3">
        <w:rPr>
          <w:szCs w:val="22"/>
          <w:lang w:val="es-ES_tradnl"/>
        </w:rPr>
        <w:t xml:space="preserve">que fueran </w:t>
      </w:r>
      <w:r w:rsidRPr="002E3E25">
        <w:rPr>
          <w:szCs w:val="22"/>
          <w:lang w:val="es-ES_tradnl"/>
        </w:rPr>
        <w:t>aceptable</w:t>
      </w:r>
      <w:r w:rsidR="001F69E3">
        <w:rPr>
          <w:szCs w:val="22"/>
          <w:lang w:val="es-ES_tradnl"/>
        </w:rPr>
        <w:t>s</w:t>
      </w:r>
      <w:r w:rsidRPr="002E3E25">
        <w:rPr>
          <w:szCs w:val="22"/>
          <w:lang w:val="es-ES_tradnl"/>
        </w:rPr>
        <w:t xml:space="preserve"> para todas las Partes Contratantes.</w:t>
      </w:r>
      <w:r w:rsidRPr="00F8157E">
        <w:rPr>
          <w:szCs w:val="22"/>
        </w:rPr>
        <w:t xml:space="preserve"> </w:t>
      </w:r>
      <w:r w:rsidR="001F69E3">
        <w:rPr>
          <w:szCs w:val="22"/>
        </w:rPr>
        <w:t xml:space="preserve">Ello </w:t>
      </w:r>
      <w:r w:rsidRPr="002E3E25">
        <w:rPr>
          <w:szCs w:val="22"/>
          <w:lang w:val="es-ES_tradnl"/>
        </w:rPr>
        <w:t xml:space="preserve">ofrecería a los </w:t>
      </w:r>
      <w:r w:rsidR="001F69E3">
        <w:rPr>
          <w:szCs w:val="22"/>
          <w:lang w:val="es-ES_tradnl"/>
        </w:rPr>
        <w:t>titulares</w:t>
      </w:r>
      <w:r w:rsidRPr="002E3E25">
        <w:rPr>
          <w:szCs w:val="22"/>
          <w:lang w:val="es-ES_tradnl"/>
        </w:rPr>
        <w:t xml:space="preserve"> la </w:t>
      </w:r>
      <w:r w:rsidR="001F69E3">
        <w:rPr>
          <w:szCs w:val="22"/>
          <w:lang w:val="es-ES_tradnl"/>
        </w:rPr>
        <w:t xml:space="preserve">certidumbre tan </w:t>
      </w:r>
      <w:r w:rsidRPr="002E3E25">
        <w:rPr>
          <w:szCs w:val="22"/>
          <w:lang w:val="es-ES_tradnl"/>
        </w:rPr>
        <w:t>deseada al utilizar el Sistema de Madrid.</w:t>
      </w:r>
    </w:p>
    <w:p w:rsidR="00E34125" w:rsidRPr="00574CFE" w:rsidRDefault="007365DF" w:rsidP="00D80E9F">
      <w:pPr>
        <w:pStyle w:val="Heading2"/>
        <w:keepNext w:val="0"/>
      </w:pPr>
      <w:r>
        <w:t>B.</w:t>
      </w:r>
      <w:r>
        <w:tab/>
        <w:t>consideraCIONES TÉCNICAS</w:t>
      </w:r>
    </w:p>
    <w:p w:rsidR="00E34125" w:rsidRPr="00574CFE" w:rsidRDefault="00E34125" w:rsidP="00D80E9F">
      <w:pPr>
        <w:pStyle w:val="Heading4"/>
        <w:keepNext w:val="0"/>
        <w:ind w:firstLine="567"/>
      </w:pPr>
      <w:r w:rsidRPr="00574CFE">
        <w:t>i)</w:t>
      </w:r>
      <w:r w:rsidRPr="00574CFE">
        <w:tab/>
      </w:r>
      <w:r w:rsidR="001335A7">
        <w:t>Consideraciones técnicas relativas a las Partes Contratantes</w:t>
      </w:r>
    </w:p>
    <w:p w:rsidR="00E34125" w:rsidRPr="00574CFE" w:rsidRDefault="00E34125" w:rsidP="00D80E9F"/>
    <w:p w:rsidR="00E34125" w:rsidRPr="00574CFE" w:rsidRDefault="001335A7" w:rsidP="00D80E9F">
      <w:pPr>
        <w:pStyle w:val="ONUME"/>
        <w:rPr>
          <w:szCs w:val="22"/>
        </w:rPr>
      </w:pPr>
      <w:bookmarkStart w:id="8" w:name="_Ref8059919"/>
      <w:r w:rsidRPr="002A67B7">
        <w:rPr>
          <w:szCs w:val="22"/>
          <w:lang w:val="es-ES_tradnl"/>
        </w:rPr>
        <w:t>En la reunión anterior del Grupo de Trabajo, la Oficina Internacional indicó que la introducción de una representación no gráfica en el Sistema de Madrid exigiría que las Partes Contratantes intercambiaran esa representación en formato electrónico y por medios electrónicos</w:t>
      </w:r>
      <w:r w:rsidR="00E34125" w:rsidRPr="00574CFE">
        <w:rPr>
          <w:rStyle w:val="FootnoteReference"/>
          <w:szCs w:val="22"/>
        </w:rPr>
        <w:footnoteReference w:id="5"/>
      </w:r>
      <w:r w:rsidR="00D80E9F">
        <w:rPr>
          <w:szCs w:val="22"/>
          <w:lang w:val="es-ES_tradnl"/>
        </w:rPr>
        <w:t xml:space="preserve">.  </w:t>
      </w:r>
    </w:p>
    <w:p w:rsidR="001335A7" w:rsidRPr="00D21F0C" w:rsidRDefault="001335A7" w:rsidP="001335A7">
      <w:pPr>
        <w:pStyle w:val="ONUME"/>
        <w:rPr>
          <w:szCs w:val="22"/>
        </w:rPr>
      </w:pPr>
      <w:r w:rsidRPr="001335A7">
        <w:rPr>
          <w:szCs w:val="22"/>
          <w:lang w:val="es-ES_tradnl"/>
        </w:rPr>
        <w:t>La Oficina de origen puede transmitir una representación gráfica de la marca a la Oficina Internacional por medios electrónicos o enviarla por correo o por servicios de distribución.</w:t>
      </w:r>
      <w:r w:rsidR="00A71E35" w:rsidRPr="00D21F0C">
        <w:rPr>
          <w:szCs w:val="22"/>
        </w:rPr>
        <w:t xml:space="preserve"> </w:t>
      </w:r>
      <w:r w:rsidRPr="001335A7">
        <w:rPr>
          <w:szCs w:val="22"/>
          <w:lang w:val="es-ES_tradnl"/>
        </w:rPr>
        <w:t xml:space="preserve">A su vez, la Oficina Internacional puede notificar a las Oficinas de las Partes Contratantes designadas la representación gráfica por medios electrónicos (es decir, mediante la transmisión de un archivo digital </w:t>
      </w:r>
      <w:r w:rsidR="00A71E35">
        <w:rPr>
          <w:szCs w:val="22"/>
          <w:lang w:val="es-ES_tradnl"/>
        </w:rPr>
        <w:t xml:space="preserve">en el que figure </w:t>
      </w:r>
      <w:r w:rsidRPr="001335A7">
        <w:rPr>
          <w:szCs w:val="22"/>
          <w:lang w:val="es-ES_tradnl"/>
        </w:rPr>
        <w:t xml:space="preserve">esa representación) o por servicios postales o de distribución (es decir, mediante el envío de una notificación </w:t>
      </w:r>
      <w:r w:rsidR="00A71E35">
        <w:rPr>
          <w:szCs w:val="22"/>
          <w:lang w:val="es-ES_tradnl"/>
        </w:rPr>
        <w:t xml:space="preserve">impresa en la que figure </w:t>
      </w:r>
      <w:r w:rsidRPr="001335A7">
        <w:rPr>
          <w:szCs w:val="22"/>
          <w:lang w:val="es-ES_tradnl"/>
        </w:rPr>
        <w:t>la representación de la marca).</w:t>
      </w:r>
      <w:r w:rsidRPr="00D21F0C">
        <w:rPr>
          <w:szCs w:val="22"/>
        </w:rPr>
        <w:t xml:space="preserve"> </w:t>
      </w:r>
      <w:r w:rsidR="00A71E35" w:rsidRPr="00A71E35">
        <w:rPr>
          <w:szCs w:val="22"/>
        </w:rPr>
        <w:t xml:space="preserve">A fin de intercambiar de manera eficiente las representaciones </w:t>
      </w:r>
      <w:r w:rsidRPr="00A71E35">
        <w:rPr>
          <w:szCs w:val="22"/>
        </w:rPr>
        <w:t>no gráfica</w:t>
      </w:r>
      <w:r w:rsidR="00A71E35" w:rsidRPr="00A71E35">
        <w:rPr>
          <w:szCs w:val="22"/>
        </w:rPr>
        <w:t>s</w:t>
      </w:r>
      <w:r w:rsidRPr="00A71E35">
        <w:rPr>
          <w:szCs w:val="22"/>
        </w:rPr>
        <w:t xml:space="preserve"> </w:t>
      </w:r>
      <w:r w:rsidR="00A71E35" w:rsidRPr="00A71E35">
        <w:rPr>
          <w:szCs w:val="22"/>
        </w:rPr>
        <w:t xml:space="preserve">será necesario </w:t>
      </w:r>
      <w:r w:rsidRPr="00A71E35">
        <w:rPr>
          <w:szCs w:val="22"/>
        </w:rPr>
        <w:t>que todas las Partes Contratantes intercambien esa</w:t>
      </w:r>
      <w:r w:rsidR="00A71E35" w:rsidRPr="00A71E35">
        <w:rPr>
          <w:szCs w:val="22"/>
        </w:rPr>
        <w:t>s representaciones</w:t>
      </w:r>
      <w:r w:rsidRPr="00A71E35">
        <w:rPr>
          <w:szCs w:val="22"/>
        </w:rPr>
        <w:t xml:space="preserve"> en formato digital y por medios electrónicos; </w:t>
      </w:r>
      <w:r w:rsidR="00A71E35" w:rsidRPr="00A71E35">
        <w:rPr>
          <w:szCs w:val="22"/>
        </w:rPr>
        <w:t xml:space="preserve">es decir, </w:t>
      </w:r>
      <w:r w:rsidRPr="00A71E35">
        <w:rPr>
          <w:szCs w:val="22"/>
        </w:rPr>
        <w:t xml:space="preserve">sin necesidad de entregar archivos digitales </w:t>
      </w:r>
      <w:r w:rsidR="00A71E35" w:rsidRPr="00A71E35">
        <w:rPr>
          <w:szCs w:val="22"/>
        </w:rPr>
        <w:t xml:space="preserve">en </w:t>
      </w:r>
      <w:r w:rsidRPr="00A71E35">
        <w:rPr>
          <w:szCs w:val="22"/>
        </w:rPr>
        <w:t>un soporte físico como, por ejemplo, un</w:t>
      </w:r>
      <w:r w:rsidR="00A71E35">
        <w:rPr>
          <w:szCs w:val="22"/>
        </w:rPr>
        <w:t>a</w:t>
      </w:r>
      <w:r w:rsidRPr="00A71E35">
        <w:rPr>
          <w:szCs w:val="22"/>
        </w:rPr>
        <w:t xml:space="preserve"> memoria USB</w:t>
      </w:r>
      <w:r w:rsidRPr="001335A7">
        <w:rPr>
          <w:szCs w:val="22"/>
          <w:lang w:val="es-ES_tradnl"/>
        </w:rPr>
        <w:t>.</w:t>
      </w:r>
    </w:p>
    <w:bookmarkEnd w:id="8"/>
    <w:p w:rsidR="00E34125" w:rsidRPr="00D21F0C" w:rsidRDefault="001335A7" w:rsidP="001335A7">
      <w:pPr>
        <w:pStyle w:val="ONUME"/>
        <w:rPr>
          <w:szCs w:val="22"/>
        </w:rPr>
      </w:pPr>
      <w:r w:rsidRPr="001335A7">
        <w:rPr>
          <w:szCs w:val="22"/>
          <w:lang w:val="es-ES_tradnl"/>
        </w:rPr>
        <w:t>Varias Oficinas que participaron en la encuesta a que se hace referencia en el párrafo</w:t>
      </w:r>
      <w:r w:rsidR="009D6450">
        <w:rPr>
          <w:szCs w:val="22"/>
          <w:lang w:val="es-ES_tradnl"/>
        </w:rPr>
        <w:t xml:space="preserve"> </w:t>
      </w:r>
      <w:r w:rsidR="009D6450">
        <w:rPr>
          <w:szCs w:val="22"/>
          <w:lang w:val="es-ES_tradnl"/>
        </w:rPr>
        <w:fldChar w:fldCharType="begin"/>
      </w:r>
      <w:r w:rsidR="009D6450">
        <w:rPr>
          <w:szCs w:val="22"/>
          <w:lang w:val="es-ES_tradnl"/>
        </w:rPr>
        <w:instrText xml:space="preserve"> REF _Ref9602190 \r \h </w:instrText>
      </w:r>
      <w:r w:rsidR="009D6450">
        <w:rPr>
          <w:szCs w:val="22"/>
          <w:lang w:val="es-ES_tradnl"/>
        </w:rPr>
      </w:r>
      <w:r w:rsidR="009D6450">
        <w:rPr>
          <w:szCs w:val="22"/>
          <w:lang w:val="es-ES_tradnl"/>
        </w:rPr>
        <w:fldChar w:fldCharType="separate"/>
      </w:r>
      <w:r w:rsidR="00E44267">
        <w:rPr>
          <w:szCs w:val="22"/>
          <w:lang w:val="es-ES_tradnl"/>
        </w:rPr>
        <w:t>8</w:t>
      </w:r>
      <w:r w:rsidR="009D6450">
        <w:rPr>
          <w:szCs w:val="22"/>
          <w:lang w:val="es-ES_tradnl"/>
        </w:rPr>
        <w:fldChar w:fldCharType="end"/>
      </w:r>
      <w:r w:rsidRPr="001335A7">
        <w:rPr>
          <w:szCs w:val="22"/>
          <w:lang w:val="es-ES_tradnl"/>
        </w:rPr>
        <w:t xml:space="preserve"> indicaron que no reciben solicitudes nacionales </w:t>
      </w:r>
      <w:r w:rsidR="00A71E35">
        <w:rPr>
          <w:szCs w:val="22"/>
          <w:lang w:val="es-ES_tradnl"/>
        </w:rPr>
        <w:t>en forma de datos o por medios electrónicos; esas Oficinas n</w:t>
      </w:r>
      <w:r w:rsidRPr="001335A7">
        <w:rPr>
          <w:szCs w:val="22"/>
          <w:lang w:val="es-ES_tradnl"/>
        </w:rPr>
        <w:t xml:space="preserve">o exigen ni permiten al solicitante </w:t>
      </w:r>
      <w:r w:rsidR="00A71E35">
        <w:rPr>
          <w:szCs w:val="22"/>
          <w:lang w:val="es-ES_tradnl"/>
        </w:rPr>
        <w:t>que presente</w:t>
      </w:r>
      <w:r w:rsidRPr="001335A7">
        <w:rPr>
          <w:szCs w:val="22"/>
          <w:lang w:val="es-ES_tradnl"/>
        </w:rPr>
        <w:t xml:space="preserve"> una represen</w:t>
      </w:r>
      <w:r w:rsidR="00A71E35">
        <w:rPr>
          <w:szCs w:val="22"/>
          <w:lang w:val="es-ES_tradnl"/>
        </w:rPr>
        <w:t>tación electrónica de la marca</w:t>
      </w:r>
      <w:r w:rsidRPr="001335A7">
        <w:rPr>
          <w:szCs w:val="22"/>
          <w:lang w:val="es-ES_tradnl"/>
        </w:rPr>
        <w:t xml:space="preserve"> y no almacenan una representación electrónica de la marca en una base de datos nacional.</w:t>
      </w:r>
      <w:r w:rsidR="00A71E35" w:rsidRPr="00D21F0C">
        <w:rPr>
          <w:szCs w:val="22"/>
        </w:rPr>
        <w:t xml:space="preserve"> </w:t>
      </w:r>
      <w:r w:rsidRPr="001335A7">
        <w:rPr>
          <w:szCs w:val="22"/>
          <w:lang w:val="es-ES_tradnl"/>
        </w:rPr>
        <w:t xml:space="preserve">En vista de esas conclusiones, el Grupo de Trabajo </w:t>
      </w:r>
      <w:r w:rsidR="003760FE">
        <w:rPr>
          <w:szCs w:val="22"/>
          <w:lang w:val="es-ES_tradnl"/>
        </w:rPr>
        <w:t xml:space="preserve">tal vez considere conveniente </w:t>
      </w:r>
      <w:r w:rsidRPr="001335A7">
        <w:rPr>
          <w:szCs w:val="22"/>
          <w:lang w:val="es-ES_tradnl"/>
        </w:rPr>
        <w:t xml:space="preserve">examinar si sería </w:t>
      </w:r>
      <w:r w:rsidR="009D6450">
        <w:rPr>
          <w:szCs w:val="22"/>
          <w:lang w:val="es-ES_tradnl"/>
        </w:rPr>
        <w:t>aconsejable</w:t>
      </w:r>
      <w:r w:rsidRPr="001335A7">
        <w:rPr>
          <w:szCs w:val="22"/>
          <w:lang w:val="es-ES_tradnl"/>
        </w:rPr>
        <w:t xml:space="preserve"> establecer un calendario para que todas las Partes Contratantes </w:t>
      </w:r>
      <w:r w:rsidR="00A71E35">
        <w:rPr>
          <w:szCs w:val="22"/>
          <w:lang w:val="es-ES_tradnl"/>
        </w:rPr>
        <w:t>intercambien</w:t>
      </w:r>
      <w:r w:rsidRPr="001335A7">
        <w:rPr>
          <w:szCs w:val="22"/>
          <w:lang w:val="es-ES_tradnl"/>
        </w:rPr>
        <w:t xml:space="preserve"> datos </w:t>
      </w:r>
      <w:r w:rsidR="009D6450" w:rsidRPr="001335A7">
        <w:rPr>
          <w:szCs w:val="22"/>
          <w:lang w:val="es-ES_tradnl"/>
        </w:rPr>
        <w:t xml:space="preserve">por medios electrónicos </w:t>
      </w:r>
      <w:r w:rsidRPr="001335A7">
        <w:rPr>
          <w:szCs w:val="22"/>
          <w:lang w:val="es-ES_tradnl"/>
        </w:rPr>
        <w:t>en el marco del Sistema de Madrid.</w:t>
      </w:r>
    </w:p>
    <w:p w:rsidR="00E34125" w:rsidRPr="00574CFE" w:rsidRDefault="00E34125" w:rsidP="00E34125">
      <w:pPr>
        <w:pStyle w:val="Heading4"/>
        <w:ind w:firstLine="567"/>
      </w:pPr>
      <w:r w:rsidRPr="00574CFE">
        <w:t>ii)</w:t>
      </w:r>
      <w:r w:rsidRPr="00574CFE">
        <w:tab/>
      </w:r>
      <w:r w:rsidR="001335A7">
        <w:t xml:space="preserve">Consideraciones técnicas relativas a la Oficina Internacional </w:t>
      </w:r>
    </w:p>
    <w:p w:rsidR="00E34125" w:rsidRPr="00574CFE" w:rsidRDefault="00E34125" w:rsidP="00E34125"/>
    <w:p w:rsidR="00E34125" w:rsidRPr="001335A7" w:rsidRDefault="00A71E35" w:rsidP="001335A7">
      <w:pPr>
        <w:pStyle w:val="ONUME"/>
        <w:rPr>
          <w:szCs w:val="22"/>
        </w:rPr>
      </w:pPr>
      <w:bookmarkStart w:id="9" w:name="_Ref9602253"/>
      <w:bookmarkStart w:id="10" w:name="_Ref8122165"/>
      <w:r w:rsidRPr="002A67B7">
        <w:rPr>
          <w:szCs w:val="22"/>
          <w:lang w:val="es-ES_tradnl"/>
        </w:rPr>
        <w:t xml:space="preserve">Además de las cuestiones expuestas anteriormente, habría que tener en cuenta algunas consideraciones técnicas en relación con la Oficina Internacional, con miras a aplicar las </w:t>
      </w:r>
      <w:r>
        <w:rPr>
          <w:szCs w:val="22"/>
          <w:lang w:val="es-ES_tradnl"/>
        </w:rPr>
        <w:t xml:space="preserve">modificaciones </w:t>
      </w:r>
      <w:r w:rsidRPr="002A67B7">
        <w:rPr>
          <w:szCs w:val="22"/>
          <w:lang w:val="es-ES_tradnl"/>
        </w:rPr>
        <w:t>descritas en los párrafos</w:t>
      </w:r>
      <w:r w:rsidR="009D6450">
        <w:rPr>
          <w:szCs w:val="22"/>
          <w:lang w:val="es-ES_tradnl"/>
        </w:rPr>
        <w:t xml:space="preserve"> </w:t>
      </w:r>
      <w:r w:rsidR="009D6450">
        <w:rPr>
          <w:szCs w:val="22"/>
          <w:lang w:val="es-ES_tradnl"/>
        </w:rPr>
        <w:fldChar w:fldCharType="begin"/>
      </w:r>
      <w:r w:rsidR="009D6450">
        <w:rPr>
          <w:szCs w:val="22"/>
          <w:lang w:val="es-ES_tradnl"/>
        </w:rPr>
        <w:instrText xml:space="preserve"> REF _Ref9598773 \r \h </w:instrText>
      </w:r>
      <w:r w:rsidR="009D6450">
        <w:rPr>
          <w:szCs w:val="22"/>
          <w:lang w:val="es-ES_tradnl"/>
        </w:rPr>
      </w:r>
      <w:r w:rsidR="009D6450">
        <w:rPr>
          <w:szCs w:val="22"/>
          <w:lang w:val="es-ES_tradnl"/>
        </w:rPr>
        <w:fldChar w:fldCharType="separate"/>
      </w:r>
      <w:r w:rsidR="00E44267">
        <w:rPr>
          <w:szCs w:val="22"/>
          <w:lang w:val="es-ES_tradnl"/>
        </w:rPr>
        <w:t>3</w:t>
      </w:r>
      <w:r w:rsidR="009D6450">
        <w:rPr>
          <w:szCs w:val="22"/>
          <w:lang w:val="es-ES_tradnl"/>
        </w:rPr>
        <w:fldChar w:fldCharType="end"/>
      </w:r>
      <w:r w:rsidR="00E34125" w:rsidRPr="00574CFE">
        <w:rPr>
          <w:szCs w:val="22"/>
        </w:rPr>
        <w:t> </w:t>
      </w:r>
      <w:r w:rsidR="00297B95">
        <w:rPr>
          <w:szCs w:val="22"/>
        </w:rPr>
        <w:t xml:space="preserve">a </w:t>
      </w:r>
      <w:r w:rsidR="009D6450">
        <w:rPr>
          <w:szCs w:val="22"/>
        </w:rPr>
        <w:fldChar w:fldCharType="begin"/>
      </w:r>
      <w:r w:rsidR="009D6450">
        <w:rPr>
          <w:szCs w:val="22"/>
        </w:rPr>
        <w:instrText xml:space="preserve"> REF _Ref9602056 \r \h </w:instrText>
      </w:r>
      <w:r w:rsidR="009D6450">
        <w:rPr>
          <w:szCs w:val="22"/>
        </w:rPr>
      </w:r>
      <w:r w:rsidR="009D6450">
        <w:rPr>
          <w:szCs w:val="22"/>
        </w:rPr>
        <w:fldChar w:fldCharType="separate"/>
      </w:r>
      <w:r w:rsidR="00E44267">
        <w:rPr>
          <w:szCs w:val="22"/>
        </w:rPr>
        <w:t>6</w:t>
      </w:r>
      <w:r w:rsidR="009D6450">
        <w:rPr>
          <w:szCs w:val="22"/>
        </w:rPr>
        <w:fldChar w:fldCharType="end"/>
      </w:r>
      <w:r w:rsidR="001335A7" w:rsidRPr="002A67B7">
        <w:rPr>
          <w:szCs w:val="22"/>
          <w:lang w:val="es-ES_tradnl"/>
        </w:rPr>
        <w:t>.</w:t>
      </w:r>
      <w:bookmarkEnd w:id="9"/>
      <w:r>
        <w:rPr>
          <w:szCs w:val="22"/>
        </w:rPr>
        <w:t xml:space="preserve"> </w:t>
      </w:r>
      <w:r w:rsidR="00E34125" w:rsidRPr="001335A7">
        <w:rPr>
          <w:szCs w:val="22"/>
        </w:rPr>
        <w:t xml:space="preserve"> </w:t>
      </w:r>
    </w:p>
    <w:bookmarkEnd w:id="10"/>
    <w:p w:rsidR="00E34125" w:rsidRPr="00D21F0C" w:rsidRDefault="001335A7" w:rsidP="001335A7">
      <w:pPr>
        <w:pStyle w:val="ONUME"/>
        <w:rPr>
          <w:szCs w:val="22"/>
        </w:rPr>
      </w:pPr>
      <w:r w:rsidRPr="001335A7">
        <w:rPr>
          <w:szCs w:val="22"/>
          <w:lang w:val="es-ES_tradnl"/>
        </w:rPr>
        <w:t xml:space="preserve">Si bien la Oficina Internacional cuenta con la infraestructura técnica necesaria para tramitar las representaciones </w:t>
      </w:r>
      <w:r w:rsidR="00A71E35">
        <w:rPr>
          <w:szCs w:val="22"/>
          <w:lang w:val="es-ES_tradnl"/>
        </w:rPr>
        <w:t>electrónicas de la marca, tendría</w:t>
      </w:r>
      <w:r w:rsidRPr="001335A7">
        <w:rPr>
          <w:szCs w:val="22"/>
          <w:lang w:val="es-ES_tradnl"/>
        </w:rPr>
        <w:t xml:space="preserve"> que m</w:t>
      </w:r>
      <w:r w:rsidR="00A71E35">
        <w:rPr>
          <w:szCs w:val="22"/>
          <w:lang w:val="es-ES_tradnl"/>
        </w:rPr>
        <w:t>odificar sus procedimientos y sus sistemas de</w:t>
      </w:r>
      <w:r w:rsidRPr="001335A7">
        <w:rPr>
          <w:szCs w:val="22"/>
          <w:lang w:val="es-ES_tradnl"/>
        </w:rPr>
        <w:t xml:space="preserve"> tecnología</w:t>
      </w:r>
      <w:r w:rsidR="00A71E35">
        <w:rPr>
          <w:szCs w:val="22"/>
          <w:lang w:val="es-ES_tradnl"/>
        </w:rPr>
        <w:t>s</w:t>
      </w:r>
      <w:r w:rsidRPr="001335A7">
        <w:rPr>
          <w:szCs w:val="22"/>
          <w:lang w:val="es-ES_tradnl"/>
        </w:rPr>
        <w:t xml:space="preserve"> de la información y las comunicaciones (TI)</w:t>
      </w:r>
      <w:r w:rsidR="00A71E35">
        <w:rPr>
          <w:szCs w:val="22"/>
          <w:lang w:val="es-ES_tradnl"/>
        </w:rPr>
        <w:t>, de</w:t>
      </w:r>
      <w:r w:rsidR="00D80E9F">
        <w:rPr>
          <w:szCs w:val="22"/>
          <w:lang w:val="es-ES_tradnl"/>
        </w:rPr>
        <w:t> </w:t>
      </w:r>
      <w:r w:rsidR="00A71E35">
        <w:rPr>
          <w:szCs w:val="22"/>
          <w:lang w:val="es-ES_tradnl"/>
        </w:rPr>
        <w:t>modo que pudiera</w:t>
      </w:r>
      <w:r w:rsidRPr="001335A7">
        <w:rPr>
          <w:szCs w:val="22"/>
          <w:lang w:val="es-ES_tradnl"/>
        </w:rPr>
        <w:t xml:space="preserve"> recibir, examinar, publicar, poner a disposición del público y notificar </w:t>
      </w:r>
      <w:r w:rsidR="00A71E35">
        <w:rPr>
          <w:szCs w:val="22"/>
          <w:lang w:val="es-ES_tradnl"/>
        </w:rPr>
        <w:t xml:space="preserve">determinadas </w:t>
      </w:r>
      <w:r w:rsidRPr="001335A7">
        <w:rPr>
          <w:szCs w:val="22"/>
          <w:lang w:val="es-ES_tradnl"/>
        </w:rPr>
        <w:t>representaciones, com</w:t>
      </w:r>
      <w:r w:rsidR="00F55DE5">
        <w:rPr>
          <w:szCs w:val="22"/>
          <w:lang w:val="es-ES_tradnl"/>
        </w:rPr>
        <w:t>o, por ejemplo, las que consista</w:t>
      </w:r>
      <w:r w:rsidRPr="001335A7">
        <w:rPr>
          <w:szCs w:val="22"/>
          <w:lang w:val="es-ES_tradnl"/>
        </w:rPr>
        <w:t>n en archivos digitales sonoros o multimedia.</w:t>
      </w:r>
      <w:r w:rsidRPr="00D21F0C">
        <w:rPr>
          <w:szCs w:val="22"/>
        </w:rPr>
        <w:t xml:space="preserve">  </w:t>
      </w:r>
      <w:r w:rsidR="00E34125" w:rsidRPr="001335A7">
        <w:rPr>
          <w:szCs w:val="22"/>
        </w:rPr>
        <w:t xml:space="preserve"> </w:t>
      </w:r>
    </w:p>
    <w:p w:rsidR="00E34125" w:rsidRPr="00D21F0C" w:rsidRDefault="001335A7" w:rsidP="001335A7">
      <w:pPr>
        <w:pStyle w:val="ONUME"/>
        <w:rPr>
          <w:szCs w:val="22"/>
        </w:rPr>
      </w:pPr>
      <w:bookmarkStart w:id="11" w:name="_Ref9602260"/>
      <w:r w:rsidRPr="001335A7">
        <w:rPr>
          <w:szCs w:val="22"/>
          <w:lang w:val="es-ES_tradnl"/>
        </w:rPr>
        <w:t>En consecuencia, la Oficina Internacional tendría que evaluar esos cambios y el tiempo necesario para su aplicación.</w:t>
      </w:r>
      <w:r w:rsidRPr="00D21F0C">
        <w:rPr>
          <w:szCs w:val="22"/>
        </w:rPr>
        <w:t xml:space="preserve">  </w:t>
      </w:r>
      <w:r w:rsidRPr="001335A7">
        <w:rPr>
          <w:szCs w:val="22"/>
          <w:lang w:val="es-ES_tradnl"/>
        </w:rPr>
        <w:t xml:space="preserve">La Oficina Internacional </w:t>
      </w:r>
      <w:r w:rsidR="00A71E35">
        <w:rPr>
          <w:szCs w:val="22"/>
          <w:lang w:val="es-ES_tradnl"/>
        </w:rPr>
        <w:t xml:space="preserve">quizá tenga </w:t>
      </w:r>
      <w:r w:rsidRPr="001335A7">
        <w:rPr>
          <w:szCs w:val="22"/>
          <w:lang w:val="es-ES_tradnl"/>
        </w:rPr>
        <w:t xml:space="preserve">que actualizar </w:t>
      </w:r>
      <w:r w:rsidR="00F55DE5">
        <w:rPr>
          <w:szCs w:val="22"/>
          <w:lang w:val="es-ES_tradnl"/>
        </w:rPr>
        <w:t xml:space="preserve">asimismo </w:t>
      </w:r>
      <w:r w:rsidRPr="001335A7">
        <w:rPr>
          <w:szCs w:val="22"/>
          <w:lang w:val="es-ES_tradnl"/>
        </w:rPr>
        <w:t xml:space="preserve">sus normas técnicas </w:t>
      </w:r>
      <w:r w:rsidR="00A71E35">
        <w:rPr>
          <w:szCs w:val="22"/>
          <w:lang w:val="es-ES_tradnl"/>
        </w:rPr>
        <w:t xml:space="preserve">para la </w:t>
      </w:r>
      <w:r w:rsidRPr="001335A7">
        <w:rPr>
          <w:szCs w:val="22"/>
          <w:lang w:val="es-ES_tradnl"/>
        </w:rPr>
        <w:t>comunicación electrónica.</w:t>
      </w:r>
      <w:r w:rsidR="00A71E35" w:rsidRPr="00D21F0C">
        <w:rPr>
          <w:szCs w:val="22"/>
        </w:rPr>
        <w:t xml:space="preserve"> </w:t>
      </w:r>
      <w:r w:rsidRPr="001335A7">
        <w:rPr>
          <w:szCs w:val="22"/>
          <w:lang w:val="es-ES_tradnl"/>
        </w:rPr>
        <w:t xml:space="preserve">A su vez, </w:t>
      </w:r>
      <w:r w:rsidR="00A71E35">
        <w:rPr>
          <w:szCs w:val="22"/>
          <w:lang w:val="es-ES_tradnl"/>
        </w:rPr>
        <w:t>ello</w:t>
      </w:r>
      <w:r w:rsidRPr="001335A7">
        <w:rPr>
          <w:szCs w:val="22"/>
          <w:lang w:val="es-ES_tradnl"/>
        </w:rPr>
        <w:t xml:space="preserve"> podría inducir a las Oficinas de las Partes Contratantes a </w:t>
      </w:r>
      <w:r w:rsidR="00A71E35">
        <w:rPr>
          <w:szCs w:val="22"/>
          <w:lang w:val="es-ES_tradnl"/>
        </w:rPr>
        <w:t xml:space="preserve">llevar a cabo </w:t>
      </w:r>
      <w:r w:rsidR="00C04C0F">
        <w:rPr>
          <w:szCs w:val="22"/>
          <w:lang w:val="es-ES_tradnl"/>
        </w:rPr>
        <w:t>unos procesos</w:t>
      </w:r>
      <w:r w:rsidR="00A71E35">
        <w:rPr>
          <w:szCs w:val="22"/>
          <w:lang w:val="es-ES_tradnl"/>
        </w:rPr>
        <w:t xml:space="preserve"> </w:t>
      </w:r>
      <w:r w:rsidRPr="001335A7">
        <w:rPr>
          <w:szCs w:val="22"/>
          <w:lang w:val="es-ES_tradnl"/>
        </w:rPr>
        <w:t>similares.</w:t>
      </w:r>
      <w:bookmarkEnd w:id="11"/>
    </w:p>
    <w:p w:rsidR="00E34125" w:rsidRPr="00D21F0C" w:rsidRDefault="00C04C0F" w:rsidP="001335A7">
      <w:pPr>
        <w:pStyle w:val="ONUME"/>
        <w:rPr>
          <w:szCs w:val="22"/>
        </w:rPr>
      </w:pPr>
      <w:r>
        <w:rPr>
          <w:szCs w:val="22"/>
          <w:lang w:val="es-ES_tradnl"/>
        </w:rPr>
        <w:t xml:space="preserve">Convendría que el </w:t>
      </w:r>
      <w:r w:rsidRPr="001335A7">
        <w:rPr>
          <w:szCs w:val="22"/>
          <w:lang w:val="es-ES_tradnl"/>
        </w:rPr>
        <w:t xml:space="preserve">Grupo de Trabajo </w:t>
      </w:r>
      <w:r w:rsidR="00515D66">
        <w:rPr>
          <w:szCs w:val="22"/>
          <w:lang w:val="es-ES_tradnl"/>
        </w:rPr>
        <w:t>tuviera</w:t>
      </w:r>
      <w:r w:rsidRPr="001335A7">
        <w:rPr>
          <w:szCs w:val="22"/>
          <w:lang w:val="es-ES_tradnl"/>
        </w:rPr>
        <w:t xml:space="preserve"> en cuenta las consideraciones expuestas en los párrafos</w:t>
      </w:r>
      <w:r w:rsidR="00E34125" w:rsidRPr="00574CFE">
        <w:rPr>
          <w:szCs w:val="22"/>
        </w:rPr>
        <w:t> </w:t>
      </w:r>
      <w:r w:rsidR="009D6450">
        <w:rPr>
          <w:szCs w:val="22"/>
        </w:rPr>
        <w:fldChar w:fldCharType="begin"/>
      </w:r>
      <w:r w:rsidR="009D6450">
        <w:rPr>
          <w:szCs w:val="22"/>
        </w:rPr>
        <w:instrText xml:space="preserve"> REF _Ref9602253 \r \h </w:instrText>
      </w:r>
      <w:r w:rsidR="009D6450">
        <w:rPr>
          <w:szCs w:val="22"/>
        </w:rPr>
      </w:r>
      <w:r w:rsidR="009D6450">
        <w:rPr>
          <w:szCs w:val="22"/>
        </w:rPr>
        <w:fldChar w:fldCharType="separate"/>
      </w:r>
      <w:r w:rsidR="00E44267">
        <w:rPr>
          <w:szCs w:val="22"/>
        </w:rPr>
        <w:t>22</w:t>
      </w:r>
      <w:r w:rsidR="009D6450">
        <w:rPr>
          <w:szCs w:val="22"/>
        </w:rPr>
        <w:fldChar w:fldCharType="end"/>
      </w:r>
      <w:r w:rsidR="009D6450">
        <w:rPr>
          <w:szCs w:val="22"/>
        </w:rPr>
        <w:t xml:space="preserve"> </w:t>
      </w:r>
      <w:r>
        <w:rPr>
          <w:szCs w:val="22"/>
        </w:rPr>
        <w:t>a</w:t>
      </w:r>
      <w:r w:rsidR="003760FE">
        <w:rPr>
          <w:szCs w:val="22"/>
        </w:rPr>
        <w:t xml:space="preserve"> </w:t>
      </w:r>
      <w:r w:rsidR="009D6450">
        <w:rPr>
          <w:szCs w:val="22"/>
        </w:rPr>
        <w:fldChar w:fldCharType="begin"/>
      </w:r>
      <w:r w:rsidR="009D6450">
        <w:rPr>
          <w:szCs w:val="22"/>
        </w:rPr>
        <w:instrText xml:space="preserve"> REF _Ref9602260 \r \h </w:instrText>
      </w:r>
      <w:r w:rsidR="009D6450">
        <w:rPr>
          <w:szCs w:val="22"/>
        </w:rPr>
      </w:r>
      <w:r w:rsidR="009D6450">
        <w:rPr>
          <w:szCs w:val="22"/>
        </w:rPr>
        <w:fldChar w:fldCharType="separate"/>
      </w:r>
      <w:r w:rsidR="00E44267">
        <w:rPr>
          <w:szCs w:val="22"/>
        </w:rPr>
        <w:t>24</w:t>
      </w:r>
      <w:r w:rsidR="009D6450">
        <w:rPr>
          <w:szCs w:val="22"/>
        </w:rPr>
        <w:fldChar w:fldCharType="end"/>
      </w:r>
      <w:r w:rsidR="00E34125" w:rsidRPr="00574CFE">
        <w:rPr>
          <w:szCs w:val="22"/>
        </w:rPr>
        <w:t xml:space="preserve">, </w:t>
      </w:r>
      <w:r w:rsidRPr="001335A7">
        <w:rPr>
          <w:szCs w:val="22"/>
          <w:lang w:val="es-ES_tradnl"/>
        </w:rPr>
        <w:t xml:space="preserve">al examinar un posible calendario para la introducción de las </w:t>
      </w:r>
      <w:r>
        <w:rPr>
          <w:szCs w:val="22"/>
          <w:lang w:val="es-ES_tradnl"/>
        </w:rPr>
        <w:t>modificaciones</w:t>
      </w:r>
      <w:r w:rsidRPr="001335A7">
        <w:rPr>
          <w:szCs w:val="22"/>
          <w:lang w:val="es-ES_tradnl"/>
        </w:rPr>
        <w:t xml:space="preserve"> descritas en los párrafos </w:t>
      </w:r>
      <w:r w:rsidR="009D6450">
        <w:rPr>
          <w:szCs w:val="22"/>
          <w:lang w:val="es-ES_tradnl"/>
        </w:rPr>
        <w:fldChar w:fldCharType="begin"/>
      </w:r>
      <w:r w:rsidR="009D6450">
        <w:rPr>
          <w:szCs w:val="22"/>
          <w:lang w:val="es-ES_tradnl"/>
        </w:rPr>
        <w:instrText xml:space="preserve"> REF _Ref9598773 \r \h </w:instrText>
      </w:r>
      <w:r w:rsidR="009D6450">
        <w:rPr>
          <w:szCs w:val="22"/>
          <w:lang w:val="es-ES_tradnl"/>
        </w:rPr>
      </w:r>
      <w:r w:rsidR="009D6450">
        <w:rPr>
          <w:szCs w:val="22"/>
          <w:lang w:val="es-ES_tradnl"/>
        </w:rPr>
        <w:fldChar w:fldCharType="separate"/>
      </w:r>
      <w:r w:rsidR="00E44267">
        <w:rPr>
          <w:szCs w:val="22"/>
          <w:lang w:val="es-ES_tradnl"/>
        </w:rPr>
        <w:t>3</w:t>
      </w:r>
      <w:r w:rsidR="009D6450">
        <w:rPr>
          <w:szCs w:val="22"/>
          <w:lang w:val="es-ES_tradnl"/>
        </w:rPr>
        <w:fldChar w:fldCharType="end"/>
      </w:r>
      <w:r w:rsidR="003760FE">
        <w:rPr>
          <w:szCs w:val="22"/>
        </w:rPr>
        <w:t xml:space="preserve"> </w:t>
      </w:r>
      <w:r>
        <w:rPr>
          <w:szCs w:val="22"/>
        </w:rPr>
        <w:t>a</w:t>
      </w:r>
      <w:r w:rsidR="00E34125" w:rsidRPr="00574CFE">
        <w:rPr>
          <w:szCs w:val="22"/>
        </w:rPr>
        <w:t> </w:t>
      </w:r>
      <w:r w:rsidR="009D6450">
        <w:rPr>
          <w:szCs w:val="22"/>
        </w:rPr>
        <w:fldChar w:fldCharType="begin"/>
      </w:r>
      <w:r w:rsidR="009D6450">
        <w:rPr>
          <w:szCs w:val="22"/>
        </w:rPr>
        <w:instrText xml:space="preserve"> REF _Ref9602056 \r \h </w:instrText>
      </w:r>
      <w:r w:rsidR="009D6450">
        <w:rPr>
          <w:szCs w:val="22"/>
        </w:rPr>
      </w:r>
      <w:r w:rsidR="009D6450">
        <w:rPr>
          <w:szCs w:val="22"/>
        </w:rPr>
        <w:fldChar w:fldCharType="separate"/>
      </w:r>
      <w:r w:rsidR="00E44267">
        <w:rPr>
          <w:szCs w:val="22"/>
        </w:rPr>
        <w:t>6</w:t>
      </w:r>
      <w:r w:rsidR="009D6450">
        <w:rPr>
          <w:szCs w:val="22"/>
        </w:rPr>
        <w:fldChar w:fldCharType="end"/>
      </w:r>
      <w:r w:rsidR="001335A7" w:rsidRPr="001335A7">
        <w:rPr>
          <w:szCs w:val="22"/>
          <w:lang w:val="es-ES_tradnl"/>
        </w:rPr>
        <w:t>.</w:t>
      </w:r>
      <w:r w:rsidR="001335A7" w:rsidRPr="00D21F0C">
        <w:rPr>
          <w:szCs w:val="22"/>
        </w:rPr>
        <w:t xml:space="preserve"> </w:t>
      </w:r>
      <w:r w:rsidR="00D80E9F">
        <w:rPr>
          <w:szCs w:val="22"/>
        </w:rPr>
        <w:t xml:space="preserve"> </w:t>
      </w:r>
    </w:p>
    <w:p w:rsidR="00E34125" w:rsidRPr="00574CFE" w:rsidRDefault="00E34125" w:rsidP="00E34125">
      <w:pPr>
        <w:pStyle w:val="ONUME"/>
        <w:ind w:left="5533"/>
        <w:rPr>
          <w:i/>
        </w:rPr>
      </w:pPr>
      <w:r w:rsidRPr="002A67B7">
        <w:rPr>
          <w:i/>
          <w:lang w:val="es-ES_tradnl"/>
        </w:rPr>
        <w:t>Se invita al Grupo de Trabajo a examinar el presente documento y a proporcionar orientación a la Oficina Internacional sobre las posibles vías para seguir avanzando.</w:t>
      </w:r>
      <w:r w:rsidRPr="00574CFE">
        <w:rPr>
          <w:i/>
        </w:rPr>
        <w:t xml:space="preserve">  </w:t>
      </w:r>
    </w:p>
    <w:p w:rsidR="00E34125" w:rsidRPr="00574CFE" w:rsidRDefault="00E34125" w:rsidP="00E34125"/>
    <w:p w:rsidR="00E34125" w:rsidRPr="00574CFE" w:rsidRDefault="00E34125" w:rsidP="00E34125"/>
    <w:p w:rsidR="008B2CC1" w:rsidRPr="00D80E9F" w:rsidRDefault="00E34125" w:rsidP="00D80E9F">
      <w:pPr>
        <w:pStyle w:val="Endofdocument-Annex"/>
        <w:rPr>
          <w:lang w:val="es-ES"/>
        </w:rPr>
      </w:pPr>
      <w:r w:rsidRPr="00574CFE">
        <w:rPr>
          <w:lang w:val="es-ES"/>
        </w:rPr>
        <w:t>[Fin del documento]</w:t>
      </w:r>
      <w:bookmarkStart w:id="12" w:name="_GoBack"/>
      <w:bookmarkEnd w:id="12"/>
    </w:p>
    <w:sectPr w:rsidR="008B2CC1" w:rsidRPr="00D80E9F" w:rsidSect="00D80E9F">
      <w:headerReference w:type="default" r:id="rId8"/>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125" w:rsidRDefault="00E34125">
      <w:r>
        <w:separator/>
      </w:r>
    </w:p>
  </w:endnote>
  <w:endnote w:type="continuationSeparator" w:id="0">
    <w:p w:rsidR="00E34125" w:rsidRPr="009D30E6" w:rsidRDefault="00E34125" w:rsidP="007E663E">
      <w:pPr>
        <w:rPr>
          <w:sz w:val="17"/>
          <w:szCs w:val="17"/>
        </w:rPr>
      </w:pPr>
      <w:r w:rsidRPr="009D30E6">
        <w:rPr>
          <w:sz w:val="17"/>
          <w:szCs w:val="17"/>
        </w:rPr>
        <w:separator/>
      </w:r>
    </w:p>
    <w:p w:rsidR="00E34125" w:rsidRPr="007E663E" w:rsidRDefault="00E34125" w:rsidP="007E663E">
      <w:pPr>
        <w:spacing w:after="60"/>
        <w:rPr>
          <w:sz w:val="17"/>
          <w:szCs w:val="17"/>
        </w:rPr>
      </w:pPr>
      <w:r>
        <w:rPr>
          <w:sz w:val="17"/>
        </w:rPr>
        <w:t>[Continuación de la nota de la página anterior]</w:t>
      </w:r>
    </w:p>
  </w:endnote>
  <w:endnote w:type="continuationNotice" w:id="1">
    <w:p w:rsidR="00E34125" w:rsidRPr="007E663E" w:rsidRDefault="00E3412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125" w:rsidRDefault="00E34125">
      <w:r>
        <w:separator/>
      </w:r>
    </w:p>
  </w:footnote>
  <w:footnote w:type="continuationSeparator" w:id="0">
    <w:p w:rsidR="00E34125" w:rsidRPr="009D30E6" w:rsidRDefault="00E34125" w:rsidP="007E663E">
      <w:pPr>
        <w:rPr>
          <w:sz w:val="17"/>
          <w:szCs w:val="17"/>
        </w:rPr>
      </w:pPr>
      <w:r w:rsidRPr="009D30E6">
        <w:rPr>
          <w:sz w:val="17"/>
          <w:szCs w:val="17"/>
        </w:rPr>
        <w:separator/>
      </w:r>
    </w:p>
    <w:p w:rsidR="00E34125" w:rsidRPr="007E663E" w:rsidRDefault="00E34125" w:rsidP="007E663E">
      <w:pPr>
        <w:spacing w:after="60"/>
        <w:rPr>
          <w:sz w:val="17"/>
          <w:szCs w:val="17"/>
        </w:rPr>
      </w:pPr>
      <w:r>
        <w:rPr>
          <w:sz w:val="17"/>
        </w:rPr>
        <w:t>[Continuación de la nota de la página anterior]</w:t>
      </w:r>
    </w:p>
  </w:footnote>
  <w:footnote w:type="continuationNotice" w:id="1">
    <w:p w:rsidR="00E34125" w:rsidRPr="007E663E" w:rsidRDefault="00E34125" w:rsidP="007E663E">
      <w:pPr>
        <w:spacing w:before="60"/>
        <w:jc w:val="right"/>
        <w:rPr>
          <w:sz w:val="17"/>
          <w:szCs w:val="17"/>
        </w:rPr>
      </w:pPr>
      <w:r w:rsidRPr="007E663E">
        <w:rPr>
          <w:sz w:val="17"/>
          <w:szCs w:val="17"/>
        </w:rPr>
        <w:t>[Sigue la nota en la página siguiente]</w:t>
      </w:r>
    </w:p>
  </w:footnote>
  <w:footnote w:id="2">
    <w:p w:rsidR="00E34125" w:rsidRPr="00EF5940" w:rsidRDefault="00E34125" w:rsidP="00E34125">
      <w:pPr>
        <w:pStyle w:val="FootnoteText"/>
      </w:pPr>
      <w:r>
        <w:rPr>
          <w:rStyle w:val="FootnoteReference"/>
        </w:rPr>
        <w:footnoteRef/>
      </w:r>
      <w:r>
        <w:t xml:space="preserve"> </w:t>
      </w:r>
      <w:r>
        <w:tab/>
      </w:r>
      <w:r w:rsidR="008229EA">
        <w:t>Véase el</w:t>
      </w:r>
      <w:r>
        <w:t xml:space="preserve"> document</w:t>
      </w:r>
      <w:r w:rsidR="008229EA">
        <w:t>o</w:t>
      </w:r>
      <w:r>
        <w:t xml:space="preserve"> </w:t>
      </w:r>
      <w:r>
        <w:rPr>
          <w:sz w:val="19"/>
          <w:szCs w:val="19"/>
        </w:rPr>
        <w:t>MM/LD/WG/16/</w:t>
      </w:r>
      <w:r w:rsidR="00F24B79">
        <w:rPr>
          <w:sz w:val="19"/>
          <w:szCs w:val="19"/>
        </w:rPr>
        <w:t>4</w:t>
      </w:r>
      <w:r>
        <w:t xml:space="preserve">.  </w:t>
      </w:r>
    </w:p>
  </w:footnote>
  <w:footnote w:id="3">
    <w:p w:rsidR="00E34125" w:rsidRPr="004924EC" w:rsidRDefault="00E34125" w:rsidP="00E34125">
      <w:pPr>
        <w:pStyle w:val="FootnoteText"/>
        <w:jc w:val="both"/>
        <w:rPr>
          <w:szCs w:val="18"/>
        </w:rPr>
      </w:pPr>
      <w:r w:rsidRPr="004924EC">
        <w:rPr>
          <w:rStyle w:val="FootnoteReference"/>
          <w:szCs w:val="18"/>
        </w:rPr>
        <w:footnoteRef/>
      </w:r>
      <w:r w:rsidRPr="004924EC">
        <w:rPr>
          <w:szCs w:val="18"/>
        </w:rPr>
        <w:t xml:space="preserve"> </w:t>
      </w:r>
      <w:r w:rsidRPr="004924EC">
        <w:rPr>
          <w:szCs w:val="18"/>
        </w:rPr>
        <w:tab/>
      </w:r>
      <w:r w:rsidR="008229EA">
        <w:rPr>
          <w:szCs w:val="18"/>
        </w:rPr>
        <w:t xml:space="preserve">La </w:t>
      </w:r>
      <w:r w:rsidRPr="004924EC">
        <w:rPr>
          <w:szCs w:val="18"/>
        </w:rPr>
        <w:t>R</w:t>
      </w:r>
      <w:r w:rsidR="008229EA">
        <w:rPr>
          <w:szCs w:val="18"/>
        </w:rPr>
        <w:t xml:space="preserve">egla </w:t>
      </w:r>
      <w:r w:rsidRPr="004924EC">
        <w:rPr>
          <w:szCs w:val="18"/>
        </w:rPr>
        <w:t>9</w:t>
      </w:r>
      <w:r w:rsidR="008229EA">
        <w:rPr>
          <w:szCs w:val="18"/>
        </w:rPr>
        <w:t>.</w:t>
      </w:r>
      <w:r w:rsidRPr="004924EC">
        <w:rPr>
          <w:szCs w:val="18"/>
        </w:rPr>
        <w:t xml:space="preserve">4)a)v) </w:t>
      </w:r>
      <w:r w:rsidR="008229EA">
        <w:rPr>
          <w:szCs w:val="18"/>
        </w:rPr>
        <w:t xml:space="preserve">y </w:t>
      </w:r>
      <w:r w:rsidRPr="004924EC">
        <w:rPr>
          <w:szCs w:val="18"/>
        </w:rPr>
        <w:t xml:space="preserve">vii) </w:t>
      </w:r>
      <w:r w:rsidR="008229EA">
        <w:rPr>
          <w:szCs w:val="18"/>
        </w:rPr>
        <w:t>del Reglamento Común reza como sigue</w:t>
      </w:r>
      <w:r w:rsidRPr="004924EC">
        <w:rPr>
          <w:szCs w:val="18"/>
        </w:rPr>
        <w:t>:</w:t>
      </w:r>
    </w:p>
    <w:p w:rsidR="00E34125" w:rsidRPr="004924EC" w:rsidRDefault="00E34125" w:rsidP="00E34125">
      <w:pPr>
        <w:pStyle w:val="FootnoteText"/>
        <w:jc w:val="both"/>
        <w:rPr>
          <w:szCs w:val="18"/>
        </w:rPr>
      </w:pPr>
    </w:p>
    <w:p w:rsidR="00E34125" w:rsidRPr="004924EC" w:rsidRDefault="00E34125" w:rsidP="00E34125">
      <w:pPr>
        <w:pStyle w:val="FootnoteText"/>
        <w:ind w:left="567" w:firstLine="567"/>
        <w:jc w:val="both"/>
        <w:rPr>
          <w:szCs w:val="18"/>
        </w:rPr>
      </w:pPr>
      <w:r w:rsidRPr="004924EC">
        <w:rPr>
          <w:szCs w:val="18"/>
        </w:rPr>
        <w:t>“4)</w:t>
      </w:r>
      <w:r w:rsidRPr="004924EC">
        <w:rPr>
          <w:szCs w:val="18"/>
        </w:rPr>
        <w:tab/>
      </w:r>
      <w:r w:rsidR="00012C75" w:rsidRPr="00012C75">
        <w:rPr>
          <w:i/>
          <w:iCs/>
        </w:rPr>
        <w:t>[Contenido de la solicitud internacional]</w:t>
      </w:r>
      <w:r w:rsidR="00E44267">
        <w:rPr>
          <w:i/>
          <w:iCs/>
        </w:rPr>
        <w:t>  </w:t>
      </w:r>
      <w:r w:rsidR="00012C75">
        <w:t>a)</w:t>
      </w:r>
      <w:r w:rsidR="00E44267">
        <w:t>  </w:t>
      </w:r>
      <w:r w:rsidR="00012C75">
        <w:t xml:space="preserve">En la solicitud internacional figurará o se indicará </w:t>
      </w:r>
      <w:r w:rsidRPr="004924EC">
        <w:rPr>
          <w:szCs w:val="18"/>
        </w:rPr>
        <w:t xml:space="preserve"> </w:t>
      </w:r>
    </w:p>
    <w:p w:rsidR="00E34125" w:rsidRPr="004924EC" w:rsidRDefault="00E44267" w:rsidP="00E34125">
      <w:pPr>
        <w:pStyle w:val="FootnoteText"/>
        <w:ind w:left="567" w:firstLine="1701"/>
        <w:jc w:val="both"/>
        <w:rPr>
          <w:szCs w:val="18"/>
        </w:rPr>
      </w:pPr>
      <w:r>
        <w:rPr>
          <w:szCs w:val="18"/>
        </w:rPr>
        <w:t>“</w:t>
      </w:r>
      <w:r w:rsidR="00E34125" w:rsidRPr="004924EC">
        <w:rPr>
          <w:szCs w:val="18"/>
        </w:rPr>
        <w:t>[…]</w:t>
      </w:r>
    </w:p>
    <w:p w:rsidR="00012C75" w:rsidRPr="004924EC" w:rsidRDefault="00E44267" w:rsidP="00012C75">
      <w:pPr>
        <w:pStyle w:val="FootnoteText"/>
        <w:ind w:left="567" w:firstLine="1701"/>
        <w:jc w:val="both"/>
        <w:rPr>
          <w:szCs w:val="18"/>
        </w:rPr>
      </w:pPr>
      <w:r>
        <w:rPr>
          <w:szCs w:val="18"/>
        </w:rPr>
        <w:t>“</w:t>
      </w:r>
      <w:r w:rsidR="00E34125" w:rsidRPr="004924EC">
        <w:rPr>
          <w:szCs w:val="18"/>
        </w:rPr>
        <w:t xml:space="preserve">v) </w:t>
      </w:r>
      <w:r w:rsidR="00E34125" w:rsidRPr="004924EC">
        <w:rPr>
          <w:szCs w:val="18"/>
        </w:rPr>
        <w:tab/>
      </w:r>
      <w:r w:rsidR="00012C75">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E34125" w:rsidRPr="004924EC" w:rsidRDefault="00E44267" w:rsidP="00E34125">
      <w:pPr>
        <w:pStyle w:val="FootnoteText"/>
        <w:ind w:left="567" w:firstLine="1701"/>
        <w:jc w:val="both"/>
        <w:rPr>
          <w:szCs w:val="18"/>
        </w:rPr>
      </w:pPr>
      <w:r>
        <w:rPr>
          <w:szCs w:val="18"/>
        </w:rPr>
        <w:t>“</w:t>
      </w:r>
      <w:r w:rsidR="00E34125" w:rsidRPr="004924EC">
        <w:rPr>
          <w:szCs w:val="18"/>
        </w:rPr>
        <w:t>[…]</w:t>
      </w:r>
    </w:p>
    <w:p w:rsidR="00012C75" w:rsidRPr="00012C75" w:rsidRDefault="00E44267" w:rsidP="00012C75">
      <w:pPr>
        <w:pStyle w:val="FootnoteText"/>
        <w:ind w:left="567" w:firstLine="1701"/>
        <w:jc w:val="both"/>
        <w:rPr>
          <w:szCs w:val="18"/>
        </w:rPr>
      </w:pPr>
      <w:r>
        <w:rPr>
          <w:szCs w:val="18"/>
        </w:rPr>
        <w:t>“</w:t>
      </w:r>
      <w:r w:rsidR="00E34125" w:rsidRPr="004924EC">
        <w:rPr>
          <w:szCs w:val="18"/>
        </w:rPr>
        <w:t xml:space="preserve">vii) </w:t>
      </w:r>
      <w:r w:rsidR="00E34125" w:rsidRPr="004924EC">
        <w:rPr>
          <w:szCs w:val="18"/>
        </w:rPr>
        <w:tab/>
      </w:r>
      <w:r w:rsidR="00012C75">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footnote>
  <w:footnote w:id="4">
    <w:p w:rsidR="00FC34B4" w:rsidRDefault="00FC34B4" w:rsidP="00FC34B4">
      <w:pPr>
        <w:pStyle w:val="FootnoteText"/>
      </w:pPr>
      <w:r>
        <w:rPr>
          <w:rStyle w:val="FootnoteReference"/>
        </w:rPr>
        <w:footnoteRef/>
      </w:r>
      <w:r>
        <w:t xml:space="preserve"> </w:t>
      </w:r>
      <w:r>
        <w:tab/>
        <w:t xml:space="preserve">Véase el documento MM/LD/WG/15/RT/Presentation/2.  </w:t>
      </w:r>
    </w:p>
  </w:footnote>
  <w:footnote w:id="5">
    <w:p w:rsidR="00E34125" w:rsidRDefault="00E34125" w:rsidP="00E34125">
      <w:pPr>
        <w:pStyle w:val="FootnoteText"/>
      </w:pPr>
      <w:r>
        <w:rPr>
          <w:rStyle w:val="FootnoteReference"/>
        </w:rPr>
        <w:footnoteRef/>
      </w:r>
      <w:r>
        <w:t xml:space="preserve"> </w:t>
      </w:r>
      <w:r>
        <w:tab/>
      </w:r>
      <w:r w:rsidR="00D43B39">
        <w:t>Véase el documento MM/LD/WG/16/4.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E34125" w:rsidP="00477D6B">
    <w:pPr>
      <w:jc w:val="right"/>
    </w:pPr>
    <w:bookmarkStart w:id="13" w:name="Code2"/>
    <w:bookmarkEnd w:id="13"/>
    <w:r>
      <w:t>MM/</w:t>
    </w:r>
    <w:proofErr w:type="spellStart"/>
    <w:r>
      <w:t>LD</w:t>
    </w:r>
    <w:proofErr w:type="spellEnd"/>
    <w:r>
      <w:t>/</w:t>
    </w:r>
    <w:proofErr w:type="spellStart"/>
    <w:r>
      <w:t>WG</w:t>
    </w:r>
    <w:proofErr w:type="spellEnd"/>
    <w:r>
      <w:t>/17/8</w:t>
    </w:r>
  </w:p>
  <w:p w:rsidR="00AE7F20" w:rsidRDefault="00AE7F20" w:rsidP="00477D6B">
    <w:pPr>
      <w:jc w:val="right"/>
    </w:pPr>
    <w:r>
      <w:t xml:space="preserve">página </w:t>
    </w:r>
    <w:r>
      <w:fldChar w:fldCharType="begin"/>
    </w:r>
    <w:r>
      <w:instrText xml:space="preserve"> PAGE  \* MERGEFORMAT </w:instrText>
    </w:r>
    <w:r>
      <w:fldChar w:fldCharType="separate"/>
    </w:r>
    <w:r w:rsidR="00D80E9F">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25"/>
    <w:rsid w:val="00010686"/>
    <w:rsid w:val="00012C75"/>
    <w:rsid w:val="00052915"/>
    <w:rsid w:val="0006311E"/>
    <w:rsid w:val="00097BE6"/>
    <w:rsid w:val="000A550C"/>
    <w:rsid w:val="000E3BB3"/>
    <w:rsid w:val="000E7959"/>
    <w:rsid w:val="000F5E56"/>
    <w:rsid w:val="00124752"/>
    <w:rsid w:val="001335A7"/>
    <w:rsid w:val="001362EE"/>
    <w:rsid w:val="00152CEA"/>
    <w:rsid w:val="001832A6"/>
    <w:rsid w:val="00187A41"/>
    <w:rsid w:val="001F69E3"/>
    <w:rsid w:val="00216906"/>
    <w:rsid w:val="00222CDD"/>
    <w:rsid w:val="002634C4"/>
    <w:rsid w:val="00297B95"/>
    <w:rsid w:val="002A18BE"/>
    <w:rsid w:val="002B646D"/>
    <w:rsid w:val="002E0F47"/>
    <w:rsid w:val="002F4E68"/>
    <w:rsid w:val="00354647"/>
    <w:rsid w:val="00375C2B"/>
    <w:rsid w:val="003760FE"/>
    <w:rsid w:val="00377273"/>
    <w:rsid w:val="003845C1"/>
    <w:rsid w:val="00387287"/>
    <w:rsid w:val="003B3D85"/>
    <w:rsid w:val="003E48F1"/>
    <w:rsid w:val="003F347A"/>
    <w:rsid w:val="00423E3E"/>
    <w:rsid w:val="00427AF4"/>
    <w:rsid w:val="0045161E"/>
    <w:rsid w:val="0045231F"/>
    <w:rsid w:val="004647DA"/>
    <w:rsid w:val="0046793F"/>
    <w:rsid w:val="00477808"/>
    <w:rsid w:val="00477D6B"/>
    <w:rsid w:val="004A6C37"/>
    <w:rsid w:val="004E297D"/>
    <w:rsid w:val="00504AE2"/>
    <w:rsid w:val="00515D66"/>
    <w:rsid w:val="00525E8A"/>
    <w:rsid w:val="00531B02"/>
    <w:rsid w:val="00531FFE"/>
    <w:rsid w:val="005332F0"/>
    <w:rsid w:val="0055013B"/>
    <w:rsid w:val="00571B99"/>
    <w:rsid w:val="00605827"/>
    <w:rsid w:val="0063108E"/>
    <w:rsid w:val="00651FB5"/>
    <w:rsid w:val="00675021"/>
    <w:rsid w:val="006A06C6"/>
    <w:rsid w:val="007224C8"/>
    <w:rsid w:val="007340BA"/>
    <w:rsid w:val="007365DF"/>
    <w:rsid w:val="00775EFB"/>
    <w:rsid w:val="00794BE2"/>
    <w:rsid w:val="007A5581"/>
    <w:rsid w:val="007B71FE"/>
    <w:rsid w:val="007D781E"/>
    <w:rsid w:val="007E5FF8"/>
    <w:rsid w:val="007E663E"/>
    <w:rsid w:val="00815082"/>
    <w:rsid w:val="008229EA"/>
    <w:rsid w:val="0088395E"/>
    <w:rsid w:val="008A60D0"/>
    <w:rsid w:val="008B2CC1"/>
    <w:rsid w:val="008E6BD6"/>
    <w:rsid w:val="0090731E"/>
    <w:rsid w:val="00962529"/>
    <w:rsid w:val="00966A22"/>
    <w:rsid w:val="00972F03"/>
    <w:rsid w:val="009A0C8B"/>
    <w:rsid w:val="009A20CD"/>
    <w:rsid w:val="009B6241"/>
    <w:rsid w:val="009D6450"/>
    <w:rsid w:val="00A16FC0"/>
    <w:rsid w:val="00A270B6"/>
    <w:rsid w:val="00A32C9E"/>
    <w:rsid w:val="00A50374"/>
    <w:rsid w:val="00A71E35"/>
    <w:rsid w:val="00AB613D"/>
    <w:rsid w:val="00AC45FB"/>
    <w:rsid w:val="00AD7888"/>
    <w:rsid w:val="00AE7F20"/>
    <w:rsid w:val="00B12FC5"/>
    <w:rsid w:val="00B534D5"/>
    <w:rsid w:val="00B65A0A"/>
    <w:rsid w:val="00B67CDC"/>
    <w:rsid w:val="00B72D36"/>
    <w:rsid w:val="00B956C1"/>
    <w:rsid w:val="00BA662D"/>
    <w:rsid w:val="00BB1963"/>
    <w:rsid w:val="00BC4164"/>
    <w:rsid w:val="00BD2DCC"/>
    <w:rsid w:val="00C000C8"/>
    <w:rsid w:val="00C04C0F"/>
    <w:rsid w:val="00C652AF"/>
    <w:rsid w:val="00C90559"/>
    <w:rsid w:val="00CA2251"/>
    <w:rsid w:val="00D21F0C"/>
    <w:rsid w:val="00D43B39"/>
    <w:rsid w:val="00D56C7C"/>
    <w:rsid w:val="00D71B4D"/>
    <w:rsid w:val="00D80E9F"/>
    <w:rsid w:val="00D819EA"/>
    <w:rsid w:val="00D90289"/>
    <w:rsid w:val="00D93D55"/>
    <w:rsid w:val="00DA0FA8"/>
    <w:rsid w:val="00DC4C60"/>
    <w:rsid w:val="00E0079A"/>
    <w:rsid w:val="00E34125"/>
    <w:rsid w:val="00E44267"/>
    <w:rsid w:val="00E444DA"/>
    <w:rsid w:val="00E45C84"/>
    <w:rsid w:val="00E504E5"/>
    <w:rsid w:val="00EB7A3E"/>
    <w:rsid w:val="00EC1B3A"/>
    <w:rsid w:val="00EC401A"/>
    <w:rsid w:val="00EE5D7D"/>
    <w:rsid w:val="00EF530A"/>
    <w:rsid w:val="00EF6622"/>
    <w:rsid w:val="00EF78A9"/>
    <w:rsid w:val="00F204A0"/>
    <w:rsid w:val="00F24B79"/>
    <w:rsid w:val="00F55408"/>
    <w:rsid w:val="00F55DE5"/>
    <w:rsid w:val="00F66152"/>
    <w:rsid w:val="00F80845"/>
    <w:rsid w:val="00F84474"/>
    <w:rsid w:val="00FA0F0D"/>
    <w:rsid w:val="00FC34B4"/>
    <w:rsid w:val="00FD59D1"/>
    <w:rsid w:val="00FE616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695813"/>
  <w15:docId w15:val="{40A575E7-1DC5-4257-9DAC-778047F7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Heading1Char">
    <w:name w:val="Heading 1 Char"/>
    <w:basedOn w:val="DefaultParagraphFont"/>
    <w:link w:val="Heading1"/>
    <w:rsid w:val="00E3412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34125"/>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rsid w:val="00E34125"/>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semiHidden/>
    <w:rsid w:val="00E34125"/>
    <w:rPr>
      <w:rFonts w:ascii="Arial" w:eastAsia="SimSun" w:hAnsi="Arial" w:cs="Arial"/>
      <w:sz w:val="18"/>
      <w:lang w:val="es-ES" w:eastAsia="zh-CN"/>
    </w:rPr>
  </w:style>
  <w:style w:type="character" w:styleId="FootnoteReference">
    <w:name w:val="footnote reference"/>
    <w:basedOn w:val="DefaultParagraphFont"/>
    <w:rsid w:val="00E34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LD WG 16 (S)</Template>
  <TotalTime>410</TotalTime>
  <Pages>5</Pages>
  <Words>2249</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MM/LD/WG/16</vt:lpstr>
    </vt:vector>
  </TitlesOfParts>
  <Company>WIPO</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dc:title>
  <dc:creator>JC</dc:creator>
  <cp:lastModifiedBy>DIAZ Natacha</cp:lastModifiedBy>
  <cp:revision>40</cp:revision>
  <cp:lastPrinted>2019-05-23T14:47:00Z</cp:lastPrinted>
  <dcterms:created xsi:type="dcterms:W3CDTF">2019-05-23T12:17:00Z</dcterms:created>
  <dcterms:modified xsi:type="dcterms:W3CDTF">2019-06-06T16:30:00Z</dcterms:modified>
</cp:coreProperties>
</file>