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198C3D" w14:textId="77777777" w:rsidR="006E6A85" w:rsidRPr="00D72DBF" w:rsidRDefault="006E6A85" w:rsidP="000E13AA">
      <w:pPr>
        <w:spacing w:before="360" w:after="240"/>
        <w:ind w:right="-57"/>
        <w:jc w:val="right"/>
        <w:rPr>
          <w:lang w:val="es-ES_tradnl"/>
        </w:rPr>
      </w:pPr>
      <w:bookmarkStart w:id="0" w:name="Date"/>
      <w:r w:rsidRPr="00D72DBF">
        <w:rPr>
          <w:noProof/>
          <w:lang w:val="en-US" w:eastAsia="en-US"/>
        </w:rPr>
        <w:drawing>
          <wp:inline distT="0" distB="0" distL="0" distR="0" wp14:anchorId="4DB7D24B" wp14:editId="200B6FC6">
            <wp:extent cx="3147729" cy="1353054"/>
            <wp:effectExtent l="0" t="0" r="0" b="0"/>
            <wp:docPr id="2" name="Picture 2" descr="Las líneas curvas ascendentes del logotipo de la Organización Mundial de la Propiedad Intelectual evocan el progreso humano impulsado por la innovación y la creativid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147729" cy="1353054"/>
                    </a:xfrm>
                    <a:prstGeom prst="rect">
                      <a:avLst/>
                    </a:prstGeom>
                    <a:ln>
                      <a:noFill/>
                    </a:ln>
                  </pic:spPr>
                </pic:pic>
              </a:graphicData>
            </a:graphic>
          </wp:inline>
        </w:drawing>
      </w:r>
    </w:p>
    <w:p w14:paraId="4025A27B" w14:textId="77777777" w:rsidR="006E6A85" w:rsidRPr="00D72DBF" w:rsidRDefault="006E6A85" w:rsidP="006E6A85">
      <w:pPr>
        <w:pBdr>
          <w:top w:val="single" w:sz="4" w:space="9" w:color="auto"/>
        </w:pBdr>
        <w:jc w:val="right"/>
        <w:rPr>
          <w:rFonts w:ascii="Arial Black" w:hAnsi="Arial Black"/>
          <w:caps/>
          <w:sz w:val="15"/>
          <w:lang w:val="es-ES_tradnl"/>
        </w:rPr>
      </w:pPr>
      <w:bookmarkStart w:id="1" w:name="Code"/>
      <w:r w:rsidRPr="00D72DBF">
        <w:rPr>
          <w:rFonts w:ascii="Arial Black" w:hAnsi="Arial Black"/>
          <w:caps/>
          <w:sz w:val="15"/>
          <w:lang w:val="es-ES_tradnl"/>
        </w:rPr>
        <w:t>MM/LD/WG/18/</w:t>
      </w:r>
      <w:r w:rsidR="00517BBD" w:rsidRPr="00D72DBF">
        <w:rPr>
          <w:rFonts w:ascii="Arial Black" w:hAnsi="Arial Black"/>
          <w:caps/>
          <w:sz w:val="15"/>
          <w:lang w:val="es-ES_tradnl"/>
        </w:rPr>
        <w:t>6</w:t>
      </w:r>
    </w:p>
    <w:bookmarkEnd w:id="1"/>
    <w:p w14:paraId="7ED71A7E" w14:textId="3F6C6EB8" w:rsidR="006E6A85" w:rsidRPr="00D72DBF" w:rsidRDefault="006E6A85" w:rsidP="006E6A85">
      <w:pPr>
        <w:jc w:val="right"/>
        <w:rPr>
          <w:lang w:val="es-ES_tradnl"/>
        </w:rPr>
      </w:pPr>
      <w:r w:rsidRPr="00D72DBF">
        <w:rPr>
          <w:rFonts w:ascii="Arial Black" w:hAnsi="Arial Black"/>
          <w:caps/>
          <w:sz w:val="15"/>
          <w:lang w:val="es-ES_tradnl"/>
        </w:rPr>
        <w:t xml:space="preserve">ORIGINAL: </w:t>
      </w:r>
      <w:bookmarkStart w:id="2" w:name="Original"/>
      <w:r w:rsidR="00774236" w:rsidRPr="00D72DBF">
        <w:rPr>
          <w:rFonts w:ascii="Arial Black" w:hAnsi="Arial Black"/>
          <w:caps/>
          <w:sz w:val="15"/>
          <w:lang w:val="es-ES_tradnl"/>
        </w:rPr>
        <w:t>INGLÉS</w:t>
      </w:r>
    </w:p>
    <w:bookmarkEnd w:id="2"/>
    <w:p w14:paraId="1D20522E" w14:textId="77777777" w:rsidR="006E6A85" w:rsidRPr="00D72DBF" w:rsidRDefault="006E6A85" w:rsidP="006E6A85">
      <w:pPr>
        <w:spacing w:after="1200"/>
        <w:jc w:val="right"/>
        <w:rPr>
          <w:lang w:val="es-ES_tradnl"/>
        </w:rPr>
      </w:pPr>
      <w:r w:rsidRPr="00D72DBF">
        <w:rPr>
          <w:rFonts w:ascii="Arial Black" w:hAnsi="Arial Black"/>
          <w:caps/>
          <w:sz w:val="15"/>
          <w:lang w:val="es-ES_tradnl"/>
        </w:rPr>
        <w:t xml:space="preserve">fecha: </w:t>
      </w:r>
      <w:r w:rsidR="00632521" w:rsidRPr="00D72DBF">
        <w:rPr>
          <w:rFonts w:ascii="Arial Black" w:hAnsi="Arial Black"/>
          <w:caps/>
          <w:sz w:val="15"/>
          <w:lang w:val="es-ES_tradnl"/>
        </w:rPr>
        <w:t>13</w:t>
      </w:r>
      <w:r w:rsidRPr="00D72DBF">
        <w:rPr>
          <w:rFonts w:ascii="Arial Black" w:hAnsi="Arial Black"/>
          <w:caps/>
          <w:sz w:val="15"/>
          <w:lang w:val="es-ES_tradnl"/>
        </w:rPr>
        <w:t xml:space="preserve"> DE AGOSTO DE 2020</w:t>
      </w:r>
    </w:p>
    <w:bookmarkEnd w:id="0"/>
    <w:p w14:paraId="7BFD72AB" w14:textId="77777777" w:rsidR="002C7398" w:rsidRPr="00D72DBF" w:rsidRDefault="005B0B9D" w:rsidP="002C7398">
      <w:pPr>
        <w:spacing w:after="600"/>
        <w:rPr>
          <w:b/>
          <w:sz w:val="28"/>
          <w:szCs w:val="28"/>
          <w:lang w:val="es-ES_tradnl"/>
        </w:rPr>
      </w:pPr>
      <w:r w:rsidRPr="00D72DBF">
        <w:rPr>
          <w:b/>
          <w:sz w:val="28"/>
          <w:szCs w:val="28"/>
          <w:lang w:val="es-ES_tradnl"/>
        </w:rPr>
        <w:t>Grupo de Trabajo sobre el Desarrollo Jurídico del Sistema de Madrid para el Registro Internacional de Marcas</w:t>
      </w:r>
    </w:p>
    <w:p w14:paraId="452500A8" w14:textId="77777777" w:rsidR="002C7398" w:rsidRPr="00D72DBF" w:rsidRDefault="005B0B9D" w:rsidP="002C7398">
      <w:pPr>
        <w:rPr>
          <w:b/>
          <w:sz w:val="24"/>
          <w:szCs w:val="24"/>
          <w:lang w:val="es-ES_tradnl"/>
        </w:rPr>
      </w:pPr>
      <w:r w:rsidRPr="00D72DBF">
        <w:rPr>
          <w:b/>
          <w:sz w:val="24"/>
          <w:szCs w:val="24"/>
          <w:lang w:val="es-ES_tradnl"/>
        </w:rPr>
        <w:t>Decimoctava reunión</w:t>
      </w:r>
    </w:p>
    <w:p w14:paraId="379714A8" w14:textId="77777777" w:rsidR="002C7398" w:rsidRPr="00D72DBF" w:rsidRDefault="005B0B9D" w:rsidP="00632521">
      <w:pPr>
        <w:spacing w:after="360"/>
        <w:rPr>
          <w:b/>
          <w:sz w:val="24"/>
          <w:szCs w:val="24"/>
          <w:lang w:val="es-ES_tradnl"/>
        </w:rPr>
      </w:pPr>
      <w:r w:rsidRPr="00D72DBF">
        <w:rPr>
          <w:b/>
          <w:sz w:val="24"/>
          <w:szCs w:val="24"/>
          <w:lang w:val="es-ES_tradnl"/>
        </w:rPr>
        <w:t>Ginebra, 12 a 16 de octubre de 2020</w:t>
      </w:r>
    </w:p>
    <w:p w14:paraId="3A0052E3" w14:textId="77777777" w:rsidR="002C7398" w:rsidRPr="00D72DBF" w:rsidRDefault="000A47A8" w:rsidP="002C7398">
      <w:pPr>
        <w:spacing w:after="360"/>
        <w:rPr>
          <w:caps/>
          <w:sz w:val="24"/>
          <w:lang w:val="es-ES_tradnl"/>
        </w:rPr>
      </w:pPr>
      <w:r w:rsidRPr="00D72DBF">
        <w:rPr>
          <w:caps/>
          <w:sz w:val="24"/>
          <w:lang w:val="es-ES_tradnl"/>
        </w:rPr>
        <w:t>DENEGACIÓN PROVISIONAL</w:t>
      </w:r>
    </w:p>
    <w:p w14:paraId="3978B0D9" w14:textId="77777777" w:rsidR="00517BBD" w:rsidRPr="00D72DBF" w:rsidRDefault="000A47A8" w:rsidP="00517BBD">
      <w:pPr>
        <w:spacing w:after="960"/>
        <w:rPr>
          <w:i/>
          <w:lang w:val="es-ES_tradnl"/>
        </w:rPr>
      </w:pPr>
      <w:bookmarkStart w:id="3" w:name="Prepared"/>
      <w:r w:rsidRPr="00D72DBF">
        <w:rPr>
          <w:i/>
          <w:lang w:val="es-ES_tradnl"/>
        </w:rPr>
        <w:t>Documento preparado por la Oficina Internacional</w:t>
      </w:r>
    </w:p>
    <w:bookmarkEnd w:id="3"/>
    <w:p w14:paraId="66253B43" w14:textId="77777777" w:rsidR="000A47A8" w:rsidRPr="00D72DBF" w:rsidRDefault="000A47A8" w:rsidP="0068452F">
      <w:pPr>
        <w:pStyle w:val="Heading1"/>
        <w:rPr>
          <w:lang w:val="es-ES_tradnl"/>
        </w:rPr>
      </w:pPr>
      <w:r w:rsidRPr="00D72DBF">
        <w:rPr>
          <w:lang w:val="es-ES_tradnl"/>
        </w:rPr>
        <w:t>IntroducCIÓN</w:t>
      </w:r>
    </w:p>
    <w:p w14:paraId="114B2C3E" w14:textId="6FE3F60A" w:rsidR="000A47A8" w:rsidRPr="00D72DBF" w:rsidRDefault="000A47A8" w:rsidP="00750682">
      <w:pPr>
        <w:pStyle w:val="ONUMFS"/>
        <w:rPr>
          <w:lang w:val="es-ES_tradnl"/>
        </w:rPr>
      </w:pPr>
      <w:r w:rsidRPr="00D72DBF">
        <w:rPr>
          <w:lang w:val="es-ES_tradnl"/>
        </w:rPr>
        <w:t xml:space="preserve">En su decimoséptima </w:t>
      </w:r>
      <w:r w:rsidR="00774236" w:rsidRPr="00D72DBF">
        <w:rPr>
          <w:lang w:val="es-ES_tradnl"/>
        </w:rPr>
        <w:t>reunión</w:t>
      </w:r>
      <w:r w:rsidRPr="00D72DBF">
        <w:rPr>
          <w:lang w:val="es-ES_tradnl"/>
        </w:rPr>
        <w:t>, celebrada en Ginebra del 22 al 26 de julio de 2019, el</w:t>
      </w:r>
      <w:r w:rsidR="0068452F">
        <w:rPr>
          <w:lang w:val="es-ES_tradnl"/>
        </w:rPr>
        <w:t> </w:t>
      </w:r>
      <w:r w:rsidRPr="00D72DBF">
        <w:rPr>
          <w:lang w:val="es-ES_tradnl"/>
        </w:rPr>
        <w:t xml:space="preserve">Grupo de Trabajo sobre el Desarrollo Jurídico del Sistema de Madrid para el Registro Internacional de Marcas (denominado en adelante "el Grupo de Trabajo") examinó los problemas prácticos a los que se enfrentan los titulares al recibir notificaciones de denegación provisional, en lo que respecta a los plazos y </w:t>
      </w:r>
      <w:r w:rsidR="00764907" w:rsidRPr="00D72DBF">
        <w:rPr>
          <w:lang w:val="es-ES_tradnl"/>
        </w:rPr>
        <w:t>el</w:t>
      </w:r>
      <w:r w:rsidRPr="00D72DBF">
        <w:rPr>
          <w:lang w:val="es-ES_tradnl"/>
        </w:rPr>
        <w:t xml:space="preserve"> cálculo</w:t>
      </w:r>
      <w:r w:rsidR="00764907" w:rsidRPr="00D72DBF">
        <w:rPr>
          <w:lang w:val="es-ES_tradnl"/>
        </w:rPr>
        <w:t xml:space="preserve"> de esto</w:t>
      </w:r>
      <w:r w:rsidRPr="00D72DBF">
        <w:rPr>
          <w:lang w:val="es-ES_tradnl"/>
        </w:rPr>
        <w:t>s.</w:t>
      </w:r>
    </w:p>
    <w:p w14:paraId="0BED0072" w14:textId="01F8F63C" w:rsidR="00764907" w:rsidRPr="00D72DBF" w:rsidRDefault="00B20002" w:rsidP="00750682">
      <w:pPr>
        <w:pStyle w:val="ONUMFS"/>
        <w:rPr>
          <w:lang w:val="es-ES_tradnl"/>
        </w:rPr>
      </w:pPr>
      <w:r w:rsidRPr="00D72DBF">
        <w:rPr>
          <w:lang w:val="es-ES_tradnl"/>
        </w:rPr>
        <w:t>Despué</w:t>
      </w:r>
      <w:r w:rsidR="00764907" w:rsidRPr="00D72DBF">
        <w:rPr>
          <w:lang w:val="es-ES_tradnl"/>
        </w:rPr>
        <w:t xml:space="preserve">s </w:t>
      </w:r>
      <w:r w:rsidRPr="00D72DBF">
        <w:rPr>
          <w:lang w:val="es-ES_tradnl"/>
        </w:rPr>
        <w:t>de</w:t>
      </w:r>
      <w:r w:rsidR="00C25105" w:rsidRPr="00D72DBF">
        <w:rPr>
          <w:lang w:val="es-ES_tradnl"/>
        </w:rPr>
        <w:t>l examen</w:t>
      </w:r>
      <w:r w:rsidRPr="00D72DBF">
        <w:rPr>
          <w:lang w:val="es-ES_tradnl"/>
        </w:rPr>
        <w:t xml:space="preserve"> </w:t>
      </w:r>
      <w:r w:rsidR="00764907" w:rsidRPr="00D72DBF">
        <w:rPr>
          <w:lang w:val="es-ES_tradnl"/>
        </w:rPr>
        <w:t>mencionad</w:t>
      </w:r>
      <w:r w:rsidR="00C25105" w:rsidRPr="00D72DBF">
        <w:rPr>
          <w:lang w:val="es-ES_tradnl"/>
        </w:rPr>
        <w:t>o</w:t>
      </w:r>
      <w:r w:rsidR="00764907" w:rsidRPr="00D72DBF">
        <w:rPr>
          <w:lang w:val="es-ES_tradnl"/>
        </w:rPr>
        <w:t>, el Grupo de Trabajo pidió a la Oficina Internacional que preparara un documento</w:t>
      </w:r>
      <w:r w:rsidR="00916E86" w:rsidRPr="00D72DBF">
        <w:rPr>
          <w:lang w:val="es-ES_tradnl"/>
        </w:rPr>
        <w:t>,</w:t>
      </w:r>
      <w:r w:rsidR="00DC2CE1" w:rsidRPr="00D72DBF">
        <w:rPr>
          <w:lang w:val="es-ES_tradnl"/>
        </w:rPr>
        <w:t xml:space="preserve"> </w:t>
      </w:r>
      <w:r w:rsidR="00764907" w:rsidRPr="00D72DBF">
        <w:rPr>
          <w:lang w:val="es-ES_tradnl"/>
        </w:rPr>
        <w:t xml:space="preserve">para </w:t>
      </w:r>
      <w:r w:rsidR="00E46607" w:rsidRPr="00D72DBF">
        <w:rPr>
          <w:lang w:val="es-ES_tradnl"/>
        </w:rPr>
        <w:t>estudiarlo</w:t>
      </w:r>
      <w:r w:rsidR="00DC2CE1" w:rsidRPr="00D72DBF">
        <w:rPr>
          <w:lang w:val="es-ES_tradnl"/>
        </w:rPr>
        <w:t xml:space="preserve"> </w:t>
      </w:r>
      <w:r w:rsidR="00764907" w:rsidRPr="00D72DBF">
        <w:rPr>
          <w:lang w:val="es-ES_tradnl"/>
        </w:rPr>
        <w:t>en su decimoctav</w:t>
      </w:r>
      <w:r w:rsidR="00F729DC" w:rsidRPr="00D72DBF">
        <w:rPr>
          <w:lang w:val="es-ES_tradnl"/>
        </w:rPr>
        <w:t xml:space="preserve">a </w:t>
      </w:r>
      <w:r w:rsidR="001363E9" w:rsidRPr="00D72DBF">
        <w:rPr>
          <w:lang w:val="es-ES_tradnl"/>
        </w:rPr>
        <w:t>reunió</w:t>
      </w:r>
      <w:r w:rsidR="00F729DC" w:rsidRPr="00D72DBF">
        <w:rPr>
          <w:lang w:val="es-ES_tradnl"/>
        </w:rPr>
        <w:t>n</w:t>
      </w:r>
      <w:r w:rsidR="00916E86" w:rsidRPr="00D72DBF">
        <w:rPr>
          <w:lang w:val="es-ES_tradnl"/>
        </w:rPr>
        <w:t>,</w:t>
      </w:r>
      <w:r w:rsidR="00764907" w:rsidRPr="00D72DBF">
        <w:rPr>
          <w:lang w:val="es-ES_tradnl"/>
        </w:rPr>
        <w:t xml:space="preserve"> sobre las posibles modificaciones del Reglamento del Protocolo concerniente al Arreglo de Madrid relativo al Registro Internacional de Marcas (denominado en adelante "el Reglamento") </w:t>
      </w:r>
      <w:r w:rsidR="001363E9" w:rsidRPr="00D72DBF">
        <w:rPr>
          <w:lang w:val="es-ES_tradnl"/>
        </w:rPr>
        <w:t>con miras a prever</w:t>
      </w:r>
      <w:r w:rsidR="00750682" w:rsidRPr="00D72DBF">
        <w:rPr>
          <w:lang w:val="es-ES_tradnl"/>
        </w:rPr>
        <w:t>:</w:t>
      </w:r>
    </w:p>
    <w:p w14:paraId="1E36D88D" w14:textId="77777777" w:rsidR="00E2377F" w:rsidRPr="00D72DBF" w:rsidRDefault="00E2377F" w:rsidP="00750682">
      <w:pPr>
        <w:pStyle w:val="ONUMFS"/>
        <w:numPr>
          <w:ilvl w:val="0"/>
          <w:numId w:val="13"/>
        </w:numPr>
        <w:ind w:left="567"/>
        <w:rPr>
          <w:lang w:val="es-ES_tradnl"/>
        </w:rPr>
      </w:pPr>
      <w:r w:rsidRPr="00D72DBF">
        <w:rPr>
          <w:lang w:val="es-ES_tradnl"/>
        </w:rPr>
        <w:t xml:space="preserve">un plazo mínimo para responder a una denegación provisional; </w:t>
      </w:r>
    </w:p>
    <w:p w14:paraId="391E6979" w14:textId="77777777" w:rsidR="00777C0F" w:rsidRPr="00D72DBF" w:rsidRDefault="000845FD" w:rsidP="00750682">
      <w:pPr>
        <w:pStyle w:val="ONUMFS"/>
        <w:numPr>
          <w:ilvl w:val="0"/>
          <w:numId w:val="13"/>
        </w:numPr>
        <w:ind w:left="567"/>
        <w:rPr>
          <w:lang w:val="es-ES_tradnl"/>
        </w:rPr>
      </w:pPr>
      <w:r w:rsidRPr="00D72DBF">
        <w:rPr>
          <w:lang w:val="es-ES_tradnl"/>
        </w:rPr>
        <w:t xml:space="preserve">la </w:t>
      </w:r>
      <w:r w:rsidR="00D43D9A" w:rsidRPr="00D72DBF">
        <w:rPr>
          <w:lang w:val="es-ES_tradnl"/>
        </w:rPr>
        <w:t>form</w:t>
      </w:r>
      <w:r w:rsidRPr="00D72DBF">
        <w:rPr>
          <w:lang w:val="es-ES_tradnl"/>
        </w:rPr>
        <w:t>a</w:t>
      </w:r>
      <w:r w:rsidR="00777C0F" w:rsidRPr="00D72DBF">
        <w:rPr>
          <w:lang w:val="es-ES_tradnl"/>
        </w:rPr>
        <w:t xml:space="preserve"> armonizada de calcular </w:t>
      </w:r>
      <w:r w:rsidRPr="00D72DBF">
        <w:rPr>
          <w:lang w:val="es-ES_tradnl"/>
        </w:rPr>
        <w:t>dicho</w:t>
      </w:r>
      <w:r w:rsidR="00777C0F" w:rsidRPr="00D72DBF">
        <w:rPr>
          <w:lang w:val="es-ES_tradnl"/>
        </w:rPr>
        <w:t xml:space="preserve"> </w:t>
      </w:r>
      <w:r w:rsidR="00DF0494" w:rsidRPr="00D72DBF">
        <w:rPr>
          <w:lang w:val="es-ES_tradnl"/>
        </w:rPr>
        <w:t>plazo</w:t>
      </w:r>
      <w:r w:rsidR="00777C0F" w:rsidRPr="00D72DBF">
        <w:rPr>
          <w:lang w:val="es-ES_tradnl"/>
        </w:rPr>
        <w:t>;</w:t>
      </w:r>
    </w:p>
    <w:p w14:paraId="5EC10F09" w14:textId="365140D3" w:rsidR="00777C0F" w:rsidRPr="00D72DBF" w:rsidRDefault="00777C0F" w:rsidP="00750682">
      <w:pPr>
        <w:pStyle w:val="ONUMFS"/>
        <w:numPr>
          <w:ilvl w:val="0"/>
          <w:numId w:val="13"/>
        </w:numPr>
        <w:ind w:left="567"/>
        <w:rPr>
          <w:lang w:val="es-ES_tradnl"/>
        </w:rPr>
      </w:pPr>
      <w:r w:rsidRPr="00D72DBF">
        <w:rPr>
          <w:lang w:val="es-ES_tradnl"/>
        </w:rPr>
        <w:t xml:space="preserve">la posibilidad de </w:t>
      </w:r>
      <w:r w:rsidR="00183119" w:rsidRPr="00D72DBF">
        <w:rPr>
          <w:lang w:val="es-ES_tradnl"/>
        </w:rPr>
        <w:t xml:space="preserve">que las Partes Contratantes que necesiten tiempo para modificar su marco jurídico, sus prácticas o su infraestructura apliquen esas nuevas disposiciones en </w:t>
      </w:r>
      <w:r w:rsidRPr="00D72DBF">
        <w:rPr>
          <w:lang w:val="es-ES_tradnl"/>
        </w:rPr>
        <w:t xml:space="preserve">una fecha </w:t>
      </w:r>
      <w:r w:rsidR="000845FD" w:rsidRPr="00D72DBF">
        <w:rPr>
          <w:lang w:val="es-ES_tradnl"/>
        </w:rPr>
        <w:t>ul</w:t>
      </w:r>
      <w:r w:rsidRPr="00D72DBF">
        <w:rPr>
          <w:lang w:val="es-ES_tradnl"/>
        </w:rPr>
        <w:t>terior;</w:t>
      </w:r>
      <w:r w:rsidR="00D72DBF">
        <w:rPr>
          <w:lang w:val="es-ES_tradnl"/>
        </w:rPr>
        <w:t xml:space="preserve"> </w:t>
      </w:r>
    </w:p>
    <w:p w14:paraId="2F6AC26F" w14:textId="77777777" w:rsidR="00777C0F" w:rsidRPr="00D72DBF" w:rsidRDefault="00777C0F" w:rsidP="00750682">
      <w:pPr>
        <w:pStyle w:val="ONUMFS"/>
        <w:numPr>
          <w:ilvl w:val="0"/>
          <w:numId w:val="13"/>
        </w:numPr>
        <w:ind w:left="567"/>
        <w:rPr>
          <w:lang w:val="es-ES_tradnl"/>
        </w:rPr>
      </w:pPr>
      <w:r w:rsidRPr="00D72DBF">
        <w:rPr>
          <w:lang w:val="es-ES_tradnl"/>
        </w:rPr>
        <w:t xml:space="preserve">un requisito más estricto </w:t>
      </w:r>
      <w:r w:rsidR="007F23AA" w:rsidRPr="00D72DBF">
        <w:rPr>
          <w:lang w:val="es-ES_tradnl"/>
        </w:rPr>
        <w:t>para</w:t>
      </w:r>
      <w:r w:rsidRPr="00D72DBF">
        <w:rPr>
          <w:lang w:val="es-ES_tradnl"/>
        </w:rPr>
        <w:t xml:space="preserve"> indicar claramente en la notificación de denegación provisional </w:t>
      </w:r>
      <w:r w:rsidR="007F23AA" w:rsidRPr="00D72DBF">
        <w:rPr>
          <w:lang w:val="es-ES_tradnl"/>
        </w:rPr>
        <w:t>el</w:t>
      </w:r>
      <w:r w:rsidRPr="00D72DBF">
        <w:rPr>
          <w:lang w:val="es-ES_tradnl"/>
        </w:rPr>
        <w:t xml:space="preserve"> </w:t>
      </w:r>
      <w:r w:rsidR="008A5542" w:rsidRPr="00D72DBF">
        <w:rPr>
          <w:lang w:val="es-ES_tradnl"/>
        </w:rPr>
        <w:t>vencimiento</w:t>
      </w:r>
      <w:r w:rsidRPr="00D72DBF">
        <w:rPr>
          <w:lang w:val="es-ES_tradnl"/>
        </w:rPr>
        <w:t xml:space="preserve"> del plazo mencionado </w:t>
      </w:r>
      <w:r w:rsidR="007F23AA" w:rsidRPr="00D72DBF">
        <w:rPr>
          <w:lang w:val="es-ES_tradnl"/>
        </w:rPr>
        <w:t xml:space="preserve">anteriormente </w:t>
      </w:r>
      <w:r w:rsidRPr="00D72DBF">
        <w:rPr>
          <w:lang w:val="es-ES_tradnl"/>
        </w:rPr>
        <w:t xml:space="preserve">o, si ello no es posible, la </w:t>
      </w:r>
      <w:r w:rsidR="00B32964" w:rsidRPr="00D72DBF">
        <w:rPr>
          <w:lang w:val="es-ES_tradnl"/>
        </w:rPr>
        <w:t>forma</w:t>
      </w:r>
      <w:r w:rsidRPr="00D72DBF">
        <w:rPr>
          <w:lang w:val="es-ES_tradnl"/>
        </w:rPr>
        <w:t xml:space="preserve"> en que debe calcularse; y </w:t>
      </w:r>
    </w:p>
    <w:p w14:paraId="2DB1E0F6" w14:textId="77777777" w:rsidR="00777C0F" w:rsidRPr="00D72DBF" w:rsidRDefault="00777C0F" w:rsidP="00750682">
      <w:pPr>
        <w:pStyle w:val="ONUMFS"/>
        <w:numPr>
          <w:ilvl w:val="0"/>
          <w:numId w:val="13"/>
        </w:numPr>
        <w:ind w:left="567"/>
        <w:rPr>
          <w:lang w:val="es-ES_tradnl"/>
        </w:rPr>
      </w:pPr>
      <w:r w:rsidRPr="00D72DBF">
        <w:rPr>
          <w:lang w:val="es-ES_tradnl"/>
        </w:rPr>
        <w:lastRenderedPageBreak/>
        <w:t>la co</w:t>
      </w:r>
      <w:r w:rsidR="00C46D5C" w:rsidRPr="00D72DBF">
        <w:rPr>
          <w:lang w:val="es-ES_tradnl"/>
        </w:rPr>
        <w:t>municación electrónica como medio</w:t>
      </w:r>
      <w:r w:rsidRPr="00D72DBF">
        <w:rPr>
          <w:lang w:val="es-ES_tradnl"/>
        </w:rPr>
        <w:t xml:space="preserve"> p</w:t>
      </w:r>
      <w:r w:rsidR="00C46D5C" w:rsidRPr="00D72DBF">
        <w:rPr>
          <w:lang w:val="es-ES_tradnl"/>
        </w:rPr>
        <w:t xml:space="preserve">or defecto para transmitir las </w:t>
      </w:r>
      <w:r w:rsidRPr="00D72DBF">
        <w:rPr>
          <w:lang w:val="es-ES_tradnl"/>
        </w:rPr>
        <w:t>comunicaciones de la Oficina Internacional a los solicitantes, titulares y mandatarios</w:t>
      </w:r>
      <w:bookmarkStart w:id="4" w:name="_Ref46839465"/>
      <w:r w:rsidR="00551690" w:rsidRPr="00D72DBF">
        <w:rPr>
          <w:rStyle w:val="FootnoteReference"/>
          <w:lang w:val="es-ES_tradnl"/>
        </w:rPr>
        <w:footnoteReference w:id="2"/>
      </w:r>
      <w:bookmarkEnd w:id="4"/>
      <w:r w:rsidRPr="00D72DBF">
        <w:rPr>
          <w:lang w:val="es-ES_tradnl"/>
        </w:rPr>
        <w:t xml:space="preserve">. </w:t>
      </w:r>
    </w:p>
    <w:p w14:paraId="1C0FFF88" w14:textId="77777777" w:rsidR="00777C0F" w:rsidRPr="00D72DBF" w:rsidRDefault="00777C0F" w:rsidP="00750682">
      <w:pPr>
        <w:pStyle w:val="ONUMFS"/>
        <w:spacing w:after="480"/>
        <w:rPr>
          <w:lang w:val="es-ES_tradnl"/>
        </w:rPr>
      </w:pPr>
      <w:r w:rsidRPr="00D72DBF">
        <w:rPr>
          <w:lang w:val="es-ES_tradnl"/>
        </w:rPr>
        <w:t xml:space="preserve">En el presente documento se exponen varias posibilidades que el Grupo de Trabajo puede </w:t>
      </w:r>
      <w:r w:rsidR="004E2773" w:rsidRPr="00D72DBF">
        <w:rPr>
          <w:lang w:val="es-ES_tradnl"/>
        </w:rPr>
        <w:t>examin</w:t>
      </w:r>
      <w:r w:rsidRPr="00D72DBF">
        <w:rPr>
          <w:lang w:val="es-ES_tradnl"/>
        </w:rPr>
        <w:t>ar como base para l</w:t>
      </w:r>
      <w:r w:rsidR="000E0204" w:rsidRPr="00D72DBF">
        <w:rPr>
          <w:lang w:val="es-ES_tradnl"/>
        </w:rPr>
        <w:t>as deliberacion</w:t>
      </w:r>
      <w:r w:rsidRPr="00D72DBF">
        <w:rPr>
          <w:lang w:val="es-ES_tradnl"/>
        </w:rPr>
        <w:t xml:space="preserve">es sobre posibles modificaciones del Reglamento, tal como se </w:t>
      </w:r>
      <w:r w:rsidR="000E0204" w:rsidRPr="00D72DBF">
        <w:rPr>
          <w:lang w:val="es-ES_tradnl"/>
        </w:rPr>
        <w:t>indic</w:t>
      </w:r>
      <w:r w:rsidRPr="00D72DBF">
        <w:rPr>
          <w:lang w:val="es-ES_tradnl"/>
        </w:rPr>
        <w:t xml:space="preserve">a en los </w:t>
      </w:r>
      <w:r w:rsidR="00B04730" w:rsidRPr="00D72DBF">
        <w:rPr>
          <w:lang w:val="es-ES_tradnl"/>
        </w:rPr>
        <w:t>incis</w:t>
      </w:r>
      <w:r w:rsidRPr="00D72DBF">
        <w:rPr>
          <w:lang w:val="es-ES_tradnl"/>
        </w:rPr>
        <w:t xml:space="preserve">os i) a v) </w:t>
      </w:r>
      <w:r w:rsidR="00812181" w:rsidRPr="00D72DBF">
        <w:rPr>
          <w:lang w:val="es-ES_tradnl"/>
        </w:rPr>
        <w:t>mencionados</w:t>
      </w:r>
      <w:r w:rsidRPr="00D72DBF">
        <w:rPr>
          <w:lang w:val="es-ES_tradnl"/>
        </w:rPr>
        <w:t>.</w:t>
      </w:r>
    </w:p>
    <w:p w14:paraId="2CCAC6CB" w14:textId="77777777" w:rsidR="00503D1C" w:rsidRPr="0068452F" w:rsidRDefault="00503D1C" w:rsidP="0068452F">
      <w:pPr>
        <w:pStyle w:val="Heading1"/>
      </w:pPr>
      <w:r w:rsidRPr="0068452F">
        <w:t>PRINCIPAL CUESTIÓN OBJETO DE EXAMEN</w:t>
      </w:r>
    </w:p>
    <w:p w14:paraId="7A393109" w14:textId="77777777" w:rsidR="00AD5FDB" w:rsidRPr="00D72DBF" w:rsidRDefault="00AD5FDB" w:rsidP="00750682">
      <w:pPr>
        <w:pStyle w:val="ONUMFS"/>
        <w:rPr>
          <w:lang w:val="es-ES_tradnl"/>
        </w:rPr>
      </w:pPr>
      <w:r w:rsidRPr="00D72DBF">
        <w:rPr>
          <w:lang w:val="es-ES_tradnl"/>
        </w:rPr>
        <w:t xml:space="preserve">Al responder a las notificaciones de denegación provisional emitidas por las Oficinas de las Partes Contratantes designadas, los titulares deben </w:t>
      </w:r>
      <w:r w:rsidR="00325D45" w:rsidRPr="00D72DBF">
        <w:rPr>
          <w:lang w:val="es-ES_tradnl"/>
        </w:rPr>
        <w:t>hacer un seguimiento</w:t>
      </w:r>
      <w:r w:rsidRPr="00D72DBF">
        <w:rPr>
          <w:lang w:val="es-ES_tradnl"/>
        </w:rPr>
        <w:t xml:space="preserve"> de los distintos plazos y las diferentes </w:t>
      </w:r>
      <w:r w:rsidR="00B32964" w:rsidRPr="00D72DBF">
        <w:rPr>
          <w:lang w:val="es-ES_tradnl"/>
        </w:rPr>
        <w:t>forma</w:t>
      </w:r>
      <w:r w:rsidRPr="00D72DBF">
        <w:rPr>
          <w:lang w:val="es-ES_tradnl"/>
        </w:rPr>
        <w:t xml:space="preserve">s de calcularlos. Esta situación es una </w:t>
      </w:r>
      <w:r w:rsidR="00BB2AB5" w:rsidRPr="00D72DBF">
        <w:rPr>
          <w:lang w:val="es-ES_tradnl"/>
        </w:rPr>
        <w:t>causa</w:t>
      </w:r>
      <w:r w:rsidRPr="00D72DBF">
        <w:rPr>
          <w:lang w:val="es-ES_tradnl"/>
        </w:rPr>
        <w:t xml:space="preserve"> frecuente de quejas de los usuarios del Sistema de Madrid. </w:t>
      </w:r>
    </w:p>
    <w:p w14:paraId="7F1B178F" w14:textId="2C3431CF" w:rsidR="003D42CB" w:rsidRPr="00D72DBF" w:rsidRDefault="003D42CB" w:rsidP="00750682">
      <w:pPr>
        <w:pStyle w:val="ONUMFS"/>
        <w:rPr>
          <w:lang w:val="es-ES_tradnl"/>
        </w:rPr>
      </w:pPr>
      <w:r w:rsidRPr="00D72DBF">
        <w:rPr>
          <w:lang w:val="es-ES_tradnl"/>
        </w:rPr>
        <w:t xml:space="preserve">Los titulares también han subrayado que no siempre disponen de tiempo suficiente para responder a las denegaciones provisionales, señalando, en particular, que </w:t>
      </w:r>
      <w:r w:rsidR="00BF5E7C" w:rsidRPr="00D72DBF">
        <w:rPr>
          <w:lang w:val="es-ES_tradnl"/>
        </w:rPr>
        <w:t>suelen</w:t>
      </w:r>
      <w:r w:rsidRPr="00D72DBF">
        <w:rPr>
          <w:lang w:val="es-ES_tradnl"/>
        </w:rPr>
        <w:t xml:space="preserve"> necesita</w:t>
      </w:r>
      <w:r w:rsidR="00BF5E7C" w:rsidRPr="00D72DBF">
        <w:rPr>
          <w:lang w:val="es-ES_tradnl"/>
        </w:rPr>
        <w:t>r</w:t>
      </w:r>
      <w:r w:rsidRPr="00D72DBF">
        <w:rPr>
          <w:lang w:val="es-ES_tradnl"/>
        </w:rPr>
        <w:t xml:space="preserve"> más tiempo para obtener traducciones, examinar los motivos de la denegación</w:t>
      </w:r>
      <w:r w:rsidR="00D47DEC" w:rsidRPr="00D72DBF">
        <w:rPr>
          <w:lang w:val="es-ES_tradnl"/>
        </w:rPr>
        <w:t>,</w:t>
      </w:r>
      <w:r w:rsidRPr="00D72DBF">
        <w:rPr>
          <w:lang w:val="es-ES_tradnl"/>
        </w:rPr>
        <w:t xml:space="preserve"> y nombrar </w:t>
      </w:r>
      <w:r w:rsidR="005021BA" w:rsidRPr="00D72DBF">
        <w:rPr>
          <w:lang w:val="es-ES_tradnl"/>
        </w:rPr>
        <w:t>y dar instrucciones</w:t>
      </w:r>
      <w:r w:rsidRPr="00D72DBF">
        <w:rPr>
          <w:lang w:val="es-ES_tradnl"/>
        </w:rPr>
        <w:t xml:space="preserve"> a los </w:t>
      </w:r>
      <w:r w:rsidR="004F1E08" w:rsidRPr="00D72DBF">
        <w:rPr>
          <w:lang w:val="es-ES_tradnl"/>
        </w:rPr>
        <w:t>mandatario</w:t>
      </w:r>
      <w:r w:rsidR="001363E9" w:rsidRPr="00D72DBF">
        <w:rPr>
          <w:lang w:val="es-ES_tradnl"/>
        </w:rPr>
        <w:t xml:space="preserve">s locales. </w:t>
      </w:r>
      <w:r w:rsidRPr="00D72DBF">
        <w:rPr>
          <w:lang w:val="es-ES_tradnl"/>
        </w:rPr>
        <w:t xml:space="preserve">En el peor de los casos, estas dificultades podrían dar lugar a </w:t>
      </w:r>
      <w:r w:rsidR="00323F91" w:rsidRPr="00D72DBF">
        <w:rPr>
          <w:lang w:val="es-ES_tradnl"/>
        </w:rPr>
        <w:t>un incumplimiento de</w:t>
      </w:r>
      <w:r w:rsidRPr="00D72DBF">
        <w:rPr>
          <w:lang w:val="es-ES_tradnl"/>
        </w:rPr>
        <w:t xml:space="preserve"> los plazos correspondientes, lo que </w:t>
      </w:r>
      <w:r w:rsidR="00E2564C" w:rsidRPr="00D72DBF">
        <w:rPr>
          <w:lang w:val="es-ES_tradnl"/>
        </w:rPr>
        <w:t>tendría como consecuencia</w:t>
      </w:r>
      <w:r w:rsidRPr="00D72DBF">
        <w:rPr>
          <w:lang w:val="es-ES_tradnl"/>
        </w:rPr>
        <w:t xml:space="preserve"> la posible pérdida de </w:t>
      </w:r>
      <w:r w:rsidR="008224B3" w:rsidRPr="00D72DBF">
        <w:rPr>
          <w:lang w:val="es-ES_tradnl"/>
        </w:rPr>
        <w:t xml:space="preserve">los </w:t>
      </w:r>
      <w:r w:rsidRPr="00D72DBF">
        <w:rPr>
          <w:lang w:val="es-ES_tradnl"/>
        </w:rPr>
        <w:t>derechos en algunas Partes Contratantes designadas.</w:t>
      </w:r>
    </w:p>
    <w:p w14:paraId="4D63BB5D" w14:textId="4B21F6EA" w:rsidR="00E2564C" w:rsidRPr="00D72DBF" w:rsidRDefault="00E2564C" w:rsidP="00750682">
      <w:pPr>
        <w:pStyle w:val="ONUMFS"/>
        <w:rPr>
          <w:lang w:val="es-ES_tradnl"/>
        </w:rPr>
      </w:pPr>
      <w:r w:rsidRPr="00D72DBF">
        <w:rPr>
          <w:lang w:val="es-ES_tradnl"/>
        </w:rPr>
        <w:t xml:space="preserve">En </w:t>
      </w:r>
      <w:r w:rsidR="007A5E08" w:rsidRPr="00D72DBF">
        <w:rPr>
          <w:lang w:val="es-ES_tradnl"/>
        </w:rPr>
        <w:t xml:space="preserve">la </w:t>
      </w:r>
      <w:r w:rsidR="001363E9" w:rsidRPr="00D72DBF">
        <w:rPr>
          <w:lang w:val="es-ES_tradnl"/>
        </w:rPr>
        <w:t>reunión</w:t>
      </w:r>
      <w:r w:rsidRPr="00D72DBF">
        <w:rPr>
          <w:lang w:val="es-ES_tradnl"/>
        </w:rPr>
        <w:t xml:space="preserve"> anterior del Grupo de Trabajo, las delegaciones </w:t>
      </w:r>
      <w:r w:rsidR="001363E9" w:rsidRPr="00D72DBF">
        <w:rPr>
          <w:lang w:val="es-ES_tradnl"/>
        </w:rPr>
        <w:t>tomaron nota de</w:t>
      </w:r>
      <w:r w:rsidRPr="00D72DBF">
        <w:rPr>
          <w:lang w:val="es-ES_tradnl"/>
        </w:rPr>
        <w:t xml:space="preserve"> los problemas a los que se enfrentaban los titulares e indicaron que estarían dispuestas a examinar la posibilidad de establecer un </w:t>
      </w:r>
      <w:r w:rsidR="00D06AE9" w:rsidRPr="00D72DBF">
        <w:rPr>
          <w:lang w:val="es-ES_tradnl"/>
        </w:rPr>
        <w:t>plazo determinado</w:t>
      </w:r>
      <w:r w:rsidRPr="00D72DBF">
        <w:rPr>
          <w:lang w:val="es-ES_tradnl"/>
        </w:rPr>
        <w:t xml:space="preserve"> o mínimo para responder a l</w:t>
      </w:r>
      <w:r w:rsidR="002476EE" w:rsidRPr="00D72DBF">
        <w:rPr>
          <w:lang w:val="es-ES_tradnl"/>
        </w:rPr>
        <w:t xml:space="preserve">as denegaciones provisionales. </w:t>
      </w:r>
      <w:r w:rsidRPr="00D72DBF">
        <w:rPr>
          <w:lang w:val="es-ES_tradnl"/>
        </w:rPr>
        <w:t xml:space="preserve">Además, </w:t>
      </w:r>
      <w:r w:rsidR="00D66A46" w:rsidRPr="00D72DBF">
        <w:rPr>
          <w:lang w:val="es-ES_tradnl"/>
        </w:rPr>
        <w:t>numeros</w:t>
      </w:r>
      <w:r w:rsidRPr="00D72DBF">
        <w:rPr>
          <w:lang w:val="es-ES_tradnl"/>
        </w:rPr>
        <w:t>as delegaciones apoyaron la necesidad de coherencia en el cálculo de los plazos para ayudar a reducir la confusión de los titulares.</w:t>
      </w:r>
    </w:p>
    <w:p w14:paraId="0617C6B7" w14:textId="0FB04A9B" w:rsidR="00D94701" w:rsidRPr="00D72DBF" w:rsidRDefault="00D94701" w:rsidP="00750682">
      <w:pPr>
        <w:pStyle w:val="ONUMFS"/>
        <w:rPr>
          <w:lang w:val="es-ES_tradnl"/>
        </w:rPr>
      </w:pPr>
      <w:r w:rsidRPr="00D72DBF">
        <w:rPr>
          <w:lang w:val="es-ES_tradnl"/>
        </w:rPr>
        <w:t xml:space="preserve">El hecho de disponer de un </w:t>
      </w:r>
      <w:r w:rsidR="00D06AE9" w:rsidRPr="00D72DBF">
        <w:rPr>
          <w:lang w:val="es-ES_tradnl"/>
        </w:rPr>
        <w:t>plazo determinado</w:t>
      </w:r>
      <w:r w:rsidRPr="00D72DBF">
        <w:rPr>
          <w:lang w:val="es-ES_tradnl"/>
        </w:rPr>
        <w:t xml:space="preserve"> o mínimo para responder a las denegaciones provisionales, o de una </w:t>
      </w:r>
      <w:r w:rsidR="00B32964" w:rsidRPr="00D72DBF">
        <w:rPr>
          <w:lang w:val="es-ES_tradnl"/>
        </w:rPr>
        <w:t>forma</w:t>
      </w:r>
      <w:r w:rsidRPr="00D72DBF">
        <w:rPr>
          <w:lang w:val="es-ES_tradnl"/>
        </w:rPr>
        <w:t xml:space="preserve"> armonizada de calcular dichos plazos, o ambas cosas, no tendría ninguna repercusión en las prácticas </w:t>
      </w:r>
      <w:r w:rsidR="0085685F" w:rsidRPr="00D72DBF">
        <w:rPr>
          <w:lang w:val="es-ES_tradnl"/>
        </w:rPr>
        <w:t>vigent</w:t>
      </w:r>
      <w:r w:rsidRPr="00D72DBF">
        <w:rPr>
          <w:lang w:val="es-ES_tradnl"/>
        </w:rPr>
        <w:t>es de las Oficinas en lo que respecta a la notificación de su decisión definitiva en virtud de la Regla 18</w:t>
      </w:r>
      <w:r w:rsidRPr="00D72DBF">
        <w:rPr>
          <w:i/>
          <w:lang w:val="es-ES_tradnl"/>
        </w:rPr>
        <w:t>ter</w:t>
      </w:r>
      <w:r w:rsidR="00860C97" w:rsidRPr="00D72DBF">
        <w:rPr>
          <w:lang w:val="es-ES_tradnl"/>
        </w:rPr>
        <w:t xml:space="preserve">.2) o 3). </w:t>
      </w:r>
      <w:r w:rsidRPr="00D72DBF">
        <w:rPr>
          <w:lang w:val="es-ES_tradnl"/>
        </w:rPr>
        <w:t xml:space="preserve">Una vez que los titulares hayan respondido a las denegaciones provisionales y hayan cumplido los requisitos aplicables, por ejemplo, haber nombrado </w:t>
      </w:r>
      <w:r w:rsidR="00A1435B" w:rsidRPr="00D72DBF">
        <w:rPr>
          <w:lang w:val="es-ES_tradnl"/>
        </w:rPr>
        <w:t xml:space="preserve">a </w:t>
      </w:r>
      <w:r w:rsidRPr="00D72DBF">
        <w:rPr>
          <w:lang w:val="es-ES_tradnl"/>
        </w:rPr>
        <w:t xml:space="preserve">un </w:t>
      </w:r>
      <w:r w:rsidR="0085685F" w:rsidRPr="00D72DBF">
        <w:rPr>
          <w:lang w:val="es-ES_tradnl"/>
        </w:rPr>
        <w:t>mandatario</w:t>
      </w:r>
      <w:r w:rsidRPr="00D72DBF">
        <w:rPr>
          <w:lang w:val="es-ES_tradnl"/>
        </w:rPr>
        <w:t xml:space="preserve"> local, todos los demás procesos y plazos se ajustarían a la legislación y las prácticas aplicables.</w:t>
      </w:r>
    </w:p>
    <w:p w14:paraId="592F0B7B" w14:textId="498CBE52" w:rsidR="00A1435B" w:rsidRPr="00D72DBF" w:rsidRDefault="00A1435B" w:rsidP="00750682">
      <w:pPr>
        <w:pStyle w:val="ONUMFS"/>
        <w:rPr>
          <w:lang w:val="es-ES_tradnl"/>
        </w:rPr>
      </w:pPr>
      <w:r w:rsidRPr="00D72DBF">
        <w:rPr>
          <w:lang w:val="es-ES_tradnl"/>
        </w:rPr>
        <w:t xml:space="preserve">Sería beneficioso para todas las partes implicadas disponer de un </w:t>
      </w:r>
      <w:r w:rsidR="00D06AE9" w:rsidRPr="00D72DBF">
        <w:rPr>
          <w:lang w:val="es-ES_tradnl"/>
        </w:rPr>
        <w:t>plazo determinado</w:t>
      </w:r>
      <w:r w:rsidRPr="00D72DBF">
        <w:rPr>
          <w:lang w:val="es-ES_tradnl"/>
        </w:rPr>
        <w:t xml:space="preserve"> calculado a partir de la fecha en que la Oficina Internacional transmite </w:t>
      </w:r>
      <w:r w:rsidR="00B37AE8" w:rsidRPr="00D72DBF">
        <w:rPr>
          <w:lang w:val="es-ES_tradnl"/>
        </w:rPr>
        <w:t xml:space="preserve">al titular </w:t>
      </w:r>
      <w:r w:rsidRPr="00D72DBF">
        <w:rPr>
          <w:lang w:val="es-ES_tradnl"/>
        </w:rPr>
        <w:t>la notificación</w:t>
      </w:r>
      <w:r w:rsidR="00F775D9" w:rsidRPr="00D72DBF">
        <w:rPr>
          <w:lang w:val="es-ES_tradnl"/>
        </w:rPr>
        <w:t xml:space="preserve"> de denegación provisional. </w:t>
      </w:r>
      <w:r w:rsidRPr="00D72DBF">
        <w:rPr>
          <w:lang w:val="es-ES_tradnl"/>
        </w:rPr>
        <w:t xml:space="preserve">Este enfoque facilitaría a los titulares la gestión de su cartera de marcas, </w:t>
      </w:r>
      <w:r w:rsidR="00F775D9" w:rsidRPr="00D72DBF">
        <w:rPr>
          <w:lang w:val="es-ES_tradnl"/>
        </w:rPr>
        <w:t>aun</w:t>
      </w:r>
      <w:r w:rsidRPr="00D72DBF">
        <w:rPr>
          <w:lang w:val="es-ES_tradnl"/>
        </w:rPr>
        <w:t xml:space="preserve"> cuando reciban varias denegaciones provisionales de P</w:t>
      </w:r>
      <w:r w:rsidR="00860C97" w:rsidRPr="00D72DBF">
        <w:rPr>
          <w:lang w:val="es-ES_tradnl"/>
        </w:rPr>
        <w:t xml:space="preserve">artes Contratantes designadas. </w:t>
      </w:r>
      <w:r w:rsidR="00F775D9" w:rsidRPr="00D72DBF">
        <w:rPr>
          <w:lang w:val="es-ES_tradnl"/>
        </w:rPr>
        <w:t>El hecho de d</w:t>
      </w:r>
      <w:r w:rsidRPr="00D72DBF">
        <w:rPr>
          <w:lang w:val="es-ES_tradnl"/>
        </w:rPr>
        <w:t xml:space="preserve">isponer de un </w:t>
      </w:r>
      <w:r w:rsidR="00D06AE9" w:rsidRPr="00D72DBF">
        <w:rPr>
          <w:lang w:val="es-ES_tradnl"/>
        </w:rPr>
        <w:t>plazo determinado</w:t>
      </w:r>
      <w:r w:rsidRPr="00D72DBF">
        <w:rPr>
          <w:lang w:val="es-ES_tradnl"/>
        </w:rPr>
        <w:t xml:space="preserve"> y de un cálculo armonizado de dicho plazo no sólo sería beneficioso para el titular, sino que </w:t>
      </w:r>
      <w:r w:rsidR="00F775D9" w:rsidRPr="00D72DBF">
        <w:rPr>
          <w:lang w:val="es-ES_tradnl"/>
        </w:rPr>
        <w:t>situaría</w:t>
      </w:r>
      <w:r w:rsidRPr="00D72DBF">
        <w:rPr>
          <w:lang w:val="es-ES_tradnl"/>
        </w:rPr>
        <w:t xml:space="preserve"> a todos los usuarios del Sistema de Madrid</w:t>
      </w:r>
      <w:r w:rsidR="00F775D9" w:rsidRPr="00D72DBF">
        <w:rPr>
          <w:lang w:val="es-ES_tradnl"/>
        </w:rPr>
        <w:t xml:space="preserve"> en igualdad de condiciones</w:t>
      </w:r>
      <w:r w:rsidR="00F97998" w:rsidRPr="00D72DBF">
        <w:rPr>
          <w:lang w:val="es-ES_tradnl"/>
        </w:rPr>
        <w:t xml:space="preserve">. </w:t>
      </w:r>
      <w:r w:rsidR="0025484B" w:rsidRPr="00D72DBF">
        <w:rPr>
          <w:lang w:val="es-ES_tradnl"/>
        </w:rPr>
        <w:t>Además, s</w:t>
      </w:r>
      <w:r w:rsidRPr="00D72DBF">
        <w:rPr>
          <w:lang w:val="es-ES_tradnl"/>
        </w:rPr>
        <w:t xml:space="preserve">ería transparente para todas las partes interesadas, ya que las notificaciones de denegación provisional tendrían el mismo plazo y la Oficina Internacional podría indicar claramente la fecha </w:t>
      </w:r>
      <w:r w:rsidR="00F775D9" w:rsidRPr="00D72DBF">
        <w:rPr>
          <w:lang w:val="es-ES_tradnl"/>
        </w:rPr>
        <w:t>de vencimiento</w:t>
      </w:r>
      <w:r w:rsidRPr="00D72DBF">
        <w:rPr>
          <w:lang w:val="es-ES_tradnl"/>
        </w:rPr>
        <w:t xml:space="preserve"> de ese plazo cuando transmit</w:t>
      </w:r>
      <w:r w:rsidR="0025484B" w:rsidRPr="00D72DBF">
        <w:rPr>
          <w:lang w:val="es-ES_tradnl"/>
        </w:rPr>
        <w:t>ier</w:t>
      </w:r>
      <w:r w:rsidRPr="00D72DBF">
        <w:rPr>
          <w:lang w:val="es-ES_tradnl"/>
        </w:rPr>
        <w:t>a la notificación al titular.</w:t>
      </w:r>
    </w:p>
    <w:p w14:paraId="7CD865F1" w14:textId="77777777" w:rsidR="00F775D9" w:rsidRPr="00D72DBF" w:rsidRDefault="00F775D9" w:rsidP="00750682">
      <w:pPr>
        <w:pStyle w:val="ONUMFS"/>
        <w:rPr>
          <w:lang w:val="es-ES_tradnl"/>
        </w:rPr>
      </w:pPr>
      <w:r w:rsidRPr="00D72DBF">
        <w:rPr>
          <w:lang w:val="es-ES_tradnl"/>
        </w:rPr>
        <w:t>Varias delegaciones se han preguntado si el hecho de que en el Sistema de Madrid se establezcan plazos distintos de los fijados en la legislación aplicable daría lugar a un</w:t>
      </w:r>
      <w:r w:rsidR="0025484B" w:rsidRPr="00D72DBF">
        <w:rPr>
          <w:lang w:val="es-ES_tradnl"/>
        </w:rPr>
        <w:t>a diferencia de</w:t>
      </w:r>
      <w:r w:rsidRPr="00D72DBF">
        <w:rPr>
          <w:lang w:val="es-ES_tradnl"/>
        </w:rPr>
        <w:t xml:space="preserve"> trato </w:t>
      </w:r>
      <w:r w:rsidR="0025484B" w:rsidRPr="00D72DBF">
        <w:rPr>
          <w:lang w:val="es-ES_tradnl"/>
        </w:rPr>
        <w:t>entre</w:t>
      </w:r>
      <w:r w:rsidRPr="00D72DBF">
        <w:rPr>
          <w:lang w:val="es-ES_tradnl"/>
        </w:rPr>
        <w:t xml:space="preserve"> los usuarios del sistema nacional o regional y los usuarios del Sistema de Madrid. No sería así; los diferentes plazos no facilitarían a los usuarios del Sistema de Madrid la obtención de protección, sino que simplemente garantizarían que los titulares de </w:t>
      </w:r>
      <w:r w:rsidRPr="00D72DBF">
        <w:rPr>
          <w:lang w:val="es-ES_tradnl"/>
        </w:rPr>
        <w:lastRenderedPageBreak/>
        <w:t xml:space="preserve">derechos que utilizan el Sistema de Madrid tengan tiempo suficiente para designar a un abogado local </w:t>
      </w:r>
      <w:r w:rsidR="00F67E51" w:rsidRPr="00D72DBF">
        <w:rPr>
          <w:lang w:val="es-ES_tradnl"/>
        </w:rPr>
        <w:t>a fin de</w:t>
      </w:r>
      <w:r w:rsidRPr="00D72DBF">
        <w:rPr>
          <w:lang w:val="es-ES_tradnl"/>
        </w:rPr>
        <w:t xml:space="preserve"> impugn</w:t>
      </w:r>
      <w:r w:rsidR="00F67E51" w:rsidRPr="00D72DBF">
        <w:rPr>
          <w:lang w:val="es-ES_tradnl"/>
        </w:rPr>
        <w:t>ar</w:t>
      </w:r>
      <w:r w:rsidRPr="00D72DBF">
        <w:rPr>
          <w:lang w:val="es-ES_tradnl"/>
        </w:rPr>
        <w:t xml:space="preserve"> una denegación.</w:t>
      </w:r>
    </w:p>
    <w:p w14:paraId="14CBBCD9" w14:textId="2F6041A2" w:rsidR="004B5AE2" w:rsidRPr="00D72DBF" w:rsidRDefault="004B5AE2" w:rsidP="00750682">
      <w:pPr>
        <w:pStyle w:val="ONUMFS"/>
        <w:spacing w:after="480"/>
        <w:rPr>
          <w:lang w:val="es-ES_tradnl"/>
        </w:rPr>
      </w:pPr>
      <w:r w:rsidRPr="00D72DBF">
        <w:rPr>
          <w:lang w:val="es-ES_tradnl"/>
        </w:rPr>
        <w:t>Las medidas necesarias adoptadas durante la pandemia de COVID-19, que dieron lugar al cierre de algunas oficinas y a la interrupción de los servicios postales, han puesto de relieve la importancia y la necesidad de que la Oficina Internacional disponga de una comunicació</w:t>
      </w:r>
      <w:r w:rsidR="0026183A" w:rsidRPr="00D72DBF">
        <w:rPr>
          <w:lang w:val="es-ES_tradnl"/>
        </w:rPr>
        <w:t>n electrónica con sus usuarios, a saber, O</w:t>
      </w:r>
      <w:r w:rsidRPr="00D72DBF">
        <w:rPr>
          <w:lang w:val="es-ES_tradnl"/>
        </w:rPr>
        <w:t>ficinas, solicitante</w:t>
      </w:r>
      <w:r w:rsidR="00AA6721" w:rsidRPr="00D72DBF">
        <w:rPr>
          <w:lang w:val="es-ES_tradnl"/>
        </w:rPr>
        <w:t xml:space="preserve">s, titulares y representantes. </w:t>
      </w:r>
      <w:r w:rsidRPr="00D72DBF">
        <w:rPr>
          <w:lang w:val="es-ES_tradnl"/>
        </w:rPr>
        <w:t xml:space="preserve">Por consiguiente, </w:t>
      </w:r>
      <w:r w:rsidR="00767248" w:rsidRPr="00D72DBF">
        <w:rPr>
          <w:lang w:val="es-ES_tradnl"/>
        </w:rPr>
        <w:t>sería un avance positivo y muy necesario</w:t>
      </w:r>
      <w:r w:rsidR="00767248" w:rsidRPr="00D72DBF">
        <w:rPr>
          <w:vertAlign w:val="superscript"/>
          <w:lang w:val="es-ES_tradnl"/>
        </w:rPr>
        <w:t xml:space="preserve"> </w:t>
      </w:r>
      <w:r w:rsidR="00767248" w:rsidRPr="00D72DBF">
        <w:rPr>
          <w:lang w:val="es-ES_tradnl"/>
        </w:rPr>
        <w:t xml:space="preserve">que </w:t>
      </w:r>
      <w:r w:rsidRPr="00D72DBF">
        <w:rPr>
          <w:lang w:val="es-ES_tradnl"/>
        </w:rPr>
        <w:t xml:space="preserve">el Grupo de Trabajo </w:t>
      </w:r>
      <w:r w:rsidR="00EF4CF5" w:rsidRPr="00D72DBF">
        <w:rPr>
          <w:lang w:val="es-ES_tradnl"/>
        </w:rPr>
        <w:t>convi</w:t>
      </w:r>
      <w:r w:rsidR="00767248" w:rsidRPr="00D72DBF">
        <w:rPr>
          <w:lang w:val="es-ES_tradnl"/>
        </w:rPr>
        <w:t>niera</w:t>
      </w:r>
      <w:r w:rsidRPr="00D72DBF">
        <w:rPr>
          <w:lang w:val="es-ES_tradnl"/>
        </w:rPr>
        <w:t xml:space="preserve"> </w:t>
      </w:r>
      <w:r w:rsidR="00EF4CF5" w:rsidRPr="00D72DBF">
        <w:rPr>
          <w:lang w:val="es-ES_tradnl"/>
        </w:rPr>
        <w:t xml:space="preserve">en </w:t>
      </w:r>
      <w:r w:rsidRPr="00D72DBF">
        <w:rPr>
          <w:lang w:val="es-ES_tradnl"/>
        </w:rPr>
        <w:t>que todas las comunicaciones en el marco del Sistema de Madrid se intercambi</w:t>
      </w:r>
      <w:r w:rsidR="00AA6721" w:rsidRPr="00D72DBF">
        <w:rPr>
          <w:lang w:val="es-ES_tradnl"/>
        </w:rPr>
        <w:t>en</w:t>
      </w:r>
      <w:r w:rsidRPr="00D72DBF">
        <w:rPr>
          <w:lang w:val="es-ES_tradnl"/>
        </w:rPr>
        <w:t xml:space="preserve"> por medios electrónicos</w:t>
      </w:r>
      <w:r w:rsidR="00BB6E1D" w:rsidRPr="00D72DBF">
        <w:rPr>
          <w:lang w:val="es-ES_tradnl"/>
        </w:rPr>
        <w:fldChar w:fldCharType="begin"/>
      </w:r>
      <w:r w:rsidR="00BB6E1D" w:rsidRPr="00D72DBF">
        <w:rPr>
          <w:lang w:val="es-ES_tradnl"/>
        </w:rPr>
        <w:instrText xml:space="preserve"> NOTEREF _Ref46839465 \h  \* MERGEFORMAT </w:instrText>
      </w:r>
      <w:r w:rsidR="00BB6E1D" w:rsidRPr="00D72DBF">
        <w:rPr>
          <w:lang w:val="es-ES_tradnl"/>
        </w:rPr>
      </w:r>
      <w:r w:rsidR="00BB6E1D" w:rsidRPr="00D72DBF">
        <w:rPr>
          <w:lang w:val="es-ES_tradnl"/>
        </w:rPr>
        <w:fldChar w:fldCharType="separate"/>
      </w:r>
      <w:r w:rsidR="00C174B6">
        <w:rPr>
          <w:lang w:val="es-ES_tradnl"/>
        </w:rPr>
        <w:t>1</w:t>
      </w:r>
      <w:r w:rsidR="00BB6E1D" w:rsidRPr="00D72DBF">
        <w:rPr>
          <w:lang w:val="es-ES_tradnl"/>
        </w:rPr>
        <w:fldChar w:fldCharType="end"/>
      </w:r>
      <w:r w:rsidR="000B3E78" w:rsidRPr="00D72DBF">
        <w:rPr>
          <w:lang w:val="es-ES_tradnl"/>
        </w:rPr>
        <w:t>.</w:t>
      </w:r>
    </w:p>
    <w:p w14:paraId="671892B1" w14:textId="77777777" w:rsidR="00B613A3" w:rsidRPr="0068452F" w:rsidRDefault="00B613A3" w:rsidP="0068452F">
      <w:pPr>
        <w:pStyle w:val="Heading1"/>
      </w:pPr>
      <w:r w:rsidRPr="0068452F">
        <w:t xml:space="preserve">PLAZOS Y </w:t>
      </w:r>
      <w:r w:rsidR="00D15392" w:rsidRPr="0068452F">
        <w:t xml:space="preserve">SU </w:t>
      </w:r>
      <w:r w:rsidRPr="0068452F">
        <w:t>C</w:t>
      </w:r>
      <w:r w:rsidR="00D15392" w:rsidRPr="0068452F">
        <w:t>ÁLCULO</w:t>
      </w:r>
    </w:p>
    <w:p w14:paraId="34C0838B" w14:textId="730EEEE1" w:rsidR="000E14F7" w:rsidRPr="00D72DBF" w:rsidRDefault="000E14F7" w:rsidP="00750682">
      <w:pPr>
        <w:pStyle w:val="ONUMFS"/>
        <w:rPr>
          <w:lang w:val="es-ES_tradnl"/>
        </w:rPr>
      </w:pPr>
      <w:r w:rsidRPr="00D72DBF">
        <w:rPr>
          <w:lang w:val="es-ES_tradnl"/>
        </w:rPr>
        <w:t xml:space="preserve">Los plazos para responder a las denegaciones provisionales, junto con las diferentes </w:t>
      </w:r>
      <w:r w:rsidR="00B32964" w:rsidRPr="00D72DBF">
        <w:rPr>
          <w:lang w:val="es-ES_tradnl"/>
        </w:rPr>
        <w:t>forma</w:t>
      </w:r>
      <w:r w:rsidRPr="00D72DBF">
        <w:rPr>
          <w:lang w:val="es-ES_tradnl"/>
        </w:rPr>
        <w:t>s en que las di</w:t>
      </w:r>
      <w:r w:rsidR="000627E2" w:rsidRPr="00D72DBF">
        <w:rPr>
          <w:lang w:val="es-ES_tradnl"/>
        </w:rPr>
        <w:t>versa</w:t>
      </w:r>
      <w:r w:rsidRPr="00D72DBF">
        <w:rPr>
          <w:lang w:val="es-ES_tradnl"/>
        </w:rPr>
        <w:t>s Partes Contratantes los calculan, tienen un efecto considerable en el tiempo de que dispone el titular para responder a una notificación de denegación provisional.</w:t>
      </w:r>
      <w:r w:rsidR="00D72DBF">
        <w:rPr>
          <w:lang w:val="es-ES_tradnl"/>
        </w:rPr>
        <w:t xml:space="preserve"> </w:t>
      </w:r>
      <w:r w:rsidRPr="00D72DBF">
        <w:rPr>
          <w:lang w:val="es-ES_tradnl"/>
        </w:rPr>
        <w:t>Por lo tanto, es conveniente examinar estas cuestiones conjuntamente, y no por separado.</w:t>
      </w:r>
    </w:p>
    <w:p w14:paraId="58832CE8" w14:textId="08673D75" w:rsidR="000E14F7" w:rsidRPr="00D72DBF" w:rsidRDefault="000E14F7" w:rsidP="00750682">
      <w:pPr>
        <w:pStyle w:val="ONUMFS"/>
        <w:rPr>
          <w:lang w:val="es-ES_tradnl"/>
        </w:rPr>
      </w:pPr>
      <w:r w:rsidRPr="00D72DBF">
        <w:rPr>
          <w:lang w:val="es-ES_tradnl"/>
        </w:rPr>
        <w:t xml:space="preserve">Las conclusiones de una encuesta realizada por la Oficina Internacional y presentada a la </w:t>
      </w:r>
      <w:r w:rsidR="000627E2" w:rsidRPr="00D72DBF">
        <w:rPr>
          <w:lang w:val="es-ES_tradnl"/>
        </w:rPr>
        <w:t>m</w:t>
      </w:r>
      <w:r w:rsidRPr="00D72DBF">
        <w:rPr>
          <w:lang w:val="es-ES_tradnl"/>
        </w:rPr>
        <w:t xml:space="preserve">esa </w:t>
      </w:r>
      <w:r w:rsidR="000627E2" w:rsidRPr="00D72DBF">
        <w:rPr>
          <w:lang w:val="es-ES_tradnl"/>
        </w:rPr>
        <w:t>r</w:t>
      </w:r>
      <w:r w:rsidRPr="00D72DBF">
        <w:rPr>
          <w:lang w:val="es-ES_tradnl"/>
        </w:rPr>
        <w:t>edonda del Grupo de Trabajo en 2014</w:t>
      </w:r>
      <w:r w:rsidR="0070761C" w:rsidRPr="00D72DBF">
        <w:rPr>
          <w:vertAlign w:val="superscript"/>
          <w:lang w:val="es-ES_tradnl"/>
        </w:rPr>
        <w:footnoteReference w:id="3"/>
      </w:r>
      <w:r w:rsidRPr="00D72DBF">
        <w:rPr>
          <w:lang w:val="es-ES_tradnl"/>
        </w:rPr>
        <w:t xml:space="preserve"> (denominada en adelante "la encuesta"), mostraron que los plazos concedidos por las Oficinas de las Partes Contratantes para responder a una deneg</w:t>
      </w:r>
      <w:r w:rsidR="00AA6721" w:rsidRPr="00D72DBF">
        <w:rPr>
          <w:lang w:val="es-ES_tradnl"/>
        </w:rPr>
        <w:t>ación provisional varían</w:t>
      </w:r>
      <w:r w:rsidRPr="00D72DBF">
        <w:rPr>
          <w:lang w:val="es-ES_tradnl"/>
        </w:rPr>
        <w:t xml:space="preserve"> considerablemente,</w:t>
      </w:r>
      <w:r w:rsidR="00AA6721" w:rsidRPr="00D72DBF">
        <w:rPr>
          <w:lang w:val="es-ES_tradnl"/>
        </w:rPr>
        <w:t xml:space="preserve"> desde 15 días hasta 15 meses. </w:t>
      </w:r>
      <w:r w:rsidRPr="00D72DBF">
        <w:rPr>
          <w:lang w:val="es-ES_tradnl"/>
        </w:rPr>
        <w:t xml:space="preserve">Además, la encuesta </w:t>
      </w:r>
      <w:r w:rsidR="00F07295" w:rsidRPr="00D72DBF">
        <w:rPr>
          <w:lang w:val="es-ES_tradnl"/>
        </w:rPr>
        <w:t>indicó</w:t>
      </w:r>
      <w:r w:rsidRPr="00D72DBF">
        <w:rPr>
          <w:lang w:val="es-ES_tradnl"/>
        </w:rPr>
        <w:t xml:space="preserve"> que las Partes Contratantes calculan esos plazos de </w:t>
      </w:r>
      <w:r w:rsidR="00B32964" w:rsidRPr="00D72DBF">
        <w:rPr>
          <w:lang w:val="es-ES_tradnl"/>
        </w:rPr>
        <w:t>forma</w:t>
      </w:r>
      <w:r w:rsidR="00AA6721" w:rsidRPr="00D72DBF">
        <w:rPr>
          <w:lang w:val="es-ES_tradnl"/>
        </w:rPr>
        <w:t xml:space="preserve"> diferente. </w:t>
      </w:r>
      <w:r w:rsidRPr="00D72DBF">
        <w:rPr>
          <w:lang w:val="es-ES_tradnl"/>
        </w:rPr>
        <w:t xml:space="preserve">En el documento MM/LD/WG/17/5 y, en particular, en </w:t>
      </w:r>
      <w:r w:rsidR="00B712B8" w:rsidRPr="00D72DBF">
        <w:rPr>
          <w:lang w:val="es-ES_tradnl"/>
        </w:rPr>
        <w:t>su</w:t>
      </w:r>
      <w:r w:rsidRPr="00D72DBF">
        <w:rPr>
          <w:lang w:val="es-ES_tradnl"/>
        </w:rPr>
        <w:t xml:space="preserve"> párrafo 19, se ilustran los problemas prácticos a los que se enfrentan los titulares al recibir múltiples notificaciones de denegaciones provisionales</w:t>
      </w:r>
      <w:r w:rsidR="0044153C" w:rsidRPr="00D72DBF">
        <w:rPr>
          <w:vertAlign w:val="superscript"/>
          <w:lang w:val="es-ES_tradnl"/>
        </w:rPr>
        <w:footnoteReference w:id="4"/>
      </w:r>
      <w:r w:rsidRPr="00D72DBF">
        <w:rPr>
          <w:lang w:val="es-ES_tradnl"/>
        </w:rPr>
        <w:t>.</w:t>
      </w:r>
    </w:p>
    <w:p w14:paraId="3B5EB013" w14:textId="556F6E94" w:rsidR="00954FAE" w:rsidRPr="00D72DBF" w:rsidRDefault="00B11C7A" w:rsidP="00750682">
      <w:pPr>
        <w:pStyle w:val="ONUMFS"/>
        <w:rPr>
          <w:lang w:val="es-ES_tradnl"/>
        </w:rPr>
      </w:pPr>
      <w:bookmarkStart w:id="5" w:name="_Ref5781685"/>
      <w:r w:rsidRPr="00D72DBF">
        <w:rPr>
          <w:lang w:val="es-ES_tradnl"/>
        </w:rPr>
        <w:t xml:space="preserve">En la </w:t>
      </w:r>
      <w:r w:rsidR="00954FAE" w:rsidRPr="00D72DBF">
        <w:rPr>
          <w:lang w:val="es-ES_tradnl"/>
        </w:rPr>
        <w:t xml:space="preserve">Regla </w:t>
      </w:r>
      <w:proofErr w:type="gramStart"/>
      <w:r w:rsidR="00954FAE" w:rsidRPr="00D72DBF">
        <w:rPr>
          <w:lang w:val="es-ES_tradnl"/>
        </w:rPr>
        <w:t>17.2)vii</w:t>
      </w:r>
      <w:proofErr w:type="gramEnd"/>
      <w:r w:rsidR="00954FAE" w:rsidRPr="00D72DBF">
        <w:rPr>
          <w:lang w:val="es-ES_tradnl"/>
        </w:rPr>
        <w:t>) del Reglamento se establece que el plazo para responder a una denegación provisional debe</w:t>
      </w:r>
      <w:r w:rsidR="00892691" w:rsidRPr="00D72DBF">
        <w:rPr>
          <w:lang w:val="es-ES_tradnl"/>
        </w:rPr>
        <w:t>rá</w:t>
      </w:r>
      <w:r w:rsidR="00954FAE" w:rsidRPr="00D72DBF">
        <w:rPr>
          <w:lang w:val="es-ES_tradnl"/>
        </w:rPr>
        <w:t xml:space="preserve"> ser "razonable en</w:t>
      </w:r>
      <w:r w:rsidR="00892691" w:rsidRPr="00D72DBF">
        <w:rPr>
          <w:lang w:val="es-ES_tradnl"/>
        </w:rPr>
        <w:t xml:space="preserve"> función de</w:t>
      </w:r>
      <w:r w:rsidR="00AA6721" w:rsidRPr="00D72DBF">
        <w:rPr>
          <w:lang w:val="es-ES_tradnl"/>
        </w:rPr>
        <w:t xml:space="preserve"> las circunstancias". </w:t>
      </w:r>
      <w:r w:rsidR="00954FAE" w:rsidRPr="00D72DBF">
        <w:rPr>
          <w:lang w:val="es-ES_tradnl"/>
        </w:rPr>
        <w:t xml:space="preserve">Si bien en </w:t>
      </w:r>
      <w:r w:rsidR="000064B0" w:rsidRPr="00D72DBF">
        <w:rPr>
          <w:lang w:val="es-ES_tradnl"/>
        </w:rPr>
        <w:t>est</w:t>
      </w:r>
      <w:r w:rsidR="00954FAE" w:rsidRPr="00D72DBF">
        <w:rPr>
          <w:lang w:val="es-ES_tradnl"/>
        </w:rPr>
        <w:t xml:space="preserve">a Regla se indica que sería preferible que las Oficinas indicaran claramente en la notificación de la denegación provisional la fecha </w:t>
      </w:r>
      <w:r w:rsidR="00892691" w:rsidRPr="00D72DBF">
        <w:rPr>
          <w:lang w:val="es-ES_tradnl"/>
        </w:rPr>
        <w:t>de vencimiento</w:t>
      </w:r>
      <w:r w:rsidR="00954FAE" w:rsidRPr="00D72DBF">
        <w:rPr>
          <w:lang w:val="es-ES_tradnl"/>
        </w:rPr>
        <w:t xml:space="preserve"> del plazo, no se trata de un requisito estricto ni </w:t>
      </w:r>
      <w:r w:rsidR="00471873" w:rsidRPr="00D72DBF">
        <w:rPr>
          <w:lang w:val="es-ES_tradnl"/>
        </w:rPr>
        <w:t>est</w:t>
      </w:r>
      <w:r w:rsidR="00954FAE" w:rsidRPr="00D72DBF">
        <w:rPr>
          <w:lang w:val="es-ES_tradnl"/>
        </w:rPr>
        <w:t xml:space="preserve">a Regla impone requisito </w:t>
      </w:r>
      <w:r w:rsidR="00471873" w:rsidRPr="00D72DBF">
        <w:rPr>
          <w:lang w:val="es-ES_tradnl"/>
        </w:rPr>
        <w:t xml:space="preserve">alguno </w:t>
      </w:r>
      <w:r w:rsidR="00954FAE" w:rsidRPr="00D72DBF">
        <w:rPr>
          <w:lang w:val="es-ES_tradnl"/>
        </w:rPr>
        <w:t>sobre la forma en que la Oficina debe calcular el plazo.</w:t>
      </w:r>
      <w:r w:rsidR="00D72DBF">
        <w:rPr>
          <w:lang w:val="es-ES_tradnl"/>
        </w:rPr>
        <w:t xml:space="preserve"> </w:t>
      </w:r>
      <w:r w:rsidR="00954FAE" w:rsidRPr="00D72DBF">
        <w:rPr>
          <w:lang w:val="es-ES_tradnl"/>
        </w:rPr>
        <w:t>Por lo tanto, en la actualidad, se deja a</w:t>
      </w:r>
      <w:r w:rsidR="00DB0188" w:rsidRPr="00D72DBF">
        <w:rPr>
          <w:lang w:val="es-ES_tradnl"/>
        </w:rPr>
        <w:t>l arbitrio de</w:t>
      </w:r>
      <w:r w:rsidR="00954FAE" w:rsidRPr="00D72DBF">
        <w:rPr>
          <w:lang w:val="es-ES_tradnl"/>
        </w:rPr>
        <w:t xml:space="preserve"> las Partes Contratantes la tarea de indicar el plazo y la forma en que </w:t>
      </w:r>
      <w:r w:rsidR="00DB0188" w:rsidRPr="00D72DBF">
        <w:rPr>
          <w:lang w:val="es-ES_tradnl"/>
        </w:rPr>
        <w:t xml:space="preserve">este </w:t>
      </w:r>
      <w:r w:rsidR="00954FAE" w:rsidRPr="00D72DBF">
        <w:rPr>
          <w:lang w:val="es-ES_tradnl"/>
        </w:rPr>
        <w:t>se calcula, de conformidad con su legislación y</w:t>
      </w:r>
      <w:r w:rsidR="007B18E4" w:rsidRPr="00D72DBF">
        <w:rPr>
          <w:lang w:val="es-ES_tradnl"/>
        </w:rPr>
        <w:t xml:space="preserve"> sus</w:t>
      </w:r>
      <w:r w:rsidR="00954FAE" w:rsidRPr="00D72DBF">
        <w:rPr>
          <w:lang w:val="es-ES_tradnl"/>
        </w:rPr>
        <w:t xml:space="preserve"> prácticas internas.</w:t>
      </w:r>
    </w:p>
    <w:bookmarkEnd w:id="5"/>
    <w:p w14:paraId="3A95A30B" w14:textId="77777777" w:rsidR="007B18E4" w:rsidRPr="00D72DBF" w:rsidRDefault="007B18E4" w:rsidP="00750682">
      <w:pPr>
        <w:pStyle w:val="ONUMFS"/>
        <w:rPr>
          <w:lang w:val="es-ES_tradnl"/>
        </w:rPr>
      </w:pPr>
      <w:r w:rsidRPr="00D72DBF">
        <w:rPr>
          <w:lang w:val="es-ES_tradnl"/>
        </w:rPr>
        <w:t>Los titulares han indicado que las grandes diferencias que existen en los plazos establecidos por las Partes Contratantes y, de igual modo, la forma en que se calculan esos plazos, sin que en las notificaciones se indique</w:t>
      </w:r>
      <w:r w:rsidR="0050720E" w:rsidRPr="00D72DBF">
        <w:rPr>
          <w:lang w:val="es-ES_tradnl"/>
        </w:rPr>
        <w:t>n</w:t>
      </w:r>
      <w:r w:rsidRPr="00D72DBF">
        <w:rPr>
          <w:lang w:val="es-ES_tradnl"/>
        </w:rPr>
        <w:t xml:space="preserve"> la</w:t>
      </w:r>
      <w:r w:rsidR="0050720E" w:rsidRPr="00D72DBF">
        <w:rPr>
          <w:lang w:val="es-ES_tradnl"/>
        </w:rPr>
        <w:t>s</w:t>
      </w:r>
      <w:r w:rsidRPr="00D72DBF">
        <w:rPr>
          <w:lang w:val="es-ES_tradnl"/>
        </w:rPr>
        <w:t xml:space="preserve"> fecha</w:t>
      </w:r>
      <w:r w:rsidR="0050720E" w:rsidRPr="00D72DBF">
        <w:rPr>
          <w:lang w:val="es-ES_tradnl"/>
        </w:rPr>
        <w:t>s</w:t>
      </w:r>
      <w:r w:rsidRPr="00D72DBF">
        <w:rPr>
          <w:lang w:val="es-ES_tradnl"/>
        </w:rPr>
        <w:t xml:space="preserve"> de vencimiento, los </w:t>
      </w:r>
      <w:r w:rsidR="006F3B7F" w:rsidRPr="00D72DBF">
        <w:rPr>
          <w:lang w:val="es-ES_tradnl"/>
        </w:rPr>
        <w:t xml:space="preserve">convierten </w:t>
      </w:r>
      <w:r w:rsidRPr="00D72DBF">
        <w:rPr>
          <w:lang w:val="es-ES_tradnl"/>
        </w:rPr>
        <w:t xml:space="preserve">en confusos y difíciles de </w:t>
      </w:r>
      <w:r w:rsidR="006F3B7F" w:rsidRPr="00D72DBF">
        <w:rPr>
          <w:lang w:val="es-ES_tradnl"/>
        </w:rPr>
        <w:t>gestion</w:t>
      </w:r>
      <w:r w:rsidRPr="00D72DBF">
        <w:rPr>
          <w:lang w:val="es-ES_tradnl"/>
        </w:rPr>
        <w:t>ar.</w:t>
      </w:r>
    </w:p>
    <w:p w14:paraId="199CA42E" w14:textId="73D4F414" w:rsidR="006F3B7F" w:rsidRPr="00D72DBF" w:rsidRDefault="00ED0635" w:rsidP="0068452F">
      <w:pPr>
        <w:pStyle w:val="ONUMFS"/>
        <w:keepNext/>
        <w:keepLines/>
        <w:rPr>
          <w:lang w:val="es-ES_tradnl"/>
        </w:rPr>
      </w:pPr>
      <w:r w:rsidRPr="00D72DBF">
        <w:rPr>
          <w:lang w:val="es-ES_tradnl"/>
        </w:rPr>
        <w:t>En la actualidad</w:t>
      </w:r>
      <w:r w:rsidR="006F3B7F" w:rsidRPr="00D72DBF">
        <w:rPr>
          <w:lang w:val="es-ES_tradnl"/>
        </w:rPr>
        <w:t xml:space="preserve">, la fecha de inicio del plazo para responder a una denegación provisional puede calcularse de cuatro </w:t>
      </w:r>
      <w:r w:rsidR="00B32964" w:rsidRPr="00D72DBF">
        <w:rPr>
          <w:lang w:val="es-ES_tradnl"/>
        </w:rPr>
        <w:t>forma</w:t>
      </w:r>
      <w:r w:rsidR="00750682" w:rsidRPr="00D72DBF">
        <w:rPr>
          <w:lang w:val="es-ES_tradnl"/>
        </w:rPr>
        <w:t>s diferentes, a saber:</w:t>
      </w:r>
    </w:p>
    <w:p w14:paraId="2953419E" w14:textId="77777777" w:rsidR="00ED0635" w:rsidRPr="00D72DBF" w:rsidRDefault="007220F8" w:rsidP="00750682">
      <w:pPr>
        <w:pStyle w:val="ONUMFS"/>
        <w:numPr>
          <w:ilvl w:val="0"/>
          <w:numId w:val="14"/>
        </w:numPr>
        <w:ind w:left="567"/>
        <w:rPr>
          <w:lang w:val="es-ES_tradnl"/>
        </w:rPr>
      </w:pPr>
      <w:r w:rsidRPr="00D72DBF">
        <w:rPr>
          <w:lang w:val="es-ES_tradnl"/>
        </w:rPr>
        <w:t xml:space="preserve">a partir de </w:t>
      </w:r>
      <w:r w:rsidR="00ED0635" w:rsidRPr="00D72DBF">
        <w:rPr>
          <w:lang w:val="es-ES_tradnl"/>
        </w:rPr>
        <w:t>la fecha en que la Oficina emite la denegación provisional;</w:t>
      </w:r>
    </w:p>
    <w:p w14:paraId="7A091A1E" w14:textId="77777777" w:rsidR="007220F8" w:rsidRPr="00D72DBF" w:rsidRDefault="007220F8" w:rsidP="00750682">
      <w:pPr>
        <w:pStyle w:val="ONUMFS"/>
        <w:numPr>
          <w:ilvl w:val="0"/>
          <w:numId w:val="14"/>
        </w:numPr>
        <w:ind w:left="567"/>
        <w:rPr>
          <w:lang w:val="es-ES_tradnl"/>
        </w:rPr>
      </w:pPr>
      <w:r w:rsidRPr="00D72DBF">
        <w:rPr>
          <w:lang w:val="es-ES_tradnl"/>
        </w:rPr>
        <w:t>a partir de la fecha en que la Oficina envía la notificación a la Oficina Internacional;</w:t>
      </w:r>
    </w:p>
    <w:p w14:paraId="4A3BFB4A" w14:textId="77777777" w:rsidR="007220A2" w:rsidRPr="00D72DBF" w:rsidRDefault="007220A2" w:rsidP="00750682">
      <w:pPr>
        <w:pStyle w:val="ONUMFS"/>
        <w:numPr>
          <w:ilvl w:val="0"/>
          <w:numId w:val="14"/>
        </w:numPr>
        <w:ind w:left="567"/>
        <w:rPr>
          <w:lang w:val="es-ES_tradnl"/>
        </w:rPr>
      </w:pPr>
      <w:r w:rsidRPr="00D72DBF">
        <w:rPr>
          <w:lang w:val="es-ES_tradnl"/>
        </w:rPr>
        <w:t>a partir de la fecha en que la Oficina Internacional transmite la notificación al titular; o</w:t>
      </w:r>
    </w:p>
    <w:p w14:paraId="7A24329A" w14:textId="77777777" w:rsidR="007220A2" w:rsidRPr="00D72DBF" w:rsidRDefault="007220A2" w:rsidP="00750682">
      <w:pPr>
        <w:pStyle w:val="ONUMFS"/>
        <w:numPr>
          <w:ilvl w:val="0"/>
          <w:numId w:val="14"/>
        </w:numPr>
        <w:ind w:left="567"/>
        <w:rPr>
          <w:lang w:val="es-ES_tradnl"/>
        </w:rPr>
      </w:pPr>
      <w:r w:rsidRPr="00D72DBF">
        <w:rPr>
          <w:lang w:val="es-ES_tradnl"/>
        </w:rPr>
        <w:t>a partir de la fecha en que el titular recibe la notificación de la Oficina Internacional.</w:t>
      </w:r>
    </w:p>
    <w:p w14:paraId="59B62D4A" w14:textId="77777777" w:rsidR="007220A2" w:rsidRPr="00D72DBF" w:rsidRDefault="007220A2" w:rsidP="00750682">
      <w:pPr>
        <w:pStyle w:val="ONUMFS"/>
        <w:rPr>
          <w:lang w:val="es-ES_tradnl"/>
        </w:rPr>
      </w:pPr>
      <w:r w:rsidRPr="00D72DBF">
        <w:rPr>
          <w:lang w:val="es-ES_tradnl"/>
        </w:rPr>
        <w:t xml:space="preserve">Además de las diferentes </w:t>
      </w:r>
      <w:r w:rsidR="00B32964" w:rsidRPr="00D72DBF">
        <w:rPr>
          <w:lang w:val="es-ES_tradnl"/>
        </w:rPr>
        <w:t>forma</w:t>
      </w:r>
      <w:r w:rsidRPr="00D72DBF">
        <w:rPr>
          <w:lang w:val="es-ES_tradnl"/>
        </w:rPr>
        <w:t xml:space="preserve">s de calcular los plazos, el tiempo real </w:t>
      </w:r>
      <w:r w:rsidR="00335C53" w:rsidRPr="00D72DBF">
        <w:rPr>
          <w:lang w:val="es-ES_tradnl"/>
        </w:rPr>
        <w:t xml:space="preserve">de </w:t>
      </w:r>
      <w:r w:rsidRPr="00D72DBF">
        <w:rPr>
          <w:lang w:val="es-ES_tradnl"/>
        </w:rPr>
        <w:t xml:space="preserve">que </w:t>
      </w:r>
      <w:r w:rsidR="00335C53" w:rsidRPr="00D72DBF">
        <w:rPr>
          <w:lang w:val="es-ES_tradnl"/>
        </w:rPr>
        <w:t xml:space="preserve">dispone </w:t>
      </w:r>
      <w:r w:rsidRPr="00D72DBF">
        <w:rPr>
          <w:lang w:val="es-ES_tradnl"/>
        </w:rPr>
        <w:t xml:space="preserve">el titular para responder a la notificación podría acortarse aún más </w:t>
      </w:r>
      <w:r w:rsidR="00335C53" w:rsidRPr="00D72DBF">
        <w:rPr>
          <w:lang w:val="es-ES_tradnl"/>
        </w:rPr>
        <w:t>en función de</w:t>
      </w:r>
      <w:r w:rsidRPr="00D72DBF">
        <w:rPr>
          <w:lang w:val="es-ES_tradnl"/>
        </w:rPr>
        <w:t xml:space="preserve"> los medios de comunicación entre la Oficina y la Oficina Internacional; el </w:t>
      </w:r>
      <w:r w:rsidR="000A2665" w:rsidRPr="00D72DBF">
        <w:rPr>
          <w:lang w:val="es-ES_tradnl"/>
        </w:rPr>
        <w:t>trámite</w:t>
      </w:r>
      <w:r w:rsidRPr="00D72DBF">
        <w:rPr>
          <w:lang w:val="es-ES_tradnl"/>
        </w:rPr>
        <w:t xml:space="preserve"> necesario emprendido por la Oficina Internacional, que </w:t>
      </w:r>
      <w:r w:rsidR="000A2665" w:rsidRPr="00D72DBF">
        <w:rPr>
          <w:lang w:val="es-ES_tradnl"/>
        </w:rPr>
        <w:t>dur</w:t>
      </w:r>
      <w:r w:rsidRPr="00D72DBF">
        <w:rPr>
          <w:lang w:val="es-ES_tradnl"/>
        </w:rPr>
        <w:t xml:space="preserve">a un promedio de 12 días naturales; y los medios de comunicación entre la Oficina Internacional y </w:t>
      </w:r>
      <w:r w:rsidR="005D6341" w:rsidRPr="00D72DBF">
        <w:rPr>
          <w:lang w:val="es-ES_tradnl"/>
        </w:rPr>
        <w:t xml:space="preserve">el titular. </w:t>
      </w:r>
      <w:r w:rsidRPr="00D72DBF">
        <w:rPr>
          <w:lang w:val="es-ES_tradnl"/>
        </w:rPr>
        <w:t>Como se ha indicado anteriormente, el intercambio electrónico de comunicaciones sería de gran ayuda para los titulares a este respecto.</w:t>
      </w:r>
    </w:p>
    <w:p w14:paraId="3CF446BA" w14:textId="631EE0B5" w:rsidR="00552B42" w:rsidRPr="00D72DBF" w:rsidRDefault="00552B42" w:rsidP="00750682">
      <w:pPr>
        <w:pStyle w:val="ONUMFS"/>
        <w:spacing w:after="240"/>
        <w:rPr>
          <w:lang w:val="es-ES_tradnl"/>
        </w:rPr>
      </w:pPr>
      <w:r w:rsidRPr="00D72DBF">
        <w:rPr>
          <w:lang w:val="es-ES_tradnl"/>
        </w:rPr>
        <w:t xml:space="preserve">La </w:t>
      </w:r>
      <w:r w:rsidR="00B32964" w:rsidRPr="00D72DBF">
        <w:rPr>
          <w:lang w:val="es-ES_tradnl"/>
        </w:rPr>
        <w:t>forma</w:t>
      </w:r>
      <w:r w:rsidRPr="00D72DBF">
        <w:rPr>
          <w:lang w:val="es-ES_tradnl"/>
        </w:rPr>
        <w:t xml:space="preserve"> en que una Oficina calcula el plazo </w:t>
      </w:r>
      <w:r w:rsidR="005D6341" w:rsidRPr="00D72DBF">
        <w:rPr>
          <w:lang w:val="es-ES_tradnl"/>
        </w:rPr>
        <w:t>puede resultar</w:t>
      </w:r>
      <w:r w:rsidRPr="00D72DBF">
        <w:rPr>
          <w:lang w:val="es-ES_tradnl"/>
        </w:rPr>
        <w:t xml:space="preserve"> más o menos</w:t>
      </w:r>
      <w:r w:rsidR="00AA6721" w:rsidRPr="00D72DBF">
        <w:rPr>
          <w:lang w:val="es-ES_tradnl"/>
        </w:rPr>
        <w:t xml:space="preserve"> favorable para los titulares. </w:t>
      </w:r>
      <w:r w:rsidRPr="00D72DBF">
        <w:rPr>
          <w:lang w:val="es-ES_tradnl"/>
        </w:rPr>
        <w:t>Por ejemplo, un plazo de dos meses calculado a partir de la fe</w:t>
      </w:r>
      <w:bookmarkStart w:id="6" w:name="_GoBack"/>
      <w:bookmarkEnd w:id="6"/>
      <w:r w:rsidRPr="00D72DBF">
        <w:rPr>
          <w:lang w:val="es-ES_tradnl"/>
        </w:rPr>
        <w:t xml:space="preserve">cha en que la Oficina Internacional envía la notificación al titular podría </w:t>
      </w:r>
      <w:r w:rsidR="002960E6" w:rsidRPr="00D72DBF">
        <w:rPr>
          <w:lang w:val="es-ES_tradnl"/>
        </w:rPr>
        <w:t>tener como consecuencia</w:t>
      </w:r>
      <w:r w:rsidRPr="00D72DBF">
        <w:rPr>
          <w:lang w:val="es-ES_tradnl"/>
        </w:rPr>
        <w:t xml:space="preserve"> que </w:t>
      </w:r>
      <w:r w:rsidR="002960E6" w:rsidRPr="00D72DBF">
        <w:rPr>
          <w:lang w:val="es-ES_tradnl"/>
        </w:rPr>
        <w:t>e</w:t>
      </w:r>
      <w:r w:rsidRPr="00D72DBF">
        <w:rPr>
          <w:lang w:val="es-ES_tradnl"/>
        </w:rPr>
        <w:t xml:space="preserve">ste </w:t>
      </w:r>
      <w:r w:rsidR="005C6860" w:rsidRPr="00D72DBF">
        <w:rPr>
          <w:lang w:val="es-ES_tradnl"/>
        </w:rPr>
        <w:t xml:space="preserve">último </w:t>
      </w:r>
      <w:r w:rsidRPr="00D72DBF">
        <w:rPr>
          <w:lang w:val="es-ES_tradnl"/>
        </w:rPr>
        <w:t xml:space="preserve">tuviera más tiempo para responder a una denegación que </w:t>
      </w:r>
      <w:r w:rsidR="005C6860" w:rsidRPr="00D72DBF">
        <w:rPr>
          <w:lang w:val="es-ES_tradnl"/>
        </w:rPr>
        <w:t xml:space="preserve">en el supuesto de </w:t>
      </w:r>
      <w:r w:rsidRPr="00D72DBF">
        <w:rPr>
          <w:lang w:val="es-ES_tradnl"/>
        </w:rPr>
        <w:t xml:space="preserve">un plazo de tres meses calculado a partir de la fecha </w:t>
      </w:r>
      <w:r w:rsidR="004369E5" w:rsidRPr="00D72DBF">
        <w:rPr>
          <w:lang w:val="es-ES_tradnl"/>
        </w:rPr>
        <w:t>de la decisión emitida por</w:t>
      </w:r>
      <w:r w:rsidRPr="00D72DBF">
        <w:rPr>
          <w:lang w:val="es-ES_tradnl"/>
        </w:rPr>
        <w:t xml:space="preserve"> la Oficina.</w:t>
      </w:r>
    </w:p>
    <w:p w14:paraId="024A150E" w14:textId="1151EEE5" w:rsidR="005A4C3C" w:rsidRPr="0068452F" w:rsidRDefault="005A4C3C" w:rsidP="0068452F">
      <w:pPr>
        <w:pStyle w:val="Heading2"/>
      </w:pPr>
      <w:r w:rsidRPr="0068452F">
        <w:t xml:space="preserve">CÁLCULO DEL PLAZO A PARTIR DE LA FECHA EN QUE LA OFICINA </w:t>
      </w:r>
      <w:r w:rsidR="00F07295" w:rsidRPr="0068452F">
        <w:t>haya emitido SU DECISIÓN O ENVIado</w:t>
      </w:r>
      <w:r w:rsidRPr="0068452F">
        <w:t xml:space="preserve"> LA NOTIFIC</w:t>
      </w:r>
      <w:r w:rsidR="00750682" w:rsidRPr="0068452F">
        <w:t>ACIÓN DE DENEGACIÓN PROVISIONAL</w:t>
      </w:r>
    </w:p>
    <w:p w14:paraId="6F167880" w14:textId="458F8FFF" w:rsidR="004369E5" w:rsidRPr="00D72DBF" w:rsidRDefault="004369E5" w:rsidP="00750682">
      <w:pPr>
        <w:pStyle w:val="ONUMFS"/>
        <w:rPr>
          <w:lang w:val="es-ES_tradnl"/>
        </w:rPr>
      </w:pPr>
      <w:r w:rsidRPr="00D72DBF">
        <w:rPr>
          <w:lang w:val="es-ES_tradnl"/>
        </w:rPr>
        <w:t xml:space="preserve">El cálculo del plazo a partir de la fecha en que la Oficina </w:t>
      </w:r>
      <w:r w:rsidR="00AA6721" w:rsidRPr="00D72DBF">
        <w:rPr>
          <w:lang w:val="es-ES_tradnl"/>
        </w:rPr>
        <w:t>haya emitido</w:t>
      </w:r>
      <w:r w:rsidRPr="00D72DBF">
        <w:rPr>
          <w:lang w:val="es-ES_tradnl"/>
        </w:rPr>
        <w:t xml:space="preserve"> su decisión o </w:t>
      </w:r>
      <w:r w:rsidR="00AA6721" w:rsidRPr="00D72DBF">
        <w:rPr>
          <w:lang w:val="es-ES_tradnl"/>
        </w:rPr>
        <w:t xml:space="preserve">enviado </w:t>
      </w:r>
      <w:r w:rsidRPr="00D72DBF">
        <w:rPr>
          <w:lang w:val="es-ES_tradnl"/>
        </w:rPr>
        <w:t>la notificación de denegación provisional a la Oficina Internacional podría tener consecuencias</w:t>
      </w:r>
      <w:r w:rsidR="00AA6721" w:rsidRPr="00D72DBF">
        <w:rPr>
          <w:lang w:val="es-ES_tradnl"/>
        </w:rPr>
        <w:t xml:space="preserve"> negativas para los titulares. </w:t>
      </w:r>
      <w:r w:rsidRPr="00D72DBF">
        <w:rPr>
          <w:lang w:val="es-ES_tradnl"/>
        </w:rPr>
        <w:t>En algunos casos, el plazo podría incluso haber expirado en el momento en que el titular recib</w:t>
      </w:r>
      <w:r w:rsidR="00B82BA6" w:rsidRPr="00D72DBF">
        <w:rPr>
          <w:lang w:val="es-ES_tradnl"/>
        </w:rPr>
        <w:t>e</w:t>
      </w:r>
      <w:r w:rsidR="00AA6721" w:rsidRPr="00D72DBF">
        <w:rPr>
          <w:lang w:val="es-ES_tradnl"/>
        </w:rPr>
        <w:t xml:space="preserve"> la notificación. </w:t>
      </w:r>
      <w:r w:rsidRPr="00D72DBF">
        <w:rPr>
          <w:lang w:val="es-ES_tradnl"/>
        </w:rPr>
        <w:t xml:space="preserve">Las Oficinas de las Partes Contratantes deben enviar las notificaciones de denegación provisional por conducto de la Oficina Internacional, y </w:t>
      </w:r>
      <w:r w:rsidR="008D530E" w:rsidRPr="00D72DBF">
        <w:rPr>
          <w:lang w:val="es-ES_tradnl"/>
        </w:rPr>
        <w:t>e</w:t>
      </w:r>
      <w:r w:rsidRPr="00D72DBF">
        <w:rPr>
          <w:lang w:val="es-ES_tradnl"/>
        </w:rPr>
        <w:t>sta s</w:t>
      </w:r>
      <w:r w:rsidR="008D530E" w:rsidRPr="00D72DBF">
        <w:rPr>
          <w:lang w:val="es-ES_tradnl"/>
        </w:rPr>
        <w:t>o</w:t>
      </w:r>
      <w:r w:rsidRPr="00D72DBF">
        <w:rPr>
          <w:lang w:val="es-ES_tradnl"/>
        </w:rPr>
        <w:t>lo p</w:t>
      </w:r>
      <w:r w:rsidR="008D530E" w:rsidRPr="00D72DBF">
        <w:rPr>
          <w:lang w:val="es-ES_tradnl"/>
        </w:rPr>
        <w:t>odrá</w:t>
      </w:r>
      <w:r w:rsidRPr="00D72DBF">
        <w:rPr>
          <w:lang w:val="es-ES_tradnl"/>
        </w:rPr>
        <w:t xml:space="preserve"> transmitirlas al titular una vez que hayan sido inscritas en el Registro Internacional.</w:t>
      </w:r>
    </w:p>
    <w:p w14:paraId="4C19AC1B" w14:textId="2532D83F" w:rsidR="00B07E11" w:rsidRPr="00D72DBF" w:rsidRDefault="00EE02B2" w:rsidP="00750682">
      <w:pPr>
        <w:pStyle w:val="ONUMFS"/>
        <w:rPr>
          <w:lang w:val="es-ES_tradnl"/>
        </w:rPr>
      </w:pPr>
      <w:r w:rsidRPr="00D72DBF">
        <w:rPr>
          <w:lang w:val="es-ES_tradnl"/>
        </w:rPr>
        <w:t>Cab</w:t>
      </w:r>
      <w:r w:rsidR="00B07E11" w:rsidRPr="00D72DBF">
        <w:rPr>
          <w:lang w:val="es-ES_tradnl"/>
        </w:rPr>
        <w:t xml:space="preserve">ría </w:t>
      </w:r>
      <w:r w:rsidRPr="00D72DBF">
        <w:rPr>
          <w:lang w:val="es-ES_tradnl"/>
        </w:rPr>
        <w:t>la posibilidad de</w:t>
      </w:r>
      <w:r w:rsidR="00B07E11" w:rsidRPr="00D72DBF">
        <w:rPr>
          <w:lang w:val="es-ES_tradnl"/>
        </w:rPr>
        <w:t xml:space="preserve"> que las Oficinas que </w:t>
      </w:r>
      <w:r w:rsidR="003D6868" w:rsidRPr="00D72DBF">
        <w:rPr>
          <w:lang w:val="es-ES_tradnl"/>
        </w:rPr>
        <w:t>sigue</w:t>
      </w:r>
      <w:r w:rsidR="00B07E11" w:rsidRPr="00D72DBF">
        <w:rPr>
          <w:lang w:val="es-ES_tradnl"/>
        </w:rPr>
        <w:t xml:space="preserve">n el </w:t>
      </w:r>
      <w:r w:rsidR="003D6868" w:rsidRPr="00D72DBF">
        <w:rPr>
          <w:lang w:val="es-ES_tradnl"/>
        </w:rPr>
        <w:t xml:space="preserve">método de </w:t>
      </w:r>
      <w:r w:rsidR="00B07E11" w:rsidRPr="00D72DBF">
        <w:rPr>
          <w:lang w:val="es-ES_tradnl"/>
        </w:rPr>
        <w:t>cálculo descrito anteriormente apli</w:t>
      </w:r>
      <w:r w:rsidR="00D12E35" w:rsidRPr="00D72DBF">
        <w:rPr>
          <w:lang w:val="es-ES_tradnl"/>
        </w:rPr>
        <w:t>que</w:t>
      </w:r>
      <w:r w:rsidR="00B07E11" w:rsidRPr="00D72DBF">
        <w:rPr>
          <w:lang w:val="es-ES_tradnl"/>
        </w:rPr>
        <w:t>n una interpretación que mejor</w:t>
      </w:r>
      <w:r w:rsidR="00D12E35" w:rsidRPr="00D72DBF">
        <w:rPr>
          <w:lang w:val="es-ES_tradnl"/>
        </w:rPr>
        <w:t>e</w:t>
      </w:r>
      <w:r w:rsidR="00B07E11" w:rsidRPr="00D72DBF">
        <w:rPr>
          <w:lang w:val="es-ES_tradnl"/>
        </w:rPr>
        <w:t xml:space="preserve"> </w:t>
      </w:r>
      <w:r w:rsidRPr="00D72DBF">
        <w:rPr>
          <w:lang w:val="es-ES_tradnl"/>
        </w:rPr>
        <w:t>la situación</w:t>
      </w:r>
      <w:r w:rsidR="00267F0A" w:rsidRPr="00D72DBF">
        <w:rPr>
          <w:lang w:val="es-ES_tradnl"/>
        </w:rPr>
        <w:t xml:space="preserve"> de</w:t>
      </w:r>
      <w:r w:rsidR="00B07E11" w:rsidRPr="00D72DBF">
        <w:rPr>
          <w:lang w:val="es-ES_tradnl"/>
        </w:rPr>
        <w:t xml:space="preserve"> los titulares sin necesidad de modificar la legislación aplicab</w:t>
      </w:r>
      <w:r w:rsidR="00AA6721" w:rsidRPr="00D72DBF">
        <w:rPr>
          <w:lang w:val="es-ES_tradnl"/>
        </w:rPr>
        <w:t xml:space="preserve">le de las Partes Contratantes. </w:t>
      </w:r>
      <w:r w:rsidR="00B07E11" w:rsidRPr="00D72DBF">
        <w:rPr>
          <w:lang w:val="es-ES_tradnl"/>
        </w:rPr>
        <w:t>Con arreglo a dicha interpretación</w:t>
      </w:r>
      <w:r w:rsidR="000F4AC8" w:rsidRPr="00D72DBF">
        <w:rPr>
          <w:lang w:val="es-ES_tradnl"/>
        </w:rPr>
        <w:t>,</w:t>
      </w:r>
      <w:r w:rsidR="00B07E11" w:rsidRPr="00D72DBF">
        <w:rPr>
          <w:lang w:val="es-ES_tradnl"/>
        </w:rPr>
        <w:t xml:space="preserve"> y a los efectos del cálculo del plazo, </w:t>
      </w:r>
      <w:r w:rsidR="000F4AC8" w:rsidRPr="00D72DBF">
        <w:rPr>
          <w:lang w:val="es-ES_tradnl"/>
        </w:rPr>
        <w:t>cab</w:t>
      </w:r>
      <w:r w:rsidR="00B07E11" w:rsidRPr="00D72DBF">
        <w:rPr>
          <w:lang w:val="es-ES_tradnl"/>
        </w:rPr>
        <w:t xml:space="preserve">ría considerar que la denegación </w:t>
      </w:r>
      <w:r w:rsidR="000F4AC8" w:rsidRPr="00D72DBF">
        <w:rPr>
          <w:lang w:val="es-ES_tradnl"/>
        </w:rPr>
        <w:t xml:space="preserve">se </w:t>
      </w:r>
      <w:r w:rsidR="00B07E11" w:rsidRPr="00D72DBF">
        <w:rPr>
          <w:lang w:val="es-ES_tradnl"/>
        </w:rPr>
        <w:t>ha emitid</w:t>
      </w:r>
      <w:r w:rsidR="000F4AC8" w:rsidRPr="00D72DBF">
        <w:rPr>
          <w:lang w:val="es-ES_tradnl"/>
        </w:rPr>
        <w:t>o</w:t>
      </w:r>
      <w:r w:rsidR="00B07E11" w:rsidRPr="00D72DBF">
        <w:rPr>
          <w:lang w:val="es-ES_tradnl"/>
        </w:rPr>
        <w:t xml:space="preserve"> o transmitid</w:t>
      </w:r>
      <w:r w:rsidR="000F4AC8" w:rsidRPr="00D72DBF">
        <w:rPr>
          <w:lang w:val="es-ES_tradnl"/>
        </w:rPr>
        <w:t>o</w:t>
      </w:r>
      <w:r w:rsidR="00B07E11" w:rsidRPr="00D72DBF">
        <w:rPr>
          <w:lang w:val="es-ES_tradnl"/>
        </w:rPr>
        <w:t xml:space="preserve"> a la Oficina Internacional en la fecha en que </w:t>
      </w:r>
      <w:r w:rsidR="000F4AC8" w:rsidRPr="00D72DBF">
        <w:rPr>
          <w:lang w:val="es-ES_tradnl"/>
        </w:rPr>
        <w:t>e</w:t>
      </w:r>
      <w:r w:rsidR="00B07E11" w:rsidRPr="00D72DBF">
        <w:rPr>
          <w:lang w:val="es-ES_tradnl"/>
        </w:rPr>
        <w:t>sta la transmit</w:t>
      </w:r>
      <w:r w:rsidR="00AA6721" w:rsidRPr="00D72DBF">
        <w:rPr>
          <w:lang w:val="es-ES_tradnl"/>
        </w:rPr>
        <w:t>a</w:t>
      </w:r>
      <w:r w:rsidR="00B07E11" w:rsidRPr="00D72DBF">
        <w:rPr>
          <w:lang w:val="es-ES_tradnl"/>
        </w:rPr>
        <w:t xml:space="preserve"> al titular.</w:t>
      </w:r>
    </w:p>
    <w:p w14:paraId="0FEC5E0E" w14:textId="6E86F54D" w:rsidR="00B07E11" w:rsidRPr="00D72DBF" w:rsidRDefault="00B07E11" w:rsidP="00750682">
      <w:pPr>
        <w:pStyle w:val="ONUMFS"/>
        <w:spacing w:after="480"/>
        <w:rPr>
          <w:lang w:val="es-ES_tradnl"/>
        </w:rPr>
      </w:pPr>
      <w:r w:rsidRPr="00D72DBF">
        <w:rPr>
          <w:lang w:val="es-ES_tradnl"/>
        </w:rPr>
        <w:t xml:space="preserve">Esta interpretación, que </w:t>
      </w:r>
      <w:r w:rsidR="00F668FC" w:rsidRPr="00D72DBF">
        <w:rPr>
          <w:lang w:val="es-ES_tradnl"/>
        </w:rPr>
        <w:t>cab</w:t>
      </w:r>
      <w:r w:rsidRPr="00D72DBF">
        <w:rPr>
          <w:lang w:val="es-ES_tradnl"/>
        </w:rPr>
        <w:t xml:space="preserve">ría incluir en el Reglamento, permitiría a la Oficina Internacional indicar la fecha efectiva en que </w:t>
      </w:r>
      <w:r w:rsidR="00F668FC" w:rsidRPr="00D72DBF">
        <w:rPr>
          <w:lang w:val="es-ES_tradnl"/>
        </w:rPr>
        <w:t>vence</w:t>
      </w:r>
      <w:r w:rsidRPr="00D72DBF">
        <w:rPr>
          <w:lang w:val="es-ES_tradnl"/>
        </w:rPr>
        <w:t xml:space="preserve"> el plazo cuando transmite la notificación al titular y garantizaría que los titulares </w:t>
      </w:r>
      <w:r w:rsidR="00AA6721" w:rsidRPr="00D72DBF">
        <w:rPr>
          <w:lang w:val="es-ES_tradnl"/>
        </w:rPr>
        <w:t>dispongan</w:t>
      </w:r>
      <w:r w:rsidRPr="00D72DBF">
        <w:rPr>
          <w:lang w:val="es-ES_tradnl"/>
        </w:rPr>
        <w:t xml:space="preserve"> de tiempo suficiente para considerar la posibilidad de impugnar la denegación.</w:t>
      </w:r>
    </w:p>
    <w:p w14:paraId="79E0F52E" w14:textId="0E01CD80" w:rsidR="00B07E11" w:rsidRPr="0068452F" w:rsidRDefault="00B07E11" w:rsidP="0068452F">
      <w:pPr>
        <w:pStyle w:val="Heading2"/>
      </w:pPr>
      <w:r w:rsidRPr="0068452F">
        <w:t xml:space="preserve">CÁLCULO DEL PLAZO A PARTIR DE LA FECHA EN QUE LA OFICINA INTERNACIONAL </w:t>
      </w:r>
      <w:r w:rsidR="00AA6721" w:rsidRPr="0068452F">
        <w:t>haya transmitido</w:t>
      </w:r>
      <w:r w:rsidRPr="0068452F">
        <w:t xml:space="preserve"> LA NOTIFICACIÓN AL TITULAR </w:t>
      </w:r>
    </w:p>
    <w:p w14:paraId="462AEB75" w14:textId="545188AB" w:rsidR="00B07E11" w:rsidRPr="00D72DBF" w:rsidRDefault="00B07E11" w:rsidP="00750682">
      <w:pPr>
        <w:pStyle w:val="ONUMFS"/>
        <w:rPr>
          <w:lang w:val="es-ES_tradnl"/>
        </w:rPr>
      </w:pPr>
      <w:r w:rsidRPr="00D72DBF">
        <w:rPr>
          <w:lang w:val="es-ES_tradnl"/>
        </w:rPr>
        <w:t xml:space="preserve">La solución que ofrecería seguridad jurídica y transparencia a todos los usuarios del Sistema de Madrid </w:t>
      </w:r>
      <w:r w:rsidR="00AA6721" w:rsidRPr="00D72DBF">
        <w:rPr>
          <w:lang w:val="es-ES_tradnl"/>
        </w:rPr>
        <w:t>sería que el plazo se calcule</w:t>
      </w:r>
      <w:r w:rsidRPr="00D72DBF">
        <w:rPr>
          <w:lang w:val="es-ES_tradnl"/>
        </w:rPr>
        <w:t xml:space="preserve"> a partir de la fecha en que la Oficina Internacional </w:t>
      </w:r>
      <w:r w:rsidR="00AA6721" w:rsidRPr="00D72DBF">
        <w:rPr>
          <w:lang w:val="es-ES_tradnl"/>
        </w:rPr>
        <w:t>haya transmitido</w:t>
      </w:r>
      <w:r w:rsidRPr="00D72DBF">
        <w:rPr>
          <w:lang w:val="es-ES_tradnl"/>
        </w:rPr>
        <w:t xml:space="preserve"> la notificación al titular.</w:t>
      </w:r>
    </w:p>
    <w:p w14:paraId="7797CA2E" w14:textId="074C9424" w:rsidR="00B07E11" w:rsidRPr="00D72DBF" w:rsidRDefault="00B07E11" w:rsidP="00750682">
      <w:pPr>
        <w:pStyle w:val="ONUMFS"/>
        <w:spacing w:after="480"/>
        <w:rPr>
          <w:lang w:val="es-ES_tradnl"/>
        </w:rPr>
      </w:pPr>
      <w:r w:rsidRPr="00D72DBF">
        <w:rPr>
          <w:lang w:val="es-ES_tradnl"/>
        </w:rPr>
        <w:t xml:space="preserve">La Oficina Internacional informa a las Oficinas de la fecha en que </w:t>
      </w:r>
      <w:r w:rsidR="00AA6721" w:rsidRPr="00D72DBF">
        <w:rPr>
          <w:lang w:val="es-ES_tradnl"/>
        </w:rPr>
        <w:t>ha transmitido</w:t>
      </w:r>
      <w:r w:rsidRPr="00D72DBF">
        <w:rPr>
          <w:lang w:val="es-ES_tradnl"/>
        </w:rPr>
        <w:t xml:space="preserve"> la notificación al titular en </w:t>
      </w:r>
      <w:r w:rsidR="00270303" w:rsidRPr="00D72DBF">
        <w:rPr>
          <w:lang w:val="es-ES_tradnl"/>
        </w:rPr>
        <w:t>el</w:t>
      </w:r>
      <w:r w:rsidRPr="00D72DBF">
        <w:rPr>
          <w:lang w:val="es-ES_tradnl"/>
        </w:rPr>
        <w:t xml:space="preserve"> acuse de recibo </w:t>
      </w:r>
      <w:r w:rsidR="000513B5" w:rsidRPr="00D72DBF">
        <w:rPr>
          <w:lang w:val="es-ES_tradnl"/>
        </w:rPr>
        <w:t xml:space="preserve">que </w:t>
      </w:r>
      <w:r w:rsidR="00AA6721" w:rsidRPr="00D72DBF">
        <w:rPr>
          <w:lang w:val="es-ES_tradnl"/>
        </w:rPr>
        <w:t>envía</w:t>
      </w:r>
      <w:r w:rsidRPr="00D72DBF">
        <w:rPr>
          <w:lang w:val="es-ES_tradnl"/>
        </w:rPr>
        <w:t xml:space="preserve"> a las Oficinas, en el que también se indica la fecha de recepción </w:t>
      </w:r>
      <w:r w:rsidR="00270303" w:rsidRPr="00D72DBF">
        <w:rPr>
          <w:lang w:val="es-ES_tradnl"/>
        </w:rPr>
        <w:t>en</w:t>
      </w:r>
      <w:r w:rsidR="00AA6721" w:rsidRPr="00D72DBF">
        <w:rPr>
          <w:lang w:val="es-ES_tradnl"/>
        </w:rPr>
        <w:t xml:space="preserve"> la Oficina Internacional. </w:t>
      </w:r>
      <w:r w:rsidR="000513B5" w:rsidRPr="00D72DBF">
        <w:rPr>
          <w:lang w:val="es-ES_tradnl"/>
        </w:rPr>
        <w:t xml:space="preserve">Las dos </w:t>
      </w:r>
      <w:r w:rsidRPr="00D72DBF">
        <w:rPr>
          <w:lang w:val="es-ES_tradnl"/>
        </w:rPr>
        <w:t xml:space="preserve">fechas </w:t>
      </w:r>
      <w:r w:rsidR="000513B5" w:rsidRPr="00D72DBF">
        <w:rPr>
          <w:lang w:val="es-ES_tradnl"/>
        </w:rPr>
        <w:t>se pueden consultar</w:t>
      </w:r>
      <w:r w:rsidRPr="00D72DBF">
        <w:rPr>
          <w:lang w:val="es-ES_tradnl"/>
        </w:rPr>
        <w:t xml:space="preserve"> también en la base de datos en línea Madrid Monitor.</w:t>
      </w:r>
    </w:p>
    <w:p w14:paraId="15344F62" w14:textId="68D36665" w:rsidR="00B07E11" w:rsidRPr="0068452F" w:rsidRDefault="00B07E11" w:rsidP="0068452F">
      <w:pPr>
        <w:pStyle w:val="Heading2"/>
      </w:pPr>
      <w:r w:rsidRPr="0068452F">
        <w:t xml:space="preserve">CÁLCULO DEL PLAZO A PARTIR DE LA FECHA EN QUE EL TITULAR </w:t>
      </w:r>
      <w:r w:rsidR="00C87DA0" w:rsidRPr="0068452F">
        <w:t>reciba</w:t>
      </w:r>
      <w:r w:rsidRPr="0068452F">
        <w:t xml:space="preserve"> LA NOTIFICAC</w:t>
      </w:r>
      <w:r w:rsidR="00750682" w:rsidRPr="0068452F">
        <w:t>IÓN DE LA OFICINA INTERNACIONAL</w:t>
      </w:r>
    </w:p>
    <w:p w14:paraId="12D62212" w14:textId="0837176C" w:rsidR="00F12F9F" w:rsidRPr="00D72DBF" w:rsidRDefault="00E73B47" w:rsidP="00750682">
      <w:pPr>
        <w:pStyle w:val="ONUMFS"/>
        <w:rPr>
          <w:lang w:val="es-ES_tradnl"/>
        </w:rPr>
      </w:pPr>
      <w:r w:rsidRPr="00D72DBF">
        <w:rPr>
          <w:lang w:val="es-ES_tradnl"/>
        </w:rPr>
        <w:t>Aun siendo cierto que</w:t>
      </w:r>
      <w:r w:rsidR="00F12F9F" w:rsidRPr="00D72DBF">
        <w:rPr>
          <w:lang w:val="es-ES_tradnl"/>
        </w:rPr>
        <w:t xml:space="preserve"> el cálculo del plazo a partir de la fecha en que el titular recib</w:t>
      </w:r>
      <w:r w:rsidR="00C87DA0" w:rsidRPr="00D72DBF">
        <w:rPr>
          <w:lang w:val="es-ES_tradnl"/>
        </w:rPr>
        <w:t>a</w:t>
      </w:r>
      <w:r w:rsidR="00F12F9F" w:rsidRPr="00D72DBF">
        <w:rPr>
          <w:lang w:val="es-ES_tradnl"/>
        </w:rPr>
        <w:t xml:space="preserve"> la notificación de denegación podría tener consecuencias menos graves para el titular en </w:t>
      </w:r>
      <w:r w:rsidR="00CC2B2C" w:rsidRPr="00D72DBF">
        <w:rPr>
          <w:lang w:val="es-ES_tradnl"/>
        </w:rPr>
        <w:t>compara</w:t>
      </w:r>
      <w:r w:rsidR="00F12F9F" w:rsidRPr="00D72DBF">
        <w:rPr>
          <w:lang w:val="es-ES_tradnl"/>
        </w:rPr>
        <w:t xml:space="preserve">ción con las </w:t>
      </w:r>
      <w:r w:rsidR="00E70F10" w:rsidRPr="00D72DBF">
        <w:rPr>
          <w:lang w:val="es-ES_tradnl"/>
        </w:rPr>
        <w:t xml:space="preserve">consecuencias </w:t>
      </w:r>
      <w:r w:rsidR="00F12F9F" w:rsidRPr="00D72DBF">
        <w:rPr>
          <w:lang w:val="es-ES_tradnl"/>
        </w:rPr>
        <w:t xml:space="preserve">mencionadas anteriormente, </w:t>
      </w:r>
      <w:r w:rsidR="00A905D2" w:rsidRPr="00D72DBF">
        <w:rPr>
          <w:lang w:val="es-ES_tradnl"/>
        </w:rPr>
        <w:t xml:space="preserve">aquel </w:t>
      </w:r>
      <w:r w:rsidR="00F12F9F" w:rsidRPr="00D72DBF">
        <w:rPr>
          <w:lang w:val="es-ES_tradnl"/>
        </w:rPr>
        <w:t xml:space="preserve">no </w:t>
      </w:r>
      <w:r w:rsidR="00E70F10" w:rsidRPr="00D72DBF">
        <w:rPr>
          <w:lang w:val="es-ES_tradnl"/>
        </w:rPr>
        <w:t>garantiza la</w:t>
      </w:r>
      <w:r w:rsidR="00F12F9F" w:rsidRPr="00D72DBF">
        <w:rPr>
          <w:lang w:val="es-ES_tradnl"/>
        </w:rPr>
        <w:t xml:space="preserve"> seguridad jurídica.</w:t>
      </w:r>
    </w:p>
    <w:p w14:paraId="3BE5BA3F" w14:textId="1BF181A2" w:rsidR="00F12F9F" w:rsidRPr="00D72DBF" w:rsidRDefault="00F12F9F" w:rsidP="00750682">
      <w:pPr>
        <w:pStyle w:val="ONUMFS"/>
        <w:rPr>
          <w:lang w:val="es-ES_tradnl"/>
        </w:rPr>
      </w:pPr>
      <w:r w:rsidRPr="00D72DBF">
        <w:rPr>
          <w:lang w:val="es-ES_tradnl"/>
        </w:rPr>
        <w:t>Este método de cálculo plantea</w:t>
      </w:r>
      <w:r w:rsidR="00CC2B2C" w:rsidRPr="00D72DBF">
        <w:rPr>
          <w:lang w:val="es-ES_tradnl"/>
        </w:rPr>
        <w:t>, por ejemplo,</w:t>
      </w:r>
      <w:r w:rsidRPr="00D72DBF">
        <w:rPr>
          <w:lang w:val="es-ES_tradnl"/>
        </w:rPr>
        <w:t xml:space="preserve"> </w:t>
      </w:r>
      <w:r w:rsidR="00A905D2" w:rsidRPr="00D72DBF">
        <w:rPr>
          <w:lang w:val="es-ES_tradnl"/>
        </w:rPr>
        <w:t>interrogant</w:t>
      </w:r>
      <w:r w:rsidRPr="00D72DBF">
        <w:rPr>
          <w:lang w:val="es-ES_tradnl"/>
        </w:rPr>
        <w:t>es relativ</w:t>
      </w:r>
      <w:r w:rsidR="00A905D2" w:rsidRPr="00D72DBF">
        <w:rPr>
          <w:lang w:val="es-ES_tradnl"/>
        </w:rPr>
        <w:t>o</w:t>
      </w:r>
      <w:r w:rsidRPr="00D72DBF">
        <w:rPr>
          <w:lang w:val="es-ES_tradnl"/>
        </w:rPr>
        <w:t xml:space="preserve">s a la fecha en que se considera que el titular ha recibido la notificación y a la forma en que puede probar la fecha efectiva de recepción, especialmente cuando esta fecha es posterior a la fecha en que se presume que el titular </w:t>
      </w:r>
      <w:r w:rsidR="00C87DA0" w:rsidRPr="00D72DBF">
        <w:rPr>
          <w:lang w:val="es-ES_tradnl"/>
        </w:rPr>
        <w:t>ha recibido</w:t>
      </w:r>
      <w:r w:rsidRPr="00D72DBF">
        <w:rPr>
          <w:lang w:val="es-ES_tradnl"/>
        </w:rPr>
        <w:t xml:space="preserve"> la notificación.</w:t>
      </w:r>
    </w:p>
    <w:p w14:paraId="7726D514" w14:textId="77777777" w:rsidR="00F12F9F" w:rsidRPr="00D72DBF" w:rsidRDefault="00F12F9F" w:rsidP="00750682">
      <w:pPr>
        <w:pStyle w:val="ONUMFS"/>
        <w:spacing w:after="480"/>
        <w:rPr>
          <w:lang w:val="es-ES_tradnl"/>
        </w:rPr>
      </w:pPr>
      <w:r w:rsidRPr="00D72DBF">
        <w:rPr>
          <w:lang w:val="es-ES_tradnl"/>
        </w:rPr>
        <w:t xml:space="preserve">Parece ser que </w:t>
      </w:r>
      <w:r w:rsidR="00930C5B" w:rsidRPr="00D72DBF">
        <w:rPr>
          <w:lang w:val="es-ES_tradnl"/>
        </w:rPr>
        <w:t xml:space="preserve">el cálculo que ofrece más ventajas </w:t>
      </w:r>
      <w:r w:rsidRPr="00D72DBF">
        <w:rPr>
          <w:lang w:val="es-ES_tradnl"/>
        </w:rPr>
        <w:t xml:space="preserve">a todos los usuarios del Sistema de Madrid, tanto a los titulares como a las Oficinas y </w:t>
      </w:r>
      <w:r w:rsidR="00930C5B" w:rsidRPr="00D72DBF">
        <w:rPr>
          <w:lang w:val="es-ES_tradnl"/>
        </w:rPr>
        <w:t>a</w:t>
      </w:r>
      <w:r w:rsidRPr="00D72DBF">
        <w:rPr>
          <w:lang w:val="es-ES_tradnl"/>
        </w:rPr>
        <w:t xml:space="preserve"> terceros, es aquel en el que el plazo de respuesta a una notificación de denegación provisional </w:t>
      </w:r>
      <w:r w:rsidR="00EF200C" w:rsidRPr="00D72DBF">
        <w:rPr>
          <w:lang w:val="es-ES_tradnl"/>
        </w:rPr>
        <w:t>comienza</w:t>
      </w:r>
      <w:r w:rsidRPr="00D72DBF">
        <w:rPr>
          <w:lang w:val="es-ES_tradnl"/>
        </w:rPr>
        <w:t xml:space="preserve"> a partir de la fecha en que la Oficina Internacional transmite dicha notificación al titular.</w:t>
      </w:r>
    </w:p>
    <w:p w14:paraId="27C96A6F" w14:textId="77777777" w:rsidR="00F12F9F" w:rsidRPr="0068452F" w:rsidRDefault="00D06AE9" w:rsidP="0068452F">
      <w:pPr>
        <w:pStyle w:val="Heading1"/>
      </w:pPr>
      <w:r w:rsidRPr="0068452F">
        <w:t>PLAZO DETERMINADO</w:t>
      </w:r>
      <w:r w:rsidR="00F12F9F" w:rsidRPr="0068452F">
        <w:t xml:space="preserve"> O MÍNIMO</w:t>
      </w:r>
    </w:p>
    <w:p w14:paraId="7504FC10" w14:textId="77777777" w:rsidR="00F12F9F" w:rsidRPr="00D72DBF" w:rsidRDefault="00F12F9F" w:rsidP="00750682">
      <w:pPr>
        <w:pStyle w:val="ONUMFS"/>
        <w:spacing w:after="480"/>
        <w:rPr>
          <w:lang w:val="es-ES_tradnl"/>
        </w:rPr>
      </w:pPr>
      <w:r w:rsidRPr="00D72DBF">
        <w:rPr>
          <w:lang w:val="es-ES_tradnl"/>
        </w:rPr>
        <w:t xml:space="preserve">Un </w:t>
      </w:r>
      <w:r w:rsidR="00D06AE9" w:rsidRPr="00D72DBF">
        <w:rPr>
          <w:lang w:val="es-ES_tradnl"/>
        </w:rPr>
        <w:t>plazo determinado</w:t>
      </w:r>
      <w:r w:rsidRPr="00D72DBF">
        <w:rPr>
          <w:lang w:val="es-ES_tradnl"/>
        </w:rPr>
        <w:t xml:space="preserve"> o mínimo, calculado a partir de la fecha en que la Oficina Internacional transmite la notificación de denegación provisional al titular, proporcionaría </w:t>
      </w:r>
      <w:r w:rsidR="00E338EA" w:rsidRPr="00D72DBF">
        <w:rPr>
          <w:lang w:val="es-ES_tradnl"/>
        </w:rPr>
        <w:t xml:space="preserve">una </w:t>
      </w:r>
      <w:r w:rsidRPr="00D72DBF">
        <w:rPr>
          <w:lang w:val="es-ES_tradnl"/>
        </w:rPr>
        <w:t xml:space="preserve">mayor </w:t>
      </w:r>
      <w:r w:rsidR="00E338EA" w:rsidRPr="00D72DBF">
        <w:rPr>
          <w:lang w:val="es-ES_tradnl"/>
        </w:rPr>
        <w:t>seguridad</w:t>
      </w:r>
      <w:r w:rsidRPr="00D72DBF">
        <w:rPr>
          <w:lang w:val="es-ES_tradnl"/>
        </w:rPr>
        <w:t xml:space="preserve"> a todos los u</w:t>
      </w:r>
      <w:r w:rsidR="00DA1CAE" w:rsidRPr="00D72DBF">
        <w:rPr>
          <w:lang w:val="es-ES_tradnl"/>
        </w:rPr>
        <w:t xml:space="preserve">suarios del Sistema de Madrid. </w:t>
      </w:r>
      <w:r w:rsidRPr="00D72DBF">
        <w:rPr>
          <w:lang w:val="es-ES_tradnl"/>
        </w:rPr>
        <w:t>Esto no s</w:t>
      </w:r>
      <w:r w:rsidR="00E338EA" w:rsidRPr="00D72DBF">
        <w:rPr>
          <w:lang w:val="es-ES_tradnl"/>
        </w:rPr>
        <w:t>o</w:t>
      </w:r>
      <w:r w:rsidRPr="00D72DBF">
        <w:rPr>
          <w:lang w:val="es-ES_tradnl"/>
        </w:rPr>
        <w:t xml:space="preserve">lo proporcionaría a los titulares una fecha </w:t>
      </w:r>
      <w:r w:rsidR="00E338EA" w:rsidRPr="00D72DBF">
        <w:rPr>
          <w:lang w:val="es-ES_tradnl"/>
        </w:rPr>
        <w:t>de vencimiento</w:t>
      </w:r>
      <w:r w:rsidRPr="00D72DBF">
        <w:rPr>
          <w:lang w:val="es-ES_tradnl"/>
        </w:rPr>
        <w:t xml:space="preserve"> clara, sino que</w:t>
      </w:r>
      <w:r w:rsidR="00DA1CAE" w:rsidRPr="00D72DBF">
        <w:rPr>
          <w:lang w:val="es-ES_tradnl"/>
        </w:rPr>
        <w:t>,</w:t>
      </w:r>
      <w:r w:rsidRPr="00D72DBF">
        <w:rPr>
          <w:lang w:val="es-ES_tradnl"/>
        </w:rPr>
        <w:t xml:space="preserve"> </w:t>
      </w:r>
      <w:r w:rsidR="00DA1CAE" w:rsidRPr="00D72DBF">
        <w:rPr>
          <w:lang w:val="es-ES_tradnl"/>
        </w:rPr>
        <w:t>además,</w:t>
      </w:r>
      <w:r w:rsidRPr="00D72DBF">
        <w:rPr>
          <w:lang w:val="es-ES_tradnl"/>
        </w:rPr>
        <w:t xml:space="preserve"> les daría tiempo suficiente para examinar los motivos de las denegaciones provisionales, obtener traducciones</w:t>
      </w:r>
      <w:r w:rsidR="000D659A" w:rsidRPr="00D72DBF">
        <w:rPr>
          <w:lang w:val="es-ES_tradnl"/>
        </w:rPr>
        <w:t>,</w:t>
      </w:r>
      <w:r w:rsidRPr="00D72DBF">
        <w:rPr>
          <w:lang w:val="es-ES_tradnl"/>
        </w:rPr>
        <w:t xml:space="preserve"> </w:t>
      </w:r>
      <w:r w:rsidR="00E338EA" w:rsidRPr="00D72DBF">
        <w:rPr>
          <w:lang w:val="es-ES_tradnl"/>
        </w:rPr>
        <w:t>en caso</w:t>
      </w:r>
      <w:r w:rsidRPr="00D72DBF">
        <w:rPr>
          <w:lang w:val="es-ES_tradnl"/>
        </w:rPr>
        <w:t xml:space="preserve"> necesario, y nombrar un mandatario en las Partes Contratantes designadas </w:t>
      </w:r>
      <w:r w:rsidR="00D2740D" w:rsidRPr="00D72DBF">
        <w:rPr>
          <w:lang w:val="es-ES_tradnl"/>
        </w:rPr>
        <w:t>de que se trate</w:t>
      </w:r>
      <w:r w:rsidRPr="00D72DBF">
        <w:rPr>
          <w:lang w:val="es-ES_tradnl"/>
        </w:rPr>
        <w:t>.</w:t>
      </w:r>
    </w:p>
    <w:p w14:paraId="5B46E68D" w14:textId="7C71EC00" w:rsidR="00F12F9F" w:rsidRPr="0068452F" w:rsidRDefault="00D06AE9" w:rsidP="0068452F">
      <w:pPr>
        <w:pStyle w:val="Heading2"/>
      </w:pPr>
      <w:r w:rsidRPr="0068452F">
        <w:t>PLAZO DETERMINADO</w:t>
      </w:r>
      <w:r w:rsidR="00F12F9F" w:rsidRPr="0068452F">
        <w:t xml:space="preserve"> PAR</w:t>
      </w:r>
      <w:r w:rsidR="00750682" w:rsidRPr="0068452F">
        <w:t>A TODAS LAS PARTES CONTRATANTES</w:t>
      </w:r>
    </w:p>
    <w:p w14:paraId="4A078910" w14:textId="434F1B8E" w:rsidR="00F12F9F" w:rsidRPr="00D72DBF" w:rsidRDefault="00F12F9F" w:rsidP="00750682">
      <w:pPr>
        <w:pStyle w:val="ONUMFS"/>
        <w:rPr>
          <w:lang w:val="es-ES_tradnl"/>
        </w:rPr>
      </w:pPr>
      <w:r w:rsidRPr="00D72DBF">
        <w:rPr>
          <w:lang w:val="es-ES_tradnl"/>
        </w:rPr>
        <w:t xml:space="preserve">El Sistema de Madrid ya </w:t>
      </w:r>
      <w:r w:rsidR="00D06AE9" w:rsidRPr="00D72DBF">
        <w:rPr>
          <w:lang w:val="es-ES_tradnl"/>
        </w:rPr>
        <w:t>establece</w:t>
      </w:r>
      <w:r w:rsidRPr="00D72DBF">
        <w:rPr>
          <w:lang w:val="es-ES_tradnl"/>
        </w:rPr>
        <w:t xml:space="preserve"> un </w:t>
      </w:r>
      <w:r w:rsidR="00D06AE9" w:rsidRPr="00D72DBF">
        <w:rPr>
          <w:lang w:val="es-ES_tradnl"/>
        </w:rPr>
        <w:t>plazo determinado</w:t>
      </w:r>
      <w:r w:rsidRPr="00D72DBF">
        <w:rPr>
          <w:lang w:val="es-ES_tradnl"/>
        </w:rPr>
        <w:t xml:space="preserve"> en situaciones</w:t>
      </w:r>
      <w:r w:rsidR="000B1E07" w:rsidRPr="00D72DBF">
        <w:rPr>
          <w:lang w:val="es-ES_tradnl"/>
        </w:rPr>
        <w:t xml:space="preserve"> </w:t>
      </w:r>
      <w:r w:rsidR="000D659A" w:rsidRPr="00D72DBF">
        <w:rPr>
          <w:lang w:val="es-ES_tradnl"/>
        </w:rPr>
        <w:t>definid</w:t>
      </w:r>
      <w:r w:rsidR="000B1E07" w:rsidRPr="00D72DBF">
        <w:rPr>
          <w:lang w:val="es-ES_tradnl"/>
        </w:rPr>
        <w:t>as</w:t>
      </w:r>
      <w:r w:rsidR="00C87DA0" w:rsidRPr="00D72DBF">
        <w:rPr>
          <w:lang w:val="es-ES_tradnl"/>
        </w:rPr>
        <w:t xml:space="preserve">. </w:t>
      </w:r>
      <w:r w:rsidRPr="00D72DBF">
        <w:rPr>
          <w:lang w:val="es-ES_tradnl"/>
        </w:rPr>
        <w:t xml:space="preserve">Más concretamente, en el Reglamento se </w:t>
      </w:r>
      <w:r w:rsidR="00FD2AC5" w:rsidRPr="00D72DBF">
        <w:rPr>
          <w:lang w:val="es-ES_tradnl"/>
        </w:rPr>
        <w:t>otorg</w:t>
      </w:r>
      <w:r w:rsidRPr="00D72DBF">
        <w:rPr>
          <w:lang w:val="es-ES_tradnl"/>
        </w:rPr>
        <w:t xml:space="preserve">a </w:t>
      </w:r>
      <w:r w:rsidR="00FD2AC5" w:rsidRPr="00D72DBF">
        <w:rPr>
          <w:lang w:val="es-ES_tradnl"/>
        </w:rPr>
        <w:t xml:space="preserve">a los solicitantes, titulares u Oficinas </w:t>
      </w:r>
      <w:r w:rsidRPr="00D72DBF">
        <w:rPr>
          <w:lang w:val="es-ES_tradnl"/>
        </w:rPr>
        <w:t xml:space="preserve">un plazo de tres meses a partir de la fecha de notificación para responder a las irregularidades relativas a </w:t>
      </w:r>
      <w:r w:rsidR="0011291C" w:rsidRPr="00D72DBF">
        <w:rPr>
          <w:lang w:val="es-ES_tradnl"/>
        </w:rPr>
        <w:t>las</w:t>
      </w:r>
      <w:r w:rsidRPr="00D72DBF">
        <w:rPr>
          <w:lang w:val="es-ES_tradnl"/>
        </w:rPr>
        <w:t xml:space="preserve"> solicitud</w:t>
      </w:r>
      <w:r w:rsidR="0011291C" w:rsidRPr="00D72DBF">
        <w:rPr>
          <w:lang w:val="es-ES_tradnl"/>
        </w:rPr>
        <w:t>es</w:t>
      </w:r>
      <w:r w:rsidRPr="00D72DBF">
        <w:rPr>
          <w:lang w:val="es-ES_tradnl"/>
        </w:rPr>
        <w:t xml:space="preserve"> internacional</w:t>
      </w:r>
      <w:r w:rsidR="0011291C" w:rsidRPr="00D72DBF">
        <w:rPr>
          <w:lang w:val="es-ES_tradnl"/>
        </w:rPr>
        <w:t>es</w:t>
      </w:r>
      <w:r w:rsidRPr="00D72DBF">
        <w:rPr>
          <w:lang w:val="es-ES_tradnl"/>
        </w:rPr>
        <w:t xml:space="preserve"> o a </w:t>
      </w:r>
      <w:r w:rsidR="0011291C" w:rsidRPr="00D72DBF">
        <w:rPr>
          <w:lang w:val="es-ES_tradnl"/>
        </w:rPr>
        <w:t>las peticiones</w:t>
      </w:r>
      <w:r w:rsidRPr="00D72DBF">
        <w:rPr>
          <w:lang w:val="es-ES_tradnl"/>
        </w:rPr>
        <w:t xml:space="preserve"> de inscripción de cambios en el registro internacional.</w:t>
      </w:r>
    </w:p>
    <w:p w14:paraId="1E21FC7D" w14:textId="17379AE5" w:rsidR="00F12F9F" w:rsidRPr="00D72DBF" w:rsidRDefault="00F12F9F" w:rsidP="00750682">
      <w:pPr>
        <w:pStyle w:val="ONUMFS"/>
        <w:rPr>
          <w:lang w:val="es-ES_tradnl"/>
        </w:rPr>
      </w:pPr>
      <w:r w:rsidRPr="00D72DBF">
        <w:rPr>
          <w:lang w:val="es-ES_tradnl"/>
        </w:rPr>
        <w:t>En la encuesta mencionada, el 61% de las Oficinas part</w:t>
      </w:r>
      <w:r w:rsidR="00C87DA0" w:rsidRPr="00D72DBF">
        <w:rPr>
          <w:lang w:val="es-ES_tradnl"/>
        </w:rPr>
        <w:t>icipantes indicó</w:t>
      </w:r>
      <w:r w:rsidRPr="00D72DBF">
        <w:rPr>
          <w:lang w:val="es-ES_tradnl"/>
        </w:rPr>
        <w:t xml:space="preserve"> que su legislación aplicable </w:t>
      </w:r>
      <w:r w:rsidR="0011291C" w:rsidRPr="00D72DBF">
        <w:rPr>
          <w:lang w:val="es-ES_tradnl"/>
        </w:rPr>
        <w:t>establec</w:t>
      </w:r>
      <w:r w:rsidR="00102326" w:rsidRPr="00D72DBF">
        <w:rPr>
          <w:lang w:val="es-ES_tradnl"/>
        </w:rPr>
        <w:t>ía</w:t>
      </w:r>
      <w:r w:rsidRPr="00D72DBF">
        <w:rPr>
          <w:lang w:val="es-ES_tradnl"/>
        </w:rPr>
        <w:t xml:space="preserve"> un plazo de </w:t>
      </w:r>
      <w:r w:rsidR="00705944" w:rsidRPr="00D72DBF">
        <w:rPr>
          <w:lang w:val="es-ES_tradnl"/>
        </w:rPr>
        <w:t xml:space="preserve">al menos </w:t>
      </w:r>
      <w:r w:rsidRPr="00D72DBF">
        <w:rPr>
          <w:lang w:val="es-ES_tradnl"/>
        </w:rPr>
        <w:t xml:space="preserve">tres meses para responder a una denegación provisional de oficio, mientras que el 52% </w:t>
      </w:r>
      <w:r w:rsidR="00C034FB" w:rsidRPr="00D72DBF">
        <w:rPr>
          <w:lang w:val="es-ES_tradnl"/>
        </w:rPr>
        <w:t xml:space="preserve">de las Oficinas </w:t>
      </w:r>
      <w:r w:rsidRPr="00D72DBF">
        <w:rPr>
          <w:lang w:val="es-ES_tradnl"/>
        </w:rPr>
        <w:t>indic</w:t>
      </w:r>
      <w:r w:rsidR="00C034FB" w:rsidRPr="00D72DBF">
        <w:rPr>
          <w:lang w:val="es-ES_tradnl"/>
        </w:rPr>
        <w:t>aron</w:t>
      </w:r>
      <w:r w:rsidRPr="00D72DBF">
        <w:rPr>
          <w:lang w:val="es-ES_tradnl"/>
        </w:rPr>
        <w:t xml:space="preserve"> que el plazo era de </w:t>
      </w:r>
      <w:r w:rsidR="00705944" w:rsidRPr="00D72DBF">
        <w:rPr>
          <w:lang w:val="es-ES_tradnl"/>
        </w:rPr>
        <w:t xml:space="preserve">al menos </w:t>
      </w:r>
      <w:r w:rsidRPr="00D72DBF">
        <w:rPr>
          <w:lang w:val="es-ES_tradnl"/>
        </w:rPr>
        <w:t>tr</w:t>
      </w:r>
      <w:r w:rsidR="00C87DA0" w:rsidRPr="00D72DBF">
        <w:rPr>
          <w:lang w:val="es-ES_tradnl"/>
        </w:rPr>
        <w:t xml:space="preserve">es meses en caso de oposición. </w:t>
      </w:r>
      <w:r w:rsidRPr="00D72DBF">
        <w:rPr>
          <w:lang w:val="es-ES_tradnl"/>
        </w:rPr>
        <w:t xml:space="preserve">En vista de lo que antecede, </w:t>
      </w:r>
      <w:r w:rsidR="007C0E6C" w:rsidRPr="00D72DBF">
        <w:rPr>
          <w:lang w:val="es-ES_tradnl"/>
        </w:rPr>
        <w:t xml:space="preserve">cabría considerar aceptable </w:t>
      </w:r>
      <w:r w:rsidRPr="00D72DBF">
        <w:rPr>
          <w:lang w:val="es-ES_tradnl"/>
        </w:rPr>
        <w:t>un plazo de tres meses.</w:t>
      </w:r>
    </w:p>
    <w:p w14:paraId="18DFFA70" w14:textId="77777777" w:rsidR="00F12F9F" w:rsidRPr="00D72DBF" w:rsidRDefault="00F12F9F" w:rsidP="00750682">
      <w:pPr>
        <w:pStyle w:val="ONUMFS"/>
        <w:spacing w:after="480"/>
        <w:rPr>
          <w:lang w:val="es-ES_tradnl"/>
        </w:rPr>
      </w:pPr>
      <w:r w:rsidRPr="00D72DBF">
        <w:rPr>
          <w:lang w:val="es-ES_tradnl"/>
        </w:rPr>
        <w:t xml:space="preserve">Un plazo de tres meses </w:t>
      </w:r>
      <w:r w:rsidR="00BB6A54" w:rsidRPr="00D72DBF">
        <w:rPr>
          <w:lang w:val="es-ES_tradnl"/>
        </w:rPr>
        <w:t>establecido</w:t>
      </w:r>
      <w:r w:rsidRPr="00D72DBF">
        <w:rPr>
          <w:lang w:val="es-ES_tradnl"/>
        </w:rPr>
        <w:t xml:space="preserve"> por las Oficinas para responder a una notificación de denegación provisional, calculado a partir de la fecha de </w:t>
      </w:r>
      <w:r w:rsidR="00BB6A54" w:rsidRPr="00D72DBF">
        <w:rPr>
          <w:lang w:val="es-ES_tradnl"/>
        </w:rPr>
        <w:t xml:space="preserve">la </w:t>
      </w:r>
      <w:r w:rsidRPr="00D72DBF">
        <w:rPr>
          <w:lang w:val="es-ES_tradnl"/>
        </w:rPr>
        <w:t xml:space="preserve">notificación </w:t>
      </w:r>
      <w:r w:rsidR="0047321F" w:rsidRPr="00D72DBF">
        <w:rPr>
          <w:lang w:val="es-ES_tradnl"/>
        </w:rPr>
        <w:t>trans</w:t>
      </w:r>
      <w:r w:rsidR="00BB6A54" w:rsidRPr="00D72DBF">
        <w:rPr>
          <w:lang w:val="es-ES_tradnl"/>
        </w:rPr>
        <w:t>mitida por</w:t>
      </w:r>
      <w:r w:rsidRPr="00D72DBF">
        <w:rPr>
          <w:lang w:val="es-ES_tradnl"/>
        </w:rPr>
        <w:t xml:space="preserve"> la Oficina Internacional, </w:t>
      </w:r>
      <w:r w:rsidR="00BB6A54" w:rsidRPr="00D72DBF">
        <w:rPr>
          <w:lang w:val="es-ES_tradnl"/>
        </w:rPr>
        <w:t>ofrece</w:t>
      </w:r>
      <w:r w:rsidRPr="00D72DBF">
        <w:rPr>
          <w:lang w:val="es-ES_tradnl"/>
        </w:rPr>
        <w:t>ría a los titulares tiempo suficiente para impugnar la denegación y, al mismo tiempo, simplificaría el Sistema de Madrid para sus usuarios.</w:t>
      </w:r>
    </w:p>
    <w:p w14:paraId="639768E9" w14:textId="77777777" w:rsidR="004804B9" w:rsidRPr="0068452F" w:rsidRDefault="004804B9" w:rsidP="0068452F">
      <w:pPr>
        <w:pStyle w:val="Heading2"/>
      </w:pPr>
      <w:r w:rsidRPr="0068452F">
        <w:t xml:space="preserve">PLAZO MÍNIMO PARA TODAS LAS PARTES CONTRATANTES </w:t>
      </w:r>
    </w:p>
    <w:p w14:paraId="42A0A4C3" w14:textId="1368DECD" w:rsidR="004804B9" w:rsidRPr="00D72DBF" w:rsidRDefault="004804B9" w:rsidP="00750682">
      <w:pPr>
        <w:pStyle w:val="ONUMFS"/>
        <w:rPr>
          <w:lang w:val="es-ES_tradnl"/>
        </w:rPr>
      </w:pPr>
      <w:r w:rsidRPr="00D72DBF">
        <w:rPr>
          <w:lang w:val="es-ES_tradnl"/>
        </w:rPr>
        <w:t>Varias delegaciones han indicado que estarían a favor de</w:t>
      </w:r>
      <w:r w:rsidR="00B54F83" w:rsidRPr="00D72DBF">
        <w:rPr>
          <w:lang w:val="es-ES_tradnl"/>
        </w:rPr>
        <w:t>l establecimiento de</w:t>
      </w:r>
      <w:r w:rsidRPr="00D72DBF">
        <w:rPr>
          <w:lang w:val="es-ES_tradnl"/>
        </w:rPr>
        <w:t xml:space="preserve"> un plazo mínimo </w:t>
      </w:r>
      <w:r w:rsidR="00B54F83" w:rsidRPr="00D72DBF">
        <w:rPr>
          <w:lang w:val="es-ES_tradnl"/>
        </w:rPr>
        <w:t>en</w:t>
      </w:r>
      <w:r w:rsidRPr="00D72DBF">
        <w:rPr>
          <w:lang w:val="es-ES_tradnl"/>
        </w:rPr>
        <w:t xml:space="preserve"> </w:t>
      </w:r>
      <w:r w:rsidR="00C87DA0" w:rsidRPr="00D72DBF">
        <w:rPr>
          <w:lang w:val="es-ES_tradnl"/>
        </w:rPr>
        <w:t xml:space="preserve">todas las Partes Contratantes. </w:t>
      </w:r>
      <w:r w:rsidR="00B54F83" w:rsidRPr="00D72DBF">
        <w:rPr>
          <w:lang w:val="es-ES_tradnl"/>
        </w:rPr>
        <w:t>Dispone</w:t>
      </w:r>
      <w:r w:rsidRPr="00D72DBF">
        <w:rPr>
          <w:lang w:val="es-ES_tradnl"/>
        </w:rPr>
        <w:t>r</w:t>
      </w:r>
      <w:r w:rsidR="00B54F83" w:rsidRPr="00D72DBF">
        <w:rPr>
          <w:lang w:val="es-ES_tradnl"/>
        </w:rPr>
        <w:t xml:space="preserve"> de</w:t>
      </w:r>
      <w:r w:rsidRPr="00D72DBF">
        <w:rPr>
          <w:lang w:val="es-ES_tradnl"/>
        </w:rPr>
        <w:t xml:space="preserve"> un plazo mínimo calculado a partir de la fecha en que la Oficina In</w:t>
      </w:r>
      <w:r w:rsidR="00C87DA0" w:rsidRPr="00D72DBF">
        <w:rPr>
          <w:lang w:val="es-ES_tradnl"/>
        </w:rPr>
        <w:t>ternacional transmita</w:t>
      </w:r>
      <w:r w:rsidRPr="00D72DBF">
        <w:rPr>
          <w:lang w:val="es-ES_tradnl"/>
        </w:rPr>
        <w:t xml:space="preserve"> la notificación al titular no sería tan beneficioso para los titulares como </w:t>
      </w:r>
      <w:r w:rsidR="00B54F83" w:rsidRPr="00D72DBF">
        <w:rPr>
          <w:lang w:val="es-ES_tradnl"/>
        </w:rPr>
        <w:t>dispone</w:t>
      </w:r>
      <w:r w:rsidRPr="00D72DBF">
        <w:rPr>
          <w:lang w:val="es-ES_tradnl"/>
        </w:rPr>
        <w:t xml:space="preserve">r </w:t>
      </w:r>
      <w:r w:rsidR="00C87DA0" w:rsidRPr="00D72DBF">
        <w:rPr>
          <w:lang w:val="es-ES_tradnl"/>
        </w:rPr>
        <w:t>de</w:t>
      </w:r>
      <w:r w:rsidRPr="00D72DBF">
        <w:rPr>
          <w:lang w:val="es-ES_tradnl"/>
        </w:rPr>
        <w:t xml:space="preserve"> un plazo </w:t>
      </w:r>
      <w:r w:rsidR="00B54F83" w:rsidRPr="00D72DBF">
        <w:rPr>
          <w:lang w:val="es-ES_tradnl"/>
        </w:rPr>
        <w:t>determina</w:t>
      </w:r>
      <w:r w:rsidR="00CF13E6" w:rsidRPr="00D72DBF">
        <w:rPr>
          <w:lang w:val="es-ES_tradnl"/>
        </w:rPr>
        <w:t>d</w:t>
      </w:r>
      <w:r w:rsidRPr="00D72DBF">
        <w:rPr>
          <w:lang w:val="es-ES_tradnl"/>
        </w:rPr>
        <w:t xml:space="preserve">o, pero supondría un </w:t>
      </w:r>
      <w:r w:rsidR="005141A8" w:rsidRPr="00D72DBF">
        <w:rPr>
          <w:lang w:val="es-ES_tradnl"/>
        </w:rPr>
        <w:t>avance significativo</w:t>
      </w:r>
      <w:r w:rsidRPr="00D72DBF">
        <w:rPr>
          <w:lang w:val="es-ES_tradnl"/>
        </w:rPr>
        <w:t xml:space="preserve"> en comparación con la situación actual.</w:t>
      </w:r>
    </w:p>
    <w:p w14:paraId="27DD98D2" w14:textId="7E0FA8D8" w:rsidR="004804B9" w:rsidRPr="00D72DBF" w:rsidRDefault="00C87DA0" w:rsidP="00750682">
      <w:pPr>
        <w:pStyle w:val="ONUMFS"/>
        <w:spacing w:after="480"/>
        <w:rPr>
          <w:lang w:val="es-ES_tradnl"/>
        </w:rPr>
      </w:pPr>
      <w:r w:rsidRPr="00D72DBF">
        <w:rPr>
          <w:lang w:val="es-ES_tradnl"/>
        </w:rPr>
        <w:t>En l</w:t>
      </w:r>
      <w:r w:rsidR="004804B9" w:rsidRPr="00D72DBF">
        <w:rPr>
          <w:lang w:val="es-ES_tradnl"/>
        </w:rPr>
        <w:t xml:space="preserve">a encuesta mencionada </w:t>
      </w:r>
      <w:r w:rsidRPr="00D72DBF">
        <w:rPr>
          <w:lang w:val="es-ES_tradnl"/>
        </w:rPr>
        <w:t xml:space="preserve">se puso en evidencia </w:t>
      </w:r>
      <w:r w:rsidR="004804B9" w:rsidRPr="00D72DBF">
        <w:rPr>
          <w:lang w:val="es-ES_tradnl"/>
        </w:rPr>
        <w:t xml:space="preserve">que 40 de las 66 Oficinas </w:t>
      </w:r>
      <w:r w:rsidR="000E60BE" w:rsidRPr="00D72DBF">
        <w:rPr>
          <w:lang w:val="es-ES_tradnl"/>
        </w:rPr>
        <w:t>prevé</w:t>
      </w:r>
      <w:r w:rsidR="004804B9" w:rsidRPr="00D72DBF">
        <w:rPr>
          <w:lang w:val="es-ES_tradnl"/>
        </w:rPr>
        <w:t>n</w:t>
      </w:r>
      <w:r w:rsidR="000E60BE" w:rsidRPr="00D72DBF">
        <w:rPr>
          <w:lang w:val="es-ES_tradnl"/>
        </w:rPr>
        <w:t xml:space="preserve"> en la actualidad</w:t>
      </w:r>
      <w:r w:rsidR="004804B9" w:rsidRPr="00D72DBF">
        <w:rPr>
          <w:lang w:val="es-ES_tradnl"/>
        </w:rPr>
        <w:t xml:space="preserve"> plazo</w:t>
      </w:r>
      <w:r w:rsidR="00CE6476" w:rsidRPr="00D72DBF">
        <w:rPr>
          <w:lang w:val="es-ES_tradnl"/>
        </w:rPr>
        <w:t>s</w:t>
      </w:r>
      <w:r w:rsidR="004804B9" w:rsidRPr="00D72DBF">
        <w:rPr>
          <w:lang w:val="es-ES_tradnl"/>
        </w:rPr>
        <w:t xml:space="preserve"> de </w:t>
      </w:r>
      <w:r w:rsidR="00CE6476" w:rsidRPr="00D72DBF">
        <w:rPr>
          <w:lang w:val="es-ES_tradnl"/>
        </w:rPr>
        <w:t xml:space="preserve">al menos </w:t>
      </w:r>
      <w:r w:rsidR="004804B9" w:rsidRPr="00D72DBF">
        <w:rPr>
          <w:lang w:val="es-ES_tradnl"/>
        </w:rPr>
        <w:t xml:space="preserve">tres </w:t>
      </w:r>
      <w:r w:rsidR="00CE6476" w:rsidRPr="00D72DBF">
        <w:rPr>
          <w:lang w:val="es-ES_tradnl"/>
        </w:rPr>
        <w:t>meses</w:t>
      </w:r>
      <w:r w:rsidR="004804B9" w:rsidRPr="00D72DBF">
        <w:rPr>
          <w:lang w:val="es-ES_tradnl"/>
        </w:rPr>
        <w:t>; y 16 Oficinas</w:t>
      </w:r>
      <w:r w:rsidRPr="00D72DBF">
        <w:rPr>
          <w:lang w:val="es-ES_tradnl"/>
        </w:rPr>
        <w:t xml:space="preserve"> tienen un plazo de dos meses. </w:t>
      </w:r>
      <w:r w:rsidR="00B62619" w:rsidRPr="00D72DBF">
        <w:rPr>
          <w:lang w:val="es-ES_tradnl"/>
        </w:rPr>
        <w:t>Por consiguiente</w:t>
      </w:r>
      <w:r w:rsidR="004804B9" w:rsidRPr="00D72DBF">
        <w:rPr>
          <w:lang w:val="es-ES_tradnl"/>
        </w:rPr>
        <w:t xml:space="preserve">, el 85% de las Oficinas </w:t>
      </w:r>
      <w:r w:rsidR="00B62619" w:rsidRPr="00D72DBF">
        <w:rPr>
          <w:lang w:val="es-ES_tradnl"/>
        </w:rPr>
        <w:t>conced</w:t>
      </w:r>
      <w:r w:rsidRPr="00D72DBF">
        <w:rPr>
          <w:lang w:val="es-ES_tradnl"/>
        </w:rPr>
        <w:t>e</w:t>
      </w:r>
      <w:r w:rsidR="004804B9" w:rsidRPr="00D72DBF">
        <w:rPr>
          <w:lang w:val="es-ES_tradnl"/>
        </w:rPr>
        <w:t xml:space="preserve"> </w:t>
      </w:r>
      <w:r w:rsidR="00B62619" w:rsidRPr="00D72DBF">
        <w:rPr>
          <w:lang w:val="es-ES_tradnl"/>
        </w:rPr>
        <w:t xml:space="preserve">al menos </w:t>
      </w:r>
      <w:r w:rsidR="004804B9" w:rsidRPr="00D72DBF">
        <w:rPr>
          <w:lang w:val="es-ES_tradnl"/>
        </w:rPr>
        <w:t>dos meses para responder a l</w:t>
      </w:r>
      <w:r w:rsidRPr="00D72DBF">
        <w:rPr>
          <w:lang w:val="es-ES_tradnl"/>
        </w:rPr>
        <w:t xml:space="preserve">as denegaciones provisionales. </w:t>
      </w:r>
      <w:r w:rsidR="004804B9" w:rsidRPr="00D72DBF">
        <w:rPr>
          <w:lang w:val="es-ES_tradnl"/>
        </w:rPr>
        <w:t>De las 50 Oficinas que indicaron que conced</w:t>
      </w:r>
      <w:r w:rsidR="00403125" w:rsidRPr="00D72DBF">
        <w:rPr>
          <w:lang w:val="es-ES_tradnl"/>
        </w:rPr>
        <w:t>ía</w:t>
      </w:r>
      <w:r w:rsidR="004804B9" w:rsidRPr="00D72DBF">
        <w:rPr>
          <w:lang w:val="es-ES_tradnl"/>
        </w:rPr>
        <w:t xml:space="preserve">n </w:t>
      </w:r>
      <w:r w:rsidR="002B0A78" w:rsidRPr="00D72DBF">
        <w:rPr>
          <w:lang w:val="es-ES_tradnl"/>
        </w:rPr>
        <w:t>otros</w:t>
      </w:r>
      <w:r w:rsidR="004804B9" w:rsidRPr="00D72DBF">
        <w:rPr>
          <w:lang w:val="es-ES_tradnl"/>
        </w:rPr>
        <w:t xml:space="preserve"> plazo</w:t>
      </w:r>
      <w:r w:rsidR="002B0A78" w:rsidRPr="00D72DBF">
        <w:rPr>
          <w:lang w:val="es-ES_tradnl"/>
        </w:rPr>
        <w:t>s</w:t>
      </w:r>
      <w:r w:rsidR="004804B9" w:rsidRPr="00D72DBF">
        <w:rPr>
          <w:lang w:val="es-ES_tradnl"/>
        </w:rPr>
        <w:t xml:space="preserve"> para responder a </w:t>
      </w:r>
      <w:r w:rsidR="002B0A78" w:rsidRPr="00D72DBF">
        <w:rPr>
          <w:lang w:val="es-ES_tradnl"/>
        </w:rPr>
        <w:t>las</w:t>
      </w:r>
      <w:r w:rsidR="004804B9" w:rsidRPr="00D72DBF">
        <w:rPr>
          <w:lang w:val="es-ES_tradnl"/>
        </w:rPr>
        <w:t xml:space="preserve"> denegaci</w:t>
      </w:r>
      <w:r w:rsidR="002B0A78" w:rsidRPr="00D72DBF">
        <w:rPr>
          <w:lang w:val="es-ES_tradnl"/>
        </w:rPr>
        <w:t>ones</w:t>
      </w:r>
      <w:r w:rsidR="004804B9" w:rsidRPr="00D72DBF">
        <w:rPr>
          <w:lang w:val="es-ES_tradnl"/>
        </w:rPr>
        <w:t xml:space="preserve"> provisional</w:t>
      </w:r>
      <w:r w:rsidR="002B0A78" w:rsidRPr="00D72DBF">
        <w:rPr>
          <w:lang w:val="es-ES_tradnl"/>
        </w:rPr>
        <w:t>es</w:t>
      </w:r>
      <w:r w:rsidR="004804B9" w:rsidRPr="00D72DBF">
        <w:rPr>
          <w:lang w:val="es-ES_tradnl"/>
        </w:rPr>
        <w:t xml:space="preserve"> basada</w:t>
      </w:r>
      <w:r w:rsidR="002B0A78" w:rsidRPr="00D72DBF">
        <w:rPr>
          <w:lang w:val="es-ES_tradnl"/>
        </w:rPr>
        <w:t>s</w:t>
      </w:r>
      <w:r w:rsidR="004804B9" w:rsidRPr="00D72DBF">
        <w:rPr>
          <w:lang w:val="es-ES_tradnl"/>
        </w:rPr>
        <w:t xml:space="preserve"> en una oposición, 39 (</w:t>
      </w:r>
      <w:r w:rsidR="00403125" w:rsidRPr="00D72DBF">
        <w:rPr>
          <w:lang w:val="es-ES_tradnl"/>
        </w:rPr>
        <w:t xml:space="preserve">el </w:t>
      </w:r>
      <w:r w:rsidR="004804B9" w:rsidRPr="00D72DBF">
        <w:rPr>
          <w:lang w:val="es-ES_tradnl"/>
        </w:rPr>
        <w:t>78%) conced</w:t>
      </w:r>
      <w:r w:rsidR="00403125" w:rsidRPr="00D72DBF">
        <w:rPr>
          <w:lang w:val="es-ES_tradnl"/>
        </w:rPr>
        <w:t>ía</w:t>
      </w:r>
      <w:r w:rsidR="004804B9" w:rsidRPr="00D72DBF">
        <w:rPr>
          <w:lang w:val="es-ES_tradnl"/>
        </w:rPr>
        <w:t xml:space="preserve">n un plazo de </w:t>
      </w:r>
      <w:r w:rsidR="00403125" w:rsidRPr="00D72DBF">
        <w:rPr>
          <w:lang w:val="es-ES_tradnl"/>
        </w:rPr>
        <w:t xml:space="preserve">al menos </w:t>
      </w:r>
      <w:r w:rsidRPr="00D72DBF">
        <w:rPr>
          <w:lang w:val="es-ES_tradnl"/>
        </w:rPr>
        <w:t xml:space="preserve">dos meses. </w:t>
      </w:r>
      <w:r w:rsidR="004804B9" w:rsidRPr="00D72DBF">
        <w:rPr>
          <w:lang w:val="es-ES_tradnl"/>
        </w:rPr>
        <w:t xml:space="preserve">Por consiguiente, un </w:t>
      </w:r>
      <w:r w:rsidR="00403125" w:rsidRPr="00D72DBF">
        <w:rPr>
          <w:lang w:val="es-ES_tradnl"/>
        </w:rPr>
        <w:t xml:space="preserve">elevado </w:t>
      </w:r>
      <w:r w:rsidR="004804B9" w:rsidRPr="00D72DBF">
        <w:rPr>
          <w:lang w:val="es-ES_tradnl"/>
        </w:rPr>
        <w:t>número de Oficinas estaría en condiciones de c</w:t>
      </w:r>
      <w:r w:rsidR="00221A5C" w:rsidRPr="00D72DBF">
        <w:rPr>
          <w:lang w:val="es-ES_tradnl"/>
        </w:rPr>
        <w:t>onverge</w:t>
      </w:r>
      <w:r w:rsidR="004804B9" w:rsidRPr="00D72DBF">
        <w:rPr>
          <w:lang w:val="es-ES_tradnl"/>
        </w:rPr>
        <w:t>r</w:t>
      </w:r>
      <w:r w:rsidR="00221A5C" w:rsidRPr="00D72DBF">
        <w:rPr>
          <w:lang w:val="es-ES_tradnl"/>
        </w:rPr>
        <w:t xml:space="preserve"> en</w:t>
      </w:r>
      <w:r w:rsidR="004804B9" w:rsidRPr="00D72DBF">
        <w:rPr>
          <w:lang w:val="es-ES_tradnl"/>
        </w:rPr>
        <w:t xml:space="preserve"> </w:t>
      </w:r>
      <w:r w:rsidR="00D36564" w:rsidRPr="00D72DBF">
        <w:rPr>
          <w:lang w:val="es-ES_tradnl"/>
        </w:rPr>
        <w:t xml:space="preserve">un </w:t>
      </w:r>
      <w:r w:rsidRPr="00D72DBF">
        <w:rPr>
          <w:lang w:val="es-ES_tradnl"/>
        </w:rPr>
        <w:t xml:space="preserve">plazo mínimo de dos meses. </w:t>
      </w:r>
      <w:r w:rsidR="004804B9" w:rsidRPr="00D72DBF">
        <w:rPr>
          <w:lang w:val="es-ES_tradnl"/>
        </w:rPr>
        <w:t>Es</w:t>
      </w:r>
      <w:r w:rsidR="003C7161" w:rsidRPr="00D72DBF">
        <w:rPr>
          <w:lang w:val="es-ES_tradnl"/>
        </w:rPr>
        <w:t>t</w:t>
      </w:r>
      <w:r w:rsidR="004804B9" w:rsidRPr="00D72DBF">
        <w:rPr>
          <w:lang w:val="es-ES_tradnl"/>
        </w:rPr>
        <w:t xml:space="preserve">e plazo mínimo no impediría que </w:t>
      </w:r>
      <w:r w:rsidR="00D36564" w:rsidRPr="00D72DBF">
        <w:rPr>
          <w:lang w:val="es-ES_tradnl"/>
        </w:rPr>
        <w:t>algun</w:t>
      </w:r>
      <w:r w:rsidR="004804B9" w:rsidRPr="00D72DBF">
        <w:rPr>
          <w:lang w:val="es-ES_tradnl"/>
        </w:rPr>
        <w:t xml:space="preserve">as Oficinas </w:t>
      </w:r>
      <w:r w:rsidR="00D36564" w:rsidRPr="00D72DBF">
        <w:rPr>
          <w:lang w:val="es-ES_tradnl"/>
        </w:rPr>
        <w:t>otorg</w:t>
      </w:r>
      <w:r w:rsidRPr="00D72DBF">
        <w:rPr>
          <w:lang w:val="es-ES_tradnl"/>
        </w:rPr>
        <w:t>uen</w:t>
      </w:r>
      <w:r w:rsidR="004804B9" w:rsidRPr="00D72DBF">
        <w:rPr>
          <w:lang w:val="es-ES_tradnl"/>
        </w:rPr>
        <w:t xml:space="preserve"> plazo</w:t>
      </w:r>
      <w:r w:rsidR="00D36564" w:rsidRPr="00D72DBF">
        <w:rPr>
          <w:lang w:val="es-ES_tradnl"/>
        </w:rPr>
        <w:t>s</w:t>
      </w:r>
      <w:r w:rsidR="004804B9" w:rsidRPr="00D72DBF">
        <w:rPr>
          <w:lang w:val="es-ES_tradnl"/>
        </w:rPr>
        <w:t xml:space="preserve"> más largo</w:t>
      </w:r>
      <w:r w:rsidR="00D36564" w:rsidRPr="00D72DBF">
        <w:rPr>
          <w:lang w:val="es-ES_tradnl"/>
        </w:rPr>
        <w:t>s</w:t>
      </w:r>
      <w:r w:rsidR="004804B9" w:rsidRPr="00D72DBF">
        <w:rPr>
          <w:lang w:val="es-ES_tradnl"/>
        </w:rPr>
        <w:t>.</w:t>
      </w:r>
    </w:p>
    <w:p w14:paraId="7B3C6ACE" w14:textId="44051A24" w:rsidR="004804B9" w:rsidRPr="0068452F" w:rsidRDefault="00F07295" w:rsidP="0068452F">
      <w:pPr>
        <w:pStyle w:val="Heading1"/>
      </w:pPr>
      <w:r w:rsidRPr="0068452F">
        <w:t>vías para seguir avanzando</w:t>
      </w:r>
    </w:p>
    <w:p w14:paraId="57DA5BB8" w14:textId="05E10E07" w:rsidR="004804B9" w:rsidRPr="00D72DBF" w:rsidRDefault="004804B9" w:rsidP="00750682">
      <w:pPr>
        <w:pStyle w:val="ONUMFS"/>
        <w:rPr>
          <w:lang w:val="es-ES_tradnl"/>
        </w:rPr>
      </w:pPr>
      <w:r w:rsidRPr="00D72DBF">
        <w:rPr>
          <w:lang w:val="es-ES_tradnl"/>
        </w:rPr>
        <w:t>En vista de lo que antecede, se invita al Grupo de Trabajo a examin</w:t>
      </w:r>
      <w:r w:rsidR="003D08A9" w:rsidRPr="00D72DBF">
        <w:rPr>
          <w:lang w:val="es-ES_tradnl"/>
        </w:rPr>
        <w:t>ar</w:t>
      </w:r>
      <w:r w:rsidRPr="00D72DBF">
        <w:rPr>
          <w:lang w:val="es-ES_tradnl"/>
        </w:rPr>
        <w:t xml:space="preserve"> si un plazo </w:t>
      </w:r>
      <w:r w:rsidR="00D06AE9" w:rsidRPr="00D72DBF">
        <w:rPr>
          <w:lang w:val="es-ES_tradnl"/>
        </w:rPr>
        <w:t>determina</w:t>
      </w:r>
      <w:r w:rsidR="00CF13E6" w:rsidRPr="00D72DBF">
        <w:rPr>
          <w:lang w:val="es-ES_tradnl"/>
        </w:rPr>
        <w:t>d</w:t>
      </w:r>
      <w:r w:rsidRPr="00D72DBF">
        <w:rPr>
          <w:lang w:val="es-ES_tradnl"/>
        </w:rPr>
        <w:t xml:space="preserve">o o mínimo se ajustaría mejor a las necesidades de los titulares y si se debe pedir a la Oficina Internacional que prepare un documento en el que se propongan las modificaciones necesarias del Reglamento, que se </w:t>
      </w:r>
      <w:r w:rsidR="00C87DA0" w:rsidRPr="00D72DBF">
        <w:rPr>
          <w:lang w:val="es-ES_tradnl"/>
        </w:rPr>
        <w:t>estudiarían</w:t>
      </w:r>
      <w:r w:rsidRPr="00D72DBF">
        <w:rPr>
          <w:lang w:val="es-ES_tradnl"/>
        </w:rPr>
        <w:t xml:space="preserve"> en una futura </w:t>
      </w:r>
      <w:r w:rsidR="00EA06C8" w:rsidRPr="00D72DBF">
        <w:rPr>
          <w:lang w:val="es-ES_tradnl"/>
        </w:rPr>
        <w:t>reunión</w:t>
      </w:r>
      <w:r w:rsidRPr="00D72DBF">
        <w:rPr>
          <w:lang w:val="es-ES_tradnl"/>
        </w:rPr>
        <w:t>, especificando:</w:t>
      </w:r>
    </w:p>
    <w:p w14:paraId="6EFD777C" w14:textId="77777777" w:rsidR="004804B9" w:rsidRPr="00D72DBF" w:rsidRDefault="004804B9" w:rsidP="00750682">
      <w:pPr>
        <w:pStyle w:val="ONUMFS"/>
        <w:numPr>
          <w:ilvl w:val="0"/>
          <w:numId w:val="15"/>
        </w:numPr>
        <w:ind w:left="567"/>
        <w:rPr>
          <w:lang w:val="es-ES_tradnl"/>
        </w:rPr>
      </w:pPr>
      <w:r w:rsidRPr="00D72DBF">
        <w:rPr>
          <w:lang w:val="es-ES_tradnl"/>
        </w:rPr>
        <w:t xml:space="preserve">un </w:t>
      </w:r>
      <w:r w:rsidR="00D06AE9" w:rsidRPr="00D72DBF">
        <w:rPr>
          <w:lang w:val="es-ES_tradnl"/>
        </w:rPr>
        <w:t>plazo determinado</w:t>
      </w:r>
      <w:r w:rsidRPr="00D72DBF">
        <w:rPr>
          <w:lang w:val="es-ES_tradnl"/>
        </w:rPr>
        <w:t xml:space="preserve"> o mínimo para responder a las denegaciones provisionales y;</w:t>
      </w:r>
    </w:p>
    <w:p w14:paraId="0CDDC17E" w14:textId="77777777" w:rsidR="004804B9" w:rsidRPr="00D72DBF" w:rsidRDefault="004804B9" w:rsidP="00750682">
      <w:pPr>
        <w:pStyle w:val="ONUMFS"/>
        <w:numPr>
          <w:ilvl w:val="0"/>
          <w:numId w:val="15"/>
        </w:numPr>
        <w:ind w:left="567"/>
        <w:rPr>
          <w:lang w:val="es-ES_tradnl"/>
        </w:rPr>
      </w:pPr>
      <w:r w:rsidRPr="00D72DBF">
        <w:rPr>
          <w:lang w:val="es-ES_tradnl"/>
        </w:rPr>
        <w:t>que el plazo se calcule a partir de la fecha en que la Oficina Internacional transmita la notificación al titular</w:t>
      </w:r>
      <w:r w:rsidR="009243A2" w:rsidRPr="00D72DBF">
        <w:rPr>
          <w:lang w:val="es-ES_tradnl"/>
        </w:rPr>
        <w:t>.</w:t>
      </w:r>
      <w:r w:rsidRPr="00D72DBF">
        <w:rPr>
          <w:lang w:val="es-ES_tradnl"/>
        </w:rPr>
        <w:t xml:space="preserve"> </w:t>
      </w:r>
    </w:p>
    <w:p w14:paraId="3254B28D" w14:textId="0C8EA39E" w:rsidR="004804B9" w:rsidRPr="00D72DBF" w:rsidRDefault="009243A2" w:rsidP="00750682">
      <w:pPr>
        <w:pStyle w:val="ONUMFS"/>
        <w:rPr>
          <w:lang w:val="es-ES_tradnl"/>
        </w:rPr>
      </w:pPr>
      <w:r w:rsidRPr="00D72DBF">
        <w:rPr>
          <w:lang w:val="es-ES_tradnl"/>
        </w:rPr>
        <w:t>El establecimiento</w:t>
      </w:r>
      <w:r w:rsidR="004804B9" w:rsidRPr="00D72DBF">
        <w:rPr>
          <w:lang w:val="es-ES_tradnl"/>
        </w:rPr>
        <w:t xml:space="preserve"> </w:t>
      </w:r>
      <w:r w:rsidR="009216AC" w:rsidRPr="00D72DBF">
        <w:rPr>
          <w:lang w:val="es-ES_tradnl"/>
        </w:rPr>
        <w:t xml:space="preserve">en el Reglamento </w:t>
      </w:r>
      <w:r w:rsidR="004804B9" w:rsidRPr="00D72DBF">
        <w:rPr>
          <w:lang w:val="es-ES_tradnl"/>
        </w:rPr>
        <w:t>de un plazo de</w:t>
      </w:r>
      <w:r w:rsidR="009216AC" w:rsidRPr="00D72DBF">
        <w:rPr>
          <w:lang w:val="es-ES_tradnl"/>
        </w:rPr>
        <w:t>termina</w:t>
      </w:r>
      <w:r w:rsidR="004804B9" w:rsidRPr="00D72DBF">
        <w:rPr>
          <w:lang w:val="es-ES_tradnl"/>
        </w:rPr>
        <w:t xml:space="preserve">do con una forma específica de calcularlo podría requerir </w:t>
      </w:r>
      <w:r w:rsidR="005659AF" w:rsidRPr="00D72DBF">
        <w:rPr>
          <w:lang w:val="es-ES_tradnl"/>
        </w:rPr>
        <w:t>cambio</w:t>
      </w:r>
      <w:r w:rsidR="004804B9" w:rsidRPr="00D72DBF">
        <w:rPr>
          <w:lang w:val="es-ES_tradnl"/>
        </w:rPr>
        <w:t>s en las legislaciones, prácticas y sistemas de tecnología</w:t>
      </w:r>
      <w:r w:rsidR="005659AF" w:rsidRPr="00D72DBF">
        <w:rPr>
          <w:lang w:val="es-ES_tradnl"/>
        </w:rPr>
        <w:t>s</w:t>
      </w:r>
      <w:r w:rsidR="004804B9" w:rsidRPr="00D72DBF">
        <w:rPr>
          <w:lang w:val="es-ES_tradnl"/>
        </w:rPr>
        <w:t xml:space="preserve"> de la información y las comunicaciones aplicables </w:t>
      </w:r>
      <w:r w:rsidR="00357400" w:rsidRPr="00D72DBF">
        <w:rPr>
          <w:lang w:val="es-ES_tradnl"/>
        </w:rPr>
        <w:t>en</w:t>
      </w:r>
      <w:r w:rsidR="00C87DA0" w:rsidRPr="00D72DBF">
        <w:rPr>
          <w:lang w:val="es-ES_tradnl"/>
        </w:rPr>
        <w:t xml:space="preserve"> las Partes Contratantes. </w:t>
      </w:r>
      <w:r w:rsidR="004804B9" w:rsidRPr="00D72DBF">
        <w:rPr>
          <w:lang w:val="es-ES_tradnl"/>
        </w:rPr>
        <w:t>Por est</w:t>
      </w:r>
      <w:r w:rsidR="00FA1E16" w:rsidRPr="00D72DBF">
        <w:rPr>
          <w:lang w:val="es-ES_tradnl"/>
        </w:rPr>
        <w:t>e motivo</w:t>
      </w:r>
      <w:r w:rsidR="004804B9" w:rsidRPr="00D72DBF">
        <w:rPr>
          <w:lang w:val="es-ES_tradnl"/>
        </w:rPr>
        <w:t xml:space="preserve">, en el documento mencionado anteriormente </w:t>
      </w:r>
      <w:r w:rsidR="00FA1E16" w:rsidRPr="00D72DBF">
        <w:rPr>
          <w:lang w:val="es-ES_tradnl"/>
        </w:rPr>
        <w:t>cab</w:t>
      </w:r>
      <w:r w:rsidR="004804B9" w:rsidRPr="00D72DBF">
        <w:rPr>
          <w:lang w:val="es-ES_tradnl"/>
        </w:rPr>
        <w:t xml:space="preserve">ría proponer </w:t>
      </w:r>
      <w:r w:rsidR="00FA1E16" w:rsidRPr="00D72DBF">
        <w:rPr>
          <w:lang w:val="es-ES_tradnl"/>
        </w:rPr>
        <w:t xml:space="preserve">también </w:t>
      </w:r>
      <w:r w:rsidR="004804B9" w:rsidRPr="00D72DBF">
        <w:rPr>
          <w:lang w:val="es-ES_tradnl"/>
        </w:rPr>
        <w:t xml:space="preserve">la demora en la aplicación de las </w:t>
      </w:r>
      <w:r w:rsidR="003D08A9" w:rsidRPr="00D72DBF">
        <w:rPr>
          <w:lang w:val="es-ES_tradnl"/>
        </w:rPr>
        <w:t>modificacione</w:t>
      </w:r>
      <w:r w:rsidR="004804B9" w:rsidRPr="00D72DBF">
        <w:rPr>
          <w:lang w:val="es-ES_tradnl"/>
        </w:rPr>
        <w:t>s propuestas.</w:t>
      </w:r>
    </w:p>
    <w:p w14:paraId="76529267" w14:textId="77777777" w:rsidR="00B11C7A" w:rsidRPr="00D72DBF" w:rsidRDefault="00B11C7A" w:rsidP="00750682">
      <w:pPr>
        <w:pStyle w:val="ONUMFS"/>
        <w:spacing w:after="600"/>
        <w:ind w:left="5534"/>
        <w:rPr>
          <w:lang w:val="es-ES_tradnl"/>
        </w:rPr>
      </w:pPr>
      <w:r w:rsidRPr="00D72DBF">
        <w:rPr>
          <w:i/>
          <w:lang w:val="es-ES_tradnl"/>
        </w:rPr>
        <w:t>Se invita al Grupo de Trabajo a examinar la información expuesta en el presente documento y a proporcionar orientación a la Oficina Internacional sobre las posibles vías para seguir avanzando.</w:t>
      </w:r>
    </w:p>
    <w:p w14:paraId="58C768AF" w14:textId="0CBB96F1" w:rsidR="00517BBD" w:rsidRPr="00D72DBF" w:rsidRDefault="00517BBD" w:rsidP="00750682">
      <w:pPr>
        <w:pStyle w:val="Endofdocument-Annex"/>
        <w:rPr>
          <w:lang w:val="es-ES_tradnl"/>
        </w:rPr>
      </w:pPr>
      <w:r w:rsidRPr="00D72DBF">
        <w:rPr>
          <w:lang w:val="es-ES_tradnl"/>
        </w:rPr>
        <w:t>[</w:t>
      </w:r>
      <w:r w:rsidR="00B11C7A" w:rsidRPr="00D72DBF">
        <w:rPr>
          <w:lang w:val="es-ES_tradnl"/>
        </w:rPr>
        <w:t>Fin del</w:t>
      </w:r>
      <w:r w:rsidRPr="00D72DBF">
        <w:rPr>
          <w:lang w:val="es-ES_tradnl"/>
        </w:rPr>
        <w:t xml:space="preserve"> document</w:t>
      </w:r>
      <w:r w:rsidR="00B11C7A" w:rsidRPr="00D72DBF">
        <w:rPr>
          <w:lang w:val="es-ES_tradnl"/>
        </w:rPr>
        <w:t>o</w:t>
      </w:r>
      <w:r w:rsidRPr="00D72DBF">
        <w:rPr>
          <w:lang w:val="es-ES_tradnl"/>
        </w:rPr>
        <w:t>]</w:t>
      </w:r>
    </w:p>
    <w:sectPr w:rsidR="00517BBD" w:rsidRPr="00D72DBF" w:rsidSect="00517BBD">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18BF9F" w14:textId="77777777" w:rsidR="000F74AE" w:rsidRDefault="000F74AE">
      <w:r>
        <w:separator/>
      </w:r>
    </w:p>
  </w:endnote>
  <w:endnote w:type="continuationSeparator" w:id="0">
    <w:p w14:paraId="6C9E29B7" w14:textId="77777777" w:rsidR="000F74AE" w:rsidRPr="009D30E6" w:rsidRDefault="000F74AE" w:rsidP="00D45252">
      <w:pPr>
        <w:rPr>
          <w:sz w:val="17"/>
          <w:szCs w:val="17"/>
        </w:rPr>
      </w:pPr>
      <w:r w:rsidRPr="009D30E6">
        <w:rPr>
          <w:sz w:val="17"/>
          <w:szCs w:val="17"/>
        </w:rPr>
        <w:separator/>
      </w:r>
    </w:p>
    <w:p w14:paraId="0AB355BC" w14:textId="77777777" w:rsidR="000F74AE" w:rsidRPr="009D30E6" w:rsidRDefault="000F74AE" w:rsidP="00D45252">
      <w:pPr>
        <w:spacing w:after="60"/>
        <w:rPr>
          <w:sz w:val="17"/>
          <w:szCs w:val="17"/>
        </w:rPr>
      </w:pPr>
      <w:r w:rsidRPr="009D30E6">
        <w:rPr>
          <w:sz w:val="17"/>
          <w:szCs w:val="17"/>
        </w:rPr>
        <w:t>[Suite de la note de la page précédente]</w:t>
      </w:r>
    </w:p>
  </w:endnote>
  <w:endnote w:type="continuationNotice" w:id="1">
    <w:p w14:paraId="3F5C183E" w14:textId="77777777" w:rsidR="000F74AE" w:rsidRPr="009D30E6" w:rsidRDefault="000F74AE"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79DD75" w14:textId="77777777" w:rsidR="000F74AE" w:rsidRDefault="000F74AE">
      <w:r>
        <w:separator/>
      </w:r>
    </w:p>
  </w:footnote>
  <w:footnote w:type="continuationSeparator" w:id="0">
    <w:p w14:paraId="16407472" w14:textId="77777777" w:rsidR="000F74AE" w:rsidRDefault="000F74AE" w:rsidP="007461F1">
      <w:r>
        <w:separator/>
      </w:r>
    </w:p>
    <w:p w14:paraId="41C003D1" w14:textId="77777777" w:rsidR="000F74AE" w:rsidRPr="009D30E6" w:rsidRDefault="000F74AE" w:rsidP="007461F1">
      <w:pPr>
        <w:spacing w:after="60"/>
        <w:rPr>
          <w:sz w:val="17"/>
          <w:szCs w:val="17"/>
        </w:rPr>
      </w:pPr>
      <w:r w:rsidRPr="009D30E6">
        <w:rPr>
          <w:sz w:val="17"/>
          <w:szCs w:val="17"/>
        </w:rPr>
        <w:t>[Suite de la note de la page précédente]</w:t>
      </w:r>
    </w:p>
  </w:footnote>
  <w:footnote w:type="continuationNotice" w:id="1">
    <w:p w14:paraId="29B0726F" w14:textId="77777777" w:rsidR="000F74AE" w:rsidRPr="009D30E6" w:rsidRDefault="000F74AE" w:rsidP="007461F1">
      <w:pPr>
        <w:spacing w:before="60"/>
        <w:jc w:val="right"/>
        <w:rPr>
          <w:sz w:val="17"/>
          <w:szCs w:val="17"/>
        </w:rPr>
      </w:pPr>
      <w:r w:rsidRPr="009D30E6">
        <w:rPr>
          <w:sz w:val="17"/>
          <w:szCs w:val="17"/>
        </w:rPr>
        <w:t>[Suite de la note page suivante]</w:t>
      </w:r>
    </w:p>
  </w:footnote>
  <w:footnote w:id="2">
    <w:p w14:paraId="10982D23" w14:textId="3897C2C4" w:rsidR="00551690" w:rsidRPr="00D72DBF" w:rsidRDefault="00551690" w:rsidP="00551690">
      <w:pPr>
        <w:pStyle w:val="FootnoteText"/>
        <w:rPr>
          <w:lang w:val="es-ES_tradnl"/>
        </w:rPr>
      </w:pPr>
      <w:r w:rsidRPr="00D72DBF">
        <w:rPr>
          <w:rStyle w:val="FootnoteReference"/>
          <w:lang w:val="es-ES_tradnl"/>
        </w:rPr>
        <w:footnoteRef/>
      </w:r>
      <w:r w:rsidRPr="00D72DBF">
        <w:rPr>
          <w:lang w:val="es-ES_tradnl"/>
        </w:rPr>
        <w:t xml:space="preserve"> </w:t>
      </w:r>
      <w:r w:rsidRPr="00D72DBF">
        <w:rPr>
          <w:lang w:val="es-ES_tradnl"/>
        </w:rPr>
        <w:tab/>
        <w:t xml:space="preserve">El debate relativo a la comunicación electrónica como medio por defecto de transmisión de las comunicaciones, que </w:t>
      </w:r>
      <w:r w:rsidR="00F07295" w:rsidRPr="00D72DBF">
        <w:rPr>
          <w:lang w:val="es-ES_tradnl"/>
        </w:rPr>
        <w:t>se señala</w:t>
      </w:r>
      <w:r w:rsidRPr="00D72DBF">
        <w:rPr>
          <w:lang w:val="es-ES_tradnl"/>
        </w:rPr>
        <w:t xml:space="preserve"> en el párrafo 2.v) del presente documento, se aborda más detalladamente en el documento MM/LD/WG/18/2 titulado "Propuestas de modificación del Reglamento del Protocolo concerniente al Arreglo de Madrid relativo al Registro Internacional de Marcas"</w:t>
      </w:r>
      <w:r w:rsidR="00F97998" w:rsidRPr="00D72DBF">
        <w:rPr>
          <w:lang w:val="es-ES_tradnl"/>
        </w:rPr>
        <w:t>.</w:t>
      </w:r>
      <w:r w:rsidR="00D72DBF">
        <w:rPr>
          <w:lang w:val="es-ES_tradnl"/>
        </w:rPr>
        <w:t xml:space="preserve"> </w:t>
      </w:r>
    </w:p>
  </w:footnote>
  <w:footnote w:id="3">
    <w:p w14:paraId="39085E26" w14:textId="4AC1BA19" w:rsidR="0070761C" w:rsidRPr="00D72DBF" w:rsidRDefault="0070761C" w:rsidP="0070761C">
      <w:pPr>
        <w:pStyle w:val="FootnoteText"/>
        <w:rPr>
          <w:lang w:val="es-ES_tradnl"/>
        </w:rPr>
      </w:pPr>
      <w:r w:rsidRPr="00D72DBF">
        <w:rPr>
          <w:rStyle w:val="FootnoteReference"/>
          <w:lang w:val="es-ES_tradnl"/>
        </w:rPr>
        <w:footnoteRef/>
      </w:r>
      <w:r w:rsidRPr="00D72DBF">
        <w:rPr>
          <w:lang w:val="es-ES_tradnl"/>
        </w:rPr>
        <w:t xml:space="preserve"> </w:t>
      </w:r>
      <w:r w:rsidRPr="00D72DBF">
        <w:rPr>
          <w:lang w:val="es-ES_tradnl"/>
        </w:rPr>
        <w:tab/>
      </w:r>
      <w:r w:rsidR="003D1B1B" w:rsidRPr="00D72DBF">
        <w:rPr>
          <w:lang w:val="es-ES_tradnl"/>
        </w:rPr>
        <w:t>Véase el documento</w:t>
      </w:r>
      <w:r w:rsidRPr="00D72DBF">
        <w:rPr>
          <w:lang w:val="es-ES_tradnl"/>
        </w:rPr>
        <w:t xml:space="preserve"> “</w:t>
      </w:r>
      <w:proofErr w:type="spellStart"/>
      <w:r w:rsidRPr="0068452F">
        <w:rPr>
          <w:i/>
          <w:lang w:val="es-ES_tradnl"/>
        </w:rPr>
        <w:t>Information</w:t>
      </w:r>
      <w:proofErr w:type="spellEnd"/>
      <w:r w:rsidRPr="0068452F">
        <w:rPr>
          <w:i/>
          <w:lang w:val="es-ES_tradnl"/>
        </w:rPr>
        <w:t xml:space="preserve"> </w:t>
      </w:r>
      <w:proofErr w:type="spellStart"/>
      <w:r w:rsidRPr="0068452F">
        <w:rPr>
          <w:i/>
          <w:lang w:val="es-ES_tradnl"/>
        </w:rPr>
        <w:t>on</w:t>
      </w:r>
      <w:proofErr w:type="spellEnd"/>
      <w:r w:rsidRPr="0068452F">
        <w:rPr>
          <w:i/>
          <w:lang w:val="es-ES_tradnl"/>
        </w:rPr>
        <w:t xml:space="preserve"> Provisional </w:t>
      </w:r>
      <w:proofErr w:type="spellStart"/>
      <w:r w:rsidRPr="0068452F">
        <w:rPr>
          <w:i/>
          <w:lang w:val="es-ES_tradnl"/>
        </w:rPr>
        <w:t>Refusals</w:t>
      </w:r>
      <w:proofErr w:type="spellEnd"/>
      <w:r w:rsidRPr="00D72DBF">
        <w:rPr>
          <w:lang w:val="es-ES_tradnl"/>
        </w:rPr>
        <w:t>” (https://www.wipo.int/edocs/mdocs/madrid/en/mm_ld_wg_12_rt/mm_ld_wg_12_rt_information</w:t>
      </w:r>
      <w:r w:rsidR="00D72DBF">
        <w:rPr>
          <w:lang w:val="es-ES_tradnl"/>
        </w:rPr>
        <w:t>_on_provisional_refusals.pdf).</w:t>
      </w:r>
    </w:p>
  </w:footnote>
  <w:footnote w:id="4">
    <w:p w14:paraId="1110A7C2" w14:textId="2B4E1680" w:rsidR="0044153C" w:rsidRPr="00D72DBF" w:rsidRDefault="0044153C" w:rsidP="0044153C">
      <w:pPr>
        <w:pStyle w:val="FootnoteText"/>
        <w:rPr>
          <w:lang w:val="es-ES_tradnl"/>
        </w:rPr>
      </w:pPr>
      <w:r w:rsidRPr="00D72DBF">
        <w:rPr>
          <w:rStyle w:val="FootnoteReference"/>
          <w:lang w:val="es-ES_tradnl"/>
        </w:rPr>
        <w:footnoteRef/>
      </w:r>
      <w:r w:rsidRPr="00D72DBF">
        <w:rPr>
          <w:lang w:val="es-ES_tradnl"/>
        </w:rPr>
        <w:t xml:space="preserve"> </w:t>
      </w:r>
      <w:r w:rsidRPr="00D72DBF">
        <w:rPr>
          <w:lang w:val="es-ES_tradnl"/>
        </w:rPr>
        <w:tab/>
      </w:r>
      <w:r w:rsidR="000B72AC" w:rsidRPr="00D72DBF">
        <w:rPr>
          <w:lang w:val="es-ES_tradnl"/>
        </w:rPr>
        <w:t>Véase el documento</w:t>
      </w:r>
      <w:r w:rsidRPr="00D72DBF">
        <w:rPr>
          <w:lang w:val="es-ES_tradnl"/>
        </w:rPr>
        <w:t> MM/LD/WG/17/5 “</w:t>
      </w:r>
      <w:r w:rsidR="000B72AC" w:rsidRPr="00D72DBF">
        <w:rPr>
          <w:lang w:val="es-ES_tradnl"/>
        </w:rPr>
        <w:t>Notificación de denegación provisional – Plazo de respuesta y formas de calcular dicho plazo</w:t>
      </w:r>
      <w:r w:rsidRPr="00D72DBF">
        <w:rPr>
          <w:lang w:val="es-ES_tradnl"/>
        </w:rPr>
        <w:t>”, p</w:t>
      </w:r>
      <w:r w:rsidR="000B72AC" w:rsidRPr="00D72DBF">
        <w:rPr>
          <w:lang w:val="es-ES_tradnl"/>
        </w:rPr>
        <w:t>árrafo</w:t>
      </w:r>
      <w:r w:rsidRPr="00D72DBF">
        <w:rPr>
          <w:lang w:val="es-ES_tradnl"/>
        </w:rPr>
        <w:t xml:space="preserve"> 19 (</w:t>
      </w:r>
      <w:r w:rsidR="000B72AC" w:rsidRPr="0068452F">
        <w:rPr>
          <w:lang w:val="es-ES_tradnl"/>
        </w:rPr>
        <w:t>https://www.wipo.int/edocs/mdocs/madrid/es/mm_ld_wg_17/mm_ld_wg_17_5.pdf</w:t>
      </w:r>
      <w:r w:rsidRPr="00D72DBF">
        <w:rPr>
          <w:lang w:val="es-ES_tradnl"/>
        </w:rPr>
        <w:t>).</w:t>
      </w:r>
      <w:r w:rsidR="00D72DBF">
        <w:rPr>
          <w:lang w:val="es-ES_tradn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8988B4" w14:textId="77777777" w:rsidR="00D24338" w:rsidRPr="006E6A85" w:rsidRDefault="00D24338" w:rsidP="00D24338">
    <w:pPr>
      <w:jc w:val="right"/>
      <w:rPr>
        <w:lang w:val="es-ES_tradnl"/>
      </w:rPr>
    </w:pPr>
    <w:r w:rsidRPr="006E6A85">
      <w:rPr>
        <w:lang w:val="es-ES_tradnl"/>
      </w:rPr>
      <w:t>MM/LD/WG/18/</w:t>
    </w:r>
    <w:r w:rsidR="00517BBD">
      <w:rPr>
        <w:lang w:val="es-ES_tradnl"/>
      </w:rPr>
      <w:t>6</w:t>
    </w:r>
  </w:p>
  <w:p w14:paraId="4B4E2FEA" w14:textId="5B9E3DD2" w:rsidR="00D24338" w:rsidRPr="006E6A85" w:rsidRDefault="00D24338" w:rsidP="006E6A85">
    <w:pPr>
      <w:spacing w:after="480"/>
      <w:jc w:val="right"/>
      <w:rPr>
        <w:lang w:val="es-ES_tradnl"/>
      </w:rPr>
    </w:pPr>
    <w:r w:rsidRPr="006E6A85">
      <w:rPr>
        <w:lang w:val="es-ES_tradnl"/>
      </w:rPr>
      <w:t>p</w:t>
    </w:r>
    <w:r w:rsidR="00C86584" w:rsidRPr="006E6A85">
      <w:rPr>
        <w:lang w:val="es-ES_tradnl"/>
      </w:rPr>
      <w:t>ágina</w:t>
    </w:r>
    <w:r w:rsidRPr="006E6A85">
      <w:rPr>
        <w:lang w:val="es-ES_tradnl"/>
      </w:rPr>
      <w:t xml:space="preserve"> </w:t>
    </w:r>
    <w:r w:rsidR="001C18B5" w:rsidRPr="006E6A85">
      <w:rPr>
        <w:lang w:val="es-ES_tradnl"/>
      </w:rPr>
      <w:fldChar w:fldCharType="begin"/>
    </w:r>
    <w:r w:rsidRPr="006E6A85">
      <w:rPr>
        <w:lang w:val="es-ES_tradnl"/>
      </w:rPr>
      <w:instrText xml:space="preserve"> PAGE   \* MERGEFORMAT </w:instrText>
    </w:r>
    <w:r w:rsidR="001C18B5" w:rsidRPr="006E6A85">
      <w:rPr>
        <w:lang w:val="es-ES_tradnl"/>
      </w:rPr>
      <w:fldChar w:fldCharType="separate"/>
    </w:r>
    <w:r w:rsidR="00C174B6">
      <w:rPr>
        <w:noProof/>
        <w:lang w:val="es-ES_tradnl"/>
      </w:rPr>
      <w:t>2</w:t>
    </w:r>
    <w:r w:rsidR="001C18B5" w:rsidRPr="006E6A85">
      <w:rPr>
        <w:noProof/>
        <w:lang w:val="es-ES_tradn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14F71EB"/>
    <w:multiLevelType w:val="multilevel"/>
    <w:tmpl w:val="1D50CD90"/>
    <w:lvl w:ilvl="0">
      <w:start w:val="1"/>
      <w:numFmt w:val="lowerRoman"/>
      <w:lvlText w:val="(%1)"/>
      <w:lvlJc w:val="left"/>
      <w:pPr>
        <w:tabs>
          <w:tab w:val="num" w:pos="567"/>
        </w:tabs>
        <w:ind w:left="0" w:firstLine="0"/>
      </w:pPr>
      <w:rPr>
        <w:rFonts w:ascii="Arial" w:hAnsi="Arial" w:hint="default"/>
        <w:b w:val="0"/>
        <w:i w:val="0"/>
        <w:sz w:val="22"/>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57B5464"/>
    <w:multiLevelType w:val="multilevel"/>
    <w:tmpl w:val="A90CACB6"/>
    <w:lvl w:ilvl="0">
      <w:start w:val="1"/>
      <w:numFmt w:val="lowerRoman"/>
      <w:lvlText w:val="(%1)"/>
      <w:lvlJc w:val="left"/>
      <w:pPr>
        <w:tabs>
          <w:tab w:val="num" w:pos="567"/>
        </w:tabs>
        <w:ind w:left="0" w:firstLine="0"/>
      </w:pPr>
      <w:rPr>
        <w:rFonts w:ascii="Arial" w:hAnsi="Arial" w:hint="default"/>
        <w:b w:val="0"/>
        <w:i w:val="0"/>
        <w:sz w:val="22"/>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A420857"/>
    <w:multiLevelType w:val="multilevel"/>
    <w:tmpl w:val="BCB64164"/>
    <w:lvl w:ilvl="0">
      <w:start w:val="1"/>
      <w:numFmt w:val="decimal"/>
      <w:lvlText w:val="%1"/>
      <w:lvlJc w:val="left"/>
      <w:pPr>
        <w:ind w:left="545" w:hanging="428"/>
      </w:pPr>
      <w:rPr>
        <w:rFonts w:ascii="Arial" w:eastAsia="Arial" w:hAnsi="Arial" w:cs="Arial" w:hint="default"/>
        <w:w w:val="99"/>
        <w:sz w:val="32"/>
        <w:szCs w:val="32"/>
      </w:rPr>
    </w:lvl>
    <w:lvl w:ilvl="1">
      <w:start w:val="1"/>
      <w:numFmt w:val="decimal"/>
      <w:lvlText w:val="%1.%2"/>
      <w:lvlJc w:val="left"/>
      <w:pPr>
        <w:ind w:left="970" w:hanging="852"/>
      </w:pPr>
      <w:rPr>
        <w:rFonts w:ascii="Arial" w:eastAsia="Arial" w:hAnsi="Arial" w:cs="Arial" w:hint="default"/>
        <w:b/>
        <w:bCs/>
        <w:spacing w:val="-3"/>
        <w:w w:val="99"/>
        <w:sz w:val="24"/>
        <w:szCs w:val="24"/>
      </w:rPr>
    </w:lvl>
    <w:lvl w:ilvl="2">
      <w:numFmt w:val="bullet"/>
      <w:lvlText w:val="•"/>
      <w:lvlJc w:val="left"/>
      <w:pPr>
        <w:ind w:left="1998" w:hanging="852"/>
      </w:pPr>
      <w:rPr>
        <w:rFonts w:hint="default"/>
      </w:rPr>
    </w:lvl>
    <w:lvl w:ilvl="3">
      <w:numFmt w:val="bullet"/>
      <w:lvlText w:val="•"/>
      <w:lvlJc w:val="left"/>
      <w:pPr>
        <w:ind w:left="3016" w:hanging="852"/>
      </w:pPr>
      <w:rPr>
        <w:rFonts w:hint="default"/>
      </w:rPr>
    </w:lvl>
    <w:lvl w:ilvl="4">
      <w:numFmt w:val="bullet"/>
      <w:lvlText w:val="•"/>
      <w:lvlJc w:val="left"/>
      <w:pPr>
        <w:ind w:left="4035" w:hanging="852"/>
      </w:pPr>
      <w:rPr>
        <w:rFonts w:hint="default"/>
      </w:rPr>
    </w:lvl>
    <w:lvl w:ilvl="5">
      <w:numFmt w:val="bullet"/>
      <w:lvlText w:val="•"/>
      <w:lvlJc w:val="left"/>
      <w:pPr>
        <w:ind w:left="5053" w:hanging="852"/>
      </w:pPr>
      <w:rPr>
        <w:rFonts w:hint="default"/>
      </w:rPr>
    </w:lvl>
    <w:lvl w:ilvl="6">
      <w:numFmt w:val="bullet"/>
      <w:lvlText w:val="•"/>
      <w:lvlJc w:val="left"/>
      <w:pPr>
        <w:ind w:left="6072" w:hanging="852"/>
      </w:pPr>
      <w:rPr>
        <w:rFonts w:hint="default"/>
      </w:rPr>
    </w:lvl>
    <w:lvl w:ilvl="7">
      <w:numFmt w:val="bullet"/>
      <w:lvlText w:val="•"/>
      <w:lvlJc w:val="left"/>
      <w:pPr>
        <w:ind w:left="7090" w:hanging="852"/>
      </w:pPr>
      <w:rPr>
        <w:rFonts w:hint="default"/>
      </w:rPr>
    </w:lvl>
    <w:lvl w:ilvl="8">
      <w:numFmt w:val="bullet"/>
      <w:lvlText w:val="•"/>
      <w:lvlJc w:val="left"/>
      <w:pPr>
        <w:ind w:left="8109" w:hanging="852"/>
      </w:pPr>
      <w:rPr>
        <w:rFonts w:hint="default"/>
      </w:rPr>
    </w:lvl>
  </w:abstractNum>
  <w:abstractNum w:abstractNumId="6" w15:restartNumberingAfterBreak="0">
    <w:nsid w:val="1E75225D"/>
    <w:multiLevelType w:val="multilevel"/>
    <w:tmpl w:val="04188FB6"/>
    <w:lvl w:ilvl="0">
      <w:start w:val="1"/>
      <w:numFmt w:val="lowerRoman"/>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15:restartNumberingAfterBreak="0">
    <w:nsid w:val="2C8119CF"/>
    <w:multiLevelType w:val="multilevel"/>
    <w:tmpl w:val="82D6F2B6"/>
    <w:lvl w:ilvl="0">
      <w:start w:val="1"/>
      <w:numFmt w:val="lowerRoman"/>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9"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72775FA"/>
    <w:multiLevelType w:val="multilevel"/>
    <w:tmpl w:val="87CACD72"/>
    <w:lvl w:ilvl="0">
      <w:start w:val="1"/>
      <w:numFmt w:val="lowerRoman"/>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524005D"/>
    <w:multiLevelType w:val="multilevel"/>
    <w:tmpl w:val="20A84434"/>
    <w:lvl w:ilvl="0">
      <w:start w:val="3"/>
      <w:numFmt w:val="decimal"/>
      <w:lvlText w:val="%1"/>
      <w:lvlJc w:val="left"/>
      <w:pPr>
        <w:ind w:left="970" w:hanging="852"/>
      </w:pPr>
      <w:rPr>
        <w:rFonts w:hint="default"/>
      </w:rPr>
    </w:lvl>
    <w:lvl w:ilvl="1">
      <w:start w:val="1"/>
      <w:numFmt w:val="decimal"/>
      <w:lvlText w:val="%1.%2"/>
      <w:lvlJc w:val="left"/>
      <w:pPr>
        <w:ind w:left="970" w:hanging="852"/>
      </w:pPr>
      <w:rPr>
        <w:rFonts w:hint="default"/>
      </w:rPr>
    </w:lvl>
    <w:lvl w:ilvl="2">
      <w:start w:val="1"/>
      <w:numFmt w:val="decimal"/>
      <w:lvlText w:val="%1.%2.%3"/>
      <w:lvlJc w:val="left"/>
      <w:pPr>
        <w:ind w:left="970" w:hanging="852"/>
      </w:pPr>
      <w:rPr>
        <w:rFonts w:ascii="Arial" w:eastAsia="Arial" w:hAnsi="Arial" w:cs="Arial" w:hint="default"/>
        <w:b/>
        <w:bCs/>
        <w:spacing w:val="-1"/>
        <w:w w:val="100"/>
        <w:sz w:val="22"/>
        <w:szCs w:val="22"/>
      </w:rPr>
    </w:lvl>
    <w:lvl w:ilvl="3">
      <w:start w:val="1"/>
      <w:numFmt w:val="decimal"/>
      <w:lvlText w:val="%1.%2.%3.%4"/>
      <w:lvlJc w:val="left"/>
      <w:pPr>
        <w:ind w:left="970" w:hanging="852"/>
      </w:pPr>
      <w:rPr>
        <w:rFonts w:ascii="Arial" w:eastAsia="Arial" w:hAnsi="Arial" w:cs="Arial" w:hint="default"/>
        <w:b/>
        <w:bCs/>
        <w:spacing w:val="-3"/>
        <w:w w:val="100"/>
        <w:sz w:val="22"/>
        <w:szCs w:val="22"/>
      </w:rPr>
    </w:lvl>
    <w:lvl w:ilvl="4">
      <w:numFmt w:val="bullet"/>
      <w:lvlText w:val="•"/>
      <w:lvlJc w:val="left"/>
      <w:pPr>
        <w:ind w:left="4646" w:hanging="852"/>
      </w:pPr>
      <w:rPr>
        <w:rFonts w:hint="default"/>
      </w:rPr>
    </w:lvl>
    <w:lvl w:ilvl="5">
      <w:numFmt w:val="bullet"/>
      <w:lvlText w:val="•"/>
      <w:lvlJc w:val="left"/>
      <w:pPr>
        <w:ind w:left="5563" w:hanging="852"/>
      </w:pPr>
      <w:rPr>
        <w:rFonts w:hint="default"/>
      </w:rPr>
    </w:lvl>
    <w:lvl w:ilvl="6">
      <w:numFmt w:val="bullet"/>
      <w:lvlText w:val="•"/>
      <w:lvlJc w:val="left"/>
      <w:pPr>
        <w:ind w:left="6479" w:hanging="852"/>
      </w:pPr>
      <w:rPr>
        <w:rFonts w:hint="default"/>
      </w:rPr>
    </w:lvl>
    <w:lvl w:ilvl="7">
      <w:numFmt w:val="bullet"/>
      <w:lvlText w:val="•"/>
      <w:lvlJc w:val="left"/>
      <w:pPr>
        <w:ind w:left="7396" w:hanging="852"/>
      </w:pPr>
      <w:rPr>
        <w:rFonts w:hint="default"/>
      </w:rPr>
    </w:lvl>
    <w:lvl w:ilvl="8">
      <w:numFmt w:val="bullet"/>
      <w:lvlText w:val="•"/>
      <w:lvlJc w:val="left"/>
      <w:pPr>
        <w:ind w:left="8313" w:hanging="852"/>
      </w:pPr>
      <w:rPr>
        <w:rFonts w:hint="default"/>
      </w:rPr>
    </w:lvl>
  </w:abstractNum>
  <w:abstractNum w:abstractNumId="13" w15:restartNumberingAfterBreak="0">
    <w:nsid w:val="57DC5284"/>
    <w:multiLevelType w:val="hybridMultilevel"/>
    <w:tmpl w:val="BF76B4E0"/>
    <w:lvl w:ilvl="0" w:tplc="A870577E">
      <w:start w:val="1"/>
      <w:numFmt w:val="decimal"/>
      <w:lvlText w:val="%1)"/>
      <w:lvlJc w:val="left"/>
      <w:pPr>
        <w:ind w:left="118" w:hanging="257"/>
      </w:pPr>
      <w:rPr>
        <w:rFonts w:ascii="Arial" w:eastAsia="Arial" w:hAnsi="Arial" w:cs="Arial" w:hint="default"/>
        <w:i w:val="0"/>
        <w:spacing w:val="-1"/>
        <w:w w:val="100"/>
        <w:sz w:val="22"/>
        <w:szCs w:val="22"/>
      </w:rPr>
    </w:lvl>
    <w:lvl w:ilvl="1" w:tplc="0D3AD444">
      <w:start w:val="1"/>
      <w:numFmt w:val="lowerLetter"/>
      <w:lvlText w:val="%2)"/>
      <w:lvlJc w:val="left"/>
      <w:pPr>
        <w:ind w:left="684" w:hanging="260"/>
      </w:pPr>
      <w:rPr>
        <w:rFonts w:ascii="Arial" w:eastAsia="Arial" w:hAnsi="Arial" w:cs="Arial" w:hint="default"/>
        <w:spacing w:val="-1"/>
        <w:w w:val="100"/>
        <w:sz w:val="22"/>
        <w:szCs w:val="22"/>
      </w:rPr>
    </w:lvl>
    <w:lvl w:ilvl="2" w:tplc="C7C8C35C">
      <w:numFmt w:val="bullet"/>
      <w:lvlText w:val="•"/>
      <w:lvlJc w:val="left"/>
      <w:pPr>
        <w:ind w:left="1731" w:hanging="260"/>
      </w:pPr>
      <w:rPr>
        <w:rFonts w:hint="default"/>
      </w:rPr>
    </w:lvl>
    <w:lvl w:ilvl="3" w:tplc="40EAC014">
      <w:numFmt w:val="bullet"/>
      <w:lvlText w:val="•"/>
      <w:lvlJc w:val="left"/>
      <w:pPr>
        <w:ind w:left="2783" w:hanging="260"/>
      </w:pPr>
      <w:rPr>
        <w:rFonts w:hint="default"/>
      </w:rPr>
    </w:lvl>
    <w:lvl w:ilvl="4" w:tplc="405200A0">
      <w:numFmt w:val="bullet"/>
      <w:lvlText w:val="•"/>
      <w:lvlJc w:val="left"/>
      <w:pPr>
        <w:ind w:left="3835" w:hanging="260"/>
      </w:pPr>
      <w:rPr>
        <w:rFonts w:hint="default"/>
      </w:rPr>
    </w:lvl>
    <w:lvl w:ilvl="5" w:tplc="79AE8A20">
      <w:numFmt w:val="bullet"/>
      <w:lvlText w:val="•"/>
      <w:lvlJc w:val="left"/>
      <w:pPr>
        <w:ind w:left="4887" w:hanging="260"/>
      </w:pPr>
      <w:rPr>
        <w:rFonts w:hint="default"/>
      </w:rPr>
    </w:lvl>
    <w:lvl w:ilvl="6" w:tplc="64E4DCC8">
      <w:numFmt w:val="bullet"/>
      <w:lvlText w:val="•"/>
      <w:lvlJc w:val="left"/>
      <w:pPr>
        <w:ind w:left="5939" w:hanging="260"/>
      </w:pPr>
      <w:rPr>
        <w:rFonts w:hint="default"/>
      </w:rPr>
    </w:lvl>
    <w:lvl w:ilvl="7" w:tplc="9C5AD36E">
      <w:numFmt w:val="bullet"/>
      <w:lvlText w:val="•"/>
      <w:lvlJc w:val="left"/>
      <w:pPr>
        <w:ind w:left="6990" w:hanging="260"/>
      </w:pPr>
      <w:rPr>
        <w:rFonts w:hint="default"/>
      </w:rPr>
    </w:lvl>
    <w:lvl w:ilvl="8" w:tplc="C6B0F814">
      <w:numFmt w:val="bullet"/>
      <w:lvlText w:val="•"/>
      <w:lvlJc w:val="left"/>
      <w:pPr>
        <w:ind w:left="8042" w:hanging="260"/>
      </w:pPr>
      <w:rPr>
        <w:rFonts w:hint="default"/>
      </w:rPr>
    </w:lvl>
  </w:abstractNum>
  <w:abstractNum w:abstractNumId="14" w15:restartNumberingAfterBreak="0">
    <w:nsid w:val="5DD20FA1"/>
    <w:multiLevelType w:val="multilevel"/>
    <w:tmpl w:val="AE12992E"/>
    <w:lvl w:ilvl="0">
      <w:start w:val="1"/>
      <w:numFmt w:val="lowerRoman"/>
      <w:lvlText w:val="(%1)"/>
      <w:lvlJc w:val="left"/>
      <w:pPr>
        <w:tabs>
          <w:tab w:val="num" w:pos="567"/>
        </w:tabs>
        <w:ind w:left="0" w:firstLine="0"/>
      </w:pPr>
      <w:rPr>
        <w:rFonts w:ascii="Arial" w:hAnsi="Arial" w:hint="default"/>
        <w:b w:val="0"/>
        <w:i w:val="0"/>
        <w:sz w:val="22"/>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num w:numId="1">
    <w:abstractNumId w:val="4"/>
  </w:num>
  <w:num w:numId="2">
    <w:abstractNumId w:val="9"/>
  </w:num>
  <w:num w:numId="3">
    <w:abstractNumId w:val="0"/>
  </w:num>
  <w:num w:numId="4">
    <w:abstractNumId w:val="11"/>
  </w:num>
  <w:num w:numId="5">
    <w:abstractNumId w:val="2"/>
  </w:num>
  <w:num w:numId="6">
    <w:abstractNumId w:val="7"/>
  </w:num>
  <w:num w:numId="7">
    <w:abstractNumId w:val="5"/>
  </w:num>
  <w:num w:numId="8">
    <w:abstractNumId w:val="13"/>
  </w:num>
  <w:num w:numId="9">
    <w:abstractNumId w:val="12"/>
  </w:num>
  <w:num w:numId="10">
    <w:abstractNumId w:val="3"/>
  </w:num>
  <w:num w:numId="11">
    <w:abstractNumId w:val="14"/>
  </w:num>
  <w:num w:numId="12">
    <w:abstractNumId w:val="1"/>
  </w:num>
  <w:num w:numId="13">
    <w:abstractNumId w:val="6"/>
  </w:num>
  <w:num w:numId="14">
    <w:abstractNumId w:val="10"/>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7398"/>
    <w:rsid w:val="000064B0"/>
    <w:rsid w:val="00011B7D"/>
    <w:rsid w:val="00012932"/>
    <w:rsid w:val="000513B5"/>
    <w:rsid w:val="000554C9"/>
    <w:rsid w:val="000627E2"/>
    <w:rsid w:val="00075432"/>
    <w:rsid w:val="000845FD"/>
    <w:rsid w:val="000A2665"/>
    <w:rsid w:val="000A47A8"/>
    <w:rsid w:val="000B1E07"/>
    <w:rsid w:val="000B3C00"/>
    <w:rsid w:val="000B3E78"/>
    <w:rsid w:val="000B6335"/>
    <w:rsid w:val="000B72AC"/>
    <w:rsid w:val="000D659A"/>
    <w:rsid w:val="000D6B9E"/>
    <w:rsid w:val="000E0204"/>
    <w:rsid w:val="000E13AA"/>
    <w:rsid w:val="000E14F7"/>
    <w:rsid w:val="000E60BE"/>
    <w:rsid w:val="000F4AC8"/>
    <w:rsid w:val="000F5E56"/>
    <w:rsid w:val="000F74AE"/>
    <w:rsid w:val="00102326"/>
    <w:rsid w:val="00107BF5"/>
    <w:rsid w:val="0011291C"/>
    <w:rsid w:val="001362EE"/>
    <w:rsid w:val="001363E9"/>
    <w:rsid w:val="001374F7"/>
    <w:rsid w:val="00137572"/>
    <w:rsid w:val="00183119"/>
    <w:rsid w:val="001832A6"/>
    <w:rsid w:val="00195C6E"/>
    <w:rsid w:val="001B266A"/>
    <w:rsid w:val="001C18B5"/>
    <w:rsid w:val="001D3D56"/>
    <w:rsid w:val="00204D36"/>
    <w:rsid w:val="00221A5C"/>
    <w:rsid w:val="0023251C"/>
    <w:rsid w:val="00240654"/>
    <w:rsid w:val="00246510"/>
    <w:rsid w:val="002476EE"/>
    <w:rsid w:val="0025484B"/>
    <w:rsid w:val="0026183A"/>
    <w:rsid w:val="002634C4"/>
    <w:rsid w:val="00267F0A"/>
    <w:rsid w:val="00270303"/>
    <w:rsid w:val="002960E6"/>
    <w:rsid w:val="00297A52"/>
    <w:rsid w:val="002B0A78"/>
    <w:rsid w:val="002B33C7"/>
    <w:rsid w:val="002C3928"/>
    <w:rsid w:val="002C648F"/>
    <w:rsid w:val="002C7398"/>
    <w:rsid w:val="002D4918"/>
    <w:rsid w:val="002E4D1A"/>
    <w:rsid w:val="002F1256"/>
    <w:rsid w:val="002F16BC"/>
    <w:rsid w:val="002F4E68"/>
    <w:rsid w:val="00315CA1"/>
    <w:rsid w:val="00315FCA"/>
    <w:rsid w:val="00323F91"/>
    <w:rsid w:val="00325D45"/>
    <w:rsid w:val="00335C53"/>
    <w:rsid w:val="00357400"/>
    <w:rsid w:val="00365476"/>
    <w:rsid w:val="00380AF3"/>
    <w:rsid w:val="003845C1"/>
    <w:rsid w:val="00391D17"/>
    <w:rsid w:val="0039485E"/>
    <w:rsid w:val="003A1BCD"/>
    <w:rsid w:val="003A4B26"/>
    <w:rsid w:val="003C7161"/>
    <w:rsid w:val="003D08A9"/>
    <w:rsid w:val="003D1B1B"/>
    <w:rsid w:val="003D42CB"/>
    <w:rsid w:val="003D6868"/>
    <w:rsid w:val="004008A2"/>
    <w:rsid w:val="004025DF"/>
    <w:rsid w:val="00403125"/>
    <w:rsid w:val="00423E3E"/>
    <w:rsid w:val="00427AF4"/>
    <w:rsid w:val="004314E8"/>
    <w:rsid w:val="004369E5"/>
    <w:rsid w:val="0044153C"/>
    <w:rsid w:val="00451CE0"/>
    <w:rsid w:val="004647DA"/>
    <w:rsid w:val="00470C40"/>
    <w:rsid w:val="00471873"/>
    <w:rsid w:val="0047321F"/>
    <w:rsid w:val="00477D6B"/>
    <w:rsid w:val="004804B9"/>
    <w:rsid w:val="004B0167"/>
    <w:rsid w:val="004B2C12"/>
    <w:rsid w:val="004B5AE2"/>
    <w:rsid w:val="004C38DF"/>
    <w:rsid w:val="004C4609"/>
    <w:rsid w:val="004D6471"/>
    <w:rsid w:val="004E2773"/>
    <w:rsid w:val="004F1E08"/>
    <w:rsid w:val="004F373A"/>
    <w:rsid w:val="004F4E31"/>
    <w:rsid w:val="005021BA"/>
    <w:rsid w:val="0050371A"/>
    <w:rsid w:val="00503D1C"/>
    <w:rsid w:val="0050720E"/>
    <w:rsid w:val="005141A8"/>
    <w:rsid w:val="005152AA"/>
    <w:rsid w:val="00517BBD"/>
    <w:rsid w:val="00525B63"/>
    <w:rsid w:val="00547476"/>
    <w:rsid w:val="00551690"/>
    <w:rsid w:val="00552B42"/>
    <w:rsid w:val="00561DB8"/>
    <w:rsid w:val="005654D6"/>
    <w:rsid w:val="005659AF"/>
    <w:rsid w:val="00567A4C"/>
    <w:rsid w:val="00567C14"/>
    <w:rsid w:val="00594730"/>
    <w:rsid w:val="005A4C3C"/>
    <w:rsid w:val="005B0B9D"/>
    <w:rsid w:val="005C6860"/>
    <w:rsid w:val="005D6341"/>
    <w:rsid w:val="005E6516"/>
    <w:rsid w:val="005F21A9"/>
    <w:rsid w:val="005F3C46"/>
    <w:rsid w:val="00605827"/>
    <w:rsid w:val="00607044"/>
    <w:rsid w:val="00632521"/>
    <w:rsid w:val="00645B16"/>
    <w:rsid w:val="00657502"/>
    <w:rsid w:val="00666E38"/>
    <w:rsid w:val="00676936"/>
    <w:rsid w:val="0068452F"/>
    <w:rsid w:val="00687D70"/>
    <w:rsid w:val="006A6779"/>
    <w:rsid w:val="006B0DB5"/>
    <w:rsid w:val="006B4A9D"/>
    <w:rsid w:val="006B7B7A"/>
    <w:rsid w:val="006E4243"/>
    <w:rsid w:val="006E6A85"/>
    <w:rsid w:val="006F3B7F"/>
    <w:rsid w:val="00705587"/>
    <w:rsid w:val="00705944"/>
    <w:rsid w:val="0070761C"/>
    <w:rsid w:val="007220A2"/>
    <w:rsid w:val="007220F8"/>
    <w:rsid w:val="007461F1"/>
    <w:rsid w:val="00746871"/>
    <w:rsid w:val="00750682"/>
    <w:rsid w:val="00764907"/>
    <w:rsid w:val="00767248"/>
    <w:rsid w:val="00774236"/>
    <w:rsid w:val="0077542A"/>
    <w:rsid w:val="00777C0F"/>
    <w:rsid w:val="00781F15"/>
    <w:rsid w:val="007A5E08"/>
    <w:rsid w:val="007B05A4"/>
    <w:rsid w:val="007B18E4"/>
    <w:rsid w:val="007B280C"/>
    <w:rsid w:val="007C0E6C"/>
    <w:rsid w:val="007C2A59"/>
    <w:rsid w:val="007D0166"/>
    <w:rsid w:val="007D6961"/>
    <w:rsid w:val="007E399F"/>
    <w:rsid w:val="007F07CB"/>
    <w:rsid w:val="007F23AA"/>
    <w:rsid w:val="00802243"/>
    <w:rsid w:val="00807B26"/>
    <w:rsid w:val="00810CEF"/>
    <w:rsid w:val="0081208D"/>
    <w:rsid w:val="00812181"/>
    <w:rsid w:val="008209FB"/>
    <w:rsid w:val="008224B3"/>
    <w:rsid w:val="00842A13"/>
    <w:rsid w:val="0085685F"/>
    <w:rsid w:val="00860C97"/>
    <w:rsid w:val="00883D32"/>
    <w:rsid w:val="00892691"/>
    <w:rsid w:val="00895433"/>
    <w:rsid w:val="008A0278"/>
    <w:rsid w:val="008A5542"/>
    <w:rsid w:val="008B2CC1"/>
    <w:rsid w:val="008C5BE9"/>
    <w:rsid w:val="008D105E"/>
    <w:rsid w:val="008D530E"/>
    <w:rsid w:val="008E7930"/>
    <w:rsid w:val="008F28AE"/>
    <w:rsid w:val="008F572B"/>
    <w:rsid w:val="0090731E"/>
    <w:rsid w:val="00916E86"/>
    <w:rsid w:val="009216AC"/>
    <w:rsid w:val="009243A2"/>
    <w:rsid w:val="00930C5B"/>
    <w:rsid w:val="009451E4"/>
    <w:rsid w:val="00947B79"/>
    <w:rsid w:val="00950243"/>
    <w:rsid w:val="00954FAE"/>
    <w:rsid w:val="00966A22"/>
    <w:rsid w:val="00974CD6"/>
    <w:rsid w:val="009769B9"/>
    <w:rsid w:val="0098119F"/>
    <w:rsid w:val="009A7A75"/>
    <w:rsid w:val="009D30E6"/>
    <w:rsid w:val="009E3F6F"/>
    <w:rsid w:val="009F499F"/>
    <w:rsid w:val="00A1435B"/>
    <w:rsid w:val="00A4223D"/>
    <w:rsid w:val="00A905D2"/>
    <w:rsid w:val="00AA6721"/>
    <w:rsid w:val="00AC0AE4"/>
    <w:rsid w:val="00AD5FDB"/>
    <w:rsid w:val="00AD61DB"/>
    <w:rsid w:val="00AE0531"/>
    <w:rsid w:val="00B04730"/>
    <w:rsid w:val="00B07E11"/>
    <w:rsid w:val="00B11C7A"/>
    <w:rsid w:val="00B20002"/>
    <w:rsid w:val="00B23EC4"/>
    <w:rsid w:val="00B32964"/>
    <w:rsid w:val="00B37AE8"/>
    <w:rsid w:val="00B54F83"/>
    <w:rsid w:val="00B613A3"/>
    <w:rsid w:val="00B62619"/>
    <w:rsid w:val="00B712B8"/>
    <w:rsid w:val="00B82BA6"/>
    <w:rsid w:val="00B87BCF"/>
    <w:rsid w:val="00B94BD3"/>
    <w:rsid w:val="00B97F9E"/>
    <w:rsid w:val="00BA62D4"/>
    <w:rsid w:val="00BB2AB5"/>
    <w:rsid w:val="00BB6A54"/>
    <w:rsid w:val="00BB6E1D"/>
    <w:rsid w:val="00BC5877"/>
    <w:rsid w:val="00BD409E"/>
    <w:rsid w:val="00BF5E7C"/>
    <w:rsid w:val="00C034FB"/>
    <w:rsid w:val="00C174B6"/>
    <w:rsid w:val="00C25105"/>
    <w:rsid w:val="00C27574"/>
    <w:rsid w:val="00C40E15"/>
    <w:rsid w:val="00C4604E"/>
    <w:rsid w:val="00C46D5C"/>
    <w:rsid w:val="00C52C93"/>
    <w:rsid w:val="00C664C8"/>
    <w:rsid w:val="00C664F8"/>
    <w:rsid w:val="00C72A7E"/>
    <w:rsid w:val="00C76A79"/>
    <w:rsid w:val="00C83971"/>
    <w:rsid w:val="00C86584"/>
    <w:rsid w:val="00C87DA0"/>
    <w:rsid w:val="00CA15F5"/>
    <w:rsid w:val="00CA2216"/>
    <w:rsid w:val="00CB0FEE"/>
    <w:rsid w:val="00CC1372"/>
    <w:rsid w:val="00CC2B2C"/>
    <w:rsid w:val="00CC3599"/>
    <w:rsid w:val="00CE6476"/>
    <w:rsid w:val="00CF0460"/>
    <w:rsid w:val="00CF13E6"/>
    <w:rsid w:val="00CF6BF8"/>
    <w:rsid w:val="00D06AE9"/>
    <w:rsid w:val="00D12E35"/>
    <w:rsid w:val="00D15392"/>
    <w:rsid w:val="00D16EE4"/>
    <w:rsid w:val="00D17428"/>
    <w:rsid w:val="00D236AE"/>
    <w:rsid w:val="00D24338"/>
    <w:rsid w:val="00D2740D"/>
    <w:rsid w:val="00D36564"/>
    <w:rsid w:val="00D43D9A"/>
    <w:rsid w:val="00D45252"/>
    <w:rsid w:val="00D47DEC"/>
    <w:rsid w:val="00D66A46"/>
    <w:rsid w:val="00D67B0D"/>
    <w:rsid w:val="00D71B4D"/>
    <w:rsid w:val="00D72DBF"/>
    <w:rsid w:val="00D75C1E"/>
    <w:rsid w:val="00D93D55"/>
    <w:rsid w:val="00D94701"/>
    <w:rsid w:val="00DA1CAE"/>
    <w:rsid w:val="00DB0188"/>
    <w:rsid w:val="00DB0349"/>
    <w:rsid w:val="00DB271E"/>
    <w:rsid w:val="00DC2CE1"/>
    <w:rsid w:val="00DD1513"/>
    <w:rsid w:val="00DD6A16"/>
    <w:rsid w:val="00DF0494"/>
    <w:rsid w:val="00E0091A"/>
    <w:rsid w:val="00E1591A"/>
    <w:rsid w:val="00E203AA"/>
    <w:rsid w:val="00E2377F"/>
    <w:rsid w:val="00E2564C"/>
    <w:rsid w:val="00E338EA"/>
    <w:rsid w:val="00E42AB5"/>
    <w:rsid w:val="00E46607"/>
    <w:rsid w:val="00E50951"/>
    <w:rsid w:val="00E527A5"/>
    <w:rsid w:val="00E70F10"/>
    <w:rsid w:val="00E73B47"/>
    <w:rsid w:val="00E76456"/>
    <w:rsid w:val="00EA06C8"/>
    <w:rsid w:val="00EC47B8"/>
    <w:rsid w:val="00ED0635"/>
    <w:rsid w:val="00ED750F"/>
    <w:rsid w:val="00EE02B2"/>
    <w:rsid w:val="00EE71CB"/>
    <w:rsid w:val="00EF200C"/>
    <w:rsid w:val="00EF4CF5"/>
    <w:rsid w:val="00F01A4C"/>
    <w:rsid w:val="00F07295"/>
    <w:rsid w:val="00F12F9F"/>
    <w:rsid w:val="00F16975"/>
    <w:rsid w:val="00F4320E"/>
    <w:rsid w:val="00F45875"/>
    <w:rsid w:val="00F66152"/>
    <w:rsid w:val="00F668FC"/>
    <w:rsid w:val="00F67E51"/>
    <w:rsid w:val="00F729DC"/>
    <w:rsid w:val="00F752E1"/>
    <w:rsid w:val="00F775D9"/>
    <w:rsid w:val="00F97998"/>
    <w:rsid w:val="00FA1E16"/>
    <w:rsid w:val="00FB3C91"/>
    <w:rsid w:val="00FC7988"/>
    <w:rsid w:val="00FD142C"/>
    <w:rsid w:val="00FD2AC5"/>
    <w:rsid w:val="00FE78A9"/>
    <w:rsid w:val="00FF4371"/>
    <w:rsid w:val="00FF5FCF"/>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9EF410F"/>
  <w15:docId w15:val="{FA1BECF6-16FE-411D-9D41-32BD956C2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link w:val="Heading1Char"/>
    <w:qFormat/>
    <w:rsid w:val="0068452F"/>
    <w:pPr>
      <w:keepNext/>
      <w:spacing w:before="480" w:after="240"/>
      <w:outlineLvl w:val="0"/>
    </w:pPr>
    <w:rPr>
      <w:b/>
      <w:bCs/>
      <w:caps/>
      <w:kern w:val="32"/>
      <w:szCs w:val="32"/>
    </w:rPr>
  </w:style>
  <w:style w:type="paragraph" w:styleId="Heading2">
    <w:name w:val="heading 2"/>
    <w:basedOn w:val="Normal"/>
    <w:next w:val="Normal"/>
    <w:link w:val="Heading2Char"/>
    <w:qFormat/>
    <w:rsid w:val="0068452F"/>
    <w:pPr>
      <w:keepNext/>
      <w:spacing w:before="480" w:after="240"/>
      <w:outlineLvl w:val="1"/>
    </w:pPr>
    <w:rPr>
      <w:bCs/>
      <w:iCs/>
      <w:caps/>
      <w:szCs w:val="28"/>
    </w:rPr>
  </w:style>
  <w:style w:type="paragraph" w:styleId="Heading3">
    <w:name w:val="heading 3"/>
    <w:basedOn w:val="Normal"/>
    <w:next w:val="Normal"/>
    <w:qFormat/>
    <w:rsid w:val="0068452F"/>
    <w:pPr>
      <w:keepNext/>
      <w:spacing w:before="480" w:after="24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link w:val="CommentTextChar"/>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link w:val="FootnoteTextChar"/>
    <w:semiHidden/>
    <w:rsid w:val="004025DF"/>
    <w:rPr>
      <w:sz w:val="18"/>
    </w:rPr>
  </w:style>
  <w:style w:type="paragraph" w:customStyle="1" w:styleId="Endofdocument-Annex">
    <w:name w:val="[End of document - Annex]"/>
    <w:basedOn w:val="Normal"/>
    <w:rsid w:val="00FF4371"/>
    <w:pPr>
      <w:ind w:left="5534"/>
    </w:pPr>
    <w:rPr>
      <w:lang w:val="en-US"/>
    </w:rPr>
  </w:style>
  <w:style w:type="paragraph" w:styleId="Header">
    <w:name w:val="header"/>
    <w:basedOn w:val="Normal"/>
    <w:semiHidden/>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paragraph" w:customStyle="1" w:styleId="Titre2Nouveauxdocuments">
    <w:name w:val="Titre 2 Nouveaux documents"/>
    <w:basedOn w:val="Normal"/>
    <w:link w:val="Titre2NouveauxdocumentsChar"/>
    <w:qFormat/>
    <w:rsid w:val="002C7398"/>
    <w:pPr>
      <w:spacing w:before="720" w:after="960"/>
    </w:pPr>
    <w:rPr>
      <w:caps/>
      <w:sz w:val="24"/>
      <w:lang w:val="fr-FR"/>
    </w:rPr>
  </w:style>
  <w:style w:type="character" w:customStyle="1" w:styleId="Titre2NouveauxdocumentsChar">
    <w:name w:val="Titre 2 Nouveaux documents Char"/>
    <w:basedOn w:val="DefaultParagraphFont"/>
    <w:link w:val="Titre2Nouveauxdocuments"/>
    <w:rsid w:val="002C7398"/>
    <w:rPr>
      <w:rFonts w:ascii="Arial" w:eastAsia="SimSun" w:hAnsi="Arial" w:cs="Arial"/>
      <w:caps/>
      <w:sz w:val="24"/>
      <w:lang w:val="fr-FR" w:eastAsia="zh-CN"/>
    </w:rPr>
  </w:style>
  <w:style w:type="paragraph" w:customStyle="1" w:styleId="Style1">
    <w:name w:val="Style1"/>
    <w:basedOn w:val="Normal"/>
    <w:link w:val="Style1Char"/>
    <w:qFormat/>
    <w:rsid w:val="00107BF5"/>
    <w:rPr>
      <w:b/>
      <w:sz w:val="32"/>
      <w:szCs w:val="32"/>
    </w:rPr>
  </w:style>
  <w:style w:type="character" w:styleId="Strong">
    <w:name w:val="Strong"/>
    <w:basedOn w:val="DefaultParagraphFont"/>
    <w:qFormat/>
    <w:rsid w:val="003A4B26"/>
    <w:rPr>
      <w:b/>
      <w:bCs/>
    </w:rPr>
  </w:style>
  <w:style w:type="character" w:customStyle="1" w:styleId="Style1Char">
    <w:name w:val="Style1 Char"/>
    <w:basedOn w:val="DefaultParagraphFont"/>
    <w:link w:val="Style1"/>
    <w:rsid w:val="00107BF5"/>
    <w:rPr>
      <w:rFonts w:ascii="Arial" w:eastAsia="SimSun" w:hAnsi="Arial" w:cs="Arial"/>
      <w:b/>
      <w:sz w:val="32"/>
      <w:szCs w:val="32"/>
      <w:lang w:eastAsia="zh-CN"/>
    </w:rPr>
  </w:style>
  <w:style w:type="character" w:customStyle="1" w:styleId="Heading2Char">
    <w:name w:val="Heading 2 Char"/>
    <w:basedOn w:val="DefaultParagraphFont"/>
    <w:link w:val="Heading2"/>
    <w:rsid w:val="0068452F"/>
    <w:rPr>
      <w:rFonts w:ascii="Arial" w:eastAsia="SimSun" w:hAnsi="Arial" w:cs="Arial"/>
      <w:bCs/>
      <w:iCs/>
      <w:caps/>
      <w:sz w:val="22"/>
      <w:szCs w:val="28"/>
      <w:lang w:eastAsia="zh-CN"/>
    </w:rPr>
  </w:style>
  <w:style w:type="character" w:customStyle="1" w:styleId="FootnoteTextChar">
    <w:name w:val="Footnote Text Char"/>
    <w:basedOn w:val="DefaultParagraphFont"/>
    <w:link w:val="FootnoteText"/>
    <w:semiHidden/>
    <w:rsid w:val="00451CE0"/>
    <w:rPr>
      <w:rFonts w:ascii="Arial" w:eastAsia="SimSun" w:hAnsi="Arial" w:cs="Arial"/>
      <w:sz w:val="18"/>
      <w:lang w:eastAsia="zh-CN"/>
    </w:rPr>
  </w:style>
  <w:style w:type="character" w:styleId="FootnoteReference">
    <w:name w:val="footnote reference"/>
    <w:basedOn w:val="DefaultParagraphFont"/>
    <w:unhideWhenUsed/>
    <w:rsid w:val="00451CE0"/>
    <w:rPr>
      <w:vertAlign w:val="superscript"/>
    </w:rPr>
  </w:style>
  <w:style w:type="character" w:customStyle="1" w:styleId="Heading1Char">
    <w:name w:val="Heading 1 Char"/>
    <w:basedOn w:val="DefaultParagraphFont"/>
    <w:link w:val="Heading1"/>
    <w:rsid w:val="0068452F"/>
    <w:rPr>
      <w:rFonts w:ascii="Arial" w:eastAsia="SimSun" w:hAnsi="Arial" w:cs="Arial"/>
      <w:b/>
      <w:bCs/>
      <w:caps/>
      <w:kern w:val="32"/>
      <w:sz w:val="22"/>
      <w:szCs w:val="32"/>
      <w:lang w:eastAsia="zh-CN"/>
    </w:rPr>
  </w:style>
  <w:style w:type="paragraph" w:styleId="BalloonText">
    <w:name w:val="Balloon Text"/>
    <w:basedOn w:val="Normal"/>
    <w:link w:val="BalloonTextChar"/>
    <w:semiHidden/>
    <w:unhideWhenUsed/>
    <w:rsid w:val="00315CA1"/>
    <w:rPr>
      <w:rFonts w:ascii="Tahoma" w:hAnsi="Tahoma" w:cs="Tahoma"/>
      <w:sz w:val="16"/>
      <w:szCs w:val="16"/>
    </w:rPr>
  </w:style>
  <w:style w:type="character" w:customStyle="1" w:styleId="BalloonTextChar">
    <w:name w:val="Balloon Text Char"/>
    <w:basedOn w:val="DefaultParagraphFont"/>
    <w:link w:val="BalloonText"/>
    <w:semiHidden/>
    <w:rsid w:val="00315CA1"/>
    <w:rPr>
      <w:rFonts w:ascii="Tahoma" w:eastAsia="SimSun" w:hAnsi="Tahoma" w:cs="Tahoma"/>
      <w:sz w:val="16"/>
      <w:szCs w:val="16"/>
      <w:lang w:eastAsia="zh-CN"/>
    </w:rPr>
  </w:style>
  <w:style w:type="character" w:styleId="Hyperlink">
    <w:name w:val="Hyperlink"/>
    <w:basedOn w:val="DefaultParagraphFont"/>
    <w:uiPriority w:val="99"/>
    <w:semiHidden/>
    <w:unhideWhenUsed/>
    <w:rsid w:val="000B72AC"/>
    <w:rPr>
      <w:color w:val="0000FF"/>
      <w:u w:val="single"/>
    </w:rPr>
  </w:style>
  <w:style w:type="character" w:styleId="CommentReference">
    <w:name w:val="annotation reference"/>
    <w:basedOn w:val="DefaultParagraphFont"/>
    <w:semiHidden/>
    <w:unhideWhenUsed/>
    <w:rsid w:val="0050720E"/>
    <w:rPr>
      <w:sz w:val="16"/>
      <w:szCs w:val="16"/>
    </w:rPr>
  </w:style>
  <w:style w:type="paragraph" w:styleId="CommentSubject">
    <w:name w:val="annotation subject"/>
    <w:basedOn w:val="CommentText"/>
    <w:next w:val="CommentText"/>
    <w:link w:val="CommentSubjectChar"/>
    <w:semiHidden/>
    <w:unhideWhenUsed/>
    <w:rsid w:val="0050720E"/>
    <w:rPr>
      <w:b/>
      <w:bCs/>
      <w:sz w:val="20"/>
    </w:rPr>
  </w:style>
  <w:style w:type="character" w:customStyle="1" w:styleId="CommentTextChar">
    <w:name w:val="Comment Text Char"/>
    <w:basedOn w:val="DefaultParagraphFont"/>
    <w:link w:val="CommentText"/>
    <w:semiHidden/>
    <w:rsid w:val="0050720E"/>
    <w:rPr>
      <w:rFonts w:ascii="Arial" w:eastAsia="SimSun" w:hAnsi="Arial" w:cs="Arial"/>
      <w:sz w:val="18"/>
      <w:lang w:eastAsia="zh-CN"/>
    </w:rPr>
  </w:style>
  <w:style w:type="character" w:customStyle="1" w:styleId="CommentSubjectChar">
    <w:name w:val="Comment Subject Char"/>
    <w:basedOn w:val="CommentTextChar"/>
    <w:link w:val="CommentSubject"/>
    <w:rsid w:val="0050720E"/>
    <w:rPr>
      <w:rFonts w:ascii="Arial" w:eastAsia="SimSun" w:hAnsi="Arial" w:cs="Arial"/>
      <w:sz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2B344C-ADB5-4BEA-8FF0-E416C69B57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2687</Words>
  <Characters>14101</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16755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Madrid Legal Division</dc:creator>
  <cp:keywords>FOR OFFICIAL USE ONLY</cp:keywords>
  <cp:lastModifiedBy>DIAZ Natacha</cp:lastModifiedBy>
  <cp:revision>5</cp:revision>
  <cp:lastPrinted>2020-09-07T13:10:00Z</cp:lastPrinted>
  <dcterms:created xsi:type="dcterms:W3CDTF">2020-08-25T08:43:00Z</dcterms:created>
  <dcterms:modified xsi:type="dcterms:W3CDTF">2020-09-07T13:10:00Z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4be00795-0332-471b-bc48-392ea471087a</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