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30368A" w:rsidRDefault="00845D86" w:rsidP="008E137E">
      <w:pPr>
        <w:spacing w:before="360" w:after="240"/>
        <w:jc w:val="right"/>
        <w:rPr>
          <w:b/>
          <w:sz w:val="32"/>
          <w:szCs w:val="40"/>
          <w:lang w:val="ru-RU"/>
        </w:rPr>
      </w:pPr>
      <w:bookmarkStart w:id="0" w:name="_GoBack"/>
      <w:bookmarkEnd w:id="0"/>
      <w:r w:rsidRPr="0030368A">
        <w:rPr>
          <w:noProof/>
          <w:sz w:val="28"/>
          <w:szCs w:val="28"/>
          <w:lang w:eastAsia="en-US"/>
        </w:rPr>
        <w:drawing>
          <wp:inline distT="0" distB="0" distL="0" distR="0">
            <wp:extent cx="3239770" cy="16281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16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CC1" w:rsidRPr="004B53C4" w:rsidRDefault="008E137E" w:rsidP="008E137E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MM</w:t>
      </w:r>
      <w:r w:rsidR="00556656" w:rsidRPr="004B53C4">
        <w:rPr>
          <w:rFonts w:ascii="Arial Black" w:hAnsi="Arial Black"/>
          <w:caps/>
          <w:sz w:val="15"/>
          <w:szCs w:val="15"/>
          <w:lang w:val="ru-RU"/>
        </w:rPr>
        <w:t>/</w:t>
      </w:r>
      <w:r>
        <w:rPr>
          <w:rFonts w:ascii="Arial Black" w:hAnsi="Arial Black"/>
          <w:caps/>
          <w:sz w:val="15"/>
          <w:szCs w:val="15"/>
        </w:rPr>
        <w:t>LD</w:t>
      </w:r>
      <w:r w:rsidR="00556656" w:rsidRPr="004B53C4">
        <w:rPr>
          <w:rFonts w:ascii="Arial Black" w:hAnsi="Arial Black"/>
          <w:caps/>
          <w:sz w:val="15"/>
          <w:szCs w:val="15"/>
          <w:lang w:val="ru-RU"/>
        </w:rPr>
        <w:t>/</w:t>
      </w:r>
      <w:bookmarkStart w:id="1" w:name="Code"/>
      <w:r w:rsidR="00590406">
        <w:rPr>
          <w:rFonts w:ascii="Arial Black" w:hAnsi="Arial Black"/>
          <w:caps/>
          <w:sz w:val="15"/>
          <w:szCs w:val="15"/>
        </w:rPr>
        <w:t>WG</w:t>
      </w:r>
      <w:r w:rsidR="00590406" w:rsidRPr="004B53C4">
        <w:rPr>
          <w:rFonts w:ascii="Arial Black" w:hAnsi="Arial Black"/>
          <w:caps/>
          <w:sz w:val="15"/>
          <w:szCs w:val="15"/>
          <w:lang w:val="ru-RU"/>
        </w:rPr>
        <w:t>/18/6</w:t>
      </w:r>
    </w:p>
    <w:p w:rsidR="008B2CC1" w:rsidRPr="0030368A" w:rsidRDefault="0030368A" w:rsidP="008E137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2" w:name="Original"/>
      <w:bookmarkEnd w:id="1"/>
      <w:r w:rsidRPr="00186D6D">
        <w:rPr>
          <w:rFonts w:ascii="Arial Black" w:hAnsi="Arial Black"/>
          <w:caps/>
          <w:sz w:val="15"/>
          <w:lang w:val="ru-RU"/>
        </w:rPr>
        <w:t>оригинал</w:t>
      </w:r>
      <w:r w:rsidRPr="002B28AE">
        <w:rPr>
          <w:rFonts w:ascii="Arial Black" w:hAnsi="Arial Black"/>
          <w:caps/>
          <w:sz w:val="15"/>
          <w:lang w:val="ru-RU"/>
        </w:rPr>
        <w:t>:</w:t>
      </w:r>
      <w:r w:rsidRPr="000B6C1D">
        <w:rPr>
          <w:rFonts w:ascii="Arial Black" w:hAnsi="Arial Black"/>
          <w:caps/>
          <w:sz w:val="15"/>
          <w:szCs w:val="15"/>
          <w:lang w:val="ru-RU"/>
        </w:rPr>
        <w:t xml:space="preserve">  </w:t>
      </w:r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p w:rsidR="008B2CC1" w:rsidRPr="0030368A" w:rsidRDefault="0030368A" w:rsidP="008E137E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3" w:name="Date"/>
      <w:bookmarkEnd w:id="2"/>
      <w:r w:rsidRPr="00186D6D">
        <w:rPr>
          <w:rFonts w:ascii="Arial Black" w:hAnsi="Arial Black"/>
          <w:caps/>
          <w:sz w:val="15"/>
          <w:lang w:val="ru-RU"/>
        </w:rPr>
        <w:t>дата</w:t>
      </w:r>
      <w:r w:rsidRPr="002B28AE">
        <w:rPr>
          <w:rFonts w:ascii="Arial Black" w:hAnsi="Arial Black"/>
          <w:caps/>
          <w:sz w:val="15"/>
          <w:lang w:val="ru-RU"/>
        </w:rPr>
        <w:t>:</w:t>
      </w:r>
      <w:r w:rsidRPr="000B6C1D">
        <w:rPr>
          <w:rFonts w:ascii="Arial Black" w:hAnsi="Arial Black"/>
          <w:caps/>
          <w:sz w:val="15"/>
          <w:szCs w:val="15"/>
          <w:lang w:val="ru-RU"/>
        </w:rPr>
        <w:t xml:space="preserve">  </w:t>
      </w:r>
      <w:r>
        <w:rPr>
          <w:rFonts w:ascii="Arial Black" w:hAnsi="Arial Black"/>
          <w:caps/>
          <w:sz w:val="15"/>
          <w:szCs w:val="15"/>
          <w:lang w:val="ru-RU"/>
        </w:rPr>
        <w:t>13 августа</w:t>
      </w:r>
      <w:r w:rsidRPr="000B6C1D">
        <w:rPr>
          <w:rFonts w:ascii="Arial Black" w:hAnsi="Arial Black"/>
          <w:caps/>
          <w:sz w:val="15"/>
          <w:szCs w:val="15"/>
          <w:lang w:val="ru-RU"/>
        </w:rPr>
        <w:t xml:space="preserve"> 2020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bookmarkEnd w:id="3"/>
    <w:p w:rsidR="008E137E" w:rsidRPr="0030368A" w:rsidRDefault="0030368A" w:rsidP="008E137E">
      <w:pPr>
        <w:spacing w:after="720"/>
        <w:outlineLvl w:val="1"/>
        <w:rPr>
          <w:b/>
          <w:bCs/>
          <w:kern w:val="32"/>
          <w:sz w:val="28"/>
          <w:szCs w:val="28"/>
          <w:lang w:val="ru-RU"/>
        </w:rPr>
      </w:pPr>
      <w:r w:rsidRPr="0030368A">
        <w:rPr>
          <w:b/>
          <w:bCs/>
          <w:kern w:val="32"/>
          <w:sz w:val="28"/>
          <w:szCs w:val="28"/>
          <w:lang w:val="ru-RU"/>
        </w:rPr>
        <w:t>Рабочая группа по правовому развитию Мадридской системы международной регистрации знаков</w:t>
      </w:r>
    </w:p>
    <w:p w:rsidR="00656457" w:rsidRPr="0030368A" w:rsidRDefault="0030368A" w:rsidP="00656457">
      <w:pPr>
        <w:outlineLvl w:val="0"/>
        <w:rPr>
          <w:b/>
          <w:sz w:val="24"/>
          <w:szCs w:val="24"/>
          <w:lang w:val="ru-RU"/>
        </w:rPr>
      </w:pPr>
      <w:bookmarkStart w:id="4" w:name="TitleOfDoc"/>
      <w:r w:rsidRPr="0030368A">
        <w:rPr>
          <w:b/>
          <w:sz w:val="24"/>
          <w:szCs w:val="24"/>
          <w:lang w:val="ru-RU"/>
        </w:rPr>
        <w:t>Восемнадцатая сессия</w:t>
      </w:r>
    </w:p>
    <w:p w:rsidR="008E137E" w:rsidRPr="0030368A" w:rsidRDefault="0030368A" w:rsidP="008E137E">
      <w:pPr>
        <w:spacing w:after="360"/>
        <w:outlineLvl w:val="0"/>
        <w:rPr>
          <w:b/>
          <w:sz w:val="24"/>
          <w:szCs w:val="24"/>
          <w:lang w:val="ru-RU"/>
        </w:rPr>
      </w:pPr>
      <w:r w:rsidRPr="0030368A">
        <w:rPr>
          <w:b/>
          <w:sz w:val="24"/>
          <w:szCs w:val="24"/>
          <w:lang w:val="ru-RU"/>
        </w:rPr>
        <w:t>Женева, 12–16 октября 2020</w:t>
      </w:r>
      <w:r w:rsidRPr="000C6C49">
        <w:rPr>
          <w:b/>
          <w:sz w:val="24"/>
          <w:szCs w:val="24"/>
        </w:rPr>
        <w:t> </w:t>
      </w:r>
      <w:r w:rsidRPr="0030368A">
        <w:rPr>
          <w:b/>
          <w:sz w:val="24"/>
          <w:szCs w:val="24"/>
          <w:lang w:val="ru-RU"/>
        </w:rPr>
        <w:t>г.</w:t>
      </w:r>
    </w:p>
    <w:p w:rsidR="008B2CC1" w:rsidRPr="004B53C4" w:rsidRDefault="00C65CF8" w:rsidP="008E137E">
      <w:pPr>
        <w:spacing w:after="360"/>
        <w:outlineLvl w:val="0"/>
        <w:rPr>
          <w:caps/>
          <w:sz w:val="24"/>
          <w:lang w:val="ru-RU"/>
        </w:rPr>
      </w:pPr>
      <w:r w:rsidRPr="00C65CF8">
        <w:rPr>
          <w:caps/>
          <w:sz w:val="24"/>
          <w:lang w:val="ru-RU"/>
        </w:rPr>
        <w:t>предварительн</w:t>
      </w:r>
      <w:r>
        <w:rPr>
          <w:caps/>
          <w:sz w:val="24"/>
          <w:lang w:val="ru-RU"/>
        </w:rPr>
        <w:t>ый отказ</w:t>
      </w:r>
    </w:p>
    <w:p w:rsidR="002928D3" w:rsidRPr="004B53C4" w:rsidRDefault="0030368A" w:rsidP="008E137E">
      <w:pPr>
        <w:spacing w:after="960"/>
        <w:rPr>
          <w:i/>
          <w:lang w:val="ru-RU"/>
        </w:rPr>
      </w:pPr>
      <w:bookmarkStart w:id="5" w:name="Prepared"/>
      <w:bookmarkEnd w:id="4"/>
      <w:r w:rsidRPr="004B53C4">
        <w:rPr>
          <w:i/>
          <w:lang w:val="ru-RU"/>
        </w:rPr>
        <w:t>Документ подготовлен Международным бюро</w:t>
      </w:r>
    </w:p>
    <w:bookmarkEnd w:id="5"/>
    <w:p w:rsidR="008E137E" w:rsidRDefault="0030368A" w:rsidP="00590406">
      <w:pPr>
        <w:pStyle w:val="Heading1"/>
      </w:pPr>
      <w:r w:rsidRPr="002020FF">
        <w:t>ВВЕДЕНИЕ</w:t>
      </w:r>
    </w:p>
    <w:p w:rsidR="00590406" w:rsidRPr="00EC344F" w:rsidRDefault="0030368A" w:rsidP="00590406">
      <w:pPr>
        <w:pStyle w:val="ONUME"/>
        <w:rPr>
          <w:lang w:val="ru-RU"/>
        </w:rPr>
      </w:pPr>
      <w:r w:rsidRPr="00133740">
        <w:rPr>
          <w:lang w:val="ru-RU"/>
        </w:rPr>
        <w:t>На своей семнадцатой сессии, состоявшейся в Женеве 22-26 июля 2019 г., Рабочая группа по правовому ра</w:t>
      </w:r>
      <w:r w:rsidRPr="009B36BF">
        <w:rPr>
          <w:lang w:val="ru-RU"/>
        </w:rPr>
        <w:t xml:space="preserve">звитию Мадридской системы международной регистрации знаков (далее </w:t>
      </w:r>
      <w:r w:rsidRPr="009B36BF">
        <w:rPr>
          <w:rFonts w:eastAsia="+mn-ea"/>
          <w:lang w:val="ru-RU" w:eastAsia="en-US"/>
        </w:rPr>
        <w:t>–</w:t>
      </w:r>
      <w:r w:rsidRPr="009B36BF">
        <w:rPr>
          <w:lang w:val="ru-RU"/>
        </w:rPr>
        <w:t xml:space="preserve"> «Рабочая группа») обсудила практические трудности, с которыми сталкиваются </w:t>
      </w:r>
      <w:r w:rsidR="009B36BF" w:rsidRPr="009B36BF">
        <w:rPr>
          <w:lang w:val="ru-RU"/>
        </w:rPr>
        <w:t xml:space="preserve">владельцы </w:t>
      </w:r>
      <w:r w:rsidRPr="009B36BF">
        <w:rPr>
          <w:lang w:val="ru-RU"/>
        </w:rPr>
        <w:t xml:space="preserve">при получении уведомлений о </w:t>
      </w:r>
      <w:r w:rsidR="009B36BF" w:rsidRPr="009B36BF">
        <w:rPr>
          <w:lang w:val="ru-RU"/>
        </w:rPr>
        <w:t>предварительном отказе</w:t>
      </w:r>
      <w:r w:rsidRPr="009B36BF">
        <w:rPr>
          <w:lang w:val="ru-RU"/>
        </w:rPr>
        <w:t xml:space="preserve">, в том, что касается сроков и их </w:t>
      </w:r>
      <w:r w:rsidR="009B36BF" w:rsidRPr="009B36BF">
        <w:rPr>
          <w:lang w:val="ru-RU"/>
        </w:rPr>
        <w:t>исчислени</w:t>
      </w:r>
      <w:r w:rsidR="009B36BF" w:rsidRPr="00EC344F">
        <w:rPr>
          <w:lang w:val="ru-RU"/>
        </w:rPr>
        <w:t>я</w:t>
      </w:r>
      <w:r w:rsidR="00590406" w:rsidRPr="00EC344F">
        <w:rPr>
          <w:lang w:val="ru-RU"/>
        </w:rPr>
        <w:t xml:space="preserve">.  </w:t>
      </w:r>
    </w:p>
    <w:p w:rsidR="00590406" w:rsidRPr="00EC344F" w:rsidRDefault="0030368A" w:rsidP="00590406">
      <w:pPr>
        <w:pStyle w:val="ONUME"/>
        <w:rPr>
          <w:lang w:val="ru-RU"/>
        </w:rPr>
      </w:pPr>
      <w:r w:rsidRPr="00EC344F">
        <w:rPr>
          <w:lang w:val="ru-RU"/>
        </w:rPr>
        <w:t>После вышеупомянутого обсуждения Рабочая группа обратилась к</w:t>
      </w:r>
      <w:r w:rsidR="00E60954">
        <w:t> </w:t>
      </w:r>
      <w:r w:rsidRPr="00EC344F">
        <w:rPr>
          <w:lang w:val="ru-RU"/>
        </w:rPr>
        <w:t>Международному бюро с просьбой подготовить документ</w:t>
      </w:r>
      <w:r w:rsidR="00E60954">
        <w:rPr>
          <w:lang w:val="ru-RU"/>
        </w:rPr>
        <w:t>,</w:t>
      </w:r>
      <w:r w:rsidRPr="00EC344F">
        <w:rPr>
          <w:lang w:val="ru-RU"/>
        </w:rPr>
        <w:t xml:space="preserve"> </w:t>
      </w:r>
      <w:r w:rsidR="009B36BF" w:rsidRPr="00EC344F">
        <w:rPr>
          <w:lang w:val="ru-RU"/>
        </w:rPr>
        <w:t xml:space="preserve">для рассмотрения на ее восемнадцатой сессии </w:t>
      </w:r>
      <w:r w:rsidRPr="00EC344F">
        <w:rPr>
          <w:lang w:val="ru-RU"/>
        </w:rPr>
        <w:t>о возможных</w:t>
      </w:r>
      <w:r w:rsidR="00E60954">
        <w:rPr>
          <w:lang w:val="ru-RU"/>
        </w:rPr>
        <w:t xml:space="preserve">, </w:t>
      </w:r>
      <w:r w:rsidR="00E60954" w:rsidRPr="00E60954">
        <w:rPr>
          <w:lang w:val="ru-RU"/>
        </w:rPr>
        <w:t>содерж</w:t>
      </w:r>
      <w:r w:rsidR="00E60954">
        <w:rPr>
          <w:lang w:val="ru-RU"/>
        </w:rPr>
        <w:t>ащий поправки</w:t>
      </w:r>
      <w:r w:rsidRPr="00EC344F">
        <w:rPr>
          <w:lang w:val="ru-RU"/>
        </w:rPr>
        <w:t xml:space="preserve"> к Инструкции к </w:t>
      </w:r>
      <w:r w:rsidR="00EC344F" w:rsidRPr="00EC344F">
        <w:rPr>
          <w:lang w:val="ru-RU"/>
        </w:rPr>
        <w:t>Протоколу к</w:t>
      </w:r>
      <w:r w:rsidR="00E60954">
        <w:rPr>
          <w:lang w:val="ru-RU"/>
        </w:rPr>
        <w:t> </w:t>
      </w:r>
      <w:r w:rsidRPr="00EC344F">
        <w:rPr>
          <w:lang w:val="ru-RU"/>
        </w:rPr>
        <w:t>Мадридскому соглашению о международной регистрации знаков (</w:t>
      </w:r>
      <w:r w:rsidR="00EC344F" w:rsidRPr="00EC344F">
        <w:rPr>
          <w:lang w:val="ru-RU"/>
        </w:rPr>
        <w:t>далее – «</w:t>
      </w:r>
      <w:r w:rsidRPr="00EC344F">
        <w:rPr>
          <w:lang w:val="ru-RU"/>
        </w:rPr>
        <w:t>Инструкция</w:t>
      </w:r>
      <w:r w:rsidR="00EC344F" w:rsidRPr="00EC344F">
        <w:rPr>
          <w:lang w:val="ru-RU"/>
        </w:rPr>
        <w:t>»), предусматривающи</w:t>
      </w:r>
      <w:r w:rsidR="00E60954">
        <w:rPr>
          <w:lang w:val="ru-RU"/>
        </w:rPr>
        <w:t>е</w:t>
      </w:r>
      <w:r w:rsidR="00EC344F" w:rsidRPr="00EC344F">
        <w:rPr>
          <w:lang w:val="ru-RU"/>
        </w:rPr>
        <w:t xml:space="preserve">: </w:t>
      </w:r>
    </w:p>
    <w:p w:rsidR="00590406" w:rsidRPr="00EC344F" w:rsidRDefault="0030368A" w:rsidP="009D1602">
      <w:pPr>
        <w:pStyle w:val="ONUME"/>
        <w:numPr>
          <w:ilvl w:val="0"/>
          <w:numId w:val="10"/>
        </w:numPr>
        <w:tabs>
          <w:tab w:val="clear" w:pos="567"/>
        </w:tabs>
        <w:ind w:left="567"/>
        <w:rPr>
          <w:lang w:val="ru-RU"/>
        </w:rPr>
      </w:pPr>
      <w:r w:rsidRPr="00EC344F">
        <w:rPr>
          <w:lang w:val="ru-RU"/>
        </w:rPr>
        <w:t xml:space="preserve">минимальный срок ответа на </w:t>
      </w:r>
      <w:r w:rsidR="00EC344F" w:rsidRPr="00EC344F">
        <w:rPr>
          <w:lang w:val="ru-RU"/>
        </w:rPr>
        <w:t>предварительн</w:t>
      </w:r>
      <w:r w:rsidRPr="00EC344F">
        <w:rPr>
          <w:lang w:val="ru-RU"/>
        </w:rPr>
        <w:t xml:space="preserve">ый отказ; </w:t>
      </w:r>
    </w:p>
    <w:p w:rsidR="00590406" w:rsidRPr="00E60954" w:rsidRDefault="00E60954" w:rsidP="009D1602">
      <w:pPr>
        <w:pStyle w:val="ONUME"/>
        <w:numPr>
          <w:ilvl w:val="0"/>
          <w:numId w:val="10"/>
        </w:numPr>
        <w:tabs>
          <w:tab w:val="clear" w:pos="567"/>
        </w:tabs>
        <w:ind w:left="567"/>
        <w:rPr>
          <w:lang w:val="ru-RU"/>
        </w:rPr>
      </w:pPr>
      <w:r>
        <w:rPr>
          <w:lang w:val="ru-RU"/>
        </w:rPr>
        <w:t xml:space="preserve">единообразный </w:t>
      </w:r>
      <w:r w:rsidR="0030368A" w:rsidRPr="00E60954">
        <w:rPr>
          <w:lang w:val="ru-RU"/>
        </w:rPr>
        <w:t xml:space="preserve">способ </w:t>
      </w:r>
      <w:r w:rsidR="009B36BF" w:rsidRPr="00E60954">
        <w:rPr>
          <w:lang w:val="ru-RU"/>
        </w:rPr>
        <w:t>исчисления</w:t>
      </w:r>
      <w:r w:rsidR="0030368A" w:rsidRPr="00E60954">
        <w:rPr>
          <w:lang w:val="ru-RU"/>
        </w:rPr>
        <w:t xml:space="preserve"> </w:t>
      </w:r>
      <w:r>
        <w:rPr>
          <w:lang w:val="ru-RU"/>
        </w:rPr>
        <w:t>указанного</w:t>
      </w:r>
      <w:r w:rsidR="0030368A" w:rsidRPr="00E60954">
        <w:rPr>
          <w:lang w:val="ru-RU"/>
        </w:rPr>
        <w:t xml:space="preserve"> срока;</w:t>
      </w:r>
      <w:r w:rsidR="00EC344F" w:rsidRPr="00E60954">
        <w:rPr>
          <w:lang w:val="ru-RU"/>
        </w:rPr>
        <w:t xml:space="preserve"> </w:t>
      </w:r>
    </w:p>
    <w:p w:rsidR="00590406" w:rsidRPr="00047901" w:rsidRDefault="009B36BF" w:rsidP="009D1602">
      <w:pPr>
        <w:pStyle w:val="ONUME"/>
        <w:numPr>
          <w:ilvl w:val="0"/>
          <w:numId w:val="10"/>
        </w:numPr>
        <w:tabs>
          <w:tab w:val="clear" w:pos="567"/>
        </w:tabs>
        <w:ind w:left="567"/>
        <w:rPr>
          <w:lang w:val="ru-RU"/>
        </w:rPr>
      </w:pPr>
      <w:r w:rsidRPr="00047901">
        <w:rPr>
          <w:lang w:val="ru-RU"/>
        </w:rPr>
        <w:t xml:space="preserve">возможность </w:t>
      </w:r>
      <w:r w:rsidR="00E60954">
        <w:rPr>
          <w:lang w:val="ru-RU"/>
        </w:rPr>
        <w:t xml:space="preserve">более поздней </w:t>
      </w:r>
      <w:r w:rsidR="00E60954" w:rsidRPr="00E60954">
        <w:rPr>
          <w:lang w:val="ru-RU"/>
        </w:rPr>
        <w:t>реализаци</w:t>
      </w:r>
      <w:r w:rsidR="00E60954">
        <w:rPr>
          <w:lang w:val="ru-RU"/>
        </w:rPr>
        <w:t xml:space="preserve">и </w:t>
      </w:r>
      <w:r w:rsidRPr="00047901">
        <w:rPr>
          <w:lang w:val="ru-RU"/>
        </w:rPr>
        <w:t xml:space="preserve">этих новых положений </w:t>
      </w:r>
      <w:r w:rsidR="00E60954">
        <w:rPr>
          <w:lang w:val="ru-RU"/>
        </w:rPr>
        <w:t>Договаривающимися</w:t>
      </w:r>
      <w:r w:rsidRPr="00047901">
        <w:rPr>
          <w:lang w:val="ru-RU"/>
        </w:rPr>
        <w:t xml:space="preserve"> Сторон</w:t>
      </w:r>
      <w:r w:rsidR="00E60954">
        <w:rPr>
          <w:lang w:val="ru-RU"/>
        </w:rPr>
        <w:t>ами</w:t>
      </w:r>
      <w:r w:rsidRPr="00047901">
        <w:rPr>
          <w:lang w:val="ru-RU"/>
        </w:rPr>
        <w:t xml:space="preserve">, </w:t>
      </w:r>
      <w:r w:rsidR="00EC344F" w:rsidRPr="00047901">
        <w:rPr>
          <w:lang w:val="ru-RU"/>
        </w:rPr>
        <w:t xml:space="preserve">которым </w:t>
      </w:r>
      <w:r w:rsidR="00E60954">
        <w:rPr>
          <w:lang w:val="ru-RU"/>
        </w:rPr>
        <w:t xml:space="preserve">потребуется </w:t>
      </w:r>
      <w:r w:rsidR="00EC344F" w:rsidRPr="00047901">
        <w:rPr>
          <w:lang w:val="ru-RU"/>
        </w:rPr>
        <w:t>время на изменение</w:t>
      </w:r>
      <w:r w:rsidRPr="00047901">
        <w:rPr>
          <w:lang w:val="ru-RU"/>
        </w:rPr>
        <w:t xml:space="preserve"> их правовой базы, </w:t>
      </w:r>
      <w:r w:rsidR="00E60954">
        <w:rPr>
          <w:lang w:val="ru-RU"/>
        </w:rPr>
        <w:t xml:space="preserve">практики </w:t>
      </w:r>
      <w:r w:rsidR="00047901" w:rsidRPr="00047901">
        <w:rPr>
          <w:lang w:val="ru-RU"/>
        </w:rPr>
        <w:t xml:space="preserve">работы или инфраструктуры; </w:t>
      </w:r>
    </w:p>
    <w:p w:rsidR="00590406" w:rsidRPr="00E60954" w:rsidRDefault="009B36BF" w:rsidP="009D1602">
      <w:pPr>
        <w:pStyle w:val="ONUME"/>
        <w:numPr>
          <w:ilvl w:val="0"/>
          <w:numId w:val="10"/>
        </w:numPr>
        <w:tabs>
          <w:tab w:val="clear" w:pos="567"/>
        </w:tabs>
        <w:ind w:left="567"/>
        <w:rPr>
          <w:lang w:val="ru-RU"/>
        </w:rPr>
      </w:pPr>
      <w:r w:rsidRPr="00E60954">
        <w:rPr>
          <w:lang w:val="ru-RU"/>
        </w:rPr>
        <w:lastRenderedPageBreak/>
        <w:t xml:space="preserve">более строгое требование четко указывать в уведомлении о предварительном отказе либо дату окончания вышеуказанного срока, либо, если это невозможно, </w:t>
      </w:r>
      <w:r w:rsidR="00E60954">
        <w:rPr>
          <w:lang w:val="ru-RU"/>
        </w:rPr>
        <w:t>способ</w:t>
      </w:r>
      <w:r w:rsidR="00E60954" w:rsidRPr="00047901">
        <w:rPr>
          <w:lang w:val="ru-RU"/>
        </w:rPr>
        <w:t xml:space="preserve"> </w:t>
      </w:r>
      <w:r w:rsidRPr="00E60954">
        <w:rPr>
          <w:lang w:val="ru-RU"/>
        </w:rPr>
        <w:t xml:space="preserve">его исчисления; и, </w:t>
      </w:r>
    </w:p>
    <w:p w:rsidR="00590406" w:rsidRPr="00047901" w:rsidRDefault="00E60954" w:rsidP="009D1602">
      <w:pPr>
        <w:pStyle w:val="ONUME"/>
        <w:numPr>
          <w:ilvl w:val="0"/>
          <w:numId w:val="10"/>
        </w:numPr>
        <w:tabs>
          <w:tab w:val="clear" w:pos="567"/>
        </w:tabs>
        <w:ind w:left="567"/>
        <w:rPr>
          <w:lang w:val="ru-RU"/>
        </w:rPr>
      </w:pPr>
      <w:r w:rsidRPr="00E60954">
        <w:rPr>
          <w:lang w:val="ru-RU"/>
        </w:rPr>
        <w:t>использова</w:t>
      </w:r>
      <w:r>
        <w:rPr>
          <w:lang w:val="ru-RU"/>
        </w:rPr>
        <w:t>ние электронных сообщений</w:t>
      </w:r>
      <w:r w:rsidRPr="00047901">
        <w:rPr>
          <w:lang w:val="ru-RU"/>
        </w:rPr>
        <w:t xml:space="preserve"> </w:t>
      </w:r>
      <w:r>
        <w:rPr>
          <w:lang w:val="ru-RU"/>
        </w:rPr>
        <w:t>как основного способа</w:t>
      </w:r>
      <w:r w:rsidRPr="00047901">
        <w:rPr>
          <w:lang w:val="ru-RU"/>
        </w:rPr>
        <w:t xml:space="preserve"> </w:t>
      </w:r>
      <w:r w:rsidR="009B36BF" w:rsidRPr="00047901">
        <w:rPr>
          <w:lang w:val="ru-RU"/>
        </w:rPr>
        <w:t xml:space="preserve">передачи сообщений </w:t>
      </w:r>
      <w:r>
        <w:rPr>
          <w:lang w:val="ru-RU"/>
        </w:rPr>
        <w:t>Международным</w:t>
      </w:r>
      <w:r w:rsidR="009B36BF" w:rsidRPr="00047901">
        <w:rPr>
          <w:lang w:val="ru-RU"/>
        </w:rPr>
        <w:t xml:space="preserve"> бюро заявителям, владельцам и представителям</w:t>
      </w:r>
      <w:bookmarkStart w:id="6" w:name="_Ref46839465"/>
      <w:r w:rsidR="00047901" w:rsidRPr="00047901">
        <w:rPr>
          <w:rStyle w:val="FootnoteReference"/>
        </w:rPr>
        <w:footnoteReference w:id="2"/>
      </w:r>
      <w:bookmarkEnd w:id="6"/>
      <w:r w:rsidR="00047901" w:rsidRPr="00047901">
        <w:rPr>
          <w:lang w:val="ru-RU"/>
        </w:rPr>
        <w:t>.</w:t>
      </w:r>
    </w:p>
    <w:p w:rsidR="00590406" w:rsidRPr="00047901" w:rsidRDefault="009B36BF" w:rsidP="00782CAC">
      <w:pPr>
        <w:pStyle w:val="ONUME"/>
        <w:rPr>
          <w:lang w:val="ru-RU"/>
        </w:rPr>
      </w:pPr>
      <w:r w:rsidRPr="00047901">
        <w:rPr>
          <w:lang w:val="ru-RU"/>
        </w:rPr>
        <w:t>В настоящем документе излагается ряд возможностей, которые Рабочая группа мо</w:t>
      </w:r>
      <w:r w:rsidR="00047901" w:rsidRPr="00047901">
        <w:rPr>
          <w:lang w:val="ru-RU"/>
        </w:rPr>
        <w:t xml:space="preserve">гла бы </w:t>
      </w:r>
      <w:r w:rsidRPr="00047901">
        <w:rPr>
          <w:lang w:val="ru-RU"/>
        </w:rPr>
        <w:t>рассмотреть в качестве основы для обсуждения возможных поправок к</w:t>
      </w:r>
      <w:r w:rsidR="00E60954">
        <w:rPr>
          <w:lang w:val="ru-RU"/>
        </w:rPr>
        <w:t> </w:t>
      </w:r>
      <w:r w:rsidR="00047901" w:rsidRPr="00047901">
        <w:rPr>
          <w:lang w:val="ru-RU"/>
        </w:rPr>
        <w:t>Инструкции</w:t>
      </w:r>
      <w:r w:rsidRPr="00047901">
        <w:rPr>
          <w:lang w:val="ru-RU"/>
        </w:rPr>
        <w:t xml:space="preserve">, </w:t>
      </w:r>
      <w:r w:rsidR="00047901" w:rsidRPr="00047901">
        <w:rPr>
          <w:lang w:val="ru-RU"/>
        </w:rPr>
        <w:t xml:space="preserve">упоминаемых </w:t>
      </w:r>
      <w:r w:rsidRPr="00047901">
        <w:rPr>
          <w:lang w:val="ru-RU"/>
        </w:rPr>
        <w:t>в пунктах (</w:t>
      </w:r>
      <w:r w:rsidRPr="00047901">
        <w:t>i</w:t>
      </w:r>
      <w:r w:rsidRPr="00047901">
        <w:rPr>
          <w:lang w:val="ru-RU"/>
        </w:rPr>
        <w:t>)-(</w:t>
      </w:r>
      <w:r w:rsidRPr="00047901">
        <w:t>v</w:t>
      </w:r>
      <w:r w:rsidR="00047901" w:rsidRPr="00047901">
        <w:rPr>
          <w:lang w:val="ru-RU"/>
        </w:rPr>
        <w:t xml:space="preserve">) выше. </w:t>
      </w:r>
    </w:p>
    <w:p w:rsidR="00590406" w:rsidRPr="005F0E0B" w:rsidRDefault="009B36BF" w:rsidP="00C42528">
      <w:pPr>
        <w:pStyle w:val="Heading1"/>
      </w:pPr>
      <w:r w:rsidRPr="00047901">
        <w:t>ОСНОВНОЙ РАССМАТРИВАЕМЫЙ ВОПРОС</w:t>
      </w:r>
    </w:p>
    <w:p w:rsidR="00590406" w:rsidRPr="004B53C4" w:rsidRDefault="005F0E0B" w:rsidP="00782CAC">
      <w:pPr>
        <w:pStyle w:val="ONUME"/>
        <w:rPr>
          <w:lang w:val="ru-RU"/>
        </w:rPr>
      </w:pPr>
      <w:r w:rsidRPr="005F0E0B">
        <w:rPr>
          <w:lang w:val="ru-RU"/>
        </w:rPr>
        <w:t>Отвечая</w:t>
      </w:r>
      <w:r w:rsidR="009B36BF" w:rsidRPr="005F0E0B">
        <w:rPr>
          <w:lang w:val="ru-RU"/>
        </w:rPr>
        <w:t xml:space="preserve"> на уведомления о предварительном отказе, направляемые ведомствами указанных Договаривающихся сторон, владельцы должны следить за различными срок</w:t>
      </w:r>
      <w:r w:rsidRPr="005F0E0B">
        <w:rPr>
          <w:lang w:val="ru-RU"/>
        </w:rPr>
        <w:t xml:space="preserve">ами и </w:t>
      </w:r>
      <w:r w:rsidR="00E60954">
        <w:rPr>
          <w:lang w:val="ru-RU"/>
        </w:rPr>
        <w:t>способами</w:t>
      </w:r>
      <w:r w:rsidR="00E60954" w:rsidRPr="00047901">
        <w:rPr>
          <w:lang w:val="ru-RU"/>
        </w:rPr>
        <w:t xml:space="preserve"> </w:t>
      </w:r>
      <w:r w:rsidRPr="005F0E0B">
        <w:rPr>
          <w:lang w:val="ru-RU"/>
        </w:rPr>
        <w:t xml:space="preserve">их исчисления. Эта </w:t>
      </w:r>
      <w:r w:rsidR="009B36BF" w:rsidRPr="005F0E0B">
        <w:rPr>
          <w:lang w:val="ru-RU"/>
        </w:rPr>
        <w:t xml:space="preserve">ситуация является </w:t>
      </w:r>
      <w:r w:rsidRPr="005F0E0B">
        <w:rPr>
          <w:lang w:val="ru-RU"/>
        </w:rPr>
        <w:t>поводом для частых</w:t>
      </w:r>
      <w:r w:rsidR="009B36BF" w:rsidRPr="005F0E0B">
        <w:rPr>
          <w:lang w:val="ru-RU"/>
        </w:rPr>
        <w:t xml:space="preserve"> жалоб со стороны пользователей Мадридской системы.</w:t>
      </w:r>
    </w:p>
    <w:p w:rsidR="00590406" w:rsidRPr="005F0E0B" w:rsidRDefault="009B36BF" w:rsidP="00782CAC">
      <w:pPr>
        <w:pStyle w:val="ONUME"/>
        <w:rPr>
          <w:lang w:val="ru-RU"/>
        </w:rPr>
      </w:pPr>
      <w:r w:rsidRPr="005F0E0B">
        <w:rPr>
          <w:lang w:val="ru-RU"/>
        </w:rPr>
        <w:t xml:space="preserve">Владельцы также подчеркивают, что они не всегда </w:t>
      </w:r>
      <w:r w:rsidR="005F0E0B" w:rsidRPr="005F0E0B">
        <w:rPr>
          <w:lang w:val="ru-RU"/>
        </w:rPr>
        <w:t xml:space="preserve">имеют достаточно времени для </w:t>
      </w:r>
      <w:r w:rsidRPr="005F0E0B">
        <w:rPr>
          <w:lang w:val="ru-RU"/>
        </w:rPr>
        <w:t xml:space="preserve">ответа на </w:t>
      </w:r>
      <w:r w:rsidR="005F0E0B" w:rsidRPr="005F0E0B">
        <w:rPr>
          <w:lang w:val="ru-RU"/>
        </w:rPr>
        <w:t>уведомления о предварительном отказе</w:t>
      </w:r>
      <w:r w:rsidRPr="005F0E0B">
        <w:rPr>
          <w:lang w:val="ru-RU"/>
        </w:rPr>
        <w:t xml:space="preserve">, отмечая, в частности, что им часто требуется больше времени для </w:t>
      </w:r>
      <w:r w:rsidR="005F0E0B" w:rsidRPr="005F0E0B">
        <w:rPr>
          <w:lang w:val="ru-RU"/>
        </w:rPr>
        <w:t>обеспечения</w:t>
      </w:r>
      <w:r w:rsidRPr="005F0E0B">
        <w:rPr>
          <w:lang w:val="ru-RU"/>
        </w:rPr>
        <w:t xml:space="preserve"> переводов, </w:t>
      </w:r>
      <w:r w:rsidR="005F0E0B" w:rsidRPr="005F0E0B">
        <w:rPr>
          <w:lang w:val="ru-RU"/>
        </w:rPr>
        <w:t xml:space="preserve">изучения </w:t>
      </w:r>
      <w:r w:rsidRPr="005F0E0B">
        <w:rPr>
          <w:lang w:val="ru-RU"/>
        </w:rPr>
        <w:t xml:space="preserve">оснований для отказа, а также </w:t>
      </w:r>
      <w:r w:rsidR="005F0E0B" w:rsidRPr="005F0E0B">
        <w:rPr>
          <w:lang w:val="ru-RU"/>
        </w:rPr>
        <w:t xml:space="preserve">для </w:t>
      </w:r>
      <w:r w:rsidRPr="005F0E0B">
        <w:rPr>
          <w:lang w:val="ru-RU"/>
        </w:rPr>
        <w:t xml:space="preserve">назначения </w:t>
      </w:r>
      <w:r w:rsidR="005F0E0B" w:rsidRPr="005F0E0B">
        <w:rPr>
          <w:lang w:val="ru-RU"/>
        </w:rPr>
        <w:t xml:space="preserve">местных представителей </w:t>
      </w:r>
      <w:r w:rsidR="00E60954">
        <w:rPr>
          <w:lang w:val="ru-RU"/>
        </w:rPr>
        <w:t xml:space="preserve">и </w:t>
      </w:r>
      <w:r w:rsidR="005F0E0B" w:rsidRPr="005F0E0B">
        <w:rPr>
          <w:lang w:val="ru-RU"/>
        </w:rPr>
        <w:t>направлени</w:t>
      </w:r>
      <w:r w:rsidR="005F0E0B">
        <w:rPr>
          <w:lang w:val="ru-RU"/>
        </w:rPr>
        <w:t xml:space="preserve">я им </w:t>
      </w:r>
      <w:r w:rsidR="005F0E0B" w:rsidRPr="005F0E0B">
        <w:rPr>
          <w:lang w:val="ru-RU"/>
        </w:rPr>
        <w:t>соответствующ</w:t>
      </w:r>
      <w:r w:rsidR="005F0E0B">
        <w:rPr>
          <w:lang w:val="ru-RU"/>
        </w:rPr>
        <w:t>их указаний</w:t>
      </w:r>
      <w:r w:rsidR="005F0E0B" w:rsidRPr="005F0E0B">
        <w:rPr>
          <w:lang w:val="ru-RU"/>
        </w:rPr>
        <w:t xml:space="preserve">. При наименее благоприятном исходе </w:t>
      </w:r>
      <w:r w:rsidRPr="005F0E0B">
        <w:rPr>
          <w:lang w:val="ru-RU"/>
        </w:rPr>
        <w:t xml:space="preserve">эти </w:t>
      </w:r>
      <w:r w:rsidR="005F0E0B" w:rsidRPr="005F0E0B">
        <w:rPr>
          <w:lang w:val="ru-RU"/>
        </w:rPr>
        <w:t xml:space="preserve">затруднения </w:t>
      </w:r>
      <w:r w:rsidRPr="005F0E0B">
        <w:rPr>
          <w:lang w:val="ru-RU"/>
        </w:rPr>
        <w:t xml:space="preserve">могут </w:t>
      </w:r>
      <w:r w:rsidR="005F0E0B" w:rsidRPr="005F0E0B">
        <w:rPr>
          <w:lang w:val="ru-RU"/>
        </w:rPr>
        <w:t xml:space="preserve">приводить </w:t>
      </w:r>
      <w:r w:rsidRPr="005F0E0B">
        <w:rPr>
          <w:lang w:val="ru-RU"/>
        </w:rPr>
        <w:t>к</w:t>
      </w:r>
      <w:r w:rsidR="005F0E0B">
        <w:rPr>
          <w:lang w:val="ru-RU"/>
        </w:rPr>
        <w:t> </w:t>
      </w:r>
      <w:r w:rsidRPr="005F0E0B">
        <w:rPr>
          <w:lang w:val="ru-RU"/>
        </w:rPr>
        <w:t xml:space="preserve">несоблюдению соответствующих сроков, что может </w:t>
      </w:r>
      <w:r w:rsidR="005F0E0B" w:rsidRPr="005F0E0B">
        <w:rPr>
          <w:lang w:val="ru-RU"/>
        </w:rPr>
        <w:t>создавать вероятность утраты</w:t>
      </w:r>
      <w:r w:rsidRPr="005F0E0B">
        <w:rPr>
          <w:lang w:val="ru-RU"/>
        </w:rPr>
        <w:t xml:space="preserve"> прав </w:t>
      </w:r>
      <w:r w:rsidR="005F0E0B" w:rsidRPr="005F0E0B">
        <w:rPr>
          <w:lang w:val="ru-RU"/>
        </w:rPr>
        <w:t>в некоторых указанных</w:t>
      </w:r>
      <w:r w:rsidRPr="005F0E0B">
        <w:rPr>
          <w:lang w:val="ru-RU"/>
        </w:rPr>
        <w:t xml:space="preserve"> </w:t>
      </w:r>
      <w:r w:rsidR="005F0E0B" w:rsidRPr="005F0E0B">
        <w:rPr>
          <w:lang w:val="ru-RU"/>
        </w:rPr>
        <w:t>Договаривающихся</w:t>
      </w:r>
      <w:r w:rsidRPr="005F0E0B">
        <w:rPr>
          <w:lang w:val="ru-RU"/>
        </w:rPr>
        <w:t xml:space="preserve"> </w:t>
      </w:r>
      <w:r w:rsidR="005F0E0B" w:rsidRPr="005F0E0B">
        <w:rPr>
          <w:lang w:val="ru-RU"/>
        </w:rPr>
        <w:t>сторонах</w:t>
      </w:r>
      <w:r w:rsidRPr="005F0E0B">
        <w:rPr>
          <w:lang w:val="ru-RU"/>
        </w:rPr>
        <w:t xml:space="preserve">. </w:t>
      </w:r>
    </w:p>
    <w:p w:rsidR="00590406" w:rsidRPr="00CF4E40" w:rsidRDefault="009B36BF" w:rsidP="00450443">
      <w:pPr>
        <w:pStyle w:val="ONUME"/>
        <w:rPr>
          <w:lang w:val="ru-RU"/>
        </w:rPr>
      </w:pPr>
      <w:r w:rsidRPr="005F0E0B">
        <w:rPr>
          <w:lang w:val="ru-RU"/>
        </w:rPr>
        <w:t xml:space="preserve">На предыдущей сессии Рабочей группы делегации </w:t>
      </w:r>
      <w:r w:rsidR="005F0E0B" w:rsidRPr="005F0E0B">
        <w:rPr>
          <w:lang w:val="ru-RU"/>
        </w:rPr>
        <w:t xml:space="preserve">отметили </w:t>
      </w:r>
      <w:r w:rsidRPr="005F0E0B">
        <w:rPr>
          <w:lang w:val="ru-RU"/>
        </w:rPr>
        <w:t xml:space="preserve">трудности, с которыми сталкиваются владельцы прав, </w:t>
      </w:r>
      <w:r w:rsidR="00E60954">
        <w:rPr>
          <w:lang w:val="ru-RU"/>
        </w:rPr>
        <w:t>указав</w:t>
      </w:r>
      <w:r w:rsidRPr="005F0E0B">
        <w:rPr>
          <w:lang w:val="ru-RU"/>
        </w:rPr>
        <w:t xml:space="preserve">, что они будут </w:t>
      </w:r>
      <w:r w:rsidR="005F0E0B" w:rsidRPr="005F0E0B">
        <w:rPr>
          <w:lang w:val="ru-RU"/>
        </w:rPr>
        <w:t>готовы обсудить возможность</w:t>
      </w:r>
      <w:r w:rsidRPr="009B36BF">
        <w:rPr>
          <w:highlight w:val="yellow"/>
          <w:lang w:val="ru-RU"/>
        </w:rPr>
        <w:t xml:space="preserve"> </w:t>
      </w:r>
      <w:r w:rsidRPr="005F0E0B">
        <w:rPr>
          <w:lang w:val="ru-RU"/>
        </w:rPr>
        <w:t xml:space="preserve">установления фиксированного или минимального срока </w:t>
      </w:r>
      <w:r w:rsidR="00E60954">
        <w:rPr>
          <w:lang w:val="ru-RU"/>
        </w:rPr>
        <w:t>для ответов</w:t>
      </w:r>
      <w:r w:rsidR="005F0E0B" w:rsidRPr="005F0E0B">
        <w:rPr>
          <w:lang w:val="ru-RU"/>
        </w:rPr>
        <w:t xml:space="preserve"> </w:t>
      </w:r>
      <w:r w:rsidRPr="005F0E0B">
        <w:rPr>
          <w:lang w:val="ru-RU"/>
        </w:rPr>
        <w:t xml:space="preserve">на </w:t>
      </w:r>
      <w:r w:rsidR="005F0E0B" w:rsidRPr="005F0E0B">
        <w:rPr>
          <w:lang w:val="ru-RU"/>
        </w:rPr>
        <w:t>уведомления о</w:t>
      </w:r>
      <w:r w:rsidR="005F0E0B">
        <w:rPr>
          <w:lang w:val="ru-RU"/>
        </w:rPr>
        <w:t> </w:t>
      </w:r>
      <w:r w:rsidR="005F0E0B" w:rsidRPr="005F0E0B">
        <w:rPr>
          <w:lang w:val="ru-RU"/>
        </w:rPr>
        <w:t>предварительном</w:t>
      </w:r>
      <w:r w:rsidRPr="005F0E0B">
        <w:rPr>
          <w:lang w:val="ru-RU"/>
        </w:rPr>
        <w:t xml:space="preserve"> </w:t>
      </w:r>
      <w:r w:rsidR="005F0E0B" w:rsidRPr="005F0E0B">
        <w:rPr>
          <w:lang w:val="ru-RU"/>
        </w:rPr>
        <w:t xml:space="preserve">отказе. </w:t>
      </w:r>
      <w:r w:rsidRPr="005F0E0B">
        <w:rPr>
          <w:lang w:val="ru-RU"/>
        </w:rPr>
        <w:t xml:space="preserve">Кроме того, многие делегации поддержали </w:t>
      </w:r>
      <w:r w:rsidR="005F0E0B" w:rsidRPr="005F0E0B">
        <w:rPr>
          <w:lang w:val="ru-RU"/>
        </w:rPr>
        <w:t xml:space="preserve">идею </w:t>
      </w:r>
      <w:r w:rsidR="00E60954">
        <w:rPr>
          <w:lang w:val="ru-RU"/>
        </w:rPr>
        <w:t xml:space="preserve">о </w:t>
      </w:r>
      <w:r w:rsidR="005F0E0B" w:rsidRPr="005F0E0B">
        <w:rPr>
          <w:lang w:val="ru-RU"/>
        </w:rPr>
        <w:t>необходимости</w:t>
      </w:r>
      <w:r w:rsidRPr="005F0E0B">
        <w:rPr>
          <w:lang w:val="ru-RU"/>
        </w:rPr>
        <w:t xml:space="preserve"> обеспечения </w:t>
      </w:r>
      <w:r w:rsidR="005F0E0B" w:rsidRPr="005F0E0B">
        <w:rPr>
          <w:lang w:val="ru-RU"/>
        </w:rPr>
        <w:t xml:space="preserve">единообразия </w:t>
      </w:r>
      <w:r w:rsidRPr="005F0E0B">
        <w:rPr>
          <w:lang w:val="ru-RU"/>
        </w:rPr>
        <w:t xml:space="preserve">при </w:t>
      </w:r>
      <w:r w:rsidR="005F0E0B" w:rsidRPr="005F0E0B">
        <w:rPr>
          <w:lang w:val="ru-RU"/>
        </w:rPr>
        <w:t xml:space="preserve">исчислении </w:t>
      </w:r>
      <w:r w:rsidRPr="005F0E0B">
        <w:rPr>
          <w:lang w:val="ru-RU"/>
        </w:rPr>
        <w:t xml:space="preserve">сроков, </w:t>
      </w:r>
      <w:r w:rsidR="00E60954">
        <w:rPr>
          <w:lang w:val="ru-RU"/>
        </w:rPr>
        <w:t>что уменьшило бы неопределенность</w:t>
      </w:r>
      <w:r w:rsidR="005F0E0B" w:rsidRPr="005F0E0B">
        <w:rPr>
          <w:lang w:val="ru-RU"/>
        </w:rPr>
        <w:t xml:space="preserve"> </w:t>
      </w:r>
      <w:r w:rsidRPr="005F0E0B">
        <w:rPr>
          <w:lang w:val="ru-RU"/>
        </w:rPr>
        <w:t xml:space="preserve">для </w:t>
      </w:r>
      <w:r w:rsidR="005F0E0B" w:rsidRPr="005F0E0B">
        <w:rPr>
          <w:lang w:val="ru-RU"/>
        </w:rPr>
        <w:t>владельцев</w:t>
      </w:r>
      <w:r w:rsidRPr="005F0E0B">
        <w:rPr>
          <w:lang w:val="ru-RU"/>
        </w:rPr>
        <w:t>.</w:t>
      </w:r>
    </w:p>
    <w:p w:rsidR="00590406" w:rsidRPr="00271835" w:rsidRDefault="009B36BF" w:rsidP="00450443">
      <w:pPr>
        <w:pStyle w:val="ONUME"/>
        <w:rPr>
          <w:lang w:val="ru-RU"/>
        </w:rPr>
      </w:pPr>
      <w:r w:rsidRPr="00CF4E40">
        <w:rPr>
          <w:lang w:val="ru-RU"/>
        </w:rPr>
        <w:t xml:space="preserve">Наличие фиксированного или минимального срока для ответа на </w:t>
      </w:r>
      <w:r w:rsidR="00CF4E40" w:rsidRPr="00CF4E40">
        <w:rPr>
          <w:lang w:val="ru-RU"/>
        </w:rPr>
        <w:t>уведомление о</w:t>
      </w:r>
      <w:r w:rsidR="00E60954">
        <w:rPr>
          <w:lang w:val="ru-RU"/>
        </w:rPr>
        <w:t> </w:t>
      </w:r>
      <w:r w:rsidR="00CF4E40" w:rsidRPr="00CF4E40">
        <w:rPr>
          <w:lang w:val="ru-RU"/>
        </w:rPr>
        <w:t>предварительном отказе</w:t>
      </w:r>
      <w:r w:rsidRPr="00CF4E40">
        <w:rPr>
          <w:lang w:val="ru-RU"/>
        </w:rPr>
        <w:t xml:space="preserve"> или </w:t>
      </w:r>
      <w:r w:rsidR="00CF4E40" w:rsidRPr="00CF4E40">
        <w:rPr>
          <w:lang w:val="ru-RU"/>
        </w:rPr>
        <w:t>унифицированного</w:t>
      </w:r>
      <w:r w:rsidRPr="00CF4E40">
        <w:rPr>
          <w:lang w:val="ru-RU"/>
        </w:rPr>
        <w:t xml:space="preserve"> способа исчисления таких сроков, или и то</w:t>
      </w:r>
      <w:r w:rsidR="00CF4E40" w:rsidRPr="00CF4E40">
        <w:rPr>
          <w:lang w:val="ru-RU"/>
        </w:rPr>
        <w:t>го, и другого</w:t>
      </w:r>
      <w:r w:rsidRPr="00CF4E40">
        <w:rPr>
          <w:lang w:val="ru-RU"/>
        </w:rPr>
        <w:t xml:space="preserve">, не окажет влияния на нынешнюю практику </w:t>
      </w:r>
      <w:r w:rsidR="00E60954" w:rsidRPr="00E60954">
        <w:rPr>
          <w:lang w:val="ru-RU"/>
        </w:rPr>
        <w:t>работ</w:t>
      </w:r>
      <w:r w:rsidR="00E60954">
        <w:rPr>
          <w:lang w:val="ru-RU"/>
        </w:rPr>
        <w:t xml:space="preserve">ы </w:t>
      </w:r>
      <w:r w:rsidRPr="00CF4E40">
        <w:rPr>
          <w:lang w:val="ru-RU"/>
        </w:rPr>
        <w:t xml:space="preserve">ведомств в </w:t>
      </w:r>
      <w:r w:rsidR="00CF4E40" w:rsidRPr="00CF4E40">
        <w:rPr>
          <w:lang w:val="ru-RU"/>
        </w:rPr>
        <w:t xml:space="preserve">части </w:t>
      </w:r>
      <w:r w:rsidR="00E60954" w:rsidRPr="00E60954">
        <w:rPr>
          <w:lang w:val="ru-RU"/>
        </w:rPr>
        <w:t>направлени</w:t>
      </w:r>
      <w:r w:rsidR="00E60954">
        <w:rPr>
          <w:lang w:val="ru-RU"/>
        </w:rPr>
        <w:t xml:space="preserve">я ими </w:t>
      </w:r>
      <w:r w:rsidR="00CF4E40" w:rsidRPr="00CF4E40">
        <w:rPr>
          <w:lang w:val="ru-RU"/>
        </w:rPr>
        <w:t>уведомлений</w:t>
      </w:r>
      <w:r w:rsidRPr="00CF4E40">
        <w:rPr>
          <w:lang w:val="ru-RU"/>
        </w:rPr>
        <w:t xml:space="preserve"> об </w:t>
      </w:r>
      <w:r w:rsidR="00CF4E40" w:rsidRPr="00CF4E40">
        <w:rPr>
          <w:lang w:val="ru-RU"/>
        </w:rPr>
        <w:t xml:space="preserve">их </w:t>
      </w:r>
      <w:r w:rsidRPr="00CF4E40">
        <w:rPr>
          <w:lang w:val="ru-RU"/>
        </w:rPr>
        <w:t>окончательном решении</w:t>
      </w:r>
      <w:r w:rsidR="00CF4E40" w:rsidRPr="00CF4E40">
        <w:rPr>
          <w:lang w:val="ru-RU"/>
        </w:rPr>
        <w:t xml:space="preserve">, предусмотренных </w:t>
      </w:r>
      <w:r w:rsidR="00E60954">
        <w:rPr>
          <w:lang w:val="ru-RU"/>
        </w:rPr>
        <w:t>правилами</w:t>
      </w:r>
      <w:r w:rsidRPr="00CF4E40">
        <w:rPr>
          <w:lang w:val="ru-RU"/>
        </w:rPr>
        <w:t xml:space="preserve"> 18</w:t>
      </w:r>
      <w:r w:rsidRPr="00CF4E40">
        <w:rPr>
          <w:i/>
        </w:rPr>
        <w:t>ter</w:t>
      </w:r>
      <w:r w:rsidR="00CF4E40" w:rsidRPr="00CF4E40">
        <w:rPr>
          <w:lang w:val="ru-RU"/>
        </w:rPr>
        <w:t>(2) или (3)</w:t>
      </w:r>
      <w:r w:rsidR="00E60954">
        <w:rPr>
          <w:lang w:val="ru-RU"/>
        </w:rPr>
        <w:t xml:space="preserve"> </w:t>
      </w:r>
      <w:r w:rsidR="00E60954" w:rsidRPr="00E60954">
        <w:rPr>
          <w:lang w:val="ru-RU"/>
        </w:rPr>
        <w:t>Инструкци</w:t>
      </w:r>
      <w:r w:rsidR="00E60954">
        <w:rPr>
          <w:lang w:val="ru-RU"/>
        </w:rPr>
        <w:t>и</w:t>
      </w:r>
      <w:r w:rsidR="00CF4E40" w:rsidRPr="00CF4E40">
        <w:rPr>
          <w:lang w:val="ru-RU"/>
        </w:rPr>
        <w:t xml:space="preserve">. </w:t>
      </w:r>
      <w:r w:rsidRPr="00CF4E40">
        <w:rPr>
          <w:lang w:val="ru-RU"/>
        </w:rPr>
        <w:t xml:space="preserve">После того, как </w:t>
      </w:r>
      <w:r w:rsidR="00CF4E40" w:rsidRPr="00CF4E40">
        <w:rPr>
          <w:lang w:val="ru-RU"/>
        </w:rPr>
        <w:t>владелец ответил на уведомление о предварительном отказе и выполнил</w:t>
      </w:r>
      <w:r w:rsidRPr="00CF4E40">
        <w:rPr>
          <w:lang w:val="ru-RU"/>
        </w:rPr>
        <w:t xml:space="preserve"> </w:t>
      </w:r>
      <w:r w:rsidR="00CF4E40" w:rsidRPr="00CF4E40">
        <w:rPr>
          <w:lang w:val="ru-RU"/>
        </w:rPr>
        <w:t>соответствующие требования, например, назначил</w:t>
      </w:r>
      <w:r w:rsidRPr="00CF4E40">
        <w:rPr>
          <w:lang w:val="ru-RU"/>
        </w:rPr>
        <w:t xml:space="preserve"> местного представителя, все дальнейшие </w:t>
      </w:r>
      <w:r w:rsidR="00CF4E40" w:rsidRPr="00CF4E40">
        <w:rPr>
          <w:lang w:val="ru-RU"/>
        </w:rPr>
        <w:t>процедуры</w:t>
      </w:r>
      <w:r w:rsidRPr="00CF4E40">
        <w:rPr>
          <w:lang w:val="ru-RU"/>
        </w:rPr>
        <w:t xml:space="preserve"> и сроки будут соответствовать применимому законодательству и практике. </w:t>
      </w:r>
    </w:p>
    <w:p w:rsidR="00590406" w:rsidRPr="004B53C4" w:rsidRDefault="00271835" w:rsidP="000A05F1">
      <w:pPr>
        <w:pStyle w:val="ONUME"/>
        <w:keepLines/>
        <w:rPr>
          <w:lang w:val="ru-RU"/>
        </w:rPr>
      </w:pPr>
      <w:r>
        <w:rPr>
          <w:lang w:val="ru-RU"/>
        </w:rPr>
        <w:lastRenderedPageBreak/>
        <w:t>Наличие фиксированного</w:t>
      </w:r>
      <w:r w:rsidR="009B36BF" w:rsidRPr="00271835">
        <w:rPr>
          <w:lang w:val="ru-RU"/>
        </w:rPr>
        <w:t xml:space="preserve"> срок</w:t>
      </w:r>
      <w:r>
        <w:rPr>
          <w:lang w:val="ru-RU"/>
        </w:rPr>
        <w:t>а, исчисляемого</w:t>
      </w:r>
      <w:r w:rsidR="009B36BF" w:rsidRPr="00271835">
        <w:rPr>
          <w:lang w:val="ru-RU"/>
        </w:rPr>
        <w:t xml:space="preserve"> с даты, </w:t>
      </w:r>
      <w:r w:rsidRPr="00271835">
        <w:rPr>
          <w:lang w:val="ru-RU"/>
        </w:rPr>
        <w:t>в которую</w:t>
      </w:r>
      <w:r w:rsidR="009B36BF" w:rsidRPr="00271835">
        <w:rPr>
          <w:lang w:val="ru-RU"/>
        </w:rPr>
        <w:t xml:space="preserve"> Международное бюро направляет </w:t>
      </w:r>
      <w:r w:rsidRPr="00271835">
        <w:rPr>
          <w:lang w:val="ru-RU"/>
        </w:rPr>
        <w:t>владельцу</w:t>
      </w:r>
      <w:r w:rsidR="009B36BF" w:rsidRPr="00271835">
        <w:rPr>
          <w:lang w:val="ru-RU"/>
        </w:rPr>
        <w:t xml:space="preserve"> уведомление о предварительном отказе</w:t>
      </w:r>
      <w:r w:rsidR="00E60954">
        <w:rPr>
          <w:lang w:val="ru-RU"/>
        </w:rPr>
        <w:t>, было бы удобным</w:t>
      </w:r>
      <w:r w:rsidRPr="00271835">
        <w:rPr>
          <w:lang w:val="ru-RU"/>
        </w:rPr>
        <w:t xml:space="preserve"> для всех участников. </w:t>
      </w:r>
      <w:r w:rsidR="009B36BF" w:rsidRPr="00271835">
        <w:rPr>
          <w:lang w:val="ru-RU"/>
        </w:rPr>
        <w:t>Такой подход облегчил бы владельцам управление своим</w:t>
      </w:r>
      <w:r w:rsidRPr="00271835">
        <w:rPr>
          <w:lang w:val="ru-RU"/>
        </w:rPr>
        <w:t>и портфелями</w:t>
      </w:r>
      <w:r w:rsidR="009B36BF" w:rsidRPr="00271835">
        <w:rPr>
          <w:lang w:val="ru-RU"/>
        </w:rPr>
        <w:t xml:space="preserve"> товарных знаков даже при получении нескольких предварительных отказов от указ</w:t>
      </w:r>
      <w:r w:rsidRPr="00271835">
        <w:rPr>
          <w:lang w:val="ru-RU"/>
        </w:rPr>
        <w:t xml:space="preserve">анных Договаривающихся сторон. </w:t>
      </w:r>
      <w:r w:rsidR="009B36BF" w:rsidRPr="00271835">
        <w:rPr>
          <w:lang w:val="ru-RU"/>
        </w:rPr>
        <w:t>Наличие</w:t>
      </w:r>
      <w:r w:rsidR="009B36BF" w:rsidRPr="00E60954">
        <w:rPr>
          <w:lang w:val="ru-RU"/>
        </w:rPr>
        <w:t xml:space="preserve"> </w:t>
      </w:r>
      <w:r w:rsidR="009B36BF" w:rsidRPr="00271835">
        <w:rPr>
          <w:lang w:val="ru-RU"/>
        </w:rPr>
        <w:t>фиксированного</w:t>
      </w:r>
      <w:r w:rsidR="009B36BF" w:rsidRPr="00E60954">
        <w:rPr>
          <w:lang w:val="ru-RU"/>
        </w:rPr>
        <w:t xml:space="preserve"> </w:t>
      </w:r>
      <w:r w:rsidR="009B36BF" w:rsidRPr="00271835">
        <w:rPr>
          <w:lang w:val="ru-RU"/>
        </w:rPr>
        <w:t>срока</w:t>
      </w:r>
      <w:r w:rsidR="009B36BF" w:rsidRPr="00E60954">
        <w:rPr>
          <w:lang w:val="ru-RU"/>
        </w:rPr>
        <w:t xml:space="preserve"> </w:t>
      </w:r>
      <w:r w:rsidR="009B36BF" w:rsidRPr="00271835">
        <w:rPr>
          <w:lang w:val="ru-RU"/>
        </w:rPr>
        <w:t>и</w:t>
      </w:r>
      <w:r w:rsidR="009B36BF" w:rsidRPr="00E60954">
        <w:rPr>
          <w:lang w:val="ru-RU"/>
        </w:rPr>
        <w:t xml:space="preserve"> </w:t>
      </w:r>
      <w:r w:rsidR="00E60954">
        <w:rPr>
          <w:lang w:val="ru-RU"/>
        </w:rPr>
        <w:t>единообразного</w:t>
      </w:r>
      <w:r w:rsidR="00E60954" w:rsidRPr="00E60954">
        <w:rPr>
          <w:lang w:val="ru-RU"/>
        </w:rPr>
        <w:t xml:space="preserve"> </w:t>
      </w:r>
      <w:r w:rsidRPr="00271835">
        <w:rPr>
          <w:lang w:val="ru-RU"/>
        </w:rPr>
        <w:t>порядка его исчисления</w:t>
      </w:r>
      <w:r w:rsidR="009B36BF" w:rsidRPr="00271835">
        <w:rPr>
          <w:lang w:val="ru-RU"/>
        </w:rPr>
        <w:t xml:space="preserve"> </w:t>
      </w:r>
      <w:r w:rsidRPr="00271835">
        <w:rPr>
          <w:lang w:val="ru-RU"/>
        </w:rPr>
        <w:t>было бы не только удобно для владельцев</w:t>
      </w:r>
      <w:r w:rsidR="009B36BF" w:rsidRPr="00271835">
        <w:rPr>
          <w:lang w:val="ru-RU"/>
        </w:rPr>
        <w:t xml:space="preserve">, </w:t>
      </w:r>
      <w:r w:rsidRPr="00271835">
        <w:rPr>
          <w:lang w:val="ru-RU"/>
        </w:rPr>
        <w:t>но и ставило бы</w:t>
      </w:r>
      <w:r w:rsidR="009B36BF" w:rsidRPr="00271835">
        <w:rPr>
          <w:lang w:val="ru-RU"/>
        </w:rPr>
        <w:t xml:space="preserve"> всех пользователей Мадридской системы в равные</w:t>
      </w:r>
      <w:r w:rsidRPr="00271835">
        <w:rPr>
          <w:lang w:val="ru-RU"/>
        </w:rPr>
        <w:t xml:space="preserve"> условия. Такой порядок был бы прозрачным</w:t>
      </w:r>
      <w:r w:rsidR="009B36BF" w:rsidRPr="00271835">
        <w:rPr>
          <w:lang w:val="ru-RU"/>
        </w:rPr>
        <w:t xml:space="preserve"> для всех </w:t>
      </w:r>
      <w:r w:rsidRPr="00271835">
        <w:rPr>
          <w:lang w:val="ru-RU"/>
        </w:rPr>
        <w:t>участников</w:t>
      </w:r>
      <w:r w:rsidR="009B36BF" w:rsidRPr="00271835">
        <w:rPr>
          <w:lang w:val="ru-RU"/>
        </w:rPr>
        <w:t>, поскольку уведомления о предварительном отказе имели бы один и тот же срок, а Международное бюро</w:t>
      </w:r>
      <w:r w:rsidRPr="00271835">
        <w:rPr>
          <w:lang w:val="ru-RU"/>
        </w:rPr>
        <w:t xml:space="preserve">, направляя уведомление владельцу, </w:t>
      </w:r>
      <w:r w:rsidR="009B36BF" w:rsidRPr="00271835">
        <w:rPr>
          <w:lang w:val="ru-RU"/>
        </w:rPr>
        <w:t>могло бы четко указыв</w:t>
      </w:r>
      <w:r w:rsidRPr="00271835">
        <w:rPr>
          <w:lang w:val="ru-RU"/>
        </w:rPr>
        <w:t>ать дату окончания этого срока</w:t>
      </w:r>
      <w:r w:rsidR="009B36BF" w:rsidRPr="00271835">
        <w:rPr>
          <w:lang w:val="ru-RU"/>
        </w:rPr>
        <w:t xml:space="preserve">. </w:t>
      </w:r>
    </w:p>
    <w:p w:rsidR="00590406" w:rsidRPr="00665B80" w:rsidRDefault="009B36BF" w:rsidP="001123EB">
      <w:pPr>
        <w:pStyle w:val="ONUME"/>
        <w:keepLines/>
        <w:rPr>
          <w:lang w:val="ru-RU"/>
        </w:rPr>
      </w:pPr>
      <w:r w:rsidRPr="00665B80">
        <w:rPr>
          <w:lang w:val="ru-RU"/>
        </w:rPr>
        <w:t xml:space="preserve">Ряд делегаций </w:t>
      </w:r>
      <w:r w:rsidR="00665B80">
        <w:rPr>
          <w:lang w:val="ru-RU"/>
        </w:rPr>
        <w:t xml:space="preserve">задали </w:t>
      </w:r>
      <w:r w:rsidRPr="00665B80">
        <w:rPr>
          <w:lang w:val="ru-RU"/>
        </w:rPr>
        <w:t>вопрос</w:t>
      </w:r>
      <w:r w:rsidR="00665B80" w:rsidRPr="00665B80">
        <w:rPr>
          <w:lang w:val="ru-RU"/>
        </w:rPr>
        <w:t xml:space="preserve"> о том</w:t>
      </w:r>
      <w:r w:rsidRPr="00665B80">
        <w:rPr>
          <w:lang w:val="ru-RU"/>
        </w:rPr>
        <w:t xml:space="preserve">, </w:t>
      </w:r>
      <w:r w:rsidR="00665B80" w:rsidRPr="00665B80">
        <w:rPr>
          <w:lang w:val="ru-RU"/>
        </w:rPr>
        <w:t xml:space="preserve">не </w:t>
      </w:r>
      <w:r w:rsidR="00E60954">
        <w:rPr>
          <w:lang w:val="ru-RU"/>
        </w:rPr>
        <w:t xml:space="preserve">поставит </w:t>
      </w:r>
      <w:r w:rsidRPr="00665B80">
        <w:rPr>
          <w:lang w:val="ru-RU"/>
        </w:rPr>
        <w:t xml:space="preserve">ли установление в Мадридской системе сроков, отличных от сроков, </w:t>
      </w:r>
      <w:r w:rsidR="00665B80" w:rsidRPr="00665B80">
        <w:rPr>
          <w:lang w:val="ru-RU"/>
        </w:rPr>
        <w:t xml:space="preserve">предусмотренных </w:t>
      </w:r>
      <w:r w:rsidRPr="00665B80">
        <w:rPr>
          <w:lang w:val="ru-RU"/>
        </w:rPr>
        <w:t xml:space="preserve">применимым законодательством, </w:t>
      </w:r>
      <w:r w:rsidR="00665B80" w:rsidRPr="00665B80">
        <w:rPr>
          <w:lang w:val="ru-RU"/>
        </w:rPr>
        <w:t>пользователей национальных или региональных систем</w:t>
      </w:r>
      <w:r w:rsidRPr="00665B80">
        <w:rPr>
          <w:lang w:val="ru-RU"/>
        </w:rPr>
        <w:t xml:space="preserve"> и пользователе</w:t>
      </w:r>
      <w:r w:rsidR="00665B80" w:rsidRPr="00665B80">
        <w:rPr>
          <w:lang w:val="ru-RU"/>
        </w:rPr>
        <w:t>й Мадридской системы</w:t>
      </w:r>
      <w:r w:rsidR="00E60954">
        <w:rPr>
          <w:lang w:val="ru-RU"/>
        </w:rPr>
        <w:t xml:space="preserve"> в разные </w:t>
      </w:r>
      <w:r w:rsidR="00E60954" w:rsidRPr="00E60954">
        <w:rPr>
          <w:lang w:val="ru-RU"/>
        </w:rPr>
        <w:t>услови</w:t>
      </w:r>
      <w:r w:rsidR="00E60954">
        <w:rPr>
          <w:lang w:val="ru-RU"/>
        </w:rPr>
        <w:t>я</w:t>
      </w:r>
      <w:r w:rsidR="00665B80" w:rsidRPr="00665B80">
        <w:rPr>
          <w:lang w:val="ru-RU"/>
        </w:rPr>
        <w:t xml:space="preserve">. </w:t>
      </w:r>
      <w:r w:rsidRPr="00665B80">
        <w:rPr>
          <w:lang w:val="ru-RU"/>
        </w:rPr>
        <w:t xml:space="preserve">Этого не произойдет; </w:t>
      </w:r>
      <w:r w:rsidR="00665B80" w:rsidRPr="00665B80">
        <w:rPr>
          <w:lang w:val="ru-RU"/>
        </w:rPr>
        <w:t xml:space="preserve">различие </w:t>
      </w:r>
      <w:r w:rsidRPr="00665B80">
        <w:rPr>
          <w:lang w:val="ru-RU"/>
        </w:rPr>
        <w:t>сроков не облегч</w:t>
      </w:r>
      <w:r w:rsidR="00E60954">
        <w:rPr>
          <w:lang w:val="ru-RU"/>
        </w:rPr>
        <w:t>ает получения</w:t>
      </w:r>
      <w:r w:rsidRPr="00665B80">
        <w:rPr>
          <w:lang w:val="ru-RU"/>
        </w:rPr>
        <w:t xml:space="preserve"> охраны</w:t>
      </w:r>
      <w:r w:rsidR="00665B80" w:rsidRPr="00665B80">
        <w:rPr>
          <w:lang w:val="ru-RU"/>
        </w:rPr>
        <w:t xml:space="preserve"> пользователями Мадридской системы </w:t>
      </w:r>
      <w:r w:rsidR="00665B80" w:rsidRPr="00665B80">
        <w:rPr>
          <w:rFonts w:eastAsia="+mn-ea"/>
          <w:lang w:val="ru-RU" w:eastAsia="en-US"/>
        </w:rPr>
        <w:t>–</w:t>
      </w:r>
      <w:r w:rsidR="00665B80" w:rsidRPr="00665B80">
        <w:rPr>
          <w:lang w:val="ru-RU"/>
        </w:rPr>
        <w:t xml:space="preserve"> оно </w:t>
      </w:r>
      <w:r w:rsidRPr="00665B80">
        <w:rPr>
          <w:lang w:val="ru-RU"/>
        </w:rPr>
        <w:t>лишь обеспечи</w:t>
      </w:r>
      <w:r w:rsidR="00E60954">
        <w:rPr>
          <w:lang w:val="ru-RU"/>
        </w:rPr>
        <w:t>вае</w:t>
      </w:r>
      <w:r w:rsidRPr="00665B80">
        <w:rPr>
          <w:lang w:val="ru-RU"/>
        </w:rPr>
        <w:t xml:space="preserve">т </w:t>
      </w:r>
      <w:r w:rsidR="00665B80" w:rsidRPr="00665B80">
        <w:rPr>
          <w:lang w:val="ru-RU"/>
        </w:rPr>
        <w:t xml:space="preserve">наличие у </w:t>
      </w:r>
      <w:r w:rsidRPr="00665B80">
        <w:rPr>
          <w:lang w:val="ru-RU"/>
        </w:rPr>
        <w:t>прав</w:t>
      </w:r>
      <w:r w:rsidR="00665B80" w:rsidRPr="00665B80">
        <w:rPr>
          <w:lang w:val="ru-RU"/>
        </w:rPr>
        <w:t>ообладателей, использующих возможности Мадридской системы, достаточного времени для назначения местных</w:t>
      </w:r>
      <w:r w:rsidRPr="00665B80">
        <w:rPr>
          <w:lang w:val="ru-RU"/>
        </w:rPr>
        <w:t xml:space="preserve"> п</w:t>
      </w:r>
      <w:r w:rsidR="00665B80" w:rsidRPr="00665B80">
        <w:rPr>
          <w:lang w:val="ru-RU"/>
        </w:rPr>
        <w:t>оверенных для оспаривания отказов.</w:t>
      </w:r>
    </w:p>
    <w:p w:rsidR="00590406" w:rsidRPr="00FB6012" w:rsidRDefault="009B36BF" w:rsidP="00F01E48">
      <w:pPr>
        <w:pStyle w:val="ONUME"/>
        <w:rPr>
          <w:lang w:val="ru-RU"/>
        </w:rPr>
      </w:pPr>
      <w:r w:rsidRPr="00665B80">
        <w:rPr>
          <w:lang w:val="ru-RU"/>
        </w:rPr>
        <w:t xml:space="preserve">Необходимые меры, </w:t>
      </w:r>
      <w:r w:rsidR="00665B80" w:rsidRPr="00665B80">
        <w:rPr>
          <w:lang w:val="ru-RU"/>
        </w:rPr>
        <w:t>которые были приняты</w:t>
      </w:r>
      <w:r w:rsidRPr="00665B80">
        <w:rPr>
          <w:lang w:val="ru-RU"/>
        </w:rPr>
        <w:t xml:space="preserve"> во время пандемии </w:t>
      </w:r>
      <w:r w:rsidR="00665B80" w:rsidRPr="00665B80">
        <w:t>COVID</w:t>
      </w:r>
      <w:r w:rsidRPr="00665B80">
        <w:rPr>
          <w:lang w:val="ru-RU"/>
        </w:rPr>
        <w:t xml:space="preserve">-19, </w:t>
      </w:r>
      <w:r w:rsidR="00665B80" w:rsidRPr="00665B80">
        <w:rPr>
          <w:lang w:val="ru-RU"/>
        </w:rPr>
        <w:t>приведшие</w:t>
      </w:r>
      <w:r w:rsidRPr="00665B80">
        <w:rPr>
          <w:lang w:val="ru-RU"/>
        </w:rPr>
        <w:t xml:space="preserve"> к закрытию некоторых </w:t>
      </w:r>
      <w:r w:rsidR="00665B80" w:rsidRPr="00665B80">
        <w:rPr>
          <w:lang w:val="ru-RU"/>
        </w:rPr>
        <w:t>ведомств и перерывам в работе почты</w:t>
      </w:r>
      <w:r w:rsidRPr="00665B80">
        <w:rPr>
          <w:lang w:val="ru-RU"/>
        </w:rPr>
        <w:t xml:space="preserve">, </w:t>
      </w:r>
      <w:r w:rsidR="00665B80" w:rsidRPr="00665B80">
        <w:rPr>
          <w:lang w:val="ru-RU"/>
        </w:rPr>
        <w:t xml:space="preserve">сделали более очевидными значение </w:t>
      </w:r>
      <w:r w:rsidRPr="00665B80">
        <w:rPr>
          <w:lang w:val="ru-RU"/>
        </w:rPr>
        <w:t xml:space="preserve">и необходимость </w:t>
      </w:r>
      <w:r w:rsidR="00665B80" w:rsidRPr="00665B80">
        <w:rPr>
          <w:lang w:val="ru-RU"/>
        </w:rPr>
        <w:t>электронной связи М</w:t>
      </w:r>
      <w:r w:rsidR="00665B80" w:rsidRPr="00FB6012">
        <w:rPr>
          <w:lang w:val="ru-RU"/>
        </w:rPr>
        <w:t>еждународного бюро с</w:t>
      </w:r>
      <w:r w:rsidR="00E60954">
        <w:rPr>
          <w:lang w:val="ru-RU"/>
        </w:rPr>
        <w:t> </w:t>
      </w:r>
      <w:r w:rsidRPr="00FB6012">
        <w:rPr>
          <w:lang w:val="ru-RU"/>
        </w:rPr>
        <w:t>пользователями</w:t>
      </w:r>
      <w:r w:rsidR="00665B80" w:rsidRPr="00FB6012">
        <w:rPr>
          <w:lang w:val="ru-RU"/>
        </w:rPr>
        <w:t xml:space="preserve"> его </w:t>
      </w:r>
      <w:r w:rsidR="00665B80" w:rsidRPr="00FB6012">
        <w:rPr>
          <w:snapToGrid w:val="0"/>
          <w:lang w:val="ru-RU"/>
        </w:rPr>
        <w:t>услуг,</w:t>
      </w:r>
      <w:r w:rsidRPr="00FB6012">
        <w:rPr>
          <w:lang w:val="ru-RU"/>
        </w:rPr>
        <w:t xml:space="preserve"> ведомствами, заявителями, владельцами и представителями. Таким образом, если бы Рабочая группа </w:t>
      </w:r>
      <w:r w:rsidR="00665B80" w:rsidRPr="00FB6012">
        <w:rPr>
          <w:lang w:val="ru-RU"/>
        </w:rPr>
        <w:t>пришла к единому мнению о</w:t>
      </w:r>
      <w:r w:rsidR="00E60954">
        <w:rPr>
          <w:lang w:val="ru-RU"/>
        </w:rPr>
        <w:t> </w:t>
      </w:r>
      <w:r w:rsidR="00665B80" w:rsidRPr="00FB6012">
        <w:rPr>
          <w:lang w:val="ru-RU"/>
        </w:rPr>
        <w:t xml:space="preserve">том, что обмен </w:t>
      </w:r>
      <w:r w:rsidRPr="00FB6012">
        <w:rPr>
          <w:lang w:val="ru-RU"/>
        </w:rPr>
        <w:t>все</w:t>
      </w:r>
      <w:r w:rsidR="00665B80" w:rsidRPr="00FB6012">
        <w:rPr>
          <w:lang w:val="ru-RU"/>
        </w:rPr>
        <w:t>ми</w:t>
      </w:r>
      <w:r w:rsidRPr="00FB6012">
        <w:rPr>
          <w:lang w:val="ru-RU"/>
        </w:rPr>
        <w:t xml:space="preserve"> сообщения</w:t>
      </w:r>
      <w:r w:rsidR="00665B80" w:rsidRPr="00FB6012">
        <w:rPr>
          <w:lang w:val="ru-RU"/>
        </w:rPr>
        <w:t>ми</w:t>
      </w:r>
      <w:r w:rsidRPr="00FB6012">
        <w:rPr>
          <w:lang w:val="ru-RU"/>
        </w:rPr>
        <w:t xml:space="preserve"> в рамках Мадридской системы долж</w:t>
      </w:r>
      <w:r w:rsidR="00665B80" w:rsidRPr="00FB6012">
        <w:rPr>
          <w:lang w:val="ru-RU"/>
        </w:rPr>
        <w:t>е</w:t>
      </w:r>
      <w:r w:rsidRPr="00FB6012">
        <w:rPr>
          <w:lang w:val="ru-RU"/>
        </w:rPr>
        <w:t xml:space="preserve">н </w:t>
      </w:r>
      <w:r w:rsidR="00665B80" w:rsidRPr="00FB6012">
        <w:rPr>
          <w:lang w:val="ru-RU"/>
        </w:rPr>
        <w:t>осуществляться электронным образом,</w:t>
      </w:r>
      <w:r w:rsidRPr="00FB6012">
        <w:rPr>
          <w:lang w:val="ru-RU"/>
        </w:rPr>
        <w:t xml:space="preserve"> </w:t>
      </w:r>
      <w:r w:rsidR="00665B80" w:rsidRPr="00FB6012">
        <w:rPr>
          <w:lang w:val="ru-RU"/>
        </w:rPr>
        <w:t xml:space="preserve">это стало бы </w:t>
      </w:r>
      <w:r w:rsidR="00FB6012" w:rsidRPr="00FB6012">
        <w:rPr>
          <w:lang w:val="ru-RU"/>
        </w:rPr>
        <w:t xml:space="preserve">крайне важным </w:t>
      </w:r>
      <w:r w:rsidR="00665B80" w:rsidRPr="00FB6012">
        <w:rPr>
          <w:lang w:val="ru-RU"/>
        </w:rPr>
        <w:t>позитивным сдвигом</w:t>
      </w:r>
      <w:r w:rsidR="00F01E48" w:rsidRPr="00FB6012">
        <w:rPr>
          <w:vertAlign w:val="superscript"/>
        </w:rPr>
        <w:fldChar w:fldCharType="begin"/>
      </w:r>
      <w:r w:rsidR="00F01E48" w:rsidRPr="00FB6012">
        <w:rPr>
          <w:vertAlign w:val="superscript"/>
          <w:lang w:val="ru-RU"/>
        </w:rPr>
        <w:instrText xml:space="preserve"> </w:instrText>
      </w:r>
      <w:r w:rsidR="00F01E48" w:rsidRPr="00FB6012">
        <w:rPr>
          <w:vertAlign w:val="superscript"/>
        </w:rPr>
        <w:instrText>NOTEREF</w:instrText>
      </w:r>
      <w:r w:rsidR="00F01E48" w:rsidRPr="00FB6012">
        <w:rPr>
          <w:vertAlign w:val="superscript"/>
          <w:lang w:val="ru-RU"/>
        </w:rPr>
        <w:instrText xml:space="preserve"> _</w:instrText>
      </w:r>
      <w:r w:rsidR="00F01E48" w:rsidRPr="00FB6012">
        <w:rPr>
          <w:vertAlign w:val="superscript"/>
        </w:rPr>
        <w:instrText>Ref</w:instrText>
      </w:r>
      <w:r w:rsidR="00F01E48" w:rsidRPr="00FB6012">
        <w:rPr>
          <w:vertAlign w:val="superscript"/>
          <w:lang w:val="ru-RU"/>
        </w:rPr>
        <w:instrText>46839465 \</w:instrText>
      </w:r>
      <w:r w:rsidR="00F01E48" w:rsidRPr="00FB6012">
        <w:rPr>
          <w:vertAlign w:val="superscript"/>
        </w:rPr>
        <w:instrText>h</w:instrText>
      </w:r>
      <w:r w:rsidR="00F01E48" w:rsidRPr="00FB6012">
        <w:rPr>
          <w:vertAlign w:val="superscript"/>
          <w:lang w:val="ru-RU"/>
        </w:rPr>
        <w:instrText xml:space="preserve">  \* </w:instrText>
      </w:r>
      <w:r w:rsidR="00F01E48" w:rsidRPr="00FB6012">
        <w:rPr>
          <w:vertAlign w:val="superscript"/>
        </w:rPr>
        <w:instrText>MERGEFORMAT</w:instrText>
      </w:r>
      <w:r w:rsidR="00F01E48" w:rsidRPr="00FB6012">
        <w:rPr>
          <w:vertAlign w:val="superscript"/>
          <w:lang w:val="ru-RU"/>
        </w:rPr>
        <w:instrText xml:space="preserve"> </w:instrText>
      </w:r>
      <w:r w:rsidR="00F01E48" w:rsidRPr="00FB6012">
        <w:rPr>
          <w:vertAlign w:val="superscript"/>
        </w:rPr>
      </w:r>
      <w:r w:rsidR="00F01E48" w:rsidRPr="00FB6012">
        <w:rPr>
          <w:vertAlign w:val="superscript"/>
        </w:rPr>
        <w:fldChar w:fldCharType="separate"/>
      </w:r>
      <w:r w:rsidR="006F2DD9" w:rsidRPr="006F2DD9">
        <w:rPr>
          <w:vertAlign w:val="superscript"/>
          <w:lang w:val="ru-RU"/>
        </w:rPr>
        <w:t>1</w:t>
      </w:r>
      <w:r w:rsidR="00F01E48" w:rsidRPr="00FB6012">
        <w:rPr>
          <w:vertAlign w:val="superscript"/>
        </w:rPr>
        <w:fldChar w:fldCharType="end"/>
      </w:r>
      <w:r w:rsidR="00590406" w:rsidRPr="00FB6012">
        <w:rPr>
          <w:lang w:val="ru-RU"/>
        </w:rPr>
        <w:t>.</w:t>
      </w:r>
    </w:p>
    <w:p w:rsidR="00590406" w:rsidRPr="001F1D0C" w:rsidRDefault="009B36BF" w:rsidP="00C42528">
      <w:pPr>
        <w:pStyle w:val="Heading1"/>
      </w:pPr>
      <w:r w:rsidRPr="00FB6012">
        <w:t>СРОКИ И ИХ ИСЧИСЛЕНИЕ</w:t>
      </w:r>
    </w:p>
    <w:p w:rsidR="00590406" w:rsidRPr="00E60954" w:rsidRDefault="009B36BF" w:rsidP="00F01E48">
      <w:pPr>
        <w:pStyle w:val="ONUME"/>
        <w:rPr>
          <w:lang w:val="ru-RU"/>
        </w:rPr>
      </w:pPr>
      <w:r w:rsidRPr="001F1D0C">
        <w:rPr>
          <w:lang w:val="ru-RU"/>
        </w:rPr>
        <w:t xml:space="preserve">Сроки </w:t>
      </w:r>
      <w:r w:rsidR="001F1D0C" w:rsidRPr="001F1D0C">
        <w:rPr>
          <w:lang w:val="ru-RU"/>
        </w:rPr>
        <w:t xml:space="preserve">ответа </w:t>
      </w:r>
      <w:r w:rsidRPr="001F1D0C">
        <w:rPr>
          <w:lang w:val="ru-RU"/>
        </w:rPr>
        <w:t xml:space="preserve">на </w:t>
      </w:r>
      <w:r w:rsidR="001F1D0C" w:rsidRPr="001F1D0C">
        <w:rPr>
          <w:lang w:val="ru-RU"/>
        </w:rPr>
        <w:t>уведомления о предварительном отказе, а также различия в</w:t>
      </w:r>
      <w:r w:rsidR="00E60954">
        <w:rPr>
          <w:lang w:val="ru-RU"/>
        </w:rPr>
        <w:t> </w:t>
      </w:r>
      <w:r w:rsidR="001F1D0C" w:rsidRPr="001F1D0C">
        <w:rPr>
          <w:lang w:val="ru-RU"/>
        </w:rPr>
        <w:t>способах</w:t>
      </w:r>
      <w:r w:rsidRPr="001F1D0C">
        <w:rPr>
          <w:lang w:val="ru-RU"/>
        </w:rPr>
        <w:t xml:space="preserve"> их исчисления</w:t>
      </w:r>
      <w:r w:rsidR="001F1D0C" w:rsidRPr="001F1D0C">
        <w:rPr>
          <w:lang w:val="ru-RU"/>
        </w:rPr>
        <w:t xml:space="preserve"> разными</w:t>
      </w:r>
      <w:r w:rsidRPr="001F1D0C">
        <w:rPr>
          <w:lang w:val="ru-RU"/>
        </w:rPr>
        <w:t xml:space="preserve"> Договаривающимися сторонами</w:t>
      </w:r>
      <w:r w:rsidR="001F1D0C" w:rsidRPr="001F1D0C">
        <w:rPr>
          <w:lang w:val="ru-RU"/>
        </w:rPr>
        <w:t>,</w:t>
      </w:r>
      <w:r w:rsidRPr="001F1D0C">
        <w:rPr>
          <w:lang w:val="ru-RU"/>
        </w:rPr>
        <w:t xml:space="preserve"> существенно влияют на время, </w:t>
      </w:r>
      <w:r w:rsidR="001F1D0C" w:rsidRPr="001F1D0C">
        <w:rPr>
          <w:lang w:val="ru-RU"/>
        </w:rPr>
        <w:t xml:space="preserve">которым </w:t>
      </w:r>
      <w:r w:rsidR="001F1D0C" w:rsidRPr="001F1D0C">
        <w:rPr>
          <w:lang w:val="ru-RU" w:eastAsia="en-US"/>
        </w:rPr>
        <w:t>располага</w:t>
      </w:r>
      <w:r w:rsidR="001F1D0C" w:rsidRPr="001F1D0C">
        <w:rPr>
          <w:lang w:val="ru-RU"/>
        </w:rPr>
        <w:t>ет владелец</w:t>
      </w:r>
      <w:r w:rsidRPr="001F1D0C">
        <w:rPr>
          <w:lang w:val="ru-RU"/>
        </w:rPr>
        <w:t xml:space="preserve"> для ответа на уведомл</w:t>
      </w:r>
      <w:r w:rsidR="001F1D0C" w:rsidRPr="001F1D0C">
        <w:rPr>
          <w:lang w:val="ru-RU"/>
        </w:rPr>
        <w:t xml:space="preserve">ение о предварительном отказе. </w:t>
      </w:r>
      <w:r w:rsidRPr="001F1D0C">
        <w:rPr>
          <w:lang w:val="ru-RU"/>
        </w:rPr>
        <w:t xml:space="preserve">Поэтому эти вопросы целесообразно обсуждать вместе, а не </w:t>
      </w:r>
      <w:r w:rsidR="00E60954">
        <w:rPr>
          <w:lang w:val="ru-RU"/>
        </w:rPr>
        <w:t>по отдельности</w:t>
      </w:r>
      <w:r w:rsidRPr="001F1D0C">
        <w:rPr>
          <w:lang w:val="ru-RU"/>
        </w:rPr>
        <w:t xml:space="preserve">. </w:t>
      </w:r>
    </w:p>
    <w:p w:rsidR="00590406" w:rsidRPr="001F1D0C" w:rsidRDefault="009B36BF" w:rsidP="00C32CDE">
      <w:pPr>
        <w:pStyle w:val="ONUME"/>
        <w:rPr>
          <w:lang w:val="ru-RU"/>
        </w:rPr>
      </w:pPr>
      <w:r w:rsidRPr="001F1D0C">
        <w:rPr>
          <w:lang w:val="ru-RU"/>
        </w:rPr>
        <w:t>Результаты опроса, проведенного Международным бюро и представленного на Круглом столе Рабочей группы в 2014 г</w:t>
      </w:r>
      <w:r w:rsidR="001F1D0C" w:rsidRPr="001F1D0C">
        <w:rPr>
          <w:lang w:val="ru-RU"/>
        </w:rPr>
        <w:t>.</w:t>
      </w:r>
      <w:r w:rsidR="001F1D0C" w:rsidRPr="001F1D0C">
        <w:rPr>
          <w:vertAlign w:val="superscript"/>
        </w:rPr>
        <w:footnoteReference w:id="3"/>
      </w:r>
      <w:r w:rsidR="001F1D0C" w:rsidRPr="001F1D0C">
        <w:rPr>
          <w:lang w:val="ru-RU"/>
        </w:rPr>
        <w:t xml:space="preserve"> </w:t>
      </w:r>
      <w:r w:rsidRPr="001F1D0C">
        <w:rPr>
          <w:lang w:val="ru-RU"/>
        </w:rPr>
        <w:t xml:space="preserve">(далее </w:t>
      </w:r>
      <w:r w:rsidR="001F1D0C" w:rsidRPr="001F1D0C">
        <w:rPr>
          <w:rFonts w:eastAsia="+mn-ea"/>
          <w:lang w:val="ru-RU" w:eastAsia="en-US"/>
        </w:rPr>
        <w:t>–</w:t>
      </w:r>
      <w:r w:rsidR="001F1D0C" w:rsidRPr="001F1D0C">
        <w:rPr>
          <w:lang w:val="ru-RU"/>
        </w:rPr>
        <w:t xml:space="preserve"> «О</w:t>
      </w:r>
      <w:r w:rsidRPr="001F1D0C">
        <w:rPr>
          <w:lang w:val="ru-RU"/>
        </w:rPr>
        <w:t>прос</w:t>
      </w:r>
      <w:r w:rsidR="001F1D0C" w:rsidRPr="001F1D0C">
        <w:rPr>
          <w:lang w:val="ru-RU"/>
        </w:rPr>
        <w:t>»</w:t>
      </w:r>
      <w:r w:rsidRPr="001F1D0C">
        <w:rPr>
          <w:lang w:val="ru-RU"/>
        </w:rPr>
        <w:t>), показал</w:t>
      </w:r>
      <w:r w:rsidR="001F1D0C" w:rsidRPr="001F1D0C">
        <w:rPr>
          <w:lang w:val="ru-RU"/>
        </w:rPr>
        <w:t>и очень большой разброс сроков</w:t>
      </w:r>
      <w:r w:rsidR="00E60954">
        <w:rPr>
          <w:lang w:val="ru-RU"/>
        </w:rPr>
        <w:t xml:space="preserve"> </w:t>
      </w:r>
      <w:r w:rsidR="00E60954" w:rsidRPr="00E60954">
        <w:rPr>
          <w:rFonts w:eastAsia="+mn-ea"/>
          <w:lang w:val="ru-RU" w:eastAsia="en-US"/>
        </w:rPr>
        <w:t>–</w:t>
      </w:r>
      <w:r w:rsidR="00E60954" w:rsidRPr="001F1D0C">
        <w:rPr>
          <w:lang w:val="ru-RU"/>
        </w:rPr>
        <w:t>от 15 дней до 15 месяцев</w:t>
      </w:r>
      <w:r w:rsidR="00E60954">
        <w:rPr>
          <w:lang w:val="ru-RU"/>
        </w:rPr>
        <w:t xml:space="preserve"> </w:t>
      </w:r>
      <w:r w:rsidR="00E60954" w:rsidRPr="00E60954">
        <w:rPr>
          <w:rFonts w:eastAsia="+mn-ea"/>
          <w:lang w:val="ru-RU" w:eastAsia="en-US"/>
        </w:rPr>
        <w:t>–</w:t>
      </w:r>
      <w:r w:rsidR="00E60954">
        <w:rPr>
          <w:lang w:val="ru-RU"/>
        </w:rPr>
        <w:t xml:space="preserve"> </w:t>
      </w:r>
      <w:r w:rsidR="001F1D0C" w:rsidRPr="001F1D0C">
        <w:rPr>
          <w:lang w:val="ru-RU"/>
        </w:rPr>
        <w:t xml:space="preserve">которые даются </w:t>
      </w:r>
      <w:r w:rsidRPr="001F1D0C">
        <w:rPr>
          <w:lang w:val="ru-RU"/>
        </w:rPr>
        <w:t>ведомствами До</w:t>
      </w:r>
      <w:r w:rsidR="001F1D0C" w:rsidRPr="001F1D0C">
        <w:rPr>
          <w:lang w:val="ru-RU"/>
        </w:rPr>
        <w:t>говаривающихся сторон для ответов</w:t>
      </w:r>
      <w:r w:rsidRPr="001F1D0C">
        <w:rPr>
          <w:lang w:val="ru-RU"/>
        </w:rPr>
        <w:t xml:space="preserve"> на</w:t>
      </w:r>
      <w:r w:rsidR="00E60954">
        <w:rPr>
          <w:lang w:val="ru-RU"/>
        </w:rPr>
        <w:t> </w:t>
      </w:r>
      <w:r w:rsidR="001F1D0C" w:rsidRPr="001F1D0C">
        <w:rPr>
          <w:lang w:val="ru-RU"/>
        </w:rPr>
        <w:t xml:space="preserve">уведомления </w:t>
      </w:r>
      <w:r w:rsidR="00E60954">
        <w:rPr>
          <w:lang w:val="ru-RU"/>
        </w:rPr>
        <w:t>о предварительном</w:t>
      </w:r>
      <w:r w:rsidRPr="001F1D0C">
        <w:rPr>
          <w:lang w:val="ru-RU"/>
        </w:rPr>
        <w:t xml:space="preserve"> отказ</w:t>
      </w:r>
      <w:r w:rsidR="00E60954">
        <w:rPr>
          <w:lang w:val="ru-RU"/>
        </w:rPr>
        <w:t>е</w:t>
      </w:r>
      <w:r w:rsidR="001F1D0C" w:rsidRPr="001F1D0C">
        <w:rPr>
          <w:lang w:val="ru-RU"/>
        </w:rPr>
        <w:t xml:space="preserve">. </w:t>
      </w:r>
      <w:r w:rsidRPr="001F1D0C">
        <w:rPr>
          <w:lang w:val="ru-RU"/>
        </w:rPr>
        <w:t>Кроме того, обследование показало, что Договаривающиеся стороны и</w:t>
      </w:r>
      <w:r w:rsidR="00E60954">
        <w:rPr>
          <w:lang w:val="ru-RU"/>
        </w:rPr>
        <w:t xml:space="preserve">счисляют эти сроки по-разному. </w:t>
      </w:r>
      <w:r w:rsidRPr="001F1D0C">
        <w:rPr>
          <w:lang w:val="ru-RU"/>
        </w:rPr>
        <w:t xml:space="preserve">Документ </w:t>
      </w:r>
      <w:r w:rsidRPr="001F1D0C">
        <w:t>MM</w:t>
      </w:r>
      <w:r w:rsidRPr="001F1D0C">
        <w:rPr>
          <w:lang w:val="ru-RU"/>
        </w:rPr>
        <w:t>/</w:t>
      </w:r>
      <w:r w:rsidRPr="001F1D0C">
        <w:t>LD</w:t>
      </w:r>
      <w:r w:rsidRPr="001F1D0C">
        <w:rPr>
          <w:lang w:val="ru-RU"/>
        </w:rPr>
        <w:t>/</w:t>
      </w:r>
      <w:r w:rsidRPr="001F1D0C">
        <w:t>WG</w:t>
      </w:r>
      <w:r w:rsidRPr="001F1D0C">
        <w:rPr>
          <w:lang w:val="ru-RU"/>
        </w:rPr>
        <w:t xml:space="preserve">/17/5, и в частности пункт 19 этого документа, иллюстрирует практические трудности, с которыми сталкиваются </w:t>
      </w:r>
      <w:r w:rsidR="001F1D0C" w:rsidRPr="001F1D0C">
        <w:rPr>
          <w:lang w:val="ru-RU"/>
        </w:rPr>
        <w:t>владельцы</w:t>
      </w:r>
      <w:r w:rsidRPr="001F1D0C">
        <w:rPr>
          <w:lang w:val="ru-RU"/>
        </w:rPr>
        <w:t xml:space="preserve"> при получении </w:t>
      </w:r>
      <w:r w:rsidR="001F1D0C" w:rsidRPr="001F1D0C">
        <w:rPr>
          <w:lang w:val="ru-RU"/>
        </w:rPr>
        <w:t xml:space="preserve">нескольких </w:t>
      </w:r>
      <w:r w:rsidRPr="001F1D0C">
        <w:rPr>
          <w:lang w:val="ru-RU"/>
        </w:rPr>
        <w:t>уведомлений о предварительных</w:t>
      </w:r>
      <w:r w:rsidR="001F1D0C" w:rsidRPr="001F1D0C">
        <w:rPr>
          <w:lang w:val="ru-RU"/>
        </w:rPr>
        <w:t xml:space="preserve"> отказах</w:t>
      </w:r>
      <w:r w:rsidR="001F1D0C" w:rsidRPr="001F1D0C">
        <w:rPr>
          <w:vertAlign w:val="superscript"/>
        </w:rPr>
        <w:footnoteReference w:id="4"/>
      </w:r>
      <w:r w:rsidRPr="001F1D0C">
        <w:rPr>
          <w:lang w:val="ru-RU"/>
        </w:rPr>
        <w:t>.</w:t>
      </w:r>
    </w:p>
    <w:p w:rsidR="00590406" w:rsidRPr="00DE28E9" w:rsidRDefault="009B36BF" w:rsidP="001123EB">
      <w:pPr>
        <w:pStyle w:val="ONUME"/>
        <w:rPr>
          <w:lang w:val="ru-RU"/>
        </w:rPr>
      </w:pPr>
      <w:bookmarkStart w:id="7" w:name="_Ref5781685"/>
      <w:r w:rsidRPr="001F1D0C">
        <w:rPr>
          <w:lang w:val="ru-RU"/>
        </w:rPr>
        <w:t>Правило 17 (2) (</w:t>
      </w:r>
      <w:r w:rsidRPr="001F1D0C">
        <w:t>vii</w:t>
      </w:r>
      <w:r w:rsidRPr="001F1D0C">
        <w:rPr>
          <w:lang w:val="ru-RU"/>
        </w:rPr>
        <w:t xml:space="preserve">) </w:t>
      </w:r>
      <w:r w:rsidR="001F1D0C" w:rsidRPr="001F1D0C">
        <w:rPr>
          <w:lang w:val="ru-RU"/>
        </w:rPr>
        <w:t>Инструкции</w:t>
      </w:r>
      <w:r w:rsidRPr="001F1D0C">
        <w:rPr>
          <w:lang w:val="ru-RU"/>
        </w:rPr>
        <w:t xml:space="preserve"> гласит, что срок ответа на </w:t>
      </w:r>
      <w:r w:rsidR="00EC344F" w:rsidRPr="001F1D0C">
        <w:rPr>
          <w:lang w:val="ru-RU"/>
        </w:rPr>
        <w:t>предварительн</w:t>
      </w:r>
      <w:r w:rsidR="001F1D0C" w:rsidRPr="001F1D0C">
        <w:rPr>
          <w:lang w:val="ru-RU"/>
        </w:rPr>
        <w:t>ый отказ должен быть</w:t>
      </w:r>
      <w:r w:rsidR="001F1D0C" w:rsidRPr="00C21B45">
        <w:rPr>
          <w:lang w:val="ru-RU"/>
        </w:rPr>
        <w:t xml:space="preserve"> «</w:t>
      </w:r>
      <w:r w:rsidRPr="00C21B45">
        <w:rPr>
          <w:lang w:val="ru-RU"/>
        </w:rPr>
        <w:t>разумным при данных обстоятельствах</w:t>
      </w:r>
      <w:r w:rsidR="001F1D0C" w:rsidRPr="00C21B45">
        <w:rPr>
          <w:lang w:val="ru-RU"/>
        </w:rPr>
        <w:t>»</w:t>
      </w:r>
      <w:r w:rsidRPr="00C21B45">
        <w:rPr>
          <w:lang w:val="ru-RU"/>
        </w:rPr>
        <w:t xml:space="preserve">. Хотя </w:t>
      </w:r>
      <w:r w:rsidR="001F1D0C" w:rsidRPr="00C21B45">
        <w:rPr>
          <w:lang w:val="ru-RU"/>
        </w:rPr>
        <w:t>в этом правиле</w:t>
      </w:r>
      <w:r w:rsidRPr="00C21B45">
        <w:rPr>
          <w:lang w:val="ru-RU"/>
        </w:rPr>
        <w:t xml:space="preserve"> </w:t>
      </w:r>
      <w:r w:rsidR="001F1D0C" w:rsidRPr="00C21B45">
        <w:rPr>
          <w:lang w:val="ru-RU"/>
        </w:rPr>
        <w:t>говорится о</w:t>
      </w:r>
      <w:r w:rsidR="00E60954">
        <w:rPr>
          <w:lang w:val="ru-RU"/>
        </w:rPr>
        <w:t> </w:t>
      </w:r>
      <w:r w:rsidR="001F1D0C" w:rsidRPr="00C21B45">
        <w:rPr>
          <w:lang w:val="ru-RU"/>
        </w:rPr>
        <w:t>предпочтительности четкого указания ведомствами</w:t>
      </w:r>
      <w:r w:rsidRPr="00C21B45">
        <w:rPr>
          <w:lang w:val="ru-RU"/>
        </w:rPr>
        <w:t xml:space="preserve"> </w:t>
      </w:r>
      <w:r w:rsidR="001F1D0C" w:rsidRPr="00C21B45">
        <w:rPr>
          <w:lang w:val="ru-RU"/>
        </w:rPr>
        <w:t>даты</w:t>
      </w:r>
      <w:r w:rsidRPr="00C21B45">
        <w:rPr>
          <w:lang w:val="ru-RU"/>
        </w:rPr>
        <w:t xml:space="preserve"> </w:t>
      </w:r>
      <w:r w:rsidR="001F1D0C" w:rsidRPr="00C21B45">
        <w:rPr>
          <w:lang w:val="ru-RU"/>
        </w:rPr>
        <w:t xml:space="preserve">истечения </w:t>
      </w:r>
      <w:r w:rsidRPr="00C21B45">
        <w:rPr>
          <w:lang w:val="ru-RU"/>
        </w:rPr>
        <w:t>срока</w:t>
      </w:r>
      <w:r w:rsidR="001F1D0C" w:rsidRPr="00C21B45">
        <w:rPr>
          <w:lang w:val="ru-RU"/>
        </w:rPr>
        <w:t xml:space="preserve"> в</w:t>
      </w:r>
      <w:r w:rsidR="00E60954">
        <w:rPr>
          <w:lang w:val="ru-RU"/>
        </w:rPr>
        <w:t> </w:t>
      </w:r>
      <w:r w:rsidR="001F1D0C" w:rsidRPr="00C21B45">
        <w:rPr>
          <w:lang w:val="ru-RU"/>
        </w:rPr>
        <w:t>уведомлении о предварительном отказе</w:t>
      </w:r>
      <w:r w:rsidRPr="00C21B45">
        <w:rPr>
          <w:lang w:val="ru-RU"/>
        </w:rPr>
        <w:t>, это не является строгим требованием</w:t>
      </w:r>
      <w:r w:rsidR="00E60954">
        <w:rPr>
          <w:lang w:val="ru-RU"/>
        </w:rPr>
        <w:t>,</w:t>
      </w:r>
      <w:r w:rsidRPr="00C21B45">
        <w:rPr>
          <w:lang w:val="ru-RU"/>
        </w:rPr>
        <w:t xml:space="preserve"> и</w:t>
      </w:r>
      <w:r w:rsidR="00E60954">
        <w:rPr>
          <w:lang w:val="ru-RU"/>
        </w:rPr>
        <w:t xml:space="preserve"> это </w:t>
      </w:r>
      <w:r w:rsidRPr="00C21B45">
        <w:rPr>
          <w:lang w:val="ru-RU"/>
        </w:rPr>
        <w:t xml:space="preserve">правило не </w:t>
      </w:r>
      <w:r w:rsidR="00E60954">
        <w:rPr>
          <w:lang w:val="ru-RU"/>
        </w:rPr>
        <w:t xml:space="preserve">устанавливает </w:t>
      </w:r>
      <w:r w:rsidRPr="00C21B45">
        <w:rPr>
          <w:lang w:val="ru-RU"/>
        </w:rPr>
        <w:t xml:space="preserve">никаких требований </w:t>
      </w:r>
      <w:r w:rsidR="00C21B45" w:rsidRPr="00C21B45">
        <w:rPr>
          <w:lang w:val="ru-RU"/>
        </w:rPr>
        <w:t>в отношении порядка исчисления этого</w:t>
      </w:r>
      <w:r w:rsidRPr="00C21B45">
        <w:rPr>
          <w:lang w:val="ru-RU"/>
        </w:rPr>
        <w:t xml:space="preserve"> срок</w:t>
      </w:r>
      <w:r w:rsidR="00C21B45" w:rsidRPr="00C21B45">
        <w:rPr>
          <w:lang w:val="ru-RU"/>
        </w:rPr>
        <w:t xml:space="preserve">а ведомством. </w:t>
      </w:r>
      <w:r w:rsidRPr="00C21B45">
        <w:rPr>
          <w:lang w:val="ru-RU"/>
        </w:rPr>
        <w:t xml:space="preserve">Таким образом, в настоящее время Договаривающимся сторонам </w:t>
      </w:r>
      <w:r w:rsidR="00C21B45" w:rsidRPr="00C21B45">
        <w:rPr>
          <w:lang w:val="ru-RU"/>
        </w:rPr>
        <w:t>приходится указывать</w:t>
      </w:r>
      <w:r w:rsidRPr="00C21B45">
        <w:rPr>
          <w:lang w:val="ru-RU"/>
        </w:rPr>
        <w:t xml:space="preserve"> срок и </w:t>
      </w:r>
      <w:r w:rsidR="00E60954">
        <w:rPr>
          <w:lang w:val="ru-RU"/>
        </w:rPr>
        <w:t>способ</w:t>
      </w:r>
      <w:r w:rsidR="00E60954" w:rsidRPr="00047901">
        <w:rPr>
          <w:lang w:val="ru-RU"/>
        </w:rPr>
        <w:t xml:space="preserve"> </w:t>
      </w:r>
      <w:r w:rsidRPr="00C21B45">
        <w:rPr>
          <w:lang w:val="ru-RU"/>
        </w:rPr>
        <w:t xml:space="preserve">его исчисления </w:t>
      </w:r>
      <w:r w:rsidR="00C21B45" w:rsidRPr="00C21B45">
        <w:rPr>
          <w:lang w:val="ru-RU"/>
        </w:rPr>
        <w:t>исходя из своего национального законодат</w:t>
      </w:r>
      <w:r w:rsidR="00C21B45" w:rsidRPr="00DE28E9">
        <w:rPr>
          <w:lang w:val="ru-RU"/>
        </w:rPr>
        <w:t>ельства и действующей практики</w:t>
      </w:r>
      <w:r w:rsidRPr="00DE28E9">
        <w:rPr>
          <w:lang w:val="ru-RU"/>
        </w:rPr>
        <w:t xml:space="preserve">. </w:t>
      </w:r>
      <w:bookmarkEnd w:id="7"/>
    </w:p>
    <w:p w:rsidR="00590406" w:rsidRPr="00DE28E9" w:rsidRDefault="00C21B45" w:rsidP="001123EB">
      <w:pPr>
        <w:pStyle w:val="ONUME"/>
        <w:rPr>
          <w:lang w:val="ru-RU"/>
        </w:rPr>
      </w:pPr>
      <w:r w:rsidRPr="00DE28E9">
        <w:rPr>
          <w:lang w:val="ru-RU"/>
        </w:rPr>
        <w:t xml:space="preserve">Владельцы </w:t>
      </w:r>
      <w:r w:rsidR="00DE28E9" w:rsidRPr="00DE28E9">
        <w:rPr>
          <w:lang w:val="ru-RU"/>
        </w:rPr>
        <w:t>отмечали</w:t>
      </w:r>
      <w:r w:rsidR="009B36BF" w:rsidRPr="00DE28E9">
        <w:rPr>
          <w:lang w:val="ru-RU"/>
        </w:rPr>
        <w:t xml:space="preserve">, что </w:t>
      </w:r>
      <w:r w:rsidR="00DE28E9" w:rsidRPr="00DE28E9">
        <w:rPr>
          <w:lang w:val="ru-RU"/>
        </w:rPr>
        <w:t xml:space="preserve">большие </w:t>
      </w:r>
      <w:r w:rsidR="009B36BF" w:rsidRPr="00DE28E9">
        <w:rPr>
          <w:lang w:val="ru-RU"/>
        </w:rPr>
        <w:t xml:space="preserve">различия в сроках, установленных Договаривающимися сторонами, </w:t>
      </w:r>
      <w:r w:rsidR="00DE28E9" w:rsidRPr="00DE28E9">
        <w:rPr>
          <w:lang w:val="ru-RU"/>
        </w:rPr>
        <w:t xml:space="preserve">а также </w:t>
      </w:r>
      <w:r w:rsidR="00E60954">
        <w:rPr>
          <w:lang w:val="ru-RU"/>
        </w:rPr>
        <w:t>способ</w:t>
      </w:r>
      <w:r w:rsidR="00E60954" w:rsidRPr="00047901">
        <w:rPr>
          <w:lang w:val="ru-RU"/>
        </w:rPr>
        <w:t xml:space="preserve"> </w:t>
      </w:r>
      <w:r w:rsidR="009B36BF" w:rsidRPr="00DE28E9">
        <w:rPr>
          <w:lang w:val="ru-RU"/>
        </w:rPr>
        <w:t>их исчисления без указания в</w:t>
      </w:r>
      <w:r w:rsidR="00E60954">
        <w:rPr>
          <w:lang w:val="ru-RU"/>
        </w:rPr>
        <w:t> </w:t>
      </w:r>
      <w:r w:rsidR="009B36BF" w:rsidRPr="00DE28E9">
        <w:rPr>
          <w:lang w:val="ru-RU"/>
        </w:rPr>
        <w:t xml:space="preserve">уведомлениях конечной даты, </w:t>
      </w:r>
      <w:r w:rsidR="00DE28E9" w:rsidRPr="00DE28E9">
        <w:rPr>
          <w:lang w:val="ru-RU"/>
        </w:rPr>
        <w:t xml:space="preserve">создают </w:t>
      </w:r>
      <w:r w:rsidR="00E60954" w:rsidRPr="00E60954">
        <w:rPr>
          <w:lang w:val="ru-RU"/>
        </w:rPr>
        <w:t>ситуаци</w:t>
      </w:r>
      <w:r w:rsidR="00E60954">
        <w:rPr>
          <w:lang w:val="ru-RU"/>
        </w:rPr>
        <w:t>ю неопределенности</w:t>
      </w:r>
      <w:r w:rsidR="00DE28E9" w:rsidRPr="00DE28E9">
        <w:rPr>
          <w:lang w:val="ru-RU"/>
        </w:rPr>
        <w:t xml:space="preserve"> </w:t>
      </w:r>
      <w:r w:rsidR="009B36BF" w:rsidRPr="00DE28E9">
        <w:rPr>
          <w:lang w:val="ru-RU"/>
        </w:rPr>
        <w:t xml:space="preserve">и </w:t>
      </w:r>
      <w:r w:rsidR="00E60954">
        <w:rPr>
          <w:lang w:val="ru-RU"/>
        </w:rPr>
        <w:t xml:space="preserve">осложняют </w:t>
      </w:r>
      <w:r w:rsidR="00E60954" w:rsidRPr="00E60954">
        <w:rPr>
          <w:lang w:val="ru-RU"/>
        </w:rPr>
        <w:t>выполнени</w:t>
      </w:r>
      <w:r w:rsidR="00E60954">
        <w:rPr>
          <w:lang w:val="ru-RU"/>
        </w:rPr>
        <w:t xml:space="preserve">е соответствующих </w:t>
      </w:r>
      <w:r w:rsidR="00E60954" w:rsidRPr="00E60954">
        <w:rPr>
          <w:lang w:val="ru-RU"/>
        </w:rPr>
        <w:t>процедур</w:t>
      </w:r>
      <w:r w:rsidR="00DE28E9" w:rsidRPr="00DE28E9">
        <w:rPr>
          <w:lang w:val="ru-RU"/>
        </w:rPr>
        <w:t xml:space="preserve">. </w:t>
      </w:r>
    </w:p>
    <w:p w:rsidR="001123EB" w:rsidRPr="00DE28E9" w:rsidRDefault="009B36BF" w:rsidP="001123EB">
      <w:pPr>
        <w:pStyle w:val="ONUME"/>
        <w:rPr>
          <w:lang w:val="ru-RU"/>
        </w:rPr>
      </w:pPr>
      <w:r w:rsidRPr="00DE28E9">
        <w:rPr>
          <w:lang w:val="ru-RU"/>
        </w:rPr>
        <w:t xml:space="preserve">В настоящее время дата начала отсчета срока ответа на </w:t>
      </w:r>
      <w:r w:rsidR="00DE28E9" w:rsidRPr="00DE28E9">
        <w:rPr>
          <w:lang w:val="ru-RU"/>
        </w:rPr>
        <w:t>уведомление о</w:t>
      </w:r>
      <w:r w:rsidR="00E60954">
        <w:rPr>
          <w:lang w:val="ru-RU"/>
        </w:rPr>
        <w:t> </w:t>
      </w:r>
      <w:r w:rsidR="00DE28E9" w:rsidRPr="00DE28E9">
        <w:rPr>
          <w:lang w:val="ru-RU"/>
        </w:rPr>
        <w:t>предварительном</w:t>
      </w:r>
      <w:r w:rsidRPr="00DE28E9">
        <w:rPr>
          <w:lang w:val="ru-RU"/>
        </w:rPr>
        <w:t xml:space="preserve"> отказ</w:t>
      </w:r>
      <w:r w:rsidR="00DE28E9" w:rsidRPr="00DE28E9">
        <w:rPr>
          <w:lang w:val="ru-RU"/>
        </w:rPr>
        <w:t>е</w:t>
      </w:r>
      <w:r w:rsidRPr="00DE28E9">
        <w:rPr>
          <w:lang w:val="ru-RU"/>
        </w:rPr>
        <w:t xml:space="preserve"> может быть </w:t>
      </w:r>
      <w:r w:rsidR="00DE28E9" w:rsidRPr="00DE28E9">
        <w:rPr>
          <w:lang w:val="ru-RU"/>
        </w:rPr>
        <w:t xml:space="preserve">определена </w:t>
      </w:r>
      <w:r w:rsidRPr="00DE28E9">
        <w:rPr>
          <w:lang w:val="ru-RU"/>
        </w:rPr>
        <w:t>четырьмя различными способами</w:t>
      </w:r>
      <w:r w:rsidR="00E60954">
        <w:rPr>
          <w:lang w:val="ru-RU"/>
        </w:rPr>
        <w:t>:</w:t>
      </w:r>
    </w:p>
    <w:p w:rsidR="001123EB" w:rsidRPr="00DE28E9" w:rsidRDefault="00DE28E9" w:rsidP="009D1602">
      <w:pPr>
        <w:pStyle w:val="ONUME"/>
        <w:numPr>
          <w:ilvl w:val="0"/>
          <w:numId w:val="11"/>
        </w:numPr>
        <w:ind w:left="567"/>
        <w:rPr>
          <w:lang w:val="ru-RU"/>
        </w:rPr>
      </w:pPr>
      <w:r w:rsidRPr="00DE28E9">
        <w:rPr>
          <w:lang w:val="ru-RU"/>
        </w:rPr>
        <w:t>как дата</w:t>
      </w:r>
      <w:r w:rsidR="009B36BF" w:rsidRPr="00DE28E9">
        <w:rPr>
          <w:lang w:val="ru-RU"/>
        </w:rPr>
        <w:t xml:space="preserve"> </w:t>
      </w:r>
      <w:r w:rsidRPr="00DE28E9">
        <w:rPr>
          <w:lang w:val="ru-RU"/>
        </w:rPr>
        <w:t>принятия ведомством решения о предварительном отказе</w:t>
      </w:r>
      <w:r w:rsidR="009B36BF" w:rsidRPr="00DE28E9">
        <w:rPr>
          <w:lang w:val="ru-RU"/>
        </w:rPr>
        <w:t xml:space="preserve">; </w:t>
      </w:r>
    </w:p>
    <w:p w:rsidR="001123EB" w:rsidRPr="00E60954" w:rsidRDefault="00DE28E9" w:rsidP="009D1602">
      <w:pPr>
        <w:pStyle w:val="ONUME"/>
        <w:numPr>
          <w:ilvl w:val="0"/>
          <w:numId w:val="11"/>
        </w:numPr>
        <w:ind w:left="567"/>
        <w:rPr>
          <w:lang w:val="ru-RU"/>
        </w:rPr>
      </w:pPr>
      <w:r w:rsidRPr="00DE28E9">
        <w:rPr>
          <w:lang w:val="ru-RU"/>
        </w:rPr>
        <w:t>как</w:t>
      </w:r>
      <w:r w:rsidRPr="00E60954">
        <w:rPr>
          <w:lang w:val="ru-RU"/>
        </w:rPr>
        <w:t xml:space="preserve"> </w:t>
      </w:r>
      <w:r w:rsidR="009B36BF" w:rsidRPr="00E60954">
        <w:rPr>
          <w:lang w:val="ru-RU"/>
        </w:rPr>
        <w:t>дата</w:t>
      </w:r>
      <w:r w:rsidR="00E60954">
        <w:rPr>
          <w:lang w:val="ru-RU"/>
        </w:rPr>
        <w:t xml:space="preserve"> </w:t>
      </w:r>
      <w:r w:rsidR="009B36BF" w:rsidRPr="00E60954">
        <w:rPr>
          <w:lang w:val="ru-RU"/>
        </w:rPr>
        <w:t>нап</w:t>
      </w:r>
      <w:r w:rsidRPr="00E60954">
        <w:rPr>
          <w:lang w:val="ru-RU"/>
        </w:rPr>
        <w:t>равл</w:t>
      </w:r>
      <w:r w:rsidRPr="00DE28E9">
        <w:rPr>
          <w:lang w:val="ru-RU"/>
        </w:rPr>
        <w:t>ения</w:t>
      </w:r>
      <w:r w:rsidRPr="00E60954">
        <w:rPr>
          <w:lang w:val="ru-RU"/>
        </w:rPr>
        <w:t xml:space="preserve"> ведомство</w:t>
      </w:r>
      <w:r w:rsidRPr="00DE28E9">
        <w:rPr>
          <w:lang w:val="ru-RU"/>
        </w:rPr>
        <w:t>м</w:t>
      </w:r>
      <w:r w:rsidRPr="00E60954">
        <w:rPr>
          <w:lang w:val="ru-RU"/>
        </w:rPr>
        <w:t xml:space="preserve"> уведомлени</w:t>
      </w:r>
      <w:r w:rsidRPr="00DE28E9">
        <w:rPr>
          <w:lang w:val="ru-RU"/>
        </w:rPr>
        <w:t>я</w:t>
      </w:r>
      <w:r w:rsidR="009B36BF" w:rsidRPr="00E60954">
        <w:rPr>
          <w:lang w:val="ru-RU"/>
        </w:rPr>
        <w:t xml:space="preserve"> в Международное бюро;</w:t>
      </w:r>
    </w:p>
    <w:p w:rsidR="001123EB" w:rsidRPr="00DE28E9" w:rsidRDefault="00DE28E9" w:rsidP="009D1602">
      <w:pPr>
        <w:pStyle w:val="ONUME"/>
        <w:numPr>
          <w:ilvl w:val="0"/>
          <w:numId w:val="11"/>
        </w:numPr>
        <w:ind w:left="567"/>
        <w:rPr>
          <w:lang w:val="ru-RU"/>
        </w:rPr>
      </w:pPr>
      <w:r w:rsidRPr="00DE28E9">
        <w:rPr>
          <w:lang w:val="ru-RU"/>
        </w:rPr>
        <w:t xml:space="preserve">как </w:t>
      </w:r>
      <w:r w:rsidR="009B36BF" w:rsidRPr="00DE28E9">
        <w:rPr>
          <w:lang w:val="ru-RU"/>
        </w:rPr>
        <w:t>дата</w:t>
      </w:r>
      <w:r w:rsidRPr="00DE28E9">
        <w:rPr>
          <w:lang w:val="ru-RU"/>
        </w:rPr>
        <w:t xml:space="preserve"> передачи уведомления</w:t>
      </w:r>
      <w:r w:rsidR="009B36BF" w:rsidRPr="00DE28E9">
        <w:rPr>
          <w:lang w:val="ru-RU"/>
        </w:rPr>
        <w:t xml:space="preserve"> </w:t>
      </w:r>
      <w:r w:rsidRPr="00DE28E9">
        <w:rPr>
          <w:lang w:val="ru-RU"/>
        </w:rPr>
        <w:t>Международным бюро владельцу</w:t>
      </w:r>
      <w:r w:rsidR="00590406" w:rsidRPr="00DE28E9">
        <w:rPr>
          <w:lang w:val="ru-RU"/>
        </w:rPr>
        <w:t>;</w:t>
      </w:r>
      <w:r w:rsidR="001123EB" w:rsidRPr="00DE28E9">
        <w:rPr>
          <w:lang w:val="ru-RU"/>
        </w:rPr>
        <w:t xml:space="preserve"> </w:t>
      </w:r>
      <w:r w:rsidRPr="00DE28E9">
        <w:rPr>
          <w:lang w:val="ru-RU"/>
        </w:rPr>
        <w:t>или</w:t>
      </w:r>
      <w:r w:rsidR="00590406" w:rsidRPr="00DE28E9">
        <w:rPr>
          <w:lang w:val="ru-RU"/>
        </w:rPr>
        <w:t xml:space="preserve">, </w:t>
      </w:r>
    </w:p>
    <w:p w:rsidR="00590406" w:rsidRPr="004B53C4" w:rsidRDefault="00DE28E9" w:rsidP="009D1602">
      <w:pPr>
        <w:pStyle w:val="ONUME"/>
        <w:numPr>
          <w:ilvl w:val="0"/>
          <w:numId w:val="11"/>
        </w:numPr>
        <w:ind w:left="567"/>
        <w:rPr>
          <w:lang w:val="ru-RU"/>
        </w:rPr>
      </w:pPr>
      <w:r w:rsidRPr="00DE28E9">
        <w:rPr>
          <w:lang w:val="ru-RU"/>
        </w:rPr>
        <w:t>как</w:t>
      </w:r>
      <w:r w:rsidRPr="004B53C4">
        <w:rPr>
          <w:lang w:val="ru-RU"/>
        </w:rPr>
        <w:t xml:space="preserve"> </w:t>
      </w:r>
      <w:r w:rsidRPr="00DE28E9">
        <w:rPr>
          <w:lang w:val="ru-RU"/>
        </w:rPr>
        <w:t>дата</w:t>
      </w:r>
      <w:r w:rsidR="009B36BF" w:rsidRPr="004B53C4">
        <w:rPr>
          <w:lang w:val="ru-RU"/>
        </w:rPr>
        <w:t xml:space="preserve"> </w:t>
      </w:r>
      <w:r w:rsidR="009B36BF" w:rsidRPr="00DE28E9">
        <w:rPr>
          <w:lang w:val="ru-RU"/>
        </w:rPr>
        <w:t>получения</w:t>
      </w:r>
      <w:r w:rsidR="009B36BF" w:rsidRPr="004B53C4">
        <w:rPr>
          <w:lang w:val="ru-RU"/>
        </w:rPr>
        <w:t xml:space="preserve"> </w:t>
      </w:r>
      <w:r w:rsidRPr="00DE28E9">
        <w:rPr>
          <w:lang w:val="ru-RU"/>
        </w:rPr>
        <w:t>владельцем</w:t>
      </w:r>
      <w:r w:rsidRPr="004B53C4">
        <w:rPr>
          <w:lang w:val="ru-RU"/>
        </w:rPr>
        <w:t xml:space="preserve"> </w:t>
      </w:r>
      <w:r w:rsidR="009B36BF" w:rsidRPr="00DE28E9">
        <w:rPr>
          <w:lang w:val="ru-RU"/>
        </w:rPr>
        <w:t>уведомления</w:t>
      </w:r>
      <w:r w:rsidR="009B36BF" w:rsidRPr="004B53C4">
        <w:rPr>
          <w:lang w:val="ru-RU"/>
        </w:rPr>
        <w:t xml:space="preserve"> </w:t>
      </w:r>
      <w:r w:rsidR="009B36BF" w:rsidRPr="00DE28E9">
        <w:rPr>
          <w:lang w:val="ru-RU"/>
        </w:rPr>
        <w:t>от</w:t>
      </w:r>
      <w:r w:rsidR="009B36BF" w:rsidRPr="004B53C4">
        <w:rPr>
          <w:lang w:val="ru-RU"/>
        </w:rPr>
        <w:t xml:space="preserve"> </w:t>
      </w:r>
      <w:r w:rsidR="009B36BF" w:rsidRPr="00DE28E9">
        <w:rPr>
          <w:lang w:val="ru-RU"/>
        </w:rPr>
        <w:t>Международного</w:t>
      </w:r>
      <w:r w:rsidR="009B36BF" w:rsidRPr="004B53C4">
        <w:rPr>
          <w:lang w:val="ru-RU"/>
        </w:rPr>
        <w:t xml:space="preserve"> </w:t>
      </w:r>
      <w:r w:rsidR="009B36BF" w:rsidRPr="00DE28E9">
        <w:rPr>
          <w:lang w:val="ru-RU"/>
        </w:rPr>
        <w:t>бюро</w:t>
      </w:r>
      <w:r w:rsidR="009B36BF" w:rsidRPr="004B53C4">
        <w:rPr>
          <w:lang w:val="ru-RU"/>
        </w:rPr>
        <w:t xml:space="preserve">. </w:t>
      </w:r>
    </w:p>
    <w:p w:rsidR="00590406" w:rsidRPr="006B5CDF" w:rsidRDefault="00DE28E9" w:rsidP="001123EB">
      <w:pPr>
        <w:pStyle w:val="ONUME"/>
        <w:rPr>
          <w:lang w:val="ru-RU"/>
        </w:rPr>
      </w:pPr>
      <w:r w:rsidRPr="00DE28E9">
        <w:rPr>
          <w:lang w:val="ru-RU"/>
        </w:rPr>
        <w:t>Помимо различий в способах</w:t>
      </w:r>
      <w:r w:rsidR="009B36BF" w:rsidRPr="00DE28E9">
        <w:rPr>
          <w:lang w:val="ru-RU"/>
        </w:rPr>
        <w:t xml:space="preserve"> исчисления сроков, фактическое время, которое владелец </w:t>
      </w:r>
      <w:r w:rsidRPr="00DE28E9">
        <w:rPr>
          <w:lang w:val="ru-RU"/>
        </w:rPr>
        <w:t xml:space="preserve">имеет в своем </w:t>
      </w:r>
      <w:r w:rsidRPr="00DE28E9">
        <w:rPr>
          <w:lang w:val="ru-RU" w:eastAsia="en-US"/>
        </w:rPr>
        <w:t>распоряжени</w:t>
      </w:r>
      <w:r w:rsidRPr="00DE28E9">
        <w:rPr>
          <w:lang w:val="ru-RU"/>
        </w:rPr>
        <w:t xml:space="preserve">и для </w:t>
      </w:r>
      <w:r w:rsidR="009B36BF" w:rsidRPr="00DE28E9">
        <w:rPr>
          <w:lang w:val="ru-RU"/>
        </w:rPr>
        <w:t>отве</w:t>
      </w:r>
      <w:r w:rsidRPr="00DE28E9">
        <w:rPr>
          <w:lang w:val="ru-RU"/>
        </w:rPr>
        <w:t>та</w:t>
      </w:r>
      <w:r w:rsidR="009B36BF" w:rsidRPr="00DE28E9">
        <w:rPr>
          <w:lang w:val="ru-RU"/>
        </w:rPr>
        <w:t xml:space="preserve"> на уведомление, может </w:t>
      </w:r>
      <w:r w:rsidRPr="00DE28E9">
        <w:rPr>
          <w:lang w:val="ru-RU"/>
        </w:rPr>
        <w:t xml:space="preserve">сокращаться еще более из-за </w:t>
      </w:r>
      <w:r w:rsidR="005101DC" w:rsidRPr="005101DC">
        <w:rPr>
          <w:lang w:val="ru-RU"/>
        </w:rPr>
        <w:t>характер</w:t>
      </w:r>
      <w:r w:rsidR="005101DC">
        <w:rPr>
          <w:lang w:val="ru-RU"/>
        </w:rPr>
        <w:t xml:space="preserve">а </w:t>
      </w:r>
      <w:r w:rsidRPr="00DE28E9">
        <w:rPr>
          <w:lang w:val="ru-RU"/>
        </w:rPr>
        <w:t>средств</w:t>
      </w:r>
      <w:r w:rsidR="005101DC">
        <w:rPr>
          <w:lang w:val="ru-RU"/>
        </w:rPr>
        <w:t xml:space="preserve"> </w:t>
      </w:r>
      <w:r w:rsidR="009B36BF" w:rsidRPr="00DE28E9">
        <w:rPr>
          <w:lang w:val="ru-RU"/>
        </w:rPr>
        <w:t>коммуникации между ведомством и Международным бюро</w:t>
      </w:r>
      <w:r w:rsidR="005101DC">
        <w:rPr>
          <w:lang w:val="ru-RU"/>
        </w:rPr>
        <w:t>,</w:t>
      </w:r>
      <w:r w:rsidR="009B36BF" w:rsidRPr="00DE28E9">
        <w:rPr>
          <w:lang w:val="ru-RU"/>
        </w:rPr>
        <w:t xml:space="preserve"> необходимой процедуры, осуществляемой Международным бюро, </w:t>
      </w:r>
      <w:r w:rsidR="005101DC">
        <w:rPr>
          <w:lang w:val="ru-RU"/>
        </w:rPr>
        <w:t xml:space="preserve">требующей </w:t>
      </w:r>
      <w:r w:rsidRPr="00DE28E9">
        <w:rPr>
          <w:lang w:val="ru-RU"/>
        </w:rPr>
        <w:t xml:space="preserve">в среднем 12 календарных дней, а также </w:t>
      </w:r>
      <w:r w:rsidR="005101DC" w:rsidRPr="005101DC">
        <w:rPr>
          <w:lang w:val="ru-RU"/>
        </w:rPr>
        <w:t>характер</w:t>
      </w:r>
      <w:r w:rsidR="005101DC">
        <w:rPr>
          <w:lang w:val="ru-RU"/>
        </w:rPr>
        <w:t>а</w:t>
      </w:r>
      <w:r w:rsidR="005101DC" w:rsidRPr="00DE28E9">
        <w:rPr>
          <w:lang w:val="ru-RU"/>
        </w:rPr>
        <w:t xml:space="preserve"> </w:t>
      </w:r>
      <w:r w:rsidR="009B36BF" w:rsidRPr="00DE28E9">
        <w:rPr>
          <w:lang w:val="ru-RU"/>
        </w:rPr>
        <w:t>средств коммуникации между Ме</w:t>
      </w:r>
      <w:r w:rsidR="005101DC">
        <w:rPr>
          <w:lang w:val="ru-RU"/>
        </w:rPr>
        <w:t xml:space="preserve">ждународным бюро и владельцем. </w:t>
      </w:r>
      <w:r w:rsidR="009B36BF" w:rsidRPr="00DE28E9">
        <w:rPr>
          <w:lang w:val="ru-RU"/>
        </w:rPr>
        <w:t>Как указывалось ранее, электронный обмен</w:t>
      </w:r>
      <w:r w:rsidR="009B36BF" w:rsidRPr="006B5CDF">
        <w:rPr>
          <w:lang w:val="ru-RU"/>
        </w:rPr>
        <w:t xml:space="preserve"> сообщениями </w:t>
      </w:r>
      <w:r w:rsidRPr="006B5CDF">
        <w:rPr>
          <w:lang w:val="ru-RU"/>
        </w:rPr>
        <w:t xml:space="preserve">мог бы оказать </w:t>
      </w:r>
      <w:r w:rsidR="009B36BF" w:rsidRPr="006B5CDF">
        <w:rPr>
          <w:lang w:val="ru-RU"/>
        </w:rPr>
        <w:t xml:space="preserve">владельцам </w:t>
      </w:r>
      <w:r w:rsidRPr="006B5CDF">
        <w:rPr>
          <w:lang w:val="ru-RU"/>
        </w:rPr>
        <w:t>оче</w:t>
      </w:r>
      <w:r w:rsidR="00E60954">
        <w:rPr>
          <w:lang w:val="ru-RU"/>
        </w:rPr>
        <w:t>н</w:t>
      </w:r>
      <w:r w:rsidRPr="006B5CDF">
        <w:rPr>
          <w:lang w:val="ru-RU"/>
        </w:rPr>
        <w:t xml:space="preserve">ь большую помощь </w:t>
      </w:r>
      <w:r w:rsidR="009B36BF" w:rsidRPr="006B5CDF">
        <w:rPr>
          <w:lang w:val="ru-RU"/>
        </w:rPr>
        <w:t xml:space="preserve">в этом отношении. </w:t>
      </w:r>
    </w:p>
    <w:p w:rsidR="00590406" w:rsidRPr="00FD6A87" w:rsidRDefault="009B36BF" w:rsidP="001123EB">
      <w:pPr>
        <w:pStyle w:val="ONUME"/>
        <w:rPr>
          <w:lang w:val="ru-RU"/>
        </w:rPr>
      </w:pPr>
      <w:r w:rsidRPr="006B5CDF">
        <w:rPr>
          <w:lang w:val="ru-RU"/>
        </w:rPr>
        <w:t xml:space="preserve">Способ, </w:t>
      </w:r>
      <w:r w:rsidR="006B5CDF" w:rsidRPr="006B5CDF">
        <w:rPr>
          <w:lang w:val="ru-RU"/>
        </w:rPr>
        <w:t>которым</w:t>
      </w:r>
      <w:r w:rsidRPr="006B5CDF">
        <w:rPr>
          <w:lang w:val="ru-RU"/>
        </w:rPr>
        <w:t xml:space="preserve"> ведомство </w:t>
      </w:r>
      <w:r w:rsidR="006B5CDF" w:rsidRPr="006B5CDF">
        <w:rPr>
          <w:lang w:val="ru-RU"/>
        </w:rPr>
        <w:t xml:space="preserve">исчисляет </w:t>
      </w:r>
      <w:r w:rsidRPr="006B5CDF">
        <w:rPr>
          <w:lang w:val="ru-RU"/>
        </w:rPr>
        <w:t xml:space="preserve">срок, может быть более или менее </w:t>
      </w:r>
      <w:r w:rsidR="006B5CDF" w:rsidRPr="006B5CDF">
        <w:rPr>
          <w:lang w:val="ru-RU"/>
        </w:rPr>
        <w:t>удобным для владельцев. Так, н</w:t>
      </w:r>
      <w:r w:rsidRPr="006B5CDF">
        <w:rPr>
          <w:lang w:val="ru-RU"/>
        </w:rPr>
        <w:t>апример</w:t>
      </w:r>
      <w:r w:rsidR="006B5CDF" w:rsidRPr="006B5CDF">
        <w:rPr>
          <w:lang w:val="ru-RU"/>
        </w:rPr>
        <w:t xml:space="preserve">, </w:t>
      </w:r>
      <w:r w:rsidR="005101DC">
        <w:rPr>
          <w:lang w:val="ru-RU"/>
        </w:rPr>
        <w:t xml:space="preserve">при </w:t>
      </w:r>
      <w:r w:rsidR="005101DC" w:rsidRPr="005101DC">
        <w:rPr>
          <w:lang w:val="ru-RU"/>
        </w:rPr>
        <w:t>использова</w:t>
      </w:r>
      <w:r w:rsidR="005101DC">
        <w:rPr>
          <w:lang w:val="ru-RU"/>
        </w:rPr>
        <w:t xml:space="preserve">нии </w:t>
      </w:r>
      <w:r w:rsidR="006B5CDF" w:rsidRPr="006B5CDF">
        <w:rPr>
          <w:lang w:val="ru-RU"/>
        </w:rPr>
        <w:t>двухмесячного срока, исчисляемого</w:t>
      </w:r>
      <w:r w:rsidRPr="006B5CDF">
        <w:rPr>
          <w:lang w:val="ru-RU"/>
        </w:rPr>
        <w:t xml:space="preserve"> с</w:t>
      </w:r>
      <w:r w:rsidR="005101DC">
        <w:rPr>
          <w:lang w:val="ru-RU"/>
        </w:rPr>
        <w:t> </w:t>
      </w:r>
      <w:r w:rsidRPr="006B5CDF">
        <w:rPr>
          <w:lang w:val="ru-RU"/>
        </w:rPr>
        <w:t>даты</w:t>
      </w:r>
      <w:r w:rsidR="006B5CDF" w:rsidRPr="006B5CDF">
        <w:rPr>
          <w:lang w:val="ru-RU"/>
        </w:rPr>
        <w:t>, в которую Международное</w:t>
      </w:r>
      <w:r w:rsidRPr="006B5CDF">
        <w:rPr>
          <w:lang w:val="ru-RU"/>
        </w:rPr>
        <w:t xml:space="preserve"> бюро </w:t>
      </w:r>
      <w:r w:rsidR="006B5CDF" w:rsidRPr="006B5CDF">
        <w:rPr>
          <w:lang w:val="ru-RU"/>
        </w:rPr>
        <w:t>направляет уведомление</w:t>
      </w:r>
      <w:r w:rsidRPr="006B5CDF">
        <w:rPr>
          <w:lang w:val="ru-RU"/>
        </w:rPr>
        <w:t xml:space="preserve"> владельцу, </w:t>
      </w:r>
      <w:r w:rsidR="005101DC">
        <w:rPr>
          <w:lang w:val="ru-RU"/>
        </w:rPr>
        <w:t xml:space="preserve">владелец может иметь </w:t>
      </w:r>
      <w:r w:rsidRPr="006B5CDF">
        <w:rPr>
          <w:lang w:val="ru-RU"/>
        </w:rPr>
        <w:t xml:space="preserve">больше времени для ответа на </w:t>
      </w:r>
      <w:r w:rsidR="006B5CDF" w:rsidRPr="006B5CDF">
        <w:rPr>
          <w:lang w:val="ru-RU"/>
        </w:rPr>
        <w:t xml:space="preserve">уведомление об </w:t>
      </w:r>
      <w:r w:rsidRPr="006B5CDF">
        <w:rPr>
          <w:lang w:val="ru-RU"/>
        </w:rPr>
        <w:t>отказ</w:t>
      </w:r>
      <w:r w:rsidR="006B5CDF" w:rsidRPr="006B5CDF">
        <w:rPr>
          <w:lang w:val="ru-RU"/>
        </w:rPr>
        <w:t>е</w:t>
      </w:r>
      <w:r w:rsidRPr="006B5CDF">
        <w:rPr>
          <w:lang w:val="ru-RU"/>
        </w:rPr>
        <w:t xml:space="preserve">, чем </w:t>
      </w:r>
      <w:r w:rsidR="005101DC">
        <w:rPr>
          <w:lang w:val="ru-RU"/>
        </w:rPr>
        <w:t xml:space="preserve">при </w:t>
      </w:r>
      <w:r w:rsidR="005101DC" w:rsidRPr="005101DC">
        <w:rPr>
          <w:lang w:val="ru-RU"/>
        </w:rPr>
        <w:t>использова</w:t>
      </w:r>
      <w:r w:rsidR="005101DC">
        <w:rPr>
          <w:lang w:val="ru-RU"/>
        </w:rPr>
        <w:t xml:space="preserve">нии </w:t>
      </w:r>
      <w:r w:rsidR="006B5CDF" w:rsidRPr="00FD6A87">
        <w:rPr>
          <w:lang w:val="ru-RU"/>
        </w:rPr>
        <w:t>трехмесячного</w:t>
      </w:r>
      <w:r w:rsidRPr="00FD6A87">
        <w:rPr>
          <w:lang w:val="ru-RU"/>
        </w:rPr>
        <w:t xml:space="preserve"> срок</w:t>
      </w:r>
      <w:r w:rsidR="006B5CDF" w:rsidRPr="00FD6A87">
        <w:rPr>
          <w:lang w:val="ru-RU"/>
        </w:rPr>
        <w:t>а, исчисляемого</w:t>
      </w:r>
      <w:r w:rsidRPr="00FD6A87">
        <w:rPr>
          <w:lang w:val="ru-RU"/>
        </w:rPr>
        <w:t xml:space="preserve"> с даты принятия решения ведомством.</w:t>
      </w:r>
      <w:r w:rsidR="006B5CDF" w:rsidRPr="00FD6A87">
        <w:rPr>
          <w:lang w:val="ru-RU"/>
        </w:rPr>
        <w:t xml:space="preserve"> </w:t>
      </w:r>
    </w:p>
    <w:p w:rsidR="00590406" w:rsidRPr="005101DC" w:rsidRDefault="00FD6A87" w:rsidP="00C42528">
      <w:pPr>
        <w:pStyle w:val="Heading2"/>
        <w:rPr>
          <w:lang w:val="ru-RU"/>
        </w:rPr>
      </w:pPr>
      <w:r w:rsidRPr="00FD6A87">
        <w:rPr>
          <w:lang w:val="ru-RU"/>
        </w:rPr>
        <w:t>исчисление</w:t>
      </w:r>
      <w:r w:rsidR="009B36BF" w:rsidRPr="00FD6A87">
        <w:rPr>
          <w:lang w:val="ru-RU"/>
        </w:rPr>
        <w:t xml:space="preserve"> срока с даты</w:t>
      </w:r>
      <w:r w:rsidRPr="00FD6A87">
        <w:rPr>
          <w:lang w:val="ru-RU"/>
        </w:rPr>
        <w:t xml:space="preserve"> принятия решения ведомством</w:t>
      </w:r>
      <w:r w:rsidR="009B36BF" w:rsidRPr="00FD6A87">
        <w:rPr>
          <w:lang w:val="ru-RU"/>
        </w:rPr>
        <w:t xml:space="preserve"> или </w:t>
      </w:r>
      <w:r w:rsidRPr="00FD6A87">
        <w:rPr>
          <w:lang w:val="ru-RU"/>
        </w:rPr>
        <w:t>направления им уведомлени</w:t>
      </w:r>
      <w:r w:rsidRPr="00457060">
        <w:rPr>
          <w:lang w:val="ru-RU"/>
        </w:rPr>
        <w:t>я</w:t>
      </w:r>
      <w:r w:rsidR="009B36BF" w:rsidRPr="00457060">
        <w:rPr>
          <w:lang w:val="ru-RU"/>
        </w:rPr>
        <w:t xml:space="preserve"> о предварительном отказе</w:t>
      </w:r>
    </w:p>
    <w:p w:rsidR="00590406" w:rsidRPr="00457060" w:rsidRDefault="005101DC" w:rsidP="001123EB">
      <w:pPr>
        <w:pStyle w:val="ONUME"/>
        <w:rPr>
          <w:lang w:val="ru-RU"/>
        </w:rPr>
      </w:pPr>
      <w:r w:rsidRPr="00FD6A87">
        <w:rPr>
          <w:lang w:val="ru-RU"/>
        </w:rPr>
        <w:t>Исчисление срока с даты принятия решения ведомством или направления им уведомлени</w:t>
      </w:r>
      <w:r w:rsidRPr="00457060">
        <w:rPr>
          <w:lang w:val="ru-RU"/>
        </w:rPr>
        <w:t xml:space="preserve">я о предварительном отказе </w:t>
      </w:r>
      <w:r w:rsidR="00FD6A87" w:rsidRPr="00457060">
        <w:rPr>
          <w:lang w:val="ru-RU"/>
        </w:rPr>
        <w:t>в Международное бюро</w:t>
      </w:r>
      <w:r w:rsidR="009B36BF" w:rsidRPr="00457060">
        <w:rPr>
          <w:lang w:val="ru-RU"/>
        </w:rPr>
        <w:t xml:space="preserve"> может иметь негативн</w:t>
      </w:r>
      <w:r w:rsidR="00FD6A87" w:rsidRPr="00457060">
        <w:rPr>
          <w:lang w:val="ru-RU"/>
        </w:rPr>
        <w:t>ые последствия для владельцев. В</w:t>
      </w:r>
      <w:r w:rsidR="00457060" w:rsidRPr="00457060">
        <w:rPr>
          <w:lang w:val="ru-RU"/>
        </w:rPr>
        <w:t xml:space="preserve"> некоторых случаях </w:t>
      </w:r>
      <w:r w:rsidR="009B36BF" w:rsidRPr="00457060">
        <w:rPr>
          <w:lang w:val="ru-RU"/>
        </w:rPr>
        <w:t xml:space="preserve">к моменту получения </w:t>
      </w:r>
      <w:r w:rsidR="00457060" w:rsidRPr="00457060">
        <w:rPr>
          <w:lang w:val="ru-RU"/>
        </w:rPr>
        <w:t xml:space="preserve">владельцем </w:t>
      </w:r>
      <w:r w:rsidR="009B36BF" w:rsidRPr="00457060">
        <w:rPr>
          <w:lang w:val="ru-RU"/>
        </w:rPr>
        <w:t>уведомления</w:t>
      </w:r>
      <w:r w:rsidR="00457060" w:rsidRPr="00457060">
        <w:rPr>
          <w:lang w:val="ru-RU"/>
        </w:rPr>
        <w:t xml:space="preserve"> срок может даже истечь. В</w:t>
      </w:r>
      <w:r w:rsidR="009B36BF" w:rsidRPr="00457060">
        <w:rPr>
          <w:lang w:val="ru-RU"/>
        </w:rPr>
        <w:t xml:space="preserve">едомства </w:t>
      </w:r>
      <w:r w:rsidR="00457060" w:rsidRPr="00457060">
        <w:rPr>
          <w:lang w:val="ru-RU"/>
        </w:rPr>
        <w:t>Д</w:t>
      </w:r>
      <w:r w:rsidR="009B36BF" w:rsidRPr="00457060">
        <w:rPr>
          <w:lang w:val="ru-RU"/>
        </w:rPr>
        <w:t xml:space="preserve">оговаривающихся сторон должны направлять уведомления о предварительном отказе через </w:t>
      </w:r>
      <w:r w:rsidR="00457060" w:rsidRPr="00457060">
        <w:rPr>
          <w:lang w:val="ru-RU"/>
        </w:rPr>
        <w:t>М</w:t>
      </w:r>
      <w:r w:rsidR="009B36BF" w:rsidRPr="00457060">
        <w:rPr>
          <w:lang w:val="ru-RU"/>
        </w:rPr>
        <w:t>еждународное бюро, а</w:t>
      </w:r>
      <w:r>
        <w:rPr>
          <w:lang w:val="ru-RU"/>
        </w:rPr>
        <w:t> </w:t>
      </w:r>
      <w:r w:rsidR="00457060" w:rsidRPr="00457060">
        <w:rPr>
          <w:lang w:val="ru-RU"/>
        </w:rPr>
        <w:t>М</w:t>
      </w:r>
      <w:r w:rsidR="009B36BF" w:rsidRPr="00457060">
        <w:rPr>
          <w:lang w:val="ru-RU"/>
        </w:rPr>
        <w:t xml:space="preserve">еждународное бюро может пересылать их </w:t>
      </w:r>
      <w:r w:rsidR="00457060" w:rsidRPr="00457060">
        <w:rPr>
          <w:lang w:val="ru-RU"/>
        </w:rPr>
        <w:t>владельцу</w:t>
      </w:r>
      <w:r w:rsidR="009B36BF" w:rsidRPr="00457060">
        <w:rPr>
          <w:lang w:val="ru-RU"/>
        </w:rPr>
        <w:t xml:space="preserve"> только после </w:t>
      </w:r>
      <w:r w:rsidR="00457060">
        <w:rPr>
          <w:lang w:val="ru-RU"/>
        </w:rPr>
        <w:t>их внесения</w:t>
      </w:r>
      <w:r w:rsidR="009B36BF" w:rsidRPr="00457060">
        <w:rPr>
          <w:lang w:val="ru-RU"/>
        </w:rPr>
        <w:t xml:space="preserve"> в</w:t>
      </w:r>
      <w:r>
        <w:rPr>
          <w:lang w:val="ru-RU"/>
        </w:rPr>
        <w:t> </w:t>
      </w:r>
      <w:r w:rsidR="00457060" w:rsidRPr="00457060">
        <w:rPr>
          <w:lang w:val="ru-RU"/>
        </w:rPr>
        <w:t>М</w:t>
      </w:r>
      <w:r w:rsidR="009B36BF" w:rsidRPr="00457060">
        <w:rPr>
          <w:lang w:val="ru-RU"/>
        </w:rPr>
        <w:t>еждународный реестр.</w:t>
      </w:r>
    </w:p>
    <w:p w:rsidR="00590406" w:rsidRPr="00457060" w:rsidRDefault="005101DC" w:rsidP="001123EB">
      <w:pPr>
        <w:pStyle w:val="ONUME"/>
      </w:pPr>
      <w:r w:rsidRPr="00457060">
        <w:rPr>
          <w:lang w:val="ru-RU"/>
        </w:rPr>
        <w:t>В</w:t>
      </w:r>
      <w:r w:rsidR="009B36BF" w:rsidRPr="00457060">
        <w:rPr>
          <w:lang w:val="ru-RU"/>
        </w:rPr>
        <w:t xml:space="preserve">едомства, </w:t>
      </w:r>
      <w:r>
        <w:rPr>
          <w:lang w:val="ru-RU"/>
        </w:rPr>
        <w:t xml:space="preserve">использующие указанный </w:t>
      </w:r>
      <w:r w:rsidR="00457060" w:rsidRPr="00457060">
        <w:rPr>
          <w:lang w:val="ru-RU"/>
        </w:rPr>
        <w:t xml:space="preserve">порядок </w:t>
      </w:r>
      <w:r w:rsidR="009B36BF" w:rsidRPr="00457060">
        <w:rPr>
          <w:lang w:val="ru-RU"/>
        </w:rPr>
        <w:t>исчисления</w:t>
      </w:r>
      <w:r>
        <w:rPr>
          <w:lang w:val="ru-RU"/>
        </w:rPr>
        <w:t xml:space="preserve"> могли бы пользоваться </w:t>
      </w:r>
      <w:r w:rsidR="00457060" w:rsidRPr="00457060">
        <w:rPr>
          <w:snapToGrid w:val="0"/>
          <w:lang w:val="ru-RU"/>
        </w:rPr>
        <w:t>интерпретаци</w:t>
      </w:r>
      <w:r>
        <w:rPr>
          <w:lang w:val="ru-RU"/>
        </w:rPr>
        <w:t>ей</w:t>
      </w:r>
      <w:r w:rsidR="00457060" w:rsidRPr="00457060">
        <w:rPr>
          <w:lang w:val="ru-RU"/>
        </w:rPr>
        <w:t>, которая</w:t>
      </w:r>
      <w:r w:rsidR="009B36BF" w:rsidRPr="00457060">
        <w:rPr>
          <w:lang w:val="ru-RU"/>
        </w:rPr>
        <w:t xml:space="preserve"> </w:t>
      </w:r>
      <w:r>
        <w:rPr>
          <w:lang w:val="ru-RU"/>
        </w:rPr>
        <w:t>бы улучшила</w:t>
      </w:r>
      <w:r w:rsidR="009B36BF" w:rsidRPr="00457060">
        <w:rPr>
          <w:lang w:val="ru-RU"/>
        </w:rPr>
        <w:t xml:space="preserve"> </w:t>
      </w:r>
      <w:r w:rsidR="00457060" w:rsidRPr="00457060">
        <w:rPr>
          <w:lang w:val="ru-RU"/>
        </w:rPr>
        <w:t xml:space="preserve">ситуацию для </w:t>
      </w:r>
      <w:r w:rsidR="009B36BF" w:rsidRPr="00457060">
        <w:rPr>
          <w:lang w:val="ru-RU"/>
        </w:rPr>
        <w:t xml:space="preserve">владельцев без необходимости внесения </w:t>
      </w:r>
      <w:r w:rsidR="00457060" w:rsidRPr="00457060">
        <w:rPr>
          <w:lang w:val="ru-RU"/>
        </w:rPr>
        <w:t xml:space="preserve">поправок в применимое </w:t>
      </w:r>
      <w:r w:rsidR="009B36BF" w:rsidRPr="00457060">
        <w:rPr>
          <w:lang w:val="ru-RU"/>
        </w:rPr>
        <w:t>законодател</w:t>
      </w:r>
      <w:r w:rsidR="00457060" w:rsidRPr="00457060">
        <w:rPr>
          <w:lang w:val="ru-RU"/>
        </w:rPr>
        <w:t>ьство Договаривающихся сторон. При такой интерпретации</w:t>
      </w:r>
      <w:r w:rsidR="009B36BF" w:rsidRPr="00457060">
        <w:rPr>
          <w:lang w:val="ru-RU"/>
        </w:rPr>
        <w:t xml:space="preserve"> и для целей исчисления срока </w:t>
      </w:r>
      <w:r w:rsidR="00457060" w:rsidRPr="00457060">
        <w:rPr>
          <w:lang w:val="ru-RU"/>
        </w:rPr>
        <w:t xml:space="preserve">уведомление об </w:t>
      </w:r>
      <w:r w:rsidR="009B36BF" w:rsidRPr="00457060">
        <w:rPr>
          <w:lang w:val="ru-RU"/>
        </w:rPr>
        <w:t>отказ</w:t>
      </w:r>
      <w:r w:rsidR="00457060" w:rsidRPr="00457060">
        <w:rPr>
          <w:lang w:val="ru-RU"/>
        </w:rPr>
        <w:t>е</w:t>
      </w:r>
      <w:r w:rsidR="009B36BF" w:rsidRPr="00457060">
        <w:rPr>
          <w:lang w:val="ru-RU"/>
        </w:rPr>
        <w:t xml:space="preserve"> мо</w:t>
      </w:r>
      <w:r w:rsidR="00457060" w:rsidRPr="00457060">
        <w:rPr>
          <w:lang w:val="ru-RU"/>
        </w:rPr>
        <w:t xml:space="preserve">гло бы </w:t>
      </w:r>
      <w:r w:rsidR="009B36BF" w:rsidRPr="00457060">
        <w:rPr>
          <w:lang w:val="ru-RU"/>
        </w:rPr>
        <w:t xml:space="preserve">считаться выданным или переданным в </w:t>
      </w:r>
      <w:r w:rsidR="00457060" w:rsidRPr="00457060">
        <w:rPr>
          <w:lang w:val="ru-RU"/>
        </w:rPr>
        <w:t>М</w:t>
      </w:r>
      <w:r w:rsidR="009B36BF" w:rsidRPr="00457060">
        <w:rPr>
          <w:lang w:val="ru-RU"/>
        </w:rPr>
        <w:t xml:space="preserve">еждународное бюро </w:t>
      </w:r>
      <w:r w:rsidR="00457060" w:rsidRPr="00457060">
        <w:rPr>
          <w:lang w:val="ru-RU"/>
        </w:rPr>
        <w:t xml:space="preserve">в ту </w:t>
      </w:r>
      <w:r w:rsidR="009B36BF" w:rsidRPr="00457060">
        <w:rPr>
          <w:lang w:val="ru-RU"/>
        </w:rPr>
        <w:t xml:space="preserve">дату, </w:t>
      </w:r>
      <w:r w:rsidR="00457060" w:rsidRPr="00457060">
        <w:rPr>
          <w:lang w:val="ru-RU"/>
        </w:rPr>
        <w:t>в</w:t>
      </w:r>
      <w:r w:rsidR="00457060">
        <w:rPr>
          <w:lang w:val="ru-RU"/>
        </w:rPr>
        <w:t> </w:t>
      </w:r>
      <w:r w:rsidR="00457060" w:rsidRPr="00457060">
        <w:rPr>
          <w:lang w:val="ru-RU"/>
        </w:rPr>
        <w:t>которую М</w:t>
      </w:r>
      <w:r w:rsidR="009B36BF" w:rsidRPr="00457060">
        <w:rPr>
          <w:lang w:val="ru-RU"/>
        </w:rPr>
        <w:t>еждународное бюро пересылает его владельцу.</w:t>
      </w:r>
    </w:p>
    <w:p w:rsidR="00590406" w:rsidRPr="00AD7AE7" w:rsidRDefault="00457060" w:rsidP="000A05F1">
      <w:pPr>
        <w:pStyle w:val="ONUME"/>
        <w:keepLines/>
        <w:rPr>
          <w:lang w:val="ru-RU"/>
        </w:rPr>
      </w:pPr>
      <w:r w:rsidRPr="00457060">
        <w:rPr>
          <w:lang w:val="ru-RU"/>
        </w:rPr>
        <w:t>Т</w:t>
      </w:r>
      <w:r w:rsidR="009B36BF" w:rsidRPr="00457060">
        <w:rPr>
          <w:lang w:val="ru-RU"/>
        </w:rPr>
        <w:t>ак</w:t>
      </w:r>
      <w:r w:rsidRPr="00457060">
        <w:rPr>
          <w:lang w:val="ru-RU"/>
        </w:rPr>
        <w:t xml:space="preserve">ая </w:t>
      </w:r>
      <w:r w:rsidRPr="00457060">
        <w:rPr>
          <w:snapToGrid w:val="0"/>
          <w:lang w:val="ru-RU"/>
        </w:rPr>
        <w:t>интерпретаци</w:t>
      </w:r>
      <w:r w:rsidRPr="00457060">
        <w:rPr>
          <w:lang w:val="ru-RU"/>
        </w:rPr>
        <w:t>я, которая мо</w:t>
      </w:r>
      <w:r w:rsidR="005101DC">
        <w:rPr>
          <w:lang w:val="ru-RU"/>
        </w:rPr>
        <w:t xml:space="preserve">жно было </w:t>
      </w:r>
      <w:r w:rsidRPr="00457060">
        <w:rPr>
          <w:lang w:val="ru-RU"/>
        </w:rPr>
        <w:t xml:space="preserve">бы </w:t>
      </w:r>
      <w:r w:rsidR="005101DC">
        <w:rPr>
          <w:lang w:val="ru-RU"/>
        </w:rPr>
        <w:t>отразить</w:t>
      </w:r>
      <w:r w:rsidRPr="00457060">
        <w:rPr>
          <w:lang w:val="ru-RU"/>
        </w:rPr>
        <w:t xml:space="preserve"> в Инструкции, позволяла</w:t>
      </w:r>
      <w:r w:rsidR="009B36BF" w:rsidRPr="00457060">
        <w:rPr>
          <w:lang w:val="ru-RU"/>
        </w:rPr>
        <w:t xml:space="preserve"> бы </w:t>
      </w:r>
      <w:r w:rsidRPr="00457060">
        <w:rPr>
          <w:lang w:val="ru-RU"/>
        </w:rPr>
        <w:t>Международному бюро указывать</w:t>
      </w:r>
      <w:r w:rsidR="009B36BF" w:rsidRPr="00457060">
        <w:rPr>
          <w:lang w:val="ru-RU"/>
        </w:rPr>
        <w:t xml:space="preserve"> фактическую дату истечения срока</w:t>
      </w:r>
      <w:r w:rsidRPr="00457060">
        <w:rPr>
          <w:lang w:val="ru-RU"/>
        </w:rPr>
        <w:t xml:space="preserve"> при направлении уведомления</w:t>
      </w:r>
      <w:r w:rsidR="009B36BF" w:rsidRPr="00457060">
        <w:rPr>
          <w:lang w:val="ru-RU"/>
        </w:rPr>
        <w:t xml:space="preserve"> </w:t>
      </w:r>
      <w:r w:rsidRPr="00457060">
        <w:rPr>
          <w:lang w:val="ru-RU"/>
        </w:rPr>
        <w:t xml:space="preserve">владельцу, и </w:t>
      </w:r>
      <w:r w:rsidR="005101DC">
        <w:rPr>
          <w:lang w:val="ru-RU"/>
        </w:rPr>
        <w:t xml:space="preserve">давала </w:t>
      </w:r>
      <w:r w:rsidR="009B36BF" w:rsidRPr="00457060">
        <w:rPr>
          <w:lang w:val="ru-RU"/>
        </w:rPr>
        <w:t xml:space="preserve">бы </w:t>
      </w:r>
      <w:r w:rsidR="00AD7AE7">
        <w:rPr>
          <w:lang w:val="ru-RU"/>
        </w:rPr>
        <w:t>владельца</w:t>
      </w:r>
      <w:r w:rsidR="009B36BF" w:rsidRPr="00457060">
        <w:rPr>
          <w:lang w:val="ru-RU"/>
        </w:rPr>
        <w:t xml:space="preserve">м достаточное время для рассмотрения вопроса об оспаривании отказа. </w:t>
      </w:r>
    </w:p>
    <w:p w:rsidR="00590406" w:rsidRPr="00134E33" w:rsidRDefault="00457060" w:rsidP="001123EB">
      <w:pPr>
        <w:pStyle w:val="Heading2"/>
        <w:rPr>
          <w:lang w:val="ru-RU"/>
        </w:rPr>
      </w:pPr>
      <w:r w:rsidRPr="00457060">
        <w:rPr>
          <w:lang w:val="ru-RU"/>
        </w:rPr>
        <w:t>исчисление</w:t>
      </w:r>
      <w:r w:rsidR="009B36BF" w:rsidRPr="00457060">
        <w:rPr>
          <w:lang w:val="ru-RU"/>
        </w:rPr>
        <w:t xml:space="preserve"> срока с даты</w:t>
      </w:r>
      <w:r w:rsidRPr="00457060">
        <w:rPr>
          <w:lang w:val="ru-RU"/>
        </w:rPr>
        <w:t xml:space="preserve"> пересылки международнЫМ</w:t>
      </w:r>
      <w:r w:rsidR="009B36BF" w:rsidRPr="00457060">
        <w:rPr>
          <w:lang w:val="ru-RU"/>
        </w:rPr>
        <w:t xml:space="preserve"> бюро </w:t>
      </w:r>
      <w:r w:rsidRPr="00457060">
        <w:rPr>
          <w:lang w:val="ru-RU"/>
        </w:rPr>
        <w:t>уведомления</w:t>
      </w:r>
      <w:r w:rsidR="009B36BF" w:rsidRPr="00457060">
        <w:rPr>
          <w:lang w:val="ru-RU"/>
        </w:rPr>
        <w:t xml:space="preserve"> держателю</w:t>
      </w:r>
    </w:p>
    <w:p w:rsidR="00590406" w:rsidRPr="00134E33" w:rsidRDefault="005101DC" w:rsidP="001123EB">
      <w:pPr>
        <w:pStyle w:val="ONUME"/>
        <w:rPr>
          <w:lang w:val="ru-RU"/>
        </w:rPr>
      </w:pPr>
      <w:r w:rsidRPr="00134E33">
        <w:rPr>
          <w:lang w:val="ru-RU"/>
        </w:rPr>
        <w:t>Подход, при котором срок исчисляется с даты передачи Международным бюро уведомления владельцу</w:t>
      </w:r>
      <w:r>
        <w:rPr>
          <w:lang w:val="ru-RU"/>
        </w:rPr>
        <w:t>, обеспечил бы</w:t>
      </w:r>
      <w:r w:rsidR="009B36BF" w:rsidRPr="00134E33">
        <w:rPr>
          <w:lang w:val="ru-RU"/>
        </w:rPr>
        <w:t xml:space="preserve"> правовую определенность и прозрачность для всех пользователей </w:t>
      </w:r>
      <w:r w:rsidR="00457060" w:rsidRPr="00134E33">
        <w:rPr>
          <w:lang w:val="ru-RU"/>
        </w:rPr>
        <w:t>М</w:t>
      </w:r>
      <w:r w:rsidR="009B36BF" w:rsidRPr="00134E33">
        <w:rPr>
          <w:lang w:val="ru-RU"/>
        </w:rPr>
        <w:t xml:space="preserve">адридской системы. </w:t>
      </w:r>
    </w:p>
    <w:p w:rsidR="00590406" w:rsidRPr="00134E33" w:rsidRDefault="00134E33" w:rsidP="001123EB">
      <w:pPr>
        <w:pStyle w:val="ONUME"/>
        <w:rPr>
          <w:lang w:val="ru-RU"/>
        </w:rPr>
      </w:pPr>
      <w:r w:rsidRPr="00134E33">
        <w:rPr>
          <w:lang w:val="ru-RU"/>
        </w:rPr>
        <w:t>М</w:t>
      </w:r>
      <w:r w:rsidR="009B36BF" w:rsidRPr="00134E33">
        <w:rPr>
          <w:lang w:val="ru-RU"/>
        </w:rPr>
        <w:t xml:space="preserve">еждународное бюро информирует ведомства о дате, </w:t>
      </w:r>
      <w:r w:rsidR="005101DC">
        <w:rPr>
          <w:lang w:val="ru-RU"/>
        </w:rPr>
        <w:t xml:space="preserve">в </w:t>
      </w:r>
      <w:r w:rsidR="009B36BF" w:rsidRPr="00134E33">
        <w:rPr>
          <w:lang w:val="ru-RU"/>
        </w:rPr>
        <w:t xml:space="preserve">которую оно переслало уведомление </w:t>
      </w:r>
      <w:r w:rsidRPr="00134E33">
        <w:rPr>
          <w:lang w:val="ru-RU"/>
        </w:rPr>
        <w:t>владельцу</w:t>
      </w:r>
      <w:r w:rsidR="009B36BF" w:rsidRPr="00134E33">
        <w:rPr>
          <w:lang w:val="ru-RU"/>
        </w:rPr>
        <w:t xml:space="preserve">, </w:t>
      </w:r>
      <w:r w:rsidRPr="00134E33">
        <w:rPr>
          <w:lang w:val="ru-RU"/>
        </w:rPr>
        <w:t>своим подтверждением получения, направляемым</w:t>
      </w:r>
      <w:r w:rsidR="009B36BF" w:rsidRPr="00134E33">
        <w:rPr>
          <w:lang w:val="ru-RU"/>
        </w:rPr>
        <w:t xml:space="preserve"> в ве</w:t>
      </w:r>
      <w:r w:rsidRPr="00134E33">
        <w:rPr>
          <w:lang w:val="ru-RU"/>
        </w:rPr>
        <w:t>домства</w:t>
      </w:r>
      <w:r w:rsidR="005101DC">
        <w:rPr>
          <w:lang w:val="ru-RU"/>
        </w:rPr>
        <w:t xml:space="preserve">; </w:t>
      </w:r>
      <w:r w:rsidRPr="00134E33">
        <w:rPr>
          <w:lang w:val="ru-RU"/>
        </w:rPr>
        <w:t xml:space="preserve">в </w:t>
      </w:r>
      <w:r w:rsidR="005101DC">
        <w:rPr>
          <w:lang w:val="ru-RU"/>
        </w:rPr>
        <w:t xml:space="preserve">нем </w:t>
      </w:r>
      <w:r w:rsidRPr="00134E33">
        <w:rPr>
          <w:lang w:val="ru-RU"/>
        </w:rPr>
        <w:t xml:space="preserve">также указывается </w:t>
      </w:r>
      <w:r w:rsidR="009B36BF" w:rsidRPr="00134E33">
        <w:rPr>
          <w:lang w:val="ru-RU"/>
        </w:rPr>
        <w:t xml:space="preserve">дата получения </w:t>
      </w:r>
      <w:r w:rsidR="005101DC" w:rsidRPr="005101DC">
        <w:rPr>
          <w:lang w:val="ru-RU"/>
        </w:rPr>
        <w:t>уведомлени</w:t>
      </w:r>
      <w:r w:rsidR="005101DC">
        <w:rPr>
          <w:lang w:val="ru-RU"/>
        </w:rPr>
        <w:t xml:space="preserve">я </w:t>
      </w:r>
      <w:r w:rsidRPr="00134E33">
        <w:rPr>
          <w:lang w:val="ru-RU"/>
        </w:rPr>
        <w:t>Международным бюро. О</w:t>
      </w:r>
      <w:r w:rsidR="009B36BF" w:rsidRPr="00134E33">
        <w:rPr>
          <w:lang w:val="ru-RU"/>
        </w:rPr>
        <w:t xml:space="preserve">бе даты также </w:t>
      </w:r>
      <w:r w:rsidRPr="00134E33">
        <w:rPr>
          <w:lang w:val="ru-RU"/>
        </w:rPr>
        <w:t xml:space="preserve">публикуются </w:t>
      </w:r>
      <w:r w:rsidR="009B36BF" w:rsidRPr="00134E33">
        <w:rPr>
          <w:lang w:val="ru-RU"/>
        </w:rPr>
        <w:t xml:space="preserve">в онлайновой базе данных </w:t>
      </w:r>
      <w:r w:rsidR="005101DC" w:rsidRPr="005101DC">
        <w:rPr>
          <w:lang w:val="ru-RU"/>
        </w:rPr>
        <w:t>систем</w:t>
      </w:r>
      <w:r w:rsidR="005101DC">
        <w:rPr>
          <w:lang w:val="ru-RU"/>
        </w:rPr>
        <w:t xml:space="preserve">ы </w:t>
      </w:r>
      <w:r w:rsidRPr="00134E33">
        <w:t>M</w:t>
      </w:r>
      <w:r w:rsidR="009B36BF" w:rsidRPr="00134E33">
        <w:t>adrid</w:t>
      </w:r>
      <w:r w:rsidR="009B36BF" w:rsidRPr="00134E33">
        <w:rPr>
          <w:lang w:val="ru-RU"/>
        </w:rPr>
        <w:t xml:space="preserve"> </w:t>
      </w:r>
      <w:r w:rsidRPr="00134E33">
        <w:t>M</w:t>
      </w:r>
      <w:r w:rsidR="009B36BF" w:rsidRPr="00134E33">
        <w:t>onitor</w:t>
      </w:r>
      <w:r w:rsidRPr="00134E33">
        <w:rPr>
          <w:lang w:val="ru-RU"/>
        </w:rPr>
        <w:t>.</w:t>
      </w:r>
    </w:p>
    <w:p w:rsidR="00590406" w:rsidRPr="00AD7AE7" w:rsidRDefault="005F0E0B" w:rsidP="00C42528">
      <w:pPr>
        <w:pStyle w:val="Heading2"/>
        <w:rPr>
          <w:lang w:val="ru-RU"/>
        </w:rPr>
      </w:pPr>
      <w:r w:rsidRPr="00134E33">
        <w:rPr>
          <w:lang w:val="ru-RU"/>
        </w:rPr>
        <w:t>исчислени</w:t>
      </w:r>
      <w:r w:rsidR="00134E33" w:rsidRPr="00134E33">
        <w:rPr>
          <w:lang w:val="ru-RU"/>
        </w:rPr>
        <w:t>Е</w:t>
      </w:r>
      <w:r w:rsidR="009B36BF" w:rsidRPr="00134E33">
        <w:rPr>
          <w:lang w:val="ru-RU"/>
        </w:rPr>
        <w:t xml:space="preserve"> срока с даты</w:t>
      </w:r>
      <w:r w:rsidR="00134E33">
        <w:rPr>
          <w:lang w:val="ru-RU"/>
        </w:rPr>
        <w:t xml:space="preserve"> получения владельце</w:t>
      </w:r>
      <w:r w:rsidR="00134E33" w:rsidRPr="00AD7AE7">
        <w:rPr>
          <w:lang w:val="ru-RU"/>
        </w:rPr>
        <w:t>м</w:t>
      </w:r>
      <w:r w:rsidR="009B36BF" w:rsidRPr="00AD7AE7">
        <w:rPr>
          <w:lang w:val="ru-RU"/>
        </w:rPr>
        <w:t xml:space="preserve"> </w:t>
      </w:r>
      <w:r w:rsidR="00134E33" w:rsidRPr="00AD7AE7">
        <w:rPr>
          <w:lang w:val="ru-RU"/>
        </w:rPr>
        <w:t>уведомления</w:t>
      </w:r>
      <w:r w:rsidR="009B36BF" w:rsidRPr="00AD7AE7">
        <w:rPr>
          <w:lang w:val="ru-RU"/>
        </w:rPr>
        <w:t xml:space="preserve"> от международного бюро</w:t>
      </w:r>
    </w:p>
    <w:p w:rsidR="00590406" w:rsidRPr="00E60954" w:rsidRDefault="00AD7AE7" w:rsidP="001123EB">
      <w:pPr>
        <w:pStyle w:val="ONUME"/>
        <w:rPr>
          <w:lang w:val="ru-RU"/>
        </w:rPr>
      </w:pPr>
      <w:r w:rsidRPr="00AD7AE7">
        <w:rPr>
          <w:lang w:val="ru-RU"/>
        </w:rPr>
        <w:t>Хотя исчисление</w:t>
      </w:r>
      <w:r w:rsidR="009B36BF" w:rsidRPr="00AD7AE7">
        <w:rPr>
          <w:lang w:val="ru-RU"/>
        </w:rPr>
        <w:t xml:space="preserve"> срока с даты получения </w:t>
      </w:r>
      <w:r w:rsidRPr="00AD7AE7">
        <w:rPr>
          <w:lang w:val="ru-RU"/>
        </w:rPr>
        <w:t>владельцем</w:t>
      </w:r>
      <w:r w:rsidR="009B36BF" w:rsidRPr="00AD7AE7">
        <w:rPr>
          <w:lang w:val="ru-RU"/>
        </w:rPr>
        <w:t xml:space="preserve"> уведомления об отказе может иметь менее серьезные последствия для </w:t>
      </w:r>
      <w:r w:rsidRPr="00AD7AE7">
        <w:rPr>
          <w:lang w:val="ru-RU"/>
        </w:rPr>
        <w:t>владельца</w:t>
      </w:r>
      <w:r w:rsidR="009B36BF" w:rsidRPr="00AD7AE7">
        <w:rPr>
          <w:lang w:val="ru-RU"/>
        </w:rPr>
        <w:t xml:space="preserve"> по сравнению с упомянутыми выше</w:t>
      </w:r>
      <w:r w:rsidRPr="00AD7AE7">
        <w:rPr>
          <w:lang w:val="ru-RU"/>
        </w:rPr>
        <w:t xml:space="preserve"> </w:t>
      </w:r>
      <w:r w:rsidR="00E60954" w:rsidRPr="00047901">
        <w:rPr>
          <w:lang w:val="ru-RU"/>
        </w:rPr>
        <w:t>способ</w:t>
      </w:r>
      <w:r w:rsidR="00E60954">
        <w:rPr>
          <w:lang w:val="ru-RU"/>
        </w:rPr>
        <w:t>ами</w:t>
      </w:r>
      <w:r w:rsidR="009B36BF" w:rsidRPr="00AD7AE7">
        <w:rPr>
          <w:lang w:val="ru-RU"/>
        </w:rPr>
        <w:t>, он</w:t>
      </w:r>
      <w:r w:rsidR="005101DC">
        <w:rPr>
          <w:lang w:val="ru-RU"/>
        </w:rPr>
        <w:t>о</w:t>
      </w:r>
      <w:r w:rsidR="009B36BF" w:rsidRPr="00AD7AE7">
        <w:rPr>
          <w:lang w:val="ru-RU"/>
        </w:rPr>
        <w:t xml:space="preserve"> не обеспечивает правовой определенности. </w:t>
      </w:r>
    </w:p>
    <w:p w:rsidR="00590406" w:rsidRPr="00AD7AE7" w:rsidRDefault="00AD7AE7" w:rsidP="001123EB">
      <w:pPr>
        <w:pStyle w:val="ONUME"/>
        <w:rPr>
          <w:lang w:val="ru-RU"/>
        </w:rPr>
      </w:pPr>
      <w:r w:rsidRPr="00AD7AE7">
        <w:rPr>
          <w:lang w:val="ru-RU"/>
        </w:rPr>
        <w:t xml:space="preserve">При этом </w:t>
      </w:r>
      <w:r w:rsidR="00E60954" w:rsidRPr="00047901">
        <w:rPr>
          <w:lang w:val="ru-RU"/>
        </w:rPr>
        <w:t xml:space="preserve">способе </w:t>
      </w:r>
      <w:r w:rsidR="009B36BF" w:rsidRPr="00AD7AE7">
        <w:rPr>
          <w:lang w:val="ru-RU"/>
        </w:rPr>
        <w:t>исчисления в</w:t>
      </w:r>
      <w:r w:rsidRPr="00AD7AE7">
        <w:rPr>
          <w:lang w:val="ru-RU"/>
        </w:rPr>
        <w:t xml:space="preserve">озникают </w:t>
      </w:r>
      <w:r w:rsidR="009B36BF" w:rsidRPr="00AD7AE7">
        <w:rPr>
          <w:lang w:val="ru-RU"/>
        </w:rPr>
        <w:t xml:space="preserve">вопросы, </w:t>
      </w:r>
      <w:r w:rsidRPr="00AD7AE7">
        <w:rPr>
          <w:lang w:val="ru-RU"/>
        </w:rPr>
        <w:t xml:space="preserve">касающиеся, </w:t>
      </w:r>
      <w:r w:rsidR="009B36BF" w:rsidRPr="00AD7AE7">
        <w:rPr>
          <w:lang w:val="ru-RU"/>
        </w:rPr>
        <w:t>например, даты, в</w:t>
      </w:r>
      <w:r>
        <w:rPr>
          <w:lang w:val="ru-RU"/>
        </w:rPr>
        <w:t> </w:t>
      </w:r>
      <w:r w:rsidR="009B36BF" w:rsidRPr="00AD7AE7">
        <w:rPr>
          <w:lang w:val="ru-RU"/>
        </w:rPr>
        <w:t xml:space="preserve">которую </w:t>
      </w:r>
      <w:r w:rsidRPr="00AD7AE7">
        <w:rPr>
          <w:lang w:val="ru-RU"/>
        </w:rPr>
        <w:t>владелец</w:t>
      </w:r>
      <w:r w:rsidR="009B36BF" w:rsidRPr="00AD7AE7">
        <w:rPr>
          <w:lang w:val="ru-RU"/>
        </w:rPr>
        <w:t xml:space="preserve"> считается получившим уведомление,</w:t>
      </w:r>
      <w:r w:rsidRPr="00AD7AE7">
        <w:rPr>
          <w:lang w:val="ru-RU"/>
        </w:rPr>
        <w:t xml:space="preserve"> а также того, как</w:t>
      </w:r>
      <w:r w:rsidR="009B36BF" w:rsidRPr="00AD7AE7">
        <w:rPr>
          <w:lang w:val="ru-RU"/>
        </w:rPr>
        <w:t xml:space="preserve"> </w:t>
      </w:r>
      <w:r w:rsidRPr="00AD7AE7">
        <w:rPr>
          <w:lang w:val="ru-RU"/>
        </w:rPr>
        <w:t>он</w:t>
      </w:r>
      <w:r w:rsidR="009B36BF" w:rsidRPr="00AD7AE7">
        <w:rPr>
          <w:lang w:val="ru-RU"/>
        </w:rPr>
        <w:t xml:space="preserve"> мо</w:t>
      </w:r>
      <w:r w:rsidRPr="00AD7AE7">
        <w:rPr>
          <w:lang w:val="ru-RU"/>
        </w:rPr>
        <w:t xml:space="preserve">жет </w:t>
      </w:r>
      <w:r w:rsidR="0037079B">
        <w:rPr>
          <w:lang w:val="ru-RU"/>
        </w:rPr>
        <w:t xml:space="preserve">подтвердить </w:t>
      </w:r>
      <w:r w:rsidR="009B36BF" w:rsidRPr="00AD7AE7">
        <w:rPr>
          <w:lang w:val="ru-RU"/>
        </w:rPr>
        <w:t xml:space="preserve">фактическую дату получения, особенно если эта дата является более поздней, чем дата, в которую </w:t>
      </w:r>
      <w:r w:rsidRPr="00AD7AE7">
        <w:rPr>
          <w:lang w:val="ru-RU"/>
        </w:rPr>
        <w:t xml:space="preserve">владелец предположительно </w:t>
      </w:r>
      <w:r w:rsidR="009B36BF" w:rsidRPr="00AD7AE7">
        <w:rPr>
          <w:lang w:val="ru-RU"/>
        </w:rPr>
        <w:t xml:space="preserve">получил уведомление. </w:t>
      </w:r>
    </w:p>
    <w:p w:rsidR="00590406" w:rsidRPr="00AD7AE7" w:rsidRDefault="00AD7AE7" w:rsidP="001123EB">
      <w:pPr>
        <w:pStyle w:val="ONUME"/>
      </w:pPr>
      <w:r w:rsidRPr="00AD7AE7">
        <w:rPr>
          <w:lang w:val="ru-RU"/>
        </w:rPr>
        <w:t>П</w:t>
      </w:r>
      <w:r w:rsidR="009B36BF" w:rsidRPr="00AD7AE7">
        <w:rPr>
          <w:lang w:val="ru-RU"/>
        </w:rPr>
        <w:t xml:space="preserve">редставляется, что </w:t>
      </w:r>
      <w:r w:rsidRPr="00AD7AE7">
        <w:rPr>
          <w:lang w:val="ru-RU"/>
        </w:rPr>
        <w:t xml:space="preserve">наиболее удобным </w:t>
      </w:r>
      <w:r w:rsidR="009B36BF" w:rsidRPr="00AD7AE7">
        <w:rPr>
          <w:lang w:val="ru-RU"/>
        </w:rPr>
        <w:t xml:space="preserve">для всех пользователей </w:t>
      </w:r>
      <w:r w:rsidRPr="00AD7AE7">
        <w:rPr>
          <w:lang w:val="ru-RU"/>
        </w:rPr>
        <w:t>М</w:t>
      </w:r>
      <w:r w:rsidR="009B36BF" w:rsidRPr="00AD7AE7">
        <w:rPr>
          <w:lang w:val="ru-RU"/>
        </w:rPr>
        <w:t>адридской системы</w:t>
      </w:r>
      <w:r w:rsidR="0037079B">
        <w:rPr>
          <w:lang w:val="ru-RU"/>
        </w:rPr>
        <w:t xml:space="preserve">: </w:t>
      </w:r>
      <w:r w:rsidR="009B36BF" w:rsidRPr="00AD7AE7">
        <w:rPr>
          <w:lang w:val="ru-RU"/>
        </w:rPr>
        <w:t xml:space="preserve">как владельцев, так и ведомств и третьих лиц </w:t>
      </w:r>
      <w:r w:rsidRPr="00AD7AE7">
        <w:rPr>
          <w:rFonts w:eastAsia="+mn-ea"/>
          <w:lang w:val="ru-RU" w:eastAsia="en-US"/>
        </w:rPr>
        <w:t>–</w:t>
      </w:r>
      <w:r w:rsidRPr="00AD7AE7">
        <w:rPr>
          <w:lang w:val="ru-RU"/>
        </w:rPr>
        <w:t xml:space="preserve"> </w:t>
      </w:r>
      <w:r w:rsidR="009B36BF" w:rsidRPr="00AD7AE7">
        <w:rPr>
          <w:lang w:val="ru-RU"/>
        </w:rPr>
        <w:t xml:space="preserve">является </w:t>
      </w:r>
      <w:r w:rsidR="00E60954">
        <w:rPr>
          <w:lang w:val="ru-RU"/>
        </w:rPr>
        <w:t>способ</w:t>
      </w:r>
      <w:r w:rsidR="00E60954" w:rsidRPr="00047901">
        <w:rPr>
          <w:lang w:val="ru-RU"/>
        </w:rPr>
        <w:t xml:space="preserve"> </w:t>
      </w:r>
      <w:r w:rsidR="005F0E0B" w:rsidRPr="00AD7AE7">
        <w:rPr>
          <w:lang w:val="ru-RU"/>
        </w:rPr>
        <w:t>исчис</w:t>
      </w:r>
      <w:r w:rsidRPr="00AD7AE7">
        <w:rPr>
          <w:lang w:val="ru-RU"/>
        </w:rPr>
        <w:t>ления</w:t>
      </w:r>
      <w:r w:rsidR="009B36BF" w:rsidRPr="00AD7AE7">
        <w:rPr>
          <w:lang w:val="ru-RU"/>
        </w:rPr>
        <w:t xml:space="preserve">, при котором срок ответа на уведомление о предварительном отказе исчисляется с даты, </w:t>
      </w:r>
      <w:r w:rsidRPr="00AD7AE7">
        <w:rPr>
          <w:lang w:val="ru-RU"/>
        </w:rPr>
        <w:t>в которую М</w:t>
      </w:r>
      <w:r w:rsidR="009B36BF" w:rsidRPr="00AD7AE7">
        <w:rPr>
          <w:lang w:val="ru-RU"/>
        </w:rPr>
        <w:t>еждународное</w:t>
      </w:r>
      <w:r w:rsidR="009B36BF" w:rsidRPr="00AD7AE7">
        <w:t xml:space="preserve"> </w:t>
      </w:r>
      <w:r w:rsidR="009B36BF" w:rsidRPr="00AD7AE7">
        <w:rPr>
          <w:lang w:val="ru-RU"/>
        </w:rPr>
        <w:t>бюро</w:t>
      </w:r>
      <w:r w:rsidR="009B36BF" w:rsidRPr="00AD7AE7">
        <w:t xml:space="preserve"> </w:t>
      </w:r>
      <w:r w:rsidR="009B36BF" w:rsidRPr="00AD7AE7">
        <w:rPr>
          <w:lang w:val="ru-RU"/>
        </w:rPr>
        <w:t>пересылает</w:t>
      </w:r>
      <w:r w:rsidR="009B36BF" w:rsidRPr="00AD7AE7">
        <w:t xml:space="preserve"> </w:t>
      </w:r>
      <w:r w:rsidRPr="00AD7AE7">
        <w:rPr>
          <w:lang w:val="ru-RU"/>
        </w:rPr>
        <w:t>такое</w:t>
      </w:r>
      <w:r w:rsidRPr="00AD7AE7">
        <w:t xml:space="preserve"> </w:t>
      </w:r>
      <w:r w:rsidR="009B36BF" w:rsidRPr="00AD7AE7">
        <w:rPr>
          <w:lang w:val="ru-RU"/>
        </w:rPr>
        <w:t>уведомление</w:t>
      </w:r>
      <w:r w:rsidR="009B36BF" w:rsidRPr="00AD7AE7">
        <w:t xml:space="preserve"> </w:t>
      </w:r>
      <w:r w:rsidR="009B36BF" w:rsidRPr="00AD7AE7">
        <w:rPr>
          <w:lang w:val="ru-RU"/>
        </w:rPr>
        <w:t>владельцу</w:t>
      </w:r>
      <w:r w:rsidR="009B36BF" w:rsidRPr="00AD7AE7">
        <w:t xml:space="preserve">. </w:t>
      </w:r>
    </w:p>
    <w:p w:rsidR="00590406" w:rsidRPr="00931EC3" w:rsidRDefault="009B36BF" w:rsidP="00C42528">
      <w:pPr>
        <w:pStyle w:val="Heading1"/>
        <w:rPr>
          <w:lang w:val="ru-RU"/>
        </w:rPr>
      </w:pPr>
      <w:r w:rsidRPr="00931EC3">
        <w:rPr>
          <w:lang w:val="ru-RU"/>
        </w:rPr>
        <w:t>ФИКСИРОВАННЫЙ ИЛИ МИНИМАЛЬНЫЙ СРОК</w:t>
      </w:r>
    </w:p>
    <w:p w:rsidR="00590406" w:rsidRPr="00DB45D8" w:rsidRDefault="00845D86" w:rsidP="001123EB">
      <w:pPr>
        <w:pStyle w:val="ONUME"/>
        <w:rPr>
          <w:lang w:val="ru-RU"/>
        </w:rPr>
      </w:pPr>
      <w:r>
        <w:rPr>
          <w:lang w:val="ru-RU"/>
        </w:rPr>
        <w:t>Наличие фиксированного или минимального</w:t>
      </w:r>
      <w:r w:rsidR="009B36BF" w:rsidRPr="00861751">
        <w:rPr>
          <w:lang w:val="ru-RU"/>
        </w:rPr>
        <w:t xml:space="preserve"> срок</w:t>
      </w:r>
      <w:r>
        <w:rPr>
          <w:lang w:val="ru-RU"/>
        </w:rPr>
        <w:t>а, исчисляемого</w:t>
      </w:r>
      <w:r w:rsidR="009B36BF" w:rsidRPr="00861751">
        <w:rPr>
          <w:lang w:val="ru-RU"/>
        </w:rPr>
        <w:t xml:space="preserve"> с даты, </w:t>
      </w:r>
      <w:r w:rsidR="00861751" w:rsidRPr="00861751">
        <w:rPr>
          <w:lang w:val="ru-RU"/>
        </w:rPr>
        <w:t xml:space="preserve">в </w:t>
      </w:r>
      <w:r w:rsidR="00613B29" w:rsidRPr="00861751">
        <w:rPr>
          <w:lang w:val="ru-RU"/>
        </w:rPr>
        <w:t>которую</w:t>
      </w:r>
      <w:r w:rsidR="009B36BF" w:rsidRPr="00861751">
        <w:rPr>
          <w:lang w:val="ru-RU"/>
        </w:rPr>
        <w:t xml:space="preserve"> Международное бюро </w:t>
      </w:r>
      <w:r w:rsidR="0037079B">
        <w:rPr>
          <w:lang w:val="ru-RU"/>
        </w:rPr>
        <w:t xml:space="preserve">пересылает </w:t>
      </w:r>
      <w:r w:rsidR="009B36BF" w:rsidRPr="00861751">
        <w:rPr>
          <w:lang w:val="ru-RU"/>
        </w:rPr>
        <w:t xml:space="preserve">уведомление о предварительном отказе владельцу, обеспечит дополнительную </w:t>
      </w:r>
      <w:r w:rsidR="00861751" w:rsidRPr="00861751">
        <w:rPr>
          <w:lang w:val="ru-RU"/>
        </w:rPr>
        <w:t xml:space="preserve">определенность </w:t>
      </w:r>
      <w:r w:rsidR="009B36BF" w:rsidRPr="00861751">
        <w:rPr>
          <w:lang w:val="ru-RU"/>
        </w:rPr>
        <w:t>для всех пол</w:t>
      </w:r>
      <w:r w:rsidR="00861751" w:rsidRPr="00861751">
        <w:rPr>
          <w:lang w:val="ru-RU"/>
        </w:rPr>
        <w:t>ь</w:t>
      </w:r>
      <w:r w:rsidR="00861751" w:rsidRPr="00DB45D8">
        <w:rPr>
          <w:lang w:val="ru-RU"/>
        </w:rPr>
        <w:t>зователей Мадридской системы. Он</w:t>
      </w:r>
      <w:r>
        <w:rPr>
          <w:lang w:val="ru-RU"/>
        </w:rPr>
        <w:t>о</w:t>
      </w:r>
      <w:r w:rsidR="00861751" w:rsidRPr="00DB45D8">
        <w:rPr>
          <w:lang w:val="ru-RU"/>
        </w:rPr>
        <w:t xml:space="preserve"> </w:t>
      </w:r>
      <w:r w:rsidR="009B36BF" w:rsidRPr="00DB45D8">
        <w:rPr>
          <w:lang w:val="ru-RU"/>
        </w:rPr>
        <w:t xml:space="preserve">не только </w:t>
      </w:r>
      <w:r>
        <w:rPr>
          <w:lang w:val="ru-RU"/>
        </w:rPr>
        <w:t xml:space="preserve">позволит </w:t>
      </w:r>
      <w:r w:rsidR="00AD7AE7" w:rsidRPr="00DB45D8">
        <w:rPr>
          <w:lang w:val="ru-RU"/>
        </w:rPr>
        <w:t>владельца</w:t>
      </w:r>
      <w:r w:rsidR="009B36BF" w:rsidRPr="00DB45D8">
        <w:rPr>
          <w:lang w:val="ru-RU"/>
        </w:rPr>
        <w:t xml:space="preserve">м </w:t>
      </w:r>
      <w:r w:rsidR="00861751" w:rsidRPr="00DB45D8">
        <w:rPr>
          <w:lang w:val="ru-RU"/>
        </w:rPr>
        <w:t>зна</w:t>
      </w:r>
      <w:r>
        <w:rPr>
          <w:lang w:val="ru-RU"/>
        </w:rPr>
        <w:t xml:space="preserve">ть </w:t>
      </w:r>
      <w:r w:rsidRPr="00845D86">
        <w:rPr>
          <w:lang w:val="ru-RU"/>
        </w:rPr>
        <w:t>конкретн</w:t>
      </w:r>
      <w:r>
        <w:rPr>
          <w:lang w:val="ru-RU"/>
        </w:rPr>
        <w:t>ую дату истечения срока</w:t>
      </w:r>
      <w:r w:rsidR="009B36BF" w:rsidRPr="00DB45D8">
        <w:rPr>
          <w:lang w:val="ru-RU"/>
        </w:rPr>
        <w:t xml:space="preserve">, но и даст им достаточно времени для рассмотрения оснований предварительных отказов, </w:t>
      </w:r>
      <w:r w:rsidR="00861751" w:rsidRPr="00DB45D8">
        <w:rPr>
          <w:lang w:val="ru-RU"/>
        </w:rPr>
        <w:t>обеспечения</w:t>
      </w:r>
      <w:r w:rsidR="009B36BF" w:rsidRPr="00DB45D8">
        <w:rPr>
          <w:lang w:val="ru-RU"/>
        </w:rPr>
        <w:t xml:space="preserve"> переводов, если это необхо</w:t>
      </w:r>
      <w:r w:rsidR="00861751" w:rsidRPr="00DB45D8">
        <w:rPr>
          <w:lang w:val="ru-RU"/>
        </w:rPr>
        <w:t>димо, и назначения представителей</w:t>
      </w:r>
      <w:r w:rsidR="009B36BF" w:rsidRPr="00DB45D8">
        <w:rPr>
          <w:lang w:val="ru-RU"/>
        </w:rPr>
        <w:t xml:space="preserve"> в</w:t>
      </w:r>
      <w:r>
        <w:rPr>
          <w:lang w:val="ru-RU"/>
        </w:rPr>
        <w:t> </w:t>
      </w:r>
      <w:r w:rsidR="00861751" w:rsidRPr="00DB45D8">
        <w:rPr>
          <w:lang w:val="ru-RU"/>
        </w:rPr>
        <w:t xml:space="preserve">соответствующих </w:t>
      </w:r>
      <w:r w:rsidR="009B36BF" w:rsidRPr="00DB45D8">
        <w:rPr>
          <w:lang w:val="ru-RU"/>
        </w:rPr>
        <w:t>указанных Договаривающихся сторонах.</w:t>
      </w:r>
    </w:p>
    <w:p w:rsidR="00590406" w:rsidRPr="00DB45D8" w:rsidRDefault="009B36BF" w:rsidP="001123EB">
      <w:pPr>
        <w:pStyle w:val="Heading2"/>
        <w:rPr>
          <w:lang w:val="ru-RU"/>
        </w:rPr>
      </w:pPr>
      <w:r w:rsidRPr="00861751">
        <w:rPr>
          <w:lang w:val="ru-RU"/>
        </w:rPr>
        <w:t>Фиксированный срок для всех Дог</w:t>
      </w:r>
      <w:r w:rsidRPr="00DB45D8">
        <w:rPr>
          <w:lang w:val="ru-RU"/>
        </w:rPr>
        <w:t>оваривающихся сторон</w:t>
      </w:r>
    </w:p>
    <w:p w:rsidR="00590406" w:rsidRPr="00DB45D8" w:rsidRDefault="00845D86" w:rsidP="001123EB">
      <w:pPr>
        <w:pStyle w:val="ONUME"/>
        <w:rPr>
          <w:lang w:val="ru-RU"/>
        </w:rPr>
      </w:pPr>
      <w:r>
        <w:rPr>
          <w:lang w:val="ru-RU"/>
        </w:rPr>
        <w:t xml:space="preserve">Для </w:t>
      </w:r>
      <w:r w:rsidRPr="00845D86">
        <w:rPr>
          <w:lang w:val="ru-RU"/>
        </w:rPr>
        <w:t>некотор</w:t>
      </w:r>
      <w:r>
        <w:rPr>
          <w:lang w:val="ru-RU"/>
        </w:rPr>
        <w:t>ых ситуаций</w:t>
      </w:r>
      <w:r w:rsidR="00DB45D8" w:rsidRPr="00DB45D8">
        <w:rPr>
          <w:lang w:val="ru-RU"/>
        </w:rPr>
        <w:t xml:space="preserve"> </w:t>
      </w:r>
      <w:r w:rsidR="009B36BF" w:rsidRPr="00DB45D8">
        <w:rPr>
          <w:lang w:val="ru-RU"/>
        </w:rPr>
        <w:t xml:space="preserve">Мадридская система </w:t>
      </w:r>
      <w:r w:rsidR="00DB45D8" w:rsidRPr="00DB45D8">
        <w:rPr>
          <w:lang w:val="ru-RU"/>
        </w:rPr>
        <w:t>предусматривает фиксированный срок</w:t>
      </w:r>
      <w:r>
        <w:rPr>
          <w:lang w:val="ru-RU"/>
        </w:rPr>
        <w:t xml:space="preserve"> </w:t>
      </w:r>
      <w:r w:rsidRPr="00DB45D8">
        <w:rPr>
          <w:lang w:val="ru-RU"/>
        </w:rPr>
        <w:t>уже сегодня</w:t>
      </w:r>
      <w:r w:rsidR="00DB45D8" w:rsidRPr="00DB45D8">
        <w:rPr>
          <w:lang w:val="ru-RU"/>
        </w:rPr>
        <w:t xml:space="preserve">. </w:t>
      </w:r>
      <w:r w:rsidR="009B36BF" w:rsidRPr="00DB45D8">
        <w:rPr>
          <w:lang w:val="ru-RU"/>
        </w:rPr>
        <w:t>В частности, Инструк</w:t>
      </w:r>
      <w:r w:rsidR="00DB45D8" w:rsidRPr="00DB45D8">
        <w:rPr>
          <w:lang w:val="ru-RU"/>
        </w:rPr>
        <w:t xml:space="preserve">ция предусматривает </w:t>
      </w:r>
      <w:r w:rsidR="009B36BF" w:rsidRPr="00DB45D8">
        <w:rPr>
          <w:lang w:val="ru-RU"/>
        </w:rPr>
        <w:t>трехмесячный срок</w:t>
      </w:r>
      <w:r w:rsidR="00DB45D8" w:rsidRPr="00DB45D8">
        <w:rPr>
          <w:lang w:val="ru-RU"/>
        </w:rPr>
        <w:t xml:space="preserve"> с</w:t>
      </w:r>
      <w:r w:rsidR="00DB45D8">
        <w:rPr>
          <w:lang w:val="ru-RU"/>
        </w:rPr>
        <w:t> </w:t>
      </w:r>
      <w:r w:rsidR="00DB45D8" w:rsidRPr="00DB45D8">
        <w:rPr>
          <w:lang w:val="ru-RU"/>
        </w:rPr>
        <w:t xml:space="preserve">даты уведомления, который предоставляется заявителям, владельцам или ведомствам для </w:t>
      </w:r>
      <w:r>
        <w:rPr>
          <w:lang w:val="ru-RU"/>
        </w:rPr>
        <w:t xml:space="preserve">подачи </w:t>
      </w:r>
      <w:r w:rsidR="00DB45D8" w:rsidRPr="00DB45D8">
        <w:rPr>
          <w:lang w:val="ru-RU"/>
        </w:rPr>
        <w:t>ответов, касающихся нарушений в международных заявках</w:t>
      </w:r>
      <w:r w:rsidR="009B36BF" w:rsidRPr="00DB45D8">
        <w:rPr>
          <w:lang w:val="ru-RU"/>
        </w:rPr>
        <w:t xml:space="preserve"> или </w:t>
      </w:r>
      <w:r w:rsidRPr="00845D86">
        <w:rPr>
          <w:lang w:val="ru-RU"/>
        </w:rPr>
        <w:t>ходатайств</w:t>
      </w:r>
      <w:r w:rsidR="00DB45D8" w:rsidRPr="00DB45D8">
        <w:rPr>
          <w:lang w:val="ru-RU"/>
        </w:rPr>
        <w:t xml:space="preserve"> </w:t>
      </w:r>
      <w:r w:rsidR="009B36BF" w:rsidRPr="00DB45D8">
        <w:rPr>
          <w:lang w:val="ru-RU"/>
        </w:rPr>
        <w:t>о</w:t>
      </w:r>
      <w:r>
        <w:rPr>
          <w:lang w:val="ru-RU"/>
        </w:rPr>
        <w:t> </w:t>
      </w:r>
      <w:r w:rsidR="009B36BF" w:rsidRPr="00DB45D8">
        <w:rPr>
          <w:lang w:val="ru-RU"/>
        </w:rPr>
        <w:t>вн</w:t>
      </w:r>
      <w:r w:rsidR="00DB45D8" w:rsidRPr="00DB45D8">
        <w:rPr>
          <w:lang w:val="ru-RU"/>
        </w:rPr>
        <w:t>есении изменений в международные регистрации</w:t>
      </w:r>
      <w:r w:rsidR="009B36BF" w:rsidRPr="00DB45D8">
        <w:rPr>
          <w:lang w:val="ru-RU"/>
        </w:rPr>
        <w:t xml:space="preserve">. </w:t>
      </w:r>
    </w:p>
    <w:p w:rsidR="00590406" w:rsidRPr="00DB45D8" w:rsidRDefault="00DB45D8" w:rsidP="001123EB">
      <w:pPr>
        <w:pStyle w:val="ONUME"/>
        <w:rPr>
          <w:lang w:val="ru-RU"/>
        </w:rPr>
      </w:pPr>
      <w:r w:rsidRPr="00DB45D8">
        <w:rPr>
          <w:lang w:val="ru-RU"/>
        </w:rPr>
        <w:t>61% ведомств, участвовавших в</w:t>
      </w:r>
      <w:r w:rsidR="009B36BF" w:rsidRPr="00DB45D8">
        <w:rPr>
          <w:lang w:val="ru-RU"/>
        </w:rPr>
        <w:t xml:space="preserve"> упомянутом </w:t>
      </w:r>
      <w:r w:rsidRPr="00DB45D8">
        <w:rPr>
          <w:lang w:val="ru-RU"/>
        </w:rPr>
        <w:t xml:space="preserve">выше опросе, </w:t>
      </w:r>
      <w:r w:rsidR="009B36BF" w:rsidRPr="00DB45D8">
        <w:rPr>
          <w:lang w:val="ru-RU"/>
        </w:rPr>
        <w:t xml:space="preserve">указали, что их </w:t>
      </w:r>
      <w:r w:rsidRPr="00DB45D8">
        <w:rPr>
          <w:lang w:val="ru-RU"/>
        </w:rPr>
        <w:t xml:space="preserve">применимое </w:t>
      </w:r>
      <w:r w:rsidR="009B36BF" w:rsidRPr="00DB45D8">
        <w:rPr>
          <w:lang w:val="ru-RU"/>
        </w:rPr>
        <w:t xml:space="preserve">законодательство предусматривает для ответа на предварительный отказ </w:t>
      </w:r>
      <w:r w:rsidR="009B36BF" w:rsidRPr="00DB45D8">
        <w:t>ex</w:t>
      </w:r>
      <w:r w:rsidR="009B36BF" w:rsidRPr="00DB45D8">
        <w:rPr>
          <w:lang w:val="ru-RU"/>
        </w:rPr>
        <w:t xml:space="preserve"> </w:t>
      </w:r>
      <w:r w:rsidR="009B36BF" w:rsidRPr="00DB45D8">
        <w:t>officio</w:t>
      </w:r>
      <w:r w:rsidR="00845D86">
        <w:rPr>
          <w:lang w:val="ru-RU"/>
        </w:rPr>
        <w:t xml:space="preserve"> </w:t>
      </w:r>
      <w:r w:rsidR="00845D86" w:rsidRPr="00DB45D8">
        <w:rPr>
          <w:lang w:val="ru-RU"/>
        </w:rPr>
        <w:t>срок в три месяца или более</w:t>
      </w:r>
      <w:r w:rsidR="009B36BF" w:rsidRPr="00DB45D8">
        <w:rPr>
          <w:lang w:val="ru-RU"/>
        </w:rPr>
        <w:t xml:space="preserve">, </w:t>
      </w:r>
      <w:r w:rsidRPr="00DB45D8">
        <w:rPr>
          <w:lang w:val="ru-RU"/>
        </w:rPr>
        <w:t xml:space="preserve">а </w:t>
      </w:r>
      <w:r w:rsidR="009B36BF" w:rsidRPr="00DB45D8">
        <w:rPr>
          <w:lang w:val="ru-RU"/>
        </w:rPr>
        <w:t>52</w:t>
      </w:r>
      <w:r w:rsidRPr="00DB45D8">
        <w:rPr>
          <w:lang w:val="ru-RU"/>
        </w:rPr>
        <w:t>% ведомств</w:t>
      </w:r>
      <w:r w:rsidR="009B36BF" w:rsidRPr="00DB45D8">
        <w:rPr>
          <w:lang w:val="ru-RU"/>
        </w:rPr>
        <w:t xml:space="preserve"> указали, что </w:t>
      </w:r>
      <w:r w:rsidR="00845D86">
        <w:rPr>
          <w:lang w:val="ru-RU"/>
        </w:rPr>
        <w:t>при поступлении</w:t>
      </w:r>
      <w:r w:rsidRPr="00DB45D8">
        <w:rPr>
          <w:lang w:val="ru-RU"/>
        </w:rPr>
        <w:t xml:space="preserve"> </w:t>
      </w:r>
      <w:r w:rsidRPr="00DB45D8">
        <w:rPr>
          <w:szCs w:val="24"/>
          <w:lang w:val="ru-RU"/>
        </w:rPr>
        <w:t>возражений</w:t>
      </w:r>
      <w:r w:rsidR="00845D86">
        <w:rPr>
          <w:szCs w:val="24"/>
          <w:lang w:val="ru-RU"/>
        </w:rPr>
        <w:t xml:space="preserve"> </w:t>
      </w:r>
      <w:r w:rsidR="00845D86" w:rsidRPr="00DB45D8">
        <w:rPr>
          <w:lang w:val="ru-RU"/>
        </w:rPr>
        <w:t>срок составляет три месяца или более</w:t>
      </w:r>
      <w:r w:rsidR="009B36BF" w:rsidRPr="00DB45D8">
        <w:rPr>
          <w:lang w:val="ru-RU"/>
        </w:rPr>
        <w:t>. С учетом вышеизложенного</w:t>
      </w:r>
      <w:r w:rsidRPr="00DB45D8">
        <w:rPr>
          <w:lang w:val="ru-RU"/>
        </w:rPr>
        <w:t>,</w:t>
      </w:r>
      <w:r w:rsidR="009B36BF" w:rsidRPr="00DB45D8">
        <w:rPr>
          <w:lang w:val="ru-RU"/>
        </w:rPr>
        <w:t xml:space="preserve"> фиксированный срок в три месяца мо</w:t>
      </w:r>
      <w:r w:rsidR="00845D86">
        <w:rPr>
          <w:lang w:val="ru-RU"/>
        </w:rPr>
        <w:t>г</w:t>
      </w:r>
      <w:r w:rsidRPr="00DB45D8">
        <w:rPr>
          <w:lang w:val="ru-RU"/>
        </w:rPr>
        <w:t xml:space="preserve"> бы </w:t>
      </w:r>
      <w:r w:rsidR="00845D86">
        <w:rPr>
          <w:lang w:val="ru-RU"/>
        </w:rPr>
        <w:t xml:space="preserve">быть вполне </w:t>
      </w:r>
      <w:r w:rsidR="009B36BF" w:rsidRPr="00DB45D8">
        <w:rPr>
          <w:lang w:val="ru-RU"/>
        </w:rPr>
        <w:t>приемлемым.</w:t>
      </w:r>
    </w:p>
    <w:p w:rsidR="00590406" w:rsidRPr="00DB45D8" w:rsidRDefault="00845D86" w:rsidP="001123EB">
      <w:pPr>
        <w:pStyle w:val="ONUME"/>
        <w:rPr>
          <w:lang w:val="ru-RU"/>
        </w:rPr>
      </w:pPr>
      <w:r>
        <w:rPr>
          <w:lang w:val="ru-RU"/>
        </w:rPr>
        <w:t>Наличие фиксированного трехмесячного</w:t>
      </w:r>
      <w:r w:rsidR="009B36BF" w:rsidRPr="00DB45D8">
        <w:rPr>
          <w:lang w:val="ru-RU"/>
        </w:rPr>
        <w:t xml:space="preserve"> срок</w:t>
      </w:r>
      <w:r>
        <w:rPr>
          <w:lang w:val="ru-RU"/>
        </w:rPr>
        <w:t>а</w:t>
      </w:r>
      <w:r w:rsidR="009B36BF" w:rsidRPr="00DB45D8">
        <w:rPr>
          <w:lang w:val="ru-RU"/>
        </w:rPr>
        <w:t>, предоставляемый ведомствами для ответа на уведомление о пре</w:t>
      </w:r>
      <w:r>
        <w:rPr>
          <w:lang w:val="ru-RU"/>
        </w:rPr>
        <w:t>дварительном отказе, исчисляемого</w:t>
      </w:r>
      <w:r w:rsidR="009B36BF" w:rsidRPr="00DB45D8">
        <w:rPr>
          <w:lang w:val="ru-RU"/>
        </w:rPr>
        <w:t xml:space="preserve"> с даты </w:t>
      </w:r>
      <w:r w:rsidR="00DB45D8" w:rsidRPr="00DB45D8">
        <w:rPr>
          <w:lang w:val="ru-RU"/>
        </w:rPr>
        <w:t>направления уведомления Международным</w:t>
      </w:r>
      <w:r w:rsidR="009B36BF" w:rsidRPr="00DB45D8">
        <w:rPr>
          <w:lang w:val="ru-RU"/>
        </w:rPr>
        <w:t xml:space="preserve"> бюро,</w:t>
      </w:r>
      <w:r w:rsidR="00DB45D8" w:rsidRPr="00DB45D8">
        <w:rPr>
          <w:lang w:val="ru-RU"/>
        </w:rPr>
        <w:t xml:space="preserve"> давал</w:t>
      </w:r>
      <w:r>
        <w:rPr>
          <w:lang w:val="ru-RU"/>
        </w:rPr>
        <w:t>о</w:t>
      </w:r>
      <w:r w:rsidR="00DB45D8" w:rsidRPr="00DB45D8">
        <w:rPr>
          <w:lang w:val="ru-RU"/>
        </w:rPr>
        <w:t xml:space="preserve"> бы</w:t>
      </w:r>
      <w:r w:rsidR="009B36BF" w:rsidRPr="00DB45D8">
        <w:rPr>
          <w:lang w:val="ru-RU"/>
        </w:rPr>
        <w:t xml:space="preserve"> </w:t>
      </w:r>
      <w:r w:rsidR="00AD7AE7" w:rsidRPr="00DB45D8">
        <w:rPr>
          <w:lang w:val="ru-RU"/>
        </w:rPr>
        <w:t>владельца</w:t>
      </w:r>
      <w:r w:rsidR="009B36BF" w:rsidRPr="00DB45D8">
        <w:rPr>
          <w:lang w:val="ru-RU"/>
        </w:rPr>
        <w:t xml:space="preserve">м достаточно времени для </w:t>
      </w:r>
      <w:r w:rsidR="00DB45D8" w:rsidRPr="00DB45D8">
        <w:rPr>
          <w:lang w:val="ru-RU"/>
        </w:rPr>
        <w:t>представления возражений на отказ</w:t>
      </w:r>
      <w:r w:rsidR="009B36BF" w:rsidRPr="00DB45D8">
        <w:rPr>
          <w:lang w:val="ru-RU"/>
        </w:rPr>
        <w:t xml:space="preserve"> и </w:t>
      </w:r>
      <w:r w:rsidR="00DB45D8" w:rsidRPr="00DB45D8">
        <w:rPr>
          <w:lang w:val="ru-RU"/>
        </w:rPr>
        <w:t>вместе с тем упростил</w:t>
      </w:r>
      <w:r>
        <w:rPr>
          <w:lang w:val="ru-RU"/>
        </w:rPr>
        <w:t>о</w:t>
      </w:r>
      <w:r w:rsidR="00DB45D8" w:rsidRPr="00DB45D8">
        <w:rPr>
          <w:lang w:val="ru-RU"/>
        </w:rPr>
        <w:t xml:space="preserve"> бы использование Мадридской системы</w:t>
      </w:r>
      <w:r w:rsidR="009B36BF" w:rsidRPr="00DB45D8">
        <w:rPr>
          <w:lang w:val="ru-RU"/>
        </w:rPr>
        <w:t xml:space="preserve"> </w:t>
      </w:r>
      <w:r w:rsidR="00DB45D8" w:rsidRPr="00DB45D8">
        <w:rPr>
          <w:lang w:val="ru-RU"/>
        </w:rPr>
        <w:t>ее пользователями.</w:t>
      </w:r>
    </w:p>
    <w:p w:rsidR="00590406" w:rsidRPr="00DB45D8" w:rsidRDefault="009B36BF" w:rsidP="001123EB">
      <w:pPr>
        <w:pStyle w:val="Heading2"/>
        <w:rPr>
          <w:lang w:val="ru-RU"/>
        </w:rPr>
      </w:pPr>
      <w:r w:rsidRPr="00931EC3">
        <w:rPr>
          <w:lang w:val="ru-RU"/>
        </w:rPr>
        <w:t>Минимальный срок для всех Договаривающихся стор</w:t>
      </w:r>
      <w:r w:rsidRPr="00DB45D8">
        <w:rPr>
          <w:lang w:val="ru-RU"/>
        </w:rPr>
        <w:t>он</w:t>
      </w:r>
    </w:p>
    <w:p w:rsidR="00590406" w:rsidRPr="000A05F1" w:rsidRDefault="009B36BF" w:rsidP="001123EB">
      <w:pPr>
        <w:pStyle w:val="ONUME"/>
        <w:rPr>
          <w:lang w:val="ru-RU"/>
        </w:rPr>
      </w:pPr>
      <w:r w:rsidRPr="00DB45D8">
        <w:rPr>
          <w:lang w:val="ru-RU"/>
        </w:rPr>
        <w:t xml:space="preserve">Ряд делегаций указали, что они </w:t>
      </w:r>
      <w:r w:rsidR="00DB45D8" w:rsidRPr="00DB45D8">
        <w:rPr>
          <w:lang w:val="ru-RU"/>
        </w:rPr>
        <w:t xml:space="preserve">поддержали бы </w:t>
      </w:r>
      <w:r w:rsidRPr="00DB45D8">
        <w:rPr>
          <w:lang w:val="ru-RU"/>
        </w:rPr>
        <w:t>установление минимального срока для</w:t>
      </w:r>
      <w:r w:rsidR="00DB45D8" w:rsidRPr="00DB45D8">
        <w:rPr>
          <w:lang w:val="ru-RU"/>
        </w:rPr>
        <w:t xml:space="preserve"> всех Договаривающихся сторон. Наличие минимального срока, исчисляемого</w:t>
      </w:r>
      <w:r w:rsidRPr="00DB45D8">
        <w:rPr>
          <w:lang w:val="ru-RU"/>
        </w:rPr>
        <w:t xml:space="preserve"> с даты, </w:t>
      </w:r>
      <w:r w:rsidR="00DB45D8" w:rsidRPr="00DB45D8">
        <w:rPr>
          <w:lang w:val="ru-RU"/>
        </w:rPr>
        <w:t xml:space="preserve">в которую </w:t>
      </w:r>
      <w:r w:rsidRPr="00DB45D8">
        <w:rPr>
          <w:lang w:val="ru-RU"/>
        </w:rPr>
        <w:t>Междунаро</w:t>
      </w:r>
      <w:r w:rsidR="00DB45D8" w:rsidRPr="00DB45D8">
        <w:rPr>
          <w:lang w:val="ru-RU"/>
        </w:rPr>
        <w:t>дное бюро направляет уведомления</w:t>
      </w:r>
      <w:r w:rsidRPr="00DB45D8">
        <w:rPr>
          <w:lang w:val="ru-RU"/>
        </w:rPr>
        <w:t xml:space="preserve"> </w:t>
      </w:r>
      <w:r w:rsidR="00DB45D8" w:rsidRPr="00DB45D8">
        <w:rPr>
          <w:lang w:val="ru-RU"/>
        </w:rPr>
        <w:t>владельцам</w:t>
      </w:r>
      <w:r w:rsidRPr="00DB45D8">
        <w:rPr>
          <w:lang w:val="ru-RU"/>
        </w:rPr>
        <w:t xml:space="preserve">, было бы </w:t>
      </w:r>
      <w:r w:rsidR="00DB45D8" w:rsidRPr="00DB45D8">
        <w:rPr>
          <w:lang w:val="ru-RU"/>
        </w:rPr>
        <w:t xml:space="preserve">не </w:t>
      </w:r>
      <w:r w:rsidRPr="00DB45D8">
        <w:rPr>
          <w:lang w:val="ru-RU"/>
        </w:rPr>
        <w:t xml:space="preserve">столь </w:t>
      </w:r>
      <w:r w:rsidR="00DB45D8" w:rsidRPr="00DB45D8">
        <w:rPr>
          <w:lang w:val="ru-RU"/>
        </w:rPr>
        <w:t>удобным для владельцев</w:t>
      </w:r>
      <w:r w:rsidRPr="00DB45D8">
        <w:rPr>
          <w:lang w:val="ru-RU"/>
        </w:rPr>
        <w:t>, как установление фиксированного срока, но явилось бы значительным шагом впер</w:t>
      </w:r>
      <w:r w:rsidRPr="000A71CA">
        <w:rPr>
          <w:lang w:val="ru-RU"/>
        </w:rPr>
        <w:t>ед по сравнению с нынешней ситуацией.</w:t>
      </w:r>
    </w:p>
    <w:p w:rsidR="00590406" w:rsidRPr="00845D86" w:rsidRDefault="000A71CA" w:rsidP="00707EBC">
      <w:pPr>
        <w:pStyle w:val="ONUME"/>
        <w:keepLines/>
        <w:rPr>
          <w:lang w:val="ru-RU"/>
        </w:rPr>
      </w:pPr>
      <w:r w:rsidRPr="000A71CA">
        <w:rPr>
          <w:lang w:val="ru-RU"/>
        </w:rPr>
        <w:t xml:space="preserve">Упомянутое выше </w:t>
      </w:r>
      <w:r w:rsidR="009B36BF" w:rsidRPr="000A71CA">
        <w:rPr>
          <w:lang w:val="ru-RU"/>
        </w:rPr>
        <w:t xml:space="preserve">обследование показало, что в настоящее время 40 из 66 ведомств </w:t>
      </w:r>
      <w:r w:rsidRPr="000A71CA">
        <w:rPr>
          <w:lang w:val="ru-RU"/>
        </w:rPr>
        <w:t xml:space="preserve">применяют </w:t>
      </w:r>
      <w:r w:rsidR="009B36BF" w:rsidRPr="000A71CA">
        <w:rPr>
          <w:lang w:val="ru-RU"/>
        </w:rPr>
        <w:t xml:space="preserve">срок, </w:t>
      </w:r>
      <w:r w:rsidRPr="000A71CA">
        <w:rPr>
          <w:lang w:val="ru-RU"/>
        </w:rPr>
        <w:t xml:space="preserve">составляющий три месяца или более, </w:t>
      </w:r>
      <w:r w:rsidR="009B36BF" w:rsidRPr="000A71CA">
        <w:rPr>
          <w:lang w:val="ru-RU"/>
        </w:rPr>
        <w:t xml:space="preserve">а 16 ведомств </w:t>
      </w:r>
      <w:r w:rsidRPr="000A71CA">
        <w:rPr>
          <w:lang w:val="ru-RU"/>
        </w:rPr>
        <w:t>применяют двухмесячный срок. Таким образом</w:t>
      </w:r>
      <w:r w:rsidR="009B36BF" w:rsidRPr="000A71CA">
        <w:rPr>
          <w:lang w:val="ru-RU"/>
        </w:rPr>
        <w:t xml:space="preserve">, 85% </w:t>
      </w:r>
      <w:r w:rsidRPr="000A71CA">
        <w:rPr>
          <w:lang w:val="ru-RU"/>
        </w:rPr>
        <w:t>ведомств</w:t>
      </w:r>
      <w:r w:rsidR="009B36BF" w:rsidRPr="000A71CA">
        <w:rPr>
          <w:lang w:val="ru-RU"/>
        </w:rPr>
        <w:t xml:space="preserve"> </w:t>
      </w:r>
      <w:r w:rsidRPr="000A71CA">
        <w:rPr>
          <w:lang w:val="ru-RU"/>
        </w:rPr>
        <w:t xml:space="preserve">предоставляют для </w:t>
      </w:r>
      <w:r w:rsidR="009B36BF" w:rsidRPr="000A71CA">
        <w:rPr>
          <w:lang w:val="ru-RU"/>
        </w:rPr>
        <w:t>отве</w:t>
      </w:r>
      <w:r w:rsidRPr="000A71CA">
        <w:rPr>
          <w:lang w:val="ru-RU"/>
        </w:rPr>
        <w:t xml:space="preserve">та на предварительный отказ два и более месяца. </w:t>
      </w:r>
      <w:r w:rsidR="009B36BF" w:rsidRPr="000A71CA">
        <w:rPr>
          <w:lang w:val="ru-RU"/>
        </w:rPr>
        <w:t xml:space="preserve">Из 50 </w:t>
      </w:r>
      <w:r w:rsidRPr="000A71CA">
        <w:rPr>
          <w:lang w:val="ru-RU"/>
        </w:rPr>
        <w:t>в</w:t>
      </w:r>
      <w:r w:rsidR="009B36BF" w:rsidRPr="000A71CA">
        <w:rPr>
          <w:lang w:val="ru-RU"/>
        </w:rPr>
        <w:t xml:space="preserve">едомств, указавших, что они </w:t>
      </w:r>
      <w:r w:rsidRPr="000A71CA">
        <w:rPr>
          <w:lang w:val="ru-RU"/>
        </w:rPr>
        <w:t>используют иной срок для ответов на предварительные</w:t>
      </w:r>
      <w:r w:rsidR="009B36BF" w:rsidRPr="000A71CA">
        <w:rPr>
          <w:lang w:val="ru-RU"/>
        </w:rPr>
        <w:t xml:space="preserve"> отказ</w:t>
      </w:r>
      <w:r w:rsidRPr="000A71CA">
        <w:rPr>
          <w:lang w:val="ru-RU"/>
        </w:rPr>
        <w:t>ы, основанные на возражении</w:t>
      </w:r>
      <w:r w:rsidR="009B36BF" w:rsidRPr="000A71CA">
        <w:rPr>
          <w:lang w:val="ru-RU"/>
        </w:rPr>
        <w:t xml:space="preserve">, 39 (78%) </w:t>
      </w:r>
      <w:r w:rsidRPr="000A71CA">
        <w:rPr>
          <w:lang w:val="ru-RU"/>
        </w:rPr>
        <w:t xml:space="preserve">предусматривают </w:t>
      </w:r>
      <w:r w:rsidR="009B36BF" w:rsidRPr="000A71CA">
        <w:rPr>
          <w:lang w:val="ru-RU"/>
        </w:rPr>
        <w:t xml:space="preserve">срок в два </w:t>
      </w:r>
      <w:r w:rsidRPr="000A71CA">
        <w:rPr>
          <w:lang w:val="ru-RU"/>
        </w:rPr>
        <w:t xml:space="preserve">и более месяца. </w:t>
      </w:r>
      <w:r w:rsidR="009B36BF" w:rsidRPr="000A71CA">
        <w:rPr>
          <w:lang w:val="ru-RU"/>
        </w:rPr>
        <w:t>Таким образом, значительное число ведомств сможет соблю</w:t>
      </w:r>
      <w:r w:rsidRPr="000A71CA">
        <w:rPr>
          <w:lang w:val="ru-RU"/>
        </w:rPr>
        <w:t xml:space="preserve">дать минимальный срок, составляющий два месяца. </w:t>
      </w:r>
      <w:r w:rsidR="009B36BF" w:rsidRPr="000A71CA">
        <w:rPr>
          <w:lang w:val="ru-RU"/>
        </w:rPr>
        <w:t xml:space="preserve">Такой минимальный срок не </w:t>
      </w:r>
      <w:r w:rsidRPr="000A71CA">
        <w:rPr>
          <w:lang w:val="ru-RU"/>
        </w:rPr>
        <w:t xml:space="preserve">будет </w:t>
      </w:r>
      <w:r w:rsidR="00845D86">
        <w:rPr>
          <w:lang w:val="ru-RU"/>
        </w:rPr>
        <w:t xml:space="preserve">мешать </w:t>
      </w:r>
      <w:r w:rsidR="009B36BF" w:rsidRPr="000A71CA">
        <w:rPr>
          <w:lang w:val="ru-RU"/>
        </w:rPr>
        <w:t>ведомствам уст</w:t>
      </w:r>
      <w:r w:rsidRPr="000A71CA">
        <w:rPr>
          <w:lang w:val="ru-RU"/>
        </w:rPr>
        <w:t xml:space="preserve">анавливать более длительные сроки. </w:t>
      </w:r>
    </w:p>
    <w:p w:rsidR="00590406" w:rsidRPr="000A71CA" w:rsidRDefault="00845D86" w:rsidP="00AF4BFB">
      <w:pPr>
        <w:pStyle w:val="Heading1"/>
      </w:pPr>
      <w:r>
        <w:rPr>
          <w:lang w:val="ru-RU"/>
        </w:rPr>
        <w:t>последующие шаги</w:t>
      </w:r>
    </w:p>
    <w:p w:rsidR="00590406" w:rsidRPr="000A71CA" w:rsidRDefault="009B36BF" w:rsidP="001123EB">
      <w:pPr>
        <w:pStyle w:val="ONUME"/>
        <w:rPr>
          <w:lang w:val="ru-RU"/>
        </w:rPr>
      </w:pPr>
      <w:r w:rsidRPr="000A71CA">
        <w:rPr>
          <w:lang w:val="ru-RU"/>
        </w:rPr>
        <w:t>С учетом вышеизложенного Рабочей группе предлагается рассмотреть вопрос о</w:t>
      </w:r>
      <w:r w:rsidR="00845D86">
        <w:rPr>
          <w:lang w:val="ru-RU"/>
        </w:rPr>
        <w:t> </w:t>
      </w:r>
      <w:r w:rsidRPr="000A71CA">
        <w:rPr>
          <w:lang w:val="ru-RU"/>
        </w:rPr>
        <w:t xml:space="preserve">том, </w:t>
      </w:r>
      <w:r w:rsidR="000A71CA" w:rsidRPr="000A71CA">
        <w:rPr>
          <w:lang w:val="ru-RU"/>
        </w:rPr>
        <w:t>какой срок – ф</w:t>
      </w:r>
      <w:r w:rsidR="00845D86">
        <w:rPr>
          <w:lang w:val="ru-RU"/>
        </w:rPr>
        <w:t xml:space="preserve">иксированный или минимальный – </w:t>
      </w:r>
      <w:r w:rsidR="000A71CA" w:rsidRPr="000A71CA">
        <w:rPr>
          <w:lang w:val="ru-RU"/>
        </w:rPr>
        <w:t>лучше всего отвечает потребностям владельцев</w:t>
      </w:r>
      <w:r w:rsidRPr="000A71CA">
        <w:rPr>
          <w:lang w:val="ru-RU"/>
        </w:rPr>
        <w:t xml:space="preserve">, а также вопрос о том, следует ли просить Международное бюро подготовить </w:t>
      </w:r>
      <w:r w:rsidR="00845D86" w:rsidRPr="000A71CA">
        <w:rPr>
          <w:lang w:val="ru-RU"/>
        </w:rPr>
        <w:t xml:space="preserve">для обсуждения на одной из будущих сессий </w:t>
      </w:r>
      <w:r w:rsidRPr="000A71CA">
        <w:rPr>
          <w:lang w:val="ru-RU"/>
        </w:rPr>
        <w:t>документ с предложением о внесении необходимых поправок в</w:t>
      </w:r>
      <w:r w:rsidR="00845D86">
        <w:rPr>
          <w:lang w:val="ru-RU"/>
        </w:rPr>
        <w:t> </w:t>
      </w:r>
      <w:r w:rsidR="000A71CA" w:rsidRPr="000A71CA">
        <w:rPr>
          <w:lang w:val="ru-RU"/>
        </w:rPr>
        <w:t>Инструкцию, предусматривающих:</w:t>
      </w:r>
    </w:p>
    <w:p w:rsidR="00590406" w:rsidRPr="000A71CA" w:rsidRDefault="009B36BF" w:rsidP="009D1602">
      <w:pPr>
        <w:pStyle w:val="ONUME"/>
        <w:numPr>
          <w:ilvl w:val="0"/>
          <w:numId w:val="12"/>
        </w:numPr>
        <w:tabs>
          <w:tab w:val="clear" w:pos="567"/>
        </w:tabs>
        <w:ind w:left="567"/>
        <w:rPr>
          <w:lang w:val="ru-RU"/>
        </w:rPr>
      </w:pPr>
      <w:r w:rsidRPr="000A71CA">
        <w:rPr>
          <w:lang w:val="ru-RU"/>
        </w:rPr>
        <w:t xml:space="preserve">фиксированный </w:t>
      </w:r>
      <w:r w:rsidR="000A71CA" w:rsidRPr="000A71CA">
        <w:rPr>
          <w:lang w:val="ru-RU"/>
        </w:rPr>
        <w:t xml:space="preserve">или </w:t>
      </w:r>
      <w:r w:rsidRPr="000A71CA">
        <w:rPr>
          <w:lang w:val="ru-RU"/>
        </w:rPr>
        <w:t>минимальный срок для ответ</w:t>
      </w:r>
      <w:r w:rsidR="000A71CA" w:rsidRPr="000A71CA">
        <w:rPr>
          <w:lang w:val="ru-RU"/>
        </w:rPr>
        <w:t>а на уведомления о</w:t>
      </w:r>
      <w:r w:rsidR="00096A16">
        <w:rPr>
          <w:lang w:val="ru-RU"/>
        </w:rPr>
        <w:t> </w:t>
      </w:r>
      <w:r w:rsidR="000A71CA" w:rsidRPr="000A71CA">
        <w:rPr>
          <w:lang w:val="ru-RU"/>
        </w:rPr>
        <w:t xml:space="preserve">предварительном отказе, и; </w:t>
      </w:r>
    </w:p>
    <w:p w:rsidR="00590406" w:rsidRPr="00096A16" w:rsidRDefault="000A71CA" w:rsidP="009D1602">
      <w:pPr>
        <w:pStyle w:val="ONUME"/>
        <w:numPr>
          <w:ilvl w:val="0"/>
          <w:numId w:val="12"/>
        </w:numPr>
        <w:tabs>
          <w:tab w:val="clear" w:pos="567"/>
        </w:tabs>
        <w:ind w:left="567"/>
        <w:rPr>
          <w:lang w:val="ru-RU"/>
        </w:rPr>
      </w:pPr>
      <w:r w:rsidRPr="000A71CA">
        <w:rPr>
          <w:lang w:val="ru-RU"/>
        </w:rPr>
        <w:t xml:space="preserve">то, что </w:t>
      </w:r>
      <w:r w:rsidR="009B36BF" w:rsidRPr="000A71CA">
        <w:rPr>
          <w:lang w:val="ru-RU"/>
        </w:rPr>
        <w:t xml:space="preserve">срок </w:t>
      </w:r>
      <w:r w:rsidRPr="000A71CA">
        <w:rPr>
          <w:lang w:val="ru-RU"/>
        </w:rPr>
        <w:t>должен исчисляться</w:t>
      </w:r>
      <w:r w:rsidR="009B36BF" w:rsidRPr="000A71CA">
        <w:rPr>
          <w:lang w:val="ru-RU"/>
        </w:rPr>
        <w:t xml:space="preserve"> с даты, </w:t>
      </w:r>
      <w:r w:rsidRPr="000A71CA">
        <w:rPr>
          <w:lang w:val="ru-RU"/>
        </w:rPr>
        <w:t xml:space="preserve">в которую </w:t>
      </w:r>
      <w:r w:rsidR="009B36BF" w:rsidRPr="000A71CA">
        <w:rPr>
          <w:lang w:val="ru-RU"/>
        </w:rPr>
        <w:t>Международное бюро нап</w:t>
      </w:r>
      <w:r w:rsidRPr="000A71CA">
        <w:rPr>
          <w:lang w:val="ru-RU"/>
        </w:rPr>
        <w:t>равляет уведомление владельц</w:t>
      </w:r>
      <w:r w:rsidRPr="00096A16">
        <w:rPr>
          <w:lang w:val="ru-RU"/>
        </w:rPr>
        <w:t>у.</w:t>
      </w:r>
    </w:p>
    <w:p w:rsidR="00590406" w:rsidRPr="00096A16" w:rsidRDefault="009B36BF" w:rsidP="001123EB">
      <w:pPr>
        <w:pStyle w:val="ONUME"/>
        <w:rPr>
          <w:lang w:val="ru-RU"/>
        </w:rPr>
      </w:pPr>
      <w:r w:rsidRPr="00096A16">
        <w:rPr>
          <w:lang w:val="ru-RU"/>
        </w:rPr>
        <w:t>В</w:t>
      </w:r>
      <w:r w:rsidR="00096A16" w:rsidRPr="00096A16">
        <w:rPr>
          <w:lang w:val="ru-RU"/>
        </w:rPr>
        <w:t xml:space="preserve">ключение </w:t>
      </w:r>
      <w:r w:rsidRPr="00096A16">
        <w:rPr>
          <w:lang w:val="ru-RU"/>
        </w:rPr>
        <w:t xml:space="preserve">в Инструкцию </w:t>
      </w:r>
      <w:r w:rsidR="00845D86">
        <w:rPr>
          <w:lang w:val="ru-RU"/>
        </w:rPr>
        <w:t>положения</w:t>
      </w:r>
      <w:r w:rsidR="00096A16" w:rsidRPr="00096A16">
        <w:rPr>
          <w:lang w:val="ru-RU"/>
        </w:rPr>
        <w:t xml:space="preserve"> об определенном сроке</w:t>
      </w:r>
      <w:r w:rsidRPr="00096A16">
        <w:rPr>
          <w:lang w:val="ru-RU"/>
        </w:rPr>
        <w:t xml:space="preserve"> </w:t>
      </w:r>
      <w:r w:rsidR="00096A16" w:rsidRPr="00096A16">
        <w:rPr>
          <w:lang w:val="ru-RU"/>
        </w:rPr>
        <w:t>и конкретном способе</w:t>
      </w:r>
      <w:r w:rsidRPr="00096A16">
        <w:rPr>
          <w:lang w:val="ru-RU"/>
        </w:rPr>
        <w:t xml:space="preserve"> его исчисления может потребовать внесения изменений в действующее законодательство,</w:t>
      </w:r>
      <w:r w:rsidR="00096A16" w:rsidRPr="00096A16">
        <w:rPr>
          <w:lang w:val="ru-RU"/>
        </w:rPr>
        <w:t xml:space="preserve"> </w:t>
      </w:r>
      <w:r w:rsidRPr="00096A16">
        <w:rPr>
          <w:lang w:val="ru-RU"/>
        </w:rPr>
        <w:t xml:space="preserve">практику </w:t>
      </w:r>
      <w:r w:rsidR="00845D86" w:rsidRPr="00845D86">
        <w:rPr>
          <w:lang w:val="ru-RU"/>
        </w:rPr>
        <w:t>работ</w:t>
      </w:r>
      <w:r w:rsidR="00845D86">
        <w:rPr>
          <w:lang w:val="ru-RU"/>
        </w:rPr>
        <w:t xml:space="preserve">ы </w:t>
      </w:r>
      <w:r w:rsidRPr="00096A16">
        <w:rPr>
          <w:lang w:val="ru-RU"/>
        </w:rPr>
        <w:t xml:space="preserve">и </w:t>
      </w:r>
      <w:r w:rsidR="00096A16" w:rsidRPr="00096A16">
        <w:rPr>
          <w:lang w:val="ru-RU"/>
        </w:rPr>
        <w:t xml:space="preserve">информационные системы Договаривающихся сторон. </w:t>
      </w:r>
      <w:r w:rsidR="00845D86" w:rsidRPr="00096A16">
        <w:rPr>
          <w:lang w:val="ru-RU"/>
        </w:rPr>
        <w:t>В</w:t>
      </w:r>
      <w:r w:rsidR="00096A16" w:rsidRPr="00096A16">
        <w:rPr>
          <w:lang w:val="ru-RU"/>
        </w:rPr>
        <w:t xml:space="preserve"> связи с этим вышеупомянутый документ</w:t>
      </w:r>
      <w:r w:rsidRPr="00096A16">
        <w:rPr>
          <w:lang w:val="ru-RU"/>
        </w:rPr>
        <w:t xml:space="preserve"> мо</w:t>
      </w:r>
      <w:r w:rsidR="00096A16" w:rsidRPr="00096A16">
        <w:rPr>
          <w:lang w:val="ru-RU"/>
        </w:rPr>
        <w:t xml:space="preserve">г бы </w:t>
      </w:r>
      <w:r w:rsidRPr="00096A16">
        <w:rPr>
          <w:lang w:val="ru-RU"/>
        </w:rPr>
        <w:t xml:space="preserve">также </w:t>
      </w:r>
      <w:r w:rsidR="00096A16" w:rsidRPr="00096A16">
        <w:rPr>
          <w:lang w:val="ru-RU"/>
        </w:rPr>
        <w:t xml:space="preserve">предусматривать </w:t>
      </w:r>
      <w:r w:rsidR="00845D86">
        <w:rPr>
          <w:lang w:val="ru-RU"/>
        </w:rPr>
        <w:t xml:space="preserve">более позднюю </w:t>
      </w:r>
      <w:r w:rsidR="00845D86" w:rsidRPr="00845D86">
        <w:rPr>
          <w:lang w:val="ru-RU"/>
        </w:rPr>
        <w:t>реализаци</w:t>
      </w:r>
      <w:r w:rsidR="00845D86">
        <w:rPr>
          <w:lang w:val="ru-RU"/>
        </w:rPr>
        <w:t>ю</w:t>
      </w:r>
      <w:r w:rsidR="00096A16" w:rsidRPr="00096A16">
        <w:rPr>
          <w:lang w:val="ru-RU"/>
        </w:rPr>
        <w:t xml:space="preserve"> предлагаемых поправок.</w:t>
      </w:r>
    </w:p>
    <w:p w:rsidR="00590406" w:rsidRPr="00096A16" w:rsidRDefault="009B36BF" w:rsidP="004B53C4">
      <w:pPr>
        <w:pStyle w:val="ONUME"/>
        <w:pageBreakBefore/>
        <w:ind w:left="5534"/>
        <w:rPr>
          <w:lang w:val="ru-RU"/>
        </w:rPr>
      </w:pPr>
      <w:r w:rsidRPr="00096A16">
        <w:rPr>
          <w:i/>
          <w:lang w:val="ru-RU"/>
        </w:rPr>
        <w:t>Рабочей группе предлагается обсудить информацию, представленную в</w:t>
      </w:r>
      <w:r w:rsidR="00845D86">
        <w:rPr>
          <w:i/>
          <w:lang w:val="ru-RU"/>
        </w:rPr>
        <w:t> </w:t>
      </w:r>
      <w:r w:rsidRPr="00096A16">
        <w:rPr>
          <w:i/>
          <w:lang w:val="ru-RU"/>
        </w:rPr>
        <w:t xml:space="preserve">настоящем документе, и дать Международному бюро </w:t>
      </w:r>
      <w:r w:rsidR="00845D86" w:rsidRPr="00845D86">
        <w:rPr>
          <w:i/>
          <w:lang w:val="ru-RU"/>
        </w:rPr>
        <w:t>рекомендаци</w:t>
      </w:r>
      <w:r w:rsidR="00845D86">
        <w:rPr>
          <w:i/>
          <w:lang w:val="ru-RU"/>
        </w:rPr>
        <w:t>и</w:t>
      </w:r>
      <w:r w:rsidRPr="00096A16">
        <w:rPr>
          <w:i/>
          <w:lang w:val="ru-RU"/>
        </w:rPr>
        <w:t xml:space="preserve"> относительно</w:t>
      </w:r>
      <w:r w:rsidR="00096A16" w:rsidRPr="00096A16">
        <w:rPr>
          <w:i/>
          <w:lang w:val="ru-RU"/>
        </w:rPr>
        <w:t xml:space="preserve"> возможных </w:t>
      </w:r>
      <w:r w:rsidR="00845D86" w:rsidRPr="00845D86">
        <w:rPr>
          <w:i/>
          <w:lang w:val="ru-RU"/>
        </w:rPr>
        <w:t>последующ</w:t>
      </w:r>
      <w:r w:rsidR="00845D86">
        <w:rPr>
          <w:i/>
          <w:lang w:val="ru-RU"/>
        </w:rPr>
        <w:t>их</w:t>
      </w:r>
      <w:r w:rsidR="00845D86" w:rsidRPr="00845D86">
        <w:rPr>
          <w:i/>
          <w:lang w:val="ru-RU"/>
        </w:rPr>
        <w:t xml:space="preserve"> </w:t>
      </w:r>
      <w:r w:rsidR="00845D86">
        <w:rPr>
          <w:i/>
          <w:lang w:val="ru-RU"/>
        </w:rPr>
        <w:t>шагов</w:t>
      </w:r>
      <w:r w:rsidR="00096A16" w:rsidRPr="00096A16">
        <w:rPr>
          <w:i/>
          <w:lang w:val="ru-RU"/>
        </w:rPr>
        <w:t>.</w:t>
      </w:r>
    </w:p>
    <w:p w:rsidR="008E137E" w:rsidRPr="00C25709" w:rsidRDefault="009B36BF" w:rsidP="00C25709">
      <w:pPr>
        <w:pStyle w:val="Endofdocument-Annex"/>
        <w:spacing w:before="660"/>
      </w:pPr>
      <w:r w:rsidRPr="005C2E50">
        <w:rPr>
          <w:lang w:val="ru-RU"/>
        </w:rPr>
        <w:t>[Конец документа]</w:t>
      </w:r>
    </w:p>
    <w:sectPr w:rsidR="008E137E" w:rsidRPr="00C25709" w:rsidSect="00542F78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6BF" w:rsidRDefault="00F916BF">
      <w:r>
        <w:separator/>
      </w:r>
    </w:p>
  </w:endnote>
  <w:endnote w:type="continuationSeparator" w:id="0">
    <w:p w:rsidR="00F916BF" w:rsidRDefault="00F916BF" w:rsidP="003B38C1">
      <w:r>
        <w:separator/>
      </w:r>
    </w:p>
    <w:p w:rsidR="00F916BF" w:rsidRPr="003B38C1" w:rsidRDefault="00F916B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916BF" w:rsidRPr="003B38C1" w:rsidRDefault="00F916B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BC8FD03E-87A1-4E18-BFD6-D8E90A0B49B2}"/>
  </w:font>
  <w:font w:name="+mn-ea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6BF" w:rsidRDefault="00F916BF">
      <w:r>
        <w:separator/>
      </w:r>
    </w:p>
  </w:footnote>
  <w:footnote w:type="continuationSeparator" w:id="0">
    <w:p w:rsidR="00F916BF" w:rsidRDefault="00F916BF" w:rsidP="008B60B2">
      <w:r>
        <w:separator/>
      </w:r>
    </w:p>
    <w:p w:rsidR="00F916BF" w:rsidRPr="00ED77FB" w:rsidRDefault="00F916B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916BF" w:rsidRPr="00ED77FB" w:rsidRDefault="00F916B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134E33" w:rsidRPr="00047901" w:rsidRDefault="00134E33" w:rsidP="00047901">
      <w:pPr>
        <w:pStyle w:val="FootnoteText"/>
        <w:rPr>
          <w:lang w:val="ru-RU"/>
        </w:rPr>
      </w:pPr>
      <w:r w:rsidRPr="00047901">
        <w:rPr>
          <w:rStyle w:val="FootnoteReference"/>
        </w:rPr>
        <w:footnoteRef/>
      </w:r>
      <w:r w:rsidRPr="00047901">
        <w:rPr>
          <w:lang w:val="ru-RU"/>
        </w:rPr>
        <w:t xml:space="preserve"> </w:t>
      </w:r>
      <w:r w:rsidRPr="00047901">
        <w:rPr>
          <w:lang w:val="ru-RU"/>
        </w:rPr>
        <w:tab/>
        <w:t xml:space="preserve">Вопрос об электронном сообщении как способе передачи сообщений, используемом по умолчанию, </w:t>
      </w:r>
      <w:r w:rsidRPr="00047901">
        <w:rPr>
          <w:szCs w:val="22"/>
          <w:lang w:val="ru-RU"/>
        </w:rPr>
        <w:t xml:space="preserve">рассмотренный </w:t>
      </w:r>
      <w:r w:rsidRPr="00047901">
        <w:rPr>
          <w:lang w:val="ru-RU"/>
        </w:rPr>
        <w:t>в пункте 2(</w:t>
      </w:r>
      <w:r w:rsidRPr="00047901">
        <w:t>v</w:t>
      </w:r>
      <w:r w:rsidRPr="00047901">
        <w:rPr>
          <w:lang w:val="ru-RU"/>
        </w:rPr>
        <w:t xml:space="preserve">) настоящего документа, рассматривается более подробно в документе </w:t>
      </w:r>
      <w:r w:rsidRPr="00047901">
        <w:t>MM</w:t>
      </w:r>
      <w:r w:rsidRPr="00047901">
        <w:rPr>
          <w:lang w:val="ru-RU"/>
        </w:rPr>
        <w:t>/</w:t>
      </w:r>
      <w:r w:rsidRPr="00047901">
        <w:t>LD</w:t>
      </w:r>
      <w:r w:rsidRPr="00047901">
        <w:rPr>
          <w:lang w:val="ru-RU"/>
        </w:rPr>
        <w:t>/</w:t>
      </w:r>
      <w:r w:rsidRPr="00047901">
        <w:t>WG</w:t>
      </w:r>
      <w:r w:rsidRPr="00047901">
        <w:rPr>
          <w:lang w:val="ru-RU"/>
        </w:rPr>
        <w:t>/18/2 «Предлагаемые поправки к Инструкции к Протоколу к Мадридскому соглашению о международной регистрации знаков».</w:t>
      </w:r>
    </w:p>
  </w:footnote>
  <w:footnote w:id="3">
    <w:p w:rsidR="00134E33" w:rsidRPr="001F1D0C" w:rsidRDefault="00134E33" w:rsidP="001F1D0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F1D0C">
        <w:rPr>
          <w:lang w:val="ru-RU"/>
        </w:rPr>
        <w:t xml:space="preserve"> </w:t>
      </w:r>
      <w:r w:rsidRPr="001F1D0C">
        <w:rPr>
          <w:lang w:val="ru-RU"/>
        </w:rPr>
        <w:tab/>
        <w:t>См. документ «Информация о предварительных отказах</w:t>
      </w:r>
      <w:r w:rsidRPr="001F1D0C">
        <w:rPr>
          <w:sz w:val="20"/>
          <w:lang w:val="ru-RU"/>
        </w:rPr>
        <w:t>»</w:t>
      </w:r>
      <w:r w:rsidRPr="001F1D0C">
        <w:rPr>
          <w:lang w:val="ru-RU"/>
        </w:rPr>
        <w:t xml:space="preserve"> (</w:t>
      </w:r>
      <w:r w:rsidRPr="000A05F1">
        <w:t>https</w:t>
      </w:r>
      <w:r w:rsidRPr="000A05F1">
        <w:rPr>
          <w:lang w:val="ru-RU"/>
        </w:rPr>
        <w:t>://</w:t>
      </w:r>
      <w:r w:rsidRPr="000A05F1">
        <w:t>www</w:t>
      </w:r>
      <w:r w:rsidRPr="000A05F1">
        <w:rPr>
          <w:lang w:val="ru-RU"/>
        </w:rPr>
        <w:t>.</w:t>
      </w:r>
      <w:r w:rsidRPr="000A05F1">
        <w:t>wipo</w:t>
      </w:r>
      <w:r w:rsidRPr="000A05F1">
        <w:rPr>
          <w:lang w:val="ru-RU"/>
        </w:rPr>
        <w:t>.</w:t>
      </w:r>
      <w:r w:rsidRPr="000A05F1">
        <w:t>int</w:t>
      </w:r>
      <w:r w:rsidRPr="000A05F1">
        <w:rPr>
          <w:lang w:val="ru-RU"/>
        </w:rPr>
        <w:t>/</w:t>
      </w:r>
      <w:r w:rsidRPr="000A05F1">
        <w:t>edocs</w:t>
      </w:r>
      <w:r w:rsidRPr="000A05F1">
        <w:rPr>
          <w:lang w:val="ru-RU"/>
        </w:rPr>
        <w:t>/</w:t>
      </w:r>
      <w:r w:rsidRPr="000A05F1">
        <w:t>mdocs</w:t>
      </w:r>
      <w:r w:rsidRPr="000A05F1">
        <w:rPr>
          <w:lang w:val="ru-RU"/>
        </w:rPr>
        <w:t>/</w:t>
      </w:r>
      <w:r w:rsidRPr="000A05F1">
        <w:t>madrid</w:t>
      </w:r>
      <w:r w:rsidRPr="000A05F1">
        <w:rPr>
          <w:lang w:val="ru-RU"/>
        </w:rPr>
        <w:t>/</w:t>
      </w:r>
      <w:r w:rsidRPr="000A05F1">
        <w:t>en</w:t>
      </w:r>
      <w:r w:rsidRPr="000A05F1">
        <w:rPr>
          <w:lang w:val="ru-RU"/>
        </w:rPr>
        <w:t>/</w:t>
      </w:r>
      <w:r w:rsidRPr="000A05F1">
        <w:t>mm</w:t>
      </w:r>
      <w:r w:rsidRPr="000A05F1">
        <w:rPr>
          <w:lang w:val="ru-RU"/>
        </w:rPr>
        <w:t>_</w:t>
      </w:r>
      <w:r w:rsidRPr="000A05F1">
        <w:t>ld</w:t>
      </w:r>
      <w:r w:rsidRPr="000A05F1">
        <w:rPr>
          <w:lang w:val="ru-RU"/>
        </w:rPr>
        <w:t>_</w:t>
      </w:r>
      <w:r w:rsidRPr="000A05F1">
        <w:t>wg</w:t>
      </w:r>
      <w:r w:rsidRPr="000A05F1">
        <w:rPr>
          <w:lang w:val="ru-RU"/>
        </w:rPr>
        <w:t>_12_</w:t>
      </w:r>
      <w:r w:rsidRPr="000A05F1">
        <w:t>rt</w:t>
      </w:r>
      <w:r w:rsidRPr="000A05F1">
        <w:rPr>
          <w:lang w:val="ru-RU"/>
        </w:rPr>
        <w:t>/</w:t>
      </w:r>
      <w:r w:rsidRPr="000A05F1">
        <w:t>mm</w:t>
      </w:r>
      <w:r w:rsidRPr="000A05F1">
        <w:rPr>
          <w:lang w:val="ru-RU"/>
        </w:rPr>
        <w:t>_</w:t>
      </w:r>
      <w:r w:rsidRPr="000A05F1">
        <w:t>ld</w:t>
      </w:r>
      <w:r w:rsidRPr="000A05F1">
        <w:rPr>
          <w:lang w:val="ru-RU"/>
        </w:rPr>
        <w:t>_</w:t>
      </w:r>
      <w:r w:rsidRPr="000A05F1">
        <w:t>wg</w:t>
      </w:r>
      <w:r w:rsidRPr="000A05F1">
        <w:rPr>
          <w:lang w:val="ru-RU"/>
        </w:rPr>
        <w:t>_12_</w:t>
      </w:r>
      <w:r w:rsidRPr="000A05F1">
        <w:t>rt</w:t>
      </w:r>
      <w:r w:rsidRPr="000A05F1">
        <w:rPr>
          <w:lang w:val="ru-RU"/>
        </w:rPr>
        <w:t>_</w:t>
      </w:r>
      <w:r w:rsidRPr="000A05F1">
        <w:t>information</w:t>
      </w:r>
      <w:r w:rsidRPr="000A05F1">
        <w:rPr>
          <w:lang w:val="ru-RU"/>
        </w:rPr>
        <w:t>_</w:t>
      </w:r>
      <w:r w:rsidRPr="000A05F1">
        <w:t>on</w:t>
      </w:r>
      <w:r w:rsidRPr="000A05F1">
        <w:rPr>
          <w:lang w:val="ru-RU"/>
        </w:rPr>
        <w:t>_</w:t>
      </w:r>
      <w:r w:rsidRPr="000A05F1">
        <w:t>provisional</w:t>
      </w:r>
      <w:r w:rsidRPr="000A05F1">
        <w:rPr>
          <w:lang w:val="ru-RU"/>
        </w:rPr>
        <w:t>_</w:t>
      </w:r>
      <w:r w:rsidRPr="000A05F1">
        <w:t>refusals</w:t>
      </w:r>
      <w:r w:rsidRPr="000A05F1">
        <w:rPr>
          <w:lang w:val="ru-RU"/>
        </w:rPr>
        <w:t>.</w:t>
      </w:r>
      <w:r w:rsidRPr="000A05F1">
        <w:t>pdf</w:t>
      </w:r>
      <w:r w:rsidRPr="001F1D0C">
        <w:rPr>
          <w:lang w:val="ru-RU"/>
        </w:rPr>
        <w:t>).</w:t>
      </w:r>
    </w:p>
  </w:footnote>
  <w:footnote w:id="4">
    <w:p w:rsidR="00134E33" w:rsidRPr="001F1D0C" w:rsidRDefault="00134E33" w:rsidP="001F1D0C">
      <w:pPr>
        <w:pStyle w:val="FootnoteText"/>
        <w:rPr>
          <w:lang w:val="ru-RU"/>
        </w:rPr>
      </w:pPr>
      <w:r w:rsidRPr="001F1D0C">
        <w:rPr>
          <w:rStyle w:val="FootnoteReference"/>
        </w:rPr>
        <w:footnoteRef/>
      </w:r>
      <w:r w:rsidRPr="001F1D0C">
        <w:rPr>
          <w:lang w:val="ru-RU"/>
        </w:rPr>
        <w:t xml:space="preserve"> </w:t>
      </w:r>
      <w:r w:rsidRPr="001F1D0C">
        <w:rPr>
          <w:lang w:val="ru-RU"/>
        </w:rPr>
        <w:tab/>
        <w:t xml:space="preserve">См. документ </w:t>
      </w:r>
      <w:r w:rsidRPr="001F1D0C">
        <w:t>MM</w:t>
      </w:r>
      <w:r w:rsidRPr="001F1D0C">
        <w:rPr>
          <w:lang w:val="ru-RU"/>
        </w:rPr>
        <w:t>/</w:t>
      </w:r>
      <w:r w:rsidRPr="001F1D0C">
        <w:t>LD</w:t>
      </w:r>
      <w:r w:rsidRPr="001F1D0C">
        <w:rPr>
          <w:lang w:val="ru-RU"/>
        </w:rPr>
        <w:t>/</w:t>
      </w:r>
      <w:r w:rsidRPr="001F1D0C">
        <w:t>WG</w:t>
      </w:r>
      <w:r w:rsidRPr="001F1D0C">
        <w:rPr>
          <w:lang w:val="ru-RU"/>
        </w:rPr>
        <w:t>/17/5 «Уведомление о предварительном отказе: срок ответа на него и способы его исчисления», пункт 19 (</w:t>
      </w:r>
      <w:r w:rsidRPr="000A05F1">
        <w:t>https</w:t>
      </w:r>
      <w:r w:rsidRPr="000A05F1">
        <w:rPr>
          <w:lang w:val="ru-RU"/>
        </w:rPr>
        <w:t>://</w:t>
      </w:r>
      <w:r w:rsidRPr="000A05F1">
        <w:t>www</w:t>
      </w:r>
      <w:r w:rsidRPr="000A05F1">
        <w:rPr>
          <w:lang w:val="ru-RU"/>
        </w:rPr>
        <w:t>.</w:t>
      </w:r>
      <w:r w:rsidRPr="000A05F1">
        <w:t>wipo</w:t>
      </w:r>
      <w:r w:rsidRPr="000A05F1">
        <w:rPr>
          <w:lang w:val="ru-RU"/>
        </w:rPr>
        <w:t>.</w:t>
      </w:r>
      <w:r w:rsidRPr="000A05F1">
        <w:t>int</w:t>
      </w:r>
      <w:r w:rsidRPr="000A05F1">
        <w:rPr>
          <w:lang w:val="ru-RU"/>
        </w:rPr>
        <w:t>/</w:t>
      </w:r>
      <w:r w:rsidRPr="000A05F1">
        <w:t>edocs</w:t>
      </w:r>
      <w:r w:rsidRPr="000A05F1">
        <w:rPr>
          <w:lang w:val="ru-RU"/>
        </w:rPr>
        <w:t>/</w:t>
      </w:r>
      <w:r w:rsidRPr="000A05F1">
        <w:t>mdocs</w:t>
      </w:r>
      <w:r w:rsidRPr="000A05F1">
        <w:rPr>
          <w:lang w:val="ru-RU"/>
        </w:rPr>
        <w:t>/</w:t>
      </w:r>
      <w:r w:rsidRPr="000A05F1">
        <w:t>madrid</w:t>
      </w:r>
      <w:r w:rsidRPr="000A05F1">
        <w:rPr>
          <w:lang w:val="ru-RU"/>
        </w:rPr>
        <w:t>/</w:t>
      </w:r>
      <w:r w:rsidRPr="000A05F1">
        <w:t>en</w:t>
      </w:r>
      <w:r w:rsidRPr="000A05F1">
        <w:rPr>
          <w:lang w:val="ru-RU"/>
        </w:rPr>
        <w:t>/</w:t>
      </w:r>
      <w:r w:rsidRPr="000A05F1">
        <w:t>mm</w:t>
      </w:r>
      <w:r w:rsidRPr="000A05F1">
        <w:rPr>
          <w:lang w:val="ru-RU"/>
        </w:rPr>
        <w:t>_</w:t>
      </w:r>
      <w:r w:rsidRPr="000A05F1">
        <w:t>ld</w:t>
      </w:r>
      <w:r w:rsidRPr="000A05F1">
        <w:rPr>
          <w:lang w:val="ru-RU"/>
        </w:rPr>
        <w:t>_</w:t>
      </w:r>
      <w:r w:rsidRPr="000A05F1">
        <w:t>wg</w:t>
      </w:r>
      <w:r w:rsidRPr="000A05F1">
        <w:rPr>
          <w:lang w:val="ru-RU"/>
        </w:rPr>
        <w:t>_17/</w:t>
      </w:r>
      <w:r w:rsidRPr="000A05F1">
        <w:t>mm</w:t>
      </w:r>
      <w:r w:rsidRPr="000A05F1">
        <w:rPr>
          <w:lang w:val="ru-RU"/>
        </w:rPr>
        <w:t>_</w:t>
      </w:r>
      <w:r w:rsidRPr="000A05F1">
        <w:t>ld</w:t>
      </w:r>
      <w:r w:rsidRPr="000A05F1">
        <w:rPr>
          <w:lang w:val="ru-RU"/>
        </w:rPr>
        <w:t>_</w:t>
      </w:r>
      <w:r w:rsidRPr="000A05F1">
        <w:t>wg</w:t>
      </w:r>
      <w:r w:rsidRPr="000A05F1">
        <w:rPr>
          <w:lang w:val="ru-RU"/>
        </w:rPr>
        <w:t>_17_5.</w:t>
      </w:r>
      <w:r w:rsidRPr="000A05F1">
        <w:t>pdf</w:t>
      </w:r>
      <w:r w:rsidRPr="001F1D0C">
        <w:rPr>
          <w:lang w:val="ru-RU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E33" w:rsidRPr="00656457" w:rsidRDefault="00134E33" w:rsidP="00656457">
    <w:pPr>
      <w:jc w:val="right"/>
      <w:rPr>
        <w:caps/>
      </w:rPr>
    </w:pPr>
    <w:bookmarkStart w:id="8" w:name="Code2"/>
    <w:r w:rsidRPr="00656457">
      <w:rPr>
        <w:caps/>
      </w:rPr>
      <w:t>MM/LD/</w:t>
    </w:r>
    <w:r>
      <w:rPr>
        <w:caps/>
      </w:rPr>
      <w:t>WG/18/6</w:t>
    </w:r>
  </w:p>
  <w:bookmarkEnd w:id="8"/>
  <w:p w:rsidR="00134E33" w:rsidRDefault="00134E33" w:rsidP="00656457">
    <w:pPr>
      <w:spacing w:after="440"/>
      <w:jc w:val="right"/>
    </w:pPr>
    <w:r>
      <w:rPr>
        <w:lang w:val="ru-RU"/>
      </w:rP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6F2DD9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4F71EB"/>
    <w:multiLevelType w:val="multilevel"/>
    <w:tmpl w:val="1D50CD90"/>
    <w:lvl w:ilvl="0">
      <w:start w:val="1"/>
      <w:numFmt w:val="lowerRoman"/>
      <w:lvlText w:val="(%1)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6CD29E3"/>
    <w:multiLevelType w:val="multilevel"/>
    <w:tmpl w:val="B1F0BFF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954"/>
        </w:tabs>
        <w:ind w:left="5387" w:firstLine="0"/>
      </w:pPr>
      <w:rPr>
        <w:rFonts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6FC24E5"/>
    <w:multiLevelType w:val="hybridMultilevel"/>
    <w:tmpl w:val="E9AC32A6"/>
    <w:lvl w:ilvl="0" w:tplc="002271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B5464"/>
    <w:multiLevelType w:val="multilevel"/>
    <w:tmpl w:val="A90CACB6"/>
    <w:lvl w:ilvl="0">
      <w:start w:val="1"/>
      <w:numFmt w:val="lowerRoman"/>
      <w:lvlText w:val="(%1)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D20FA1"/>
    <w:multiLevelType w:val="multilevel"/>
    <w:tmpl w:val="AE12992E"/>
    <w:lvl w:ilvl="0">
      <w:start w:val="1"/>
      <w:numFmt w:val="lowerRoman"/>
      <w:lvlText w:val="(%1)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72C531E0"/>
    <w:multiLevelType w:val="hybridMultilevel"/>
    <w:tmpl w:val="7A9E612E"/>
    <w:lvl w:ilvl="0" w:tplc="46662A8A">
      <w:start w:val="29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9">
    <w:abstractNumId w:val="10"/>
  </w:num>
  <w:num w:numId="10">
    <w:abstractNumId w:val="4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F78"/>
    <w:rsid w:val="000021C0"/>
    <w:rsid w:val="000244F3"/>
    <w:rsid w:val="0003281F"/>
    <w:rsid w:val="00043CAA"/>
    <w:rsid w:val="00047901"/>
    <w:rsid w:val="00056816"/>
    <w:rsid w:val="00057D16"/>
    <w:rsid w:val="00075432"/>
    <w:rsid w:val="00094C24"/>
    <w:rsid w:val="000968ED"/>
    <w:rsid w:val="00096A16"/>
    <w:rsid w:val="000A05F1"/>
    <w:rsid w:val="000A3D97"/>
    <w:rsid w:val="000A42D7"/>
    <w:rsid w:val="000A71CA"/>
    <w:rsid w:val="000F5E56"/>
    <w:rsid w:val="001123EB"/>
    <w:rsid w:val="00134E33"/>
    <w:rsid w:val="001362EE"/>
    <w:rsid w:val="00143ED6"/>
    <w:rsid w:val="001647D5"/>
    <w:rsid w:val="00177C78"/>
    <w:rsid w:val="001832A6"/>
    <w:rsid w:val="001D4107"/>
    <w:rsid w:val="001F1D0C"/>
    <w:rsid w:val="001F4084"/>
    <w:rsid w:val="00203D24"/>
    <w:rsid w:val="0021217E"/>
    <w:rsid w:val="00243430"/>
    <w:rsid w:val="00246A59"/>
    <w:rsid w:val="002634C4"/>
    <w:rsid w:val="00271835"/>
    <w:rsid w:val="00290C9F"/>
    <w:rsid w:val="002928D3"/>
    <w:rsid w:val="002F0016"/>
    <w:rsid w:val="002F1FE6"/>
    <w:rsid w:val="002F3372"/>
    <w:rsid w:val="002F4E68"/>
    <w:rsid w:val="0030368A"/>
    <w:rsid w:val="00312F7F"/>
    <w:rsid w:val="00344312"/>
    <w:rsid w:val="00361450"/>
    <w:rsid w:val="003673CF"/>
    <w:rsid w:val="0037079B"/>
    <w:rsid w:val="003845C1"/>
    <w:rsid w:val="003A6F89"/>
    <w:rsid w:val="003B38C1"/>
    <w:rsid w:val="003C34E9"/>
    <w:rsid w:val="00423E3E"/>
    <w:rsid w:val="00427AF4"/>
    <w:rsid w:val="00450443"/>
    <w:rsid w:val="00457060"/>
    <w:rsid w:val="004647DA"/>
    <w:rsid w:val="004726DF"/>
    <w:rsid w:val="00474062"/>
    <w:rsid w:val="00477D6B"/>
    <w:rsid w:val="004B53C4"/>
    <w:rsid w:val="004F646D"/>
    <w:rsid w:val="005019FF"/>
    <w:rsid w:val="005101DC"/>
    <w:rsid w:val="0053057A"/>
    <w:rsid w:val="00542F78"/>
    <w:rsid w:val="00556076"/>
    <w:rsid w:val="00556656"/>
    <w:rsid w:val="00560A29"/>
    <w:rsid w:val="00590406"/>
    <w:rsid w:val="005C6649"/>
    <w:rsid w:val="005F0E0B"/>
    <w:rsid w:val="00605827"/>
    <w:rsid w:val="00613B29"/>
    <w:rsid w:val="00646050"/>
    <w:rsid w:val="00656457"/>
    <w:rsid w:val="00665B80"/>
    <w:rsid w:val="006713CA"/>
    <w:rsid w:val="00676C5C"/>
    <w:rsid w:val="006942A7"/>
    <w:rsid w:val="006B3D42"/>
    <w:rsid w:val="006B5CDF"/>
    <w:rsid w:val="006E4C1C"/>
    <w:rsid w:val="006F2DD9"/>
    <w:rsid w:val="00707EBC"/>
    <w:rsid w:val="00716A95"/>
    <w:rsid w:val="00720EFD"/>
    <w:rsid w:val="007765B6"/>
    <w:rsid w:val="00782CAC"/>
    <w:rsid w:val="00793A7C"/>
    <w:rsid w:val="007A398A"/>
    <w:rsid w:val="007D1613"/>
    <w:rsid w:val="007E29E5"/>
    <w:rsid w:val="007E4C0E"/>
    <w:rsid w:val="00824653"/>
    <w:rsid w:val="008379A3"/>
    <w:rsid w:val="00845D86"/>
    <w:rsid w:val="00852B5B"/>
    <w:rsid w:val="00861751"/>
    <w:rsid w:val="00874BD3"/>
    <w:rsid w:val="008A134B"/>
    <w:rsid w:val="008A75FD"/>
    <w:rsid w:val="008B2CC1"/>
    <w:rsid w:val="008B60B2"/>
    <w:rsid w:val="008E137E"/>
    <w:rsid w:val="009062AE"/>
    <w:rsid w:val="0090731E"/>
    <w:rsid w:val="00916EE2"/>
    <w:rsid w:val="00931EC3"/>
    <w:rsid w:val="00953524"/>
    <w:rsid w:val="00966A22"/>
    <w:rsid w:val="0096722F"/>
    <w:rsid w:val="00980843"/>
    <w:rsid w:val="009B36BF"/>
    <w:rsid w:val="009D1602"/>
    <w:rsid w:val="009E2791"/>
    <w:rsid w:val="009E3F6F"/>
    <w:rsid w:val="009F499F"/>
    <w:rsid w:val="00A37342"/>
    <w:rsid w:val="00A42DAF"/>
    <w:rsid w:val="00A45BD8"/>
    <w:rsid w:val="00A869B7"/>
    <w:rsid w:val="00AC205C"/>
    <w:rsid w:val="00AD7AE7"/>
    <w:rsid w:val="00AF0A6B"/>
    <w:rsid w:val="00AF4BFB"/>
    <w:rsid w:val="00B05A69"/>
    <w:rsid w:val="00B25737"/>
    <w:rsid w:val="00B75281"/>
    <w:rsid w:val="00B92F1F"/>
    <w:rsid w:val="00B9734B"/>
    <w:rsid w:val="00BA30E2"/>
    <w:rsid w:val="00C11BFE"/>
    <w:rsid w:val="00C175D9"/>
    <w:rsid w:val="00C21B45"/>
    <w:rsid w:val="00C25709"/>
    <w:rsid w:val="00C32CDE"/>
    <w:rsid w:val="00C42528"/>
    <w:rsid w:val="00C5068F"/>
    <w:rsid w:val="00C65CF8"/>
    <w:rsid w:val="00C86D74"/>
    <w:rsid w:val="00CC0B3E"/>
    <w:rsid w:val="00CD04F1"/>
    <w:rsid w:val="00CD1938"/>
    <w:rsid w:val="00CF4E40"/>
    <w:rsid w:val="00CF681A"/>
    <w:rsid w:val="00D07C78"/>
    <w:rsid w:val="00D347B2"/>
    <w:rsid w:val="00D36FCB"/>
    <w:rsid w:val="00D45252"/>
    <w:rsid w:val="00D71B4D"/>
    <w:rsid w:val="00D93D55"/>
    <w:rsid w:val="00DB2D79"/>
    <w:rsid w:val="00DB45D8"/>
    <w:rsid w:val="00DC7FC8"/>
    <w:rsid w:val="00DD7B7F"/>
    <w:rsid w:val="00DE28E9"/>
    <w:rsid w:val="00DE3320"/>
    <w:rsid w:val="00E15015"/>
    <w:rsid w:val="00E23D1B"/>
    <w:rsid w:val="00E335FE"/>
    <w:rsid w:val="00E60954"/>
    <w:rsid w:val="00EA7D6E"/>
    <w:rsid w:val="00EB2F76"/>
    <w:rsid w:val="00EC344F"/>
    <w:rsid w:val="00EC4E49"/>
    <w:rsid w:val="00ED77FB"/>
    <w:rsid w:val="00EE45FA"/>
    <w:rsid w:val="00F01E48"/>
    <w:rsid w:val="00F043DE"/>
    <w:rsid w:val="00F1085F"/>
    <w:rsid w:val="00F25629"/>
    <w:rsid w:val="00F37AC4"/>
    <w:rsid w:val="00F458AF"/>
    <w:rsid w:val="00F66152"/>
    <w:rsid w:val="00F70774"/>
    <w:rsid w:val="00F874D6"/>
    <w:rsid w:val="00F9165B"/>
    <w:rsid w:val="00F916BF"/>
    <w:rsid w:val="00F93613"/>
    <w:rsid w:val="00FB582D"/>
    <w:rsid w:val="00FB6012"/>
    <w:rsid w:val="00FD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9CF8CDCB-83F9-4696-B550-67DBE364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590406"/>
    <w:pPr>
      <w:keepNext/>
      <w:spacing w:before="480" w:after="24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590406"/>
    <w:pPr>
      <w:keepNext/>
      <w:spacing w:before="48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590406"/>
    <w:pPr>
      <w:keepNext/>
      <w:spacing w:before="480" w:after="24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590406"/>
    <w:pPr>
      <w:keepNext/>
      <w:spacing w:before="480" w:after="24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5954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unhideWhenUsed/>
    <w:rsid w:val="008E137E"/>
    <w:rPr>
      <w:vertAlign w:val="superscript"/>
    </w:rPr>
  </w:style>
  <w:style w:type="character" w:styleId="Hyperlink">
    <w:name w:val="Hyperlink"/>
    <w:uiPriority w:val="99"/>
    <w:unhideWhenUsed/>
    <w:rsid w:val="00590406"/>
    <w:rPr>
      <w:color w:val="0000FF"/>
      <w:u w:val="single"/>
    </w:rPr>
  </w:style>
  <w:style w:type="character" w:styleId="CommentReference">
    <w:name w:val="annotation reference"/>
    <w:semiHidden/>
    <w:unhideWhenUsed/>
    <w:rsid w:val="00782CA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2CAC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782CAC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link w:val="CommentSubject"/>
    <w:semiHidden/>
    <w:rsid w:val="00782CAC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782CAC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782C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782CAC"/>
    <w:rPr>
      <w:rFonts w:ascii="Segoe UI" w:eastAsia="SimSun" w:hAnsi="Segoe UI" w:cs="Segoe UI"/>
      <w:sz w:val="18"/>
      <w:szCs w:val="18"/>
      <w:lang w:val="en-US" w:eastAsia="zh-CN"/>
    </w:rPr>
  </w:style>
  <w:style w:type="character" w:styleId="FollowedHyperlink">
    <w:name w:val="FollowedHyperlink"/>
    <w:semiHidden/>
    <w:unhideWhenUsed/>
    <w:rsid w:val="00C32CDE"/>
    <w:rPr>
      <w:color w:val="800080"/>
      <w:u w:val="single"/>
    </w:rPr>
  </w:style>
  <w:style w:type="character" w:customStyle="1" w:styleId="SINGLE">
    <w:name w:val="SINGLE"/>
    <w:basedOn w:val="DefaultParagraphFont"/>
    <w:rsid w:val="00CF4E40"/>
    <w:rPr>
      <w:noProof w:val="0"/>
      <w:sz w:val="22"/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1951</Words>
  <Characters>13290</Characters>
  <Application>Microsoft Office Word</Application>
  <DocSecurity>0</DocSecurity>
  <Lines>110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MM/LD/WG</vt:lpstr>
      <vt:lpstr>MM/LD/WG</vt:lpstr>
    </vt:vector>
  </TitlesOfParts>
  <Company>WIPO</Company>
  <LinksUpToDate>false</LinksUpToDate>
  <CharactersWithSpaces>15211</CharactersWithSpaces>
  <SharedDoc>false</SharedDoc>
  <HLinks>
    <vt:vector size="12" baseType="variant">
      <vt:variant>
        <vt:i4>5832751</vt:i4>
      </vt:variant>
      <vt:variant>
        <vt:i4>3</vt:i4>
      </vt:variant>
      <vt:variant>
        <vt:i4>0</vt:i4>
      </vt:variant>
      <vt:variant>
        <vt:i4>5</vt:i4>
      </vt:variant>
      <vt:variant>
        <vt:lpwstr>https://www.wipo.int/edocs/mdocs/madrid/en/mm_ld_wg_17/mm_ld_wg_17_5.pdf</vt:lpwstr>
      </vt:variant>
      <vt:variant>
        <vt:lpwstr/>
      </vt:variant>
      <vt:variant>
        <vt:i4>5308493</vt:i4>
      </vt:variant>
      <vt:variant>
        <vt:i4>0</vt:i4>
      </vt:variant>
      <vt:variant>
        <vt:i4>0</vt:i4>
      </vt:variant>
      <vt:variant>
        <vt:i4>5</vt:i4>
      </vt:variant>
      <vt:variant>
        <vt:lpwstr>https://www.wipo.int/edocs/mdocs/madrid/en/mm_ld_wg_12_rt/mm_ld_wg_12_rt_information_on_provisional_refusals.pdf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MM/LD/WG</dc:title>
  <dc:subject/>
  <dc:creator>Madrid Legal Division</dc:creator>
  <cp:keywords>FOR OFFICIAL USE ONLY</cp:keywords>
  <cp:lastModifiedBy>DIAZ Natacha</cp:lastModifiedBy>
  <cp:revision>5</cp:revision>
  <cp:lastPrinted>2020-08-27T16:02:00Z</cp:lastPrinted>
  <dcterms:created xsi:type="dcterms:W3CDTF">2020-08-24T06:33:00Z</dcterms:created>
  <dcterms:modified xsi:type="dcterms:W3CDTF">2020-08-27T16:03:00Z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