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RPr="00582A90" w:rsidTr="00582A90">
        <w:tc>
          <w:tcPr>
            <w:tcW w:w="4843" w:type="dxa"/>
            <w:tcBorders>
              <w:bottom w:val="single" w:sz="4" w:space="0" w:color="auto"/>
            </w:tcBorders>
            <w:shd w:val="clear" w:color="auto" w:fill="auto"/>
          </w:tcPr>
          <w:p w:rsidR="001667B6" w:rsidRPr="00582A90" w:rsidRDefault="001667B6" w:rsidP="00582A90">
            <w:pPr>
              <w:bidi/>
              <w:rPr>
                <w:rFonts w:ascii="Arabic Typesetting" w:hAnsi="Arabic Typesetting" w:cs="Arabic Typesetting"/>
                <w:sz w:val="36"/>
                <w:szCs w:val="36"/>
                <w:rtl/>
              </w:rPr>
            </w:pPr>
            <w:bookmarkStart w:id="2" w:name="_GoBack"/>
            <w:bookmarkEnd w:id="2"/>
          </w:p>
        </w:tc>
        <w:tc>
          <w:tcPr>
            <w:tcW w:w="4223" w:type="dxa"/>
            <w:tcBorders>
              <w:bottom w:val="single" w:sz="4" w:space="0" w:color="auto"/>
            </w:tcBorders>
            <w:shd w:val="clear" w:color="auto" w:fill="auto"/>
          </w:tcPr>
          <w:p w:rsidR="001667B6" w:rsidRPr="00582A90" w:rsidRDefault="0039283A" w:rsidP="00582A90">
            <w:pPr>
              <w:bidi/>
              <w:spacing w:after="20"/>
              <w:rPr>
                <w:rFonts w:ascii="Arabic Typesetting" w:hAnsi="Arabic Typesetting" w:cs="Arabic Typesetting"/>
                <w:sz w:val="36"/>
                <w:szCs w:val="36"/>
                <w:rtl/>
              </w:rPr>
            </w:pPr>
            <w:r>
              <w:rPr>
                <w:noProof/>
              </w:rPr>
              <w:drawing>
                <wp:inline distT="0" distB="0" distL="0" distR="0">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shd w:val="clear" w:color="auto" w:fill="auto"/>
          </w:tcPr>
          <w:p w:rsidR="001667B6" w:rsidRPr="00582A90" w:rsidRDefault="001667B6" w:rsidP="001667B6">
            <w:pPr>
              <w:rPr>
                <w:b/>
                <w:bCs/>
                <w:sz w:val="40"/>
                <w:szCs w:val="40"/>
              </w:rPr>
            </w:pPr>
            <w:r w:rsidRPr="00582A90">
              <w:rPr>
                <w:b/>
                <w:bCs/>
                <w:sz w:val="40"/>
                <w:szCs w:val="40"/>
              </w:rPr>
              <w:t>A</w:t>
            </w:r>
          </w:p>
        </w:tc>
      </w:tr>
      <w:tr w:rsidR="001667B6" w:rsidRPr="00582A90" w:rsidTr="00582A90">
        <w:trPr>
          <w:trHeight w:val="333"/>
        </w:trPr>
        <w:tc>
          <w:tcPr>
            <w:tcW w:w="9571" w:type="dxa"/>
            <w:gridSpan w:val="3"/>
            <w:tcBorders>
              <w:top w:val="single" w:sz="4" w:space="0" w:color="auto"/>
            </w:tcBorders>
            <w:shd w:val="clear" w:color="auto" w:fill="auto"/>
            <w:vAlign w:val="bottom"/>
          </w:tcPr>
          <w:p w:rsidR="00B6101C" w:rsidRPr="00B6101C" w:rsidRDefault="00470628" w:rsidP="009B14CB">
            <w:pPr>
              <w:pStyle w:val="DocumentCodeAR"/>
              <w:bidi/>
              <w:rPr>
                <w:rtl/>
              </w:rPr>
            </w:pPr>
            <w:r>
              <w:t>CDIP</w:t>
            </w:r>
            <w:r w:rsidR="00100F97">
              <w:t>/</w:t>
            </w:r>
            <w:r w:rsidR="00A871F4">
              <w:t>12</w:t>
            </w:r>
            <w:r w:rsidR="00B6101C" w:rsidRPr="00B6101C">
              <w:t>/</w:t>
            </w:r>
            <w:r w:rsidR="009B14CB">
              <w:t>INF/4</w:t>
            </w:r>
          </w:p>
        </w:tc>
      </w:tr>
      <w:tr w:rsidR="001667B6" w:rsidRPr="00582A90" w:rsidTr="00582A90">
        <w:tc>
          <w:tcPr>
            <w:tcW w:w="9571" w:type="dxa"/>
            <w:gridSpan w:val="3"/>
            <w:shd w:val="clear" w:color="auto" w:fill="auto"/>
          </w:tcPr>
          <w:p w:rsidR="001667B6" w:rsidRPr="00B6101C" w:rsidRDefault="00B6101C" w:rsidP="009B14CB">
            <w:pPr>
              <w:pStyle w:val="DocumentLanguageAR"/>
              <w:bidi/>
              <w:rPr>
                <w:rtl/>
              </w:rPr>
            </w:pPr>
            <w:r w:rsidRPr="00B6101C">
              <w:rPr>
                <w:rFonts w:hint="cs"/>
                <w:rtl/>
              </w:rPr>
              <w:t xml:space="preserve">الأصل: </w:t>
            </w:r>
            <w:proofErr w:type="gramStart"/>
            <w:r w:rsidR="009B14CB">
              <w:rPr>
                <w:rFonts w:hint="cs"/>
                <w:rtl/>
              </w:rPr>
              <w:t>بالإنكليزية</w:t>
            </w:r>
            <w:proofErr w:type="gramEnd"/>
          </w:p>
        </w:tc>
      </w:tr>
      <w:tr w:rsidR="001667B6" w:rsidRPr="00582A90" w:rsidTr="00582A90">
        <w:tc>
          <w:tcPr>
            <w:tcW w:w="9571" w:type="dxa"/>
            <w:gridSpan w:val="3"/>
            <w:shd w:val="clear" w:color="auto" w:fill="auto"/>
          </w:tcPr>
          <w:p w:rsidR="001667B6" w:rsidRPr="00B6101C" w:rsidRDefault="00B6101C" w:rsidP="009B14CB">
            <w:pPr>
              <w:pStyle w:val="DocumentDateAR"/>
              <w:bidi/>
              <w:rPr>
                <w:rtl/>
              </w:rPr>
            </w:pPr>
            <w:r w:rsidRPr="00B6101C">
              <w:rPr>
                <w:rFonts w:hint="cs"/>
                <w:rtl/>
              </w:rPr>
              <w:t xml:space="preserve">التاريخ: </w:t>
            </w:r>
            <w:r w:rsidR="009B14CB">
              <w:rPr>
                <w:rFonts w:hint="cs"/>
                <w:rtl/>
              </w:rPr>
              <w:t>3</w:t>
            </w:r>
            <w:r w:rsidRPr="00B6101C">
              <w:rPr>
                <w:rFonts w:hint="cs"/>
                <w:rtl/>
              </w:rPr>
              <w:t xml:space="preserve"> </w:t>
            </w:r>
            <w:proofErr w:type="gramStart"/>
            <w:r w:rsidR="009B14CB">
              <w:rPr>
                <w:rFonts w:hint="cs"/>
                <w:rtl/>
              </w:rPr>
              <w:t>أكتوبر</w:t>
            </w:r>
            <w:proofErr w:type="gramEnd"/>
            <w:r w:rsidRPr="00B6101C">
              <w:rPr>
                <w:rFonts w:hint="cs"/>
                <w:rtl/>
              </w:rPr>
              <w:t xml:space="preserve"> </w:t>
            </w:r>
            <w:r w:rsidR="00190B6D">
              <w:rPr>
                <w:rFonts w:hint="cs"/>
                <w:rtl/>
              </w:rPr>
              <w:t>201</w:t>
            </w:r>
            <w:r w:rsidR="00783D11">
              <w:rPr>
                <w:rFonts w:hint="cs"/>
                <w:rtl/>
              </w:rPr>
              <w:t>3</w:t>
            </w:r>
          </w:p>
        </w:tc>
      </w:tr>
    </w:tbl>
    <w:p w:rsidR="000F5E56" w:rsidRDefault="000F5E56" w:rsidP="001667B6">
      <w:pPr>
        <w:bidi/>
        <w:spacing w:line="360" w:lineRule="exact"/>
        <w:rPr>
          <w:rFonts w:ascii="Arabic Typesetting" w:hAnsi="Arabic Typesetting" w:cs="Arabic Typesetting"/>
          <w:sz w:val="36"/>
          <w:szCs w:val="36"/>
          <w:rtl/>
        </w:rPr>
      </w:pPr>
    </w:p>
    <w:p w:rsidR="001667B6" w:rsidRDefault="001667B6" w:rsidP="001667B6">
      <w:pPr>
        <w:bidi/>
        <w:spacing w:line="360" w:lineRule="exact"/>
        <w:rPr>
          <w:rFonts w:ascii="Arabic Typesetting" w:hAnsi="Arabic Typesetting" w:cs="Arabic Typesetting"/>
          <w:sz w:val="36"/>
          <w:szCs w:val="36"/>
          <w:rtl/>
        </w:rPr>
      </w:pPr>
    </w:p>
    <w:p w:rsidR="00F27305" w:rsidRDefault="00F27305" w:rsidP="00F27305">
      <w:pPr>
        <w:bidi/>
        <w:spacing w:line="360" w:lineRule="exact"/>
        <w:rPr>
          <w:rFonts w:ascii="Arabic Typesetting" w:hAnsi="Arabic Typesetting" w:cs="Arabic Typesetting"/>
          <w:sz w:val="36"/>
          <w:szCs w:val="36"/>
          <w:rtl/>
        </w:rPr>
      </w:pPr>
    </w:p>
    <w:p w:rsidR="001667B6" w:rsidRPr="00100F97" w:rsidRDefault="00100F97" w:rsidP="00470628">
      <w:pPr>
        <w:pStyle w:val="MeetingTitleAR"/>
        <w:bidi/>
        <w:ind w:right="550"/>
        <w:rPr>
          <w:rtl/>
        </w:rPr>
      </w:pPr>
      <w:r w:rsidRPr="00100F97">
        <w:rPr>
          <w:rtl/>
        </w:rPr>
        <w:t xml:space="preserve">اللجنة </w:t>
      </w:r>
      <w:r w:rsidR="00470628">
        <w:rPr>
          <w:rFonts w:hint="cs"/>
          <w:rtl/>
        </w:rPr>
        <w:t xml:space="preserve">المعنية بالتنمية </w:t>
      </w:r>
      <w:proofErr w:type="gramStart"/>
      <w:r w:rsidR="00470628">
        <w:rPr>
          <w:rFonts w:hint="cs"/>
          <w:rtl/>
        </w:rPr>
        <w:t>والملكية</w:t>
      </w:r>
      <w:proofErr w:type="gramEnd"/>
      <w:r w:rsidR="00470628">
        <w:rPr>
          <w:rFonts w:hint="cs"/>
          <w:rtl/>
        </w:rPr>
        <w:t xml:space="preserve"> الفكرية</w:t>
      </w:r>
    </w:p>
    <w:p w:rsidR="001667B6" w:rsidRDefault="001667B6" w:rsidP="001667B6">
      <w:pPr>
        <w:bidi/>
        <w:spacing w:line="360" w:lineRule="exact"/>
        <w:rPr>
          <w:rFonts w:ascii="Arabic Typesetting" w:hAnsi="Arabic Typesetting" w:cs="Arabic Typesetting"/>
          <w:sz w:val="36"/>
          <w:szCs w:val="36"/>
          <w:rtl/>
        </w:rPr>
      </w:pPr>
    </w:p>
    <w:p w:rsidR="001667B6" w:rsidRPr="00783D11" w:rsidRDefault="00F27305" w:rsidP="00A871F4">
      <w:pPr>
        <w:pStyle w:val="MeetingSessionAR"/>
        <w:bidi/>
        <w:rPr>
          <w:rFonts w:ascii="Cambria Math" w:hAnsi="Cambria Math"/>
          <w:rtl/>
        </w:rPr>
      </w:pPr>
      <w:r w:rsidRPr="00783D11">
        <w:rPr>
          <w:rFonts w:ascii="Cambria Math" w:hAnsi="Cambria Math"/>
          <w:rtl/>
        </w:rPr>
        <w:t xml:space="preserve">الدورة </w:t>
      </w:r>
      <w:proofErr w:type="gramStart"/>
      <w:r w:rsidR="00A871F4">
        <w:rPr>
          <w:rFonts w:ascii="Cambria Math" w:hAnsi="Cambria Math" w:hint="cs"/>
          <w:rtl/>
        </w:rPr>
        <w:t>الثانية</w:t>
      </w:r>
      <w:proofErr w:type="gramEnd"/>
      <w:r w:rsidR="00796CF7">
        <w:rPr>
          <w:rFonts w:ascii="Cambria Math" w:hAnsi="Cambria Math" w:hint="cs"/>
          <w:rtl/>
        </w:rPr>
        <w:t xml:space="preserve"> عشرة</w:t>
      </w:r>
    </w:p>
    <w:p w:rsidR="00D61541" w:rsidRPr="00D61541" w:rsidRDefault="00D61541" w:rsidP="00A871F4">
      <w:pPr>
        <w:pStyle w:val="MeetingDatesAR"/>
        <w:bidi/>
        <w:rPr>
          <w:rtl/>
        </w:rPr>
      </w:pPr>
      <w:r w:rsidRPr="00D61541">
        <w:rPr>
          <w:rFonts w:hint="cs"/>
          <w:rtl/>
        </w:rPr>
        <w:t xml:space="preserve">جنيف، </w:t>
      </w:r>
      <w:proofErr w:type="gramStart"/>
      <w:r w:rsidRPr="00D61541">
        <w:rPr>
          <w:rFonts w:hint="cs"/>
          <w:rtl/>
        </w:rPr>
        <w:t>من</w:t>
      </w:r>
      <w:proofErr w:type="gramEnd"/>
      <w:r w:rsidRPr="00D61541">
        <w:rPr>
          <w:rFonts w:hint="cs"/>
          <w:rtl/>
        </w:rPr>
        <w:t xml:space="preserve"> </w:t>
      </w:r>
      <w:r w:rsidR="00A871F4">
        <w:rPr>
          <w:rFonts w:hint="cs"/>
          <w:rtl/>
        </w:rPr>
        <w:t>18</w:t>
      </w:r>
      <w:r w:rsidR="00100F97">
        <w:rPr>
          <w:rFonts w:hint="cs"/>
          <w:rtl/>
        </w:rPr>
        <w:t xml:space="preserve"> إلى </w:t>
      </w:r>
      <w:r w:rsidR="00A871F4">
        <w:rPr>
          <w:rFonts w:hint="cs"/>
          <w:rtl/>
        </w:rPr>
        <w:t>21</w:t>
      </w:r>
      <w:r w:rsidR="00783D11">
        <w:rPr>
          <w:rFonts w:hint="cs"/>
          <w:rtl/>
        </w:rPr>
        <w:t xml:space="preserve"> </w:t>
      </w:r>
      <w:r w:rsidR="00A871F4">
        <w:rPr>
          <w:rFonts w:hint="cs"/>
          <w:rtl/>
        </w:rPr>
        <w:t>نوفمبر</w:t>
      </w:r>
      <w:r w:rsidR="00AE2328">
        <w:rPr>
          <w:rFonts w:hint="cs"/>
          <w:rtl/>
        </w:rPr>
        <w:t xml:space="preserve"> </w:t>
      </w:r>
      <w:r w:rsidR="00100F97">
        <w:rPr>
          <w:rFonts w:hint="cs"/>
          <w:rtl/>
        </w:rPr>
        <w:t>201</w:t>
      </w:r>
      <w:r w:rsidR="00783D11">
        <w:rPr>
          <w:rFonts w:hint="cs"/>
          <w:rtl/>
        </w:rPr>
        <w:t>3</w:t>
      </w:r>
    </w:p>
    <w:p w:rsidR="00D61541" w:rsidRDefault="00D61541" w:rsidP="00D61541">
      <w:pPr>
        <w:bidi/>
        <w:spacing w:line="360" w:lineRule="exact"/>
        <w:rPr>
          <w:rFonts w:ascii="Arabic Typesetting" w:hAnsi="Arabic Typesetting" w:cs="Arabic Typesetting"/>
          <w:sz w:val="36"/>
          <w:szCs w:val="36"/>
          <w:rtl/>
        </w:rPr>
      </w:pPr>
    </w:p>
    <w:p w:rsidR="00D61541" w:rsidRDefault="00D61541" w:rsidP="00D61541">
      <w:pPr>
        <w:bidi/>
        <w:spacing w:line="360" w:lineRule="exact"/>
        <w:rPr>
          <w:rFonts w:ascii="Arabic Typesetting" w:hAnsi="Arabic Typesetting" w:cs="Arabic Typesetting"/>
          <w:sz w:val="36"/>
          <w:szCs w:val="36"/>
          <w:rtl/>
        </w:rPr>
      </w:pPr>
    </w:p>
    <w:p w:rsidR="00D63DEB" w:rsidRDefault="00D63DEB" w:rsidP="00D63DEB">
      <w:pPr>
        <w:pStyle w:val="DocumentTitleAR"/>
        <w:bidi/>
        <w:rPr>
          <w:rtl/>
        </w:rPr>
      </w:pPr>
      <w:proofErr w:type="gramStart"/>
      <w:r>
        <w:rPr>
          <w:rtl/>
        </w:rPr>
        <w:t>ملخص</w:t>
      </w:r>
      <w:proofErr w:type="gramEnd"/>
      <w:r>
        <w:rPr>
          <w:rtl/>
        </w:rPr>
        <w:t xml:space="preserve"> دراسة استنزاف</w:t>
      </w:r>
    </w:p>
    <w:p w:rsidR="00D61541" w:rsidRPr="00D61541" w:rsidRDefault="00D63DEB" w:rsidP="00D63DEB">
      <w:pPr>
        <w:pStyle w:val="DocumentTitleAR"/>
        <w:bidi/>
        <w:rPr>
          <w:rtl/>
        </w:rPr>
      </w:pPr>
      <w:r>
        <w:rPr>
          <w:rtl/>
        </w:rPr>
        <w:t xml:space="preserve">الأدمغة - عملية </w:t>
      </w:r>
      <w:proofErr w:type="gramStart"/>
      <w:r>
        <w:rPr>
          <w:rtl/>
        </w:rPr>
        <w:t>تتبع</w:t>
      </w:r>
      <w:proofErr w:type="gramEnd"/>
      <w:r>
        <w:rPr>
          <w:rtl/>
        </w:rPr>
        <w:t xml:space="preserve"> جغرافي</w:t>
      </w:r>
    </w:p>
    <w:p w:rsidR="00D63DEB" w:rsidRDefault="00D63DEB" w:rsidP="00D63DEB">
      <w:pPr>
        <w:pStyle w:val="PreparedbyAR"/>
        <w:bidi/>
        <w:spacing w:before="0" w:after="0" w:line="240" w:lineRule="auto"/>
      </w:pPr>
    </w:p>
    <w:p w:rsidR="00D63DEB" w:rsidRDefault="00D63DEB" w:rsidP="00D63DEB">
      <w:pPr>
        <w:pStyle w:val="PreparedbyAR"/>
        <w:bidi/>
        <w:spacing w:before="0" w:after="0" w:line="240" w:lineRule="auto"/>
      </w:pPr>
      <w:r>
        <w:rPr>
          <w:rtl/>
        </w:rPr>
        <w:t>من إعداد الأمانة ومراجعة الأستاذ الدكتور فرانسيسكو ليسوني،</w:t>
      </w:r>
    </w:p>
    <w:p w:rsidR="00D61541" w:rsidRDefault="00D63DEB" w:rsidP="00D63DEB">
      <w:pPr>
        <w:pStyle w:val="PreparedbyAR"/>
        <w:bidi/>
        <w:spacing w:before="0" w:after="0" w:line="240" w:lineRule="auto"/>
      </w:pPr>
      <w:r>
        <w:rPr>
          <w:rtl/>
        </w:rPr>
        <w:t>فريق الأبحاث الاقتصادية النظرية والتطبيقية بجامعة بوردو 4</w:t>
      </w:r>
    </w:p>
    <w:p w:rsidR="00D63DEB" w:rsidRPr="00D63DEB" w:rsidRDefault="00D63DEB" w:rsidP="00D63DEB">
      <w:pPr>
        <w:pStyle w:val="NormalParaAR"/>
        <w:rPr>
          <w:rtl/>
        </w:rPr>
      </w:pPr>
    </w:p>
    <w:p w:rsidR="009B14CB" w:rsidRDefault="00D63DEB" w:rsidP="00D63DEB">
      <w:pPr>
        <w:pStyle w:val="NumberedParaAR"/>
      </w:pPr>
      <w:proofErr w:type="gramStart"/>
      <w:r w:rsidRPr="00D63DEB">
        <w:rPr>
          <w:rtl/>
        </w:rPr>
        <w:t>يحتوي</w:t>
      </w:r>
      <w:proofErr w:type="gramEnd"/>
      <w:r w:rsidRPr="00D63DEB">
        <w:rPr>
          <w:rtl/>
        </w:rPr>
        <w:t xml:space="preserve"> مرفق هذه الوثيقة على ملخص للدراسة التي أجريت على عملية التتبع الجغرافي المنفذة في سياق مشروع الملكية الفكرية واستنزاف الأدمغة (</w:t>
      </w:r>
      <w:r w:rsidRPr="00D63DEB">
        <w:t>CDIP/7/4/Rev</w:t>
      </w:r>
      <w:r w:rsidRPr="00D63DEB">
        <w:rPr>
          <w:rtl/>
        </w:rPr>
        <w:t xml:space="preserve">.) الذي وافقت عليه اللجنة المعنية بالتنمية والملكية الفكرية </w:t>
      </w:r>
      <w:proofErr w:type="gramStart"/>
      <w:r w:rsidRPr="00D63DEB">
        <w:rPr>
          <w:rtl/>
        </w:rPr>
        <w:t>في</w:t>
      </w:r>
      <w:proofErr w:type="gramEnd"/>
      <w:r w:rsidRPr="00D63DEB">
        <w:rPr>
          <w:rtl/>
        </w:rPr>
        <w:t xml:space="preserve"> دورتها السابعة التي عقدت في مايو 2011.</w:t>
      </w:r>
      <w:r>
        <w:rPr>
          <w:rtl/>
        </w:rPr>
        <w:t xml:space="preserve"> </w:t>
      </w:r>
      <w:r w:rsidRPr="00D63DEB">
        <w:rPr>
          <w:rtl/>
        </w:rPr>
        <w:t xml:space="preserve">وتصف الدراسة أنماط </w:t>
      </w:r>
      <w:proofErr w:type="gramStart"/>
      <w:r w:rsidRPr="00D63DEB">
        <w:rPr>
          <w:rtl/>
        </w:rPr>
        <w:t>تنقل</w:t>
      </w:r>
      <w:proofErr w:type="gramEnd"/>
      <w:r w:rsidRPr="00D63DEB">
        <w:rPr>
          <w:rtl/>
        </w:rPr>
        <w:t xml:space="preserve"> عمال المعرفة على مدى الفترة 1991-2010 باستخدام معلومات عن جنسيات المخترعين ومحال إقامتهم المدونة في طلبات معاهدة التعاون بشأن البراءات.</w:t>
      </w:r>
    </w:p>
    <w:p w:rsidR="009B14CB" w:rsidRDefault="00D63DEB" w:rsidP="00D63DEB">
      <w:pPr>
        <w:pStyle w:val="DecisionParaAR"/>
      </w:pPr>
      <w:r w:rsidRPr="00D63DEB">
        <w:rPr>
          <w:rtl/>
        </w:rPr>
        <w:t>إن اللجنة مدعوة إلى الإحاطة علما بالمعلومات الواردة في مرفق هذه الوثيقة</w:t>
      </w:r>
      <w:r>
        <w:rPr>
          <w:rFonts w:hint="cs"/>
          <w:rtl/>
          <w:lang w:bidi="ar-EG"/>
        </w:rPr>
        <w:t>.</w:t>
      </w:r>
    </w:p>
    <w:p w:rsidR="00D63DEB" w:rsidRDefault="00D63DEB" w:rsidP="00D63DEB">
      <w:pPr>
        <w:pStyle w:val="DecisionParaAR"/>
        <w:numPr>
          <w:ilvl w:val="0"/>
          <w:numId w:val="0"/>
        </w:numPr>
        <w:ind w:left="5534"/>
        <w:rPr>
          <w:rtl/>
        </w:rPr>
      </w:pPr>
    </w:p>
    <w:p w:rsidR="007C61FF" w:rsidRDefault="00D63DEB" w:rsidP="00D63DEB">
      <w:pPr>
        <w:pStyle w:val="EndofDocumentAR"/>
        <w:rPr>
          <w:rFonts w:eastAsia="Arial"/>
          <w:rtl/>
        </w:rPr>
        <w:sectPr w:rsidR="007C61FF" w:rsidSect="007C61FF">
          <w:headerReference w:type="default" r:id="rId9"/>
          <w:pgSz w:w="11907" w:h="16840" w:code="9"/>
          <w:pgMar w:top="567" w:right="1418" w:bottom="1418" w:left="1134" w:header="510" w:footer="1021" w:gutter="0"/>
          <w:pgNumType w:start="1"/>
          <w:cols w:space="720"/>
          <w:titlePg/>
          <w:docGrid w:linePitch="299"/>
        </w:sectPr>
      </w:pPr>
      <w:r>
        <w:rPr>
          <w:rFonts w:eastAsia="Arial"/>
          <w:rtl/>
        </w:rPr>
        <w:t xml:space="preserve">[يلي ذلك </w:t>
      </w:r>
      <w:proofErr w:type="gramStart"/>
      <w:r>
        <w:rPr>
          <w:rFonts w:eastAsia="Arial"/>
          <w:rtl/>
        </w:rPr>
        <w:t>المرفق</w:t>
      </w:r>
      <w:proofErr w:type="gramEnd"/>
      <w:r>
        <w:rPr>
          <w:rFonts w:eastAsia="Arial"/>
          <w:rtl/>
        </w:rPr>
        <w:t>]</w:t>
      </w:r>
    </w:p>
    <w:p w:rsidR="00D63DEB" w:rsidRPr="00A75D25" w:rsidRDefault="00D63DEB" w:rsidP="00A75D25">
      <w:pPr>
        <w:bidi/>
        <w:rPr>
          <w:rFonts w:ascii="Arabic Typesetting" w:hAnsi="Arabic Typesetting" w:cs="Arabic Typesetting"/>
          <w:sz w:val="40"/>
          <w:szCs w:val="40"/>
        </w:rPr>
      </w:pPr>
      <w:bookmarkStart w:id="3" w:name="_Toc368494053"/>
      <w:proofErr w:type="gramStart"/>
      <w:r w:rsidRPr="00A75D25">
        <w:rPr>
          <w:rFonts w:ascii="Arabic Typesetting" w:eastAsia="Arial" w:hAnsi="Arabic Typesetting" w:cs="Arabic Typesetting"/>
          <w:sz w:val="40"/>
          <w:szCs w:val="40"/>
          <w:rtl/>
        </w:rPr>
        <w:lastRenderedPageBreak/>
        <w:t>ملخص</w:t>
      </w:r>
      <w:proofErr w:type="gramEnd"/>
      <w:r w:rsidRPr="00A75D25">
        <w:rPr>
          <w:rFonts w:ascii="Arabic Typesetting" w:eastAsia="Arial" w:hAnsi="Arabic Typesetting" w:cs="Arabic Typesetting"/>
          <w:sz w:val="40"/>
          <w:szCs w:val="40"/>
          <w:rtl/>
        </w:rPr>
        <w:t xml:space="preserve"> تنفيذي</w:t>
      </w:r>
      <w:bookmarkEnd w:id="3"/>
    </w:p>
    <w:p w:rsidR="00D63DEB" w:rsidRPr="00447B89" w:rsidRDefault="00D63DEB" w:rsidP="00D817CD">
      <w:pPr>
        <w:pStyle w:val="Heading2AR"/>
        <w:rPr>
          <w:sz w:val="36"/>
          <w:szCs w:val="36"/>
        </w:rPr>
      </w:pPr>
      <w:r w:rsidRPr="00447B89">
        <w:rPr>
          <w:rFonts w:eastAsia="Arial"/>
          <w:sz w:val="36"/>
          <w:szCs w:val="36"/>
          <w:rtl/>
        </w:rPr>
        <w:t>مقدّمة</w:t>
      </w:r>
    </w:p>
    <w:p w:rsidR="00D63DEB" w:rsidRDefault="00D63DEB" w:rsidP="00D817CD">
      <w:pPr>
        <w:pStyle w:val="NormalParaAR"/>
      </w:pPr>
      <w:r>
        <w:rPr>
          <w:rFonts w:eastAsia="Arial"/>
          <w:rtl/>
        </w:rPr>
        <w:t>أطلت الموضوعات المتعلقة بتنقل العمال المهرة وتبعاته الاقتصادية برأسها واكتسبت أهمية في ميدان التنمية. ويرمي مشروع الملكية الفكرية واستنزاف الأدمغة إلى إفراز رؤى جديدة لهذا الموضوع عن طريق استكشاف إمكانية توظيف بيانات البراءات لتسليط الضوء على فئة محددة من المهاجرين ذوي المهارات العالية، ألا وهي فئة المخترعين. وتتبع الدراسة على وجه التحديد هجرة العلماء والمهندسين بشكل جغرافي استناداً إلى معلومات جنسيات المخترعين ومحال إقامتهم المسجلة في طلبات معاه</w:t>
      </w:r>
      <w:r w:rsidR="00D817CD">
        <w:rPr>
          <w:rFonts w:eastAsia="Arial"/>
          <w:rtl/>
        </w:rPr>
        <w:t xml:space="preserve">دة التعاون بشأن البراءات، </w:t>
      </w:r>
      <w:proofErr w:type="spellStart"/>
      <w:r w:rsidR="00D817CD">
        <w:rPr>
          <w:rFonts w:eastAsia="Arial"/>
          <w:rtl/>
        </w:rPr>
        <w:t>مفضية</w:t>
      </w:r>
      <w:proofErr w:type="spellEnd"/>
      <w:r w:rsidR="00862A9A">
        <w:rPr>
          <w:rFonts w:eastAsia="Arial" w:hint="cs"/>
          <w:rtl/>
        </w:rPr>
        <w:t xml:space="preserve"> </w:t>
      </w:r>
      <w:r>
        <w:rPr>
          <w:rFonts w:eastAsia="Arial"/>
          <w:rtl/>
        </w:rPr>
        <w:t xml:space="preserve">بذلك إلى تكوين جغرافية جزئية لهجرة المهارات العالية. وتصف هذه الوثيقة بالتفصيل أنماط </w:t>
      </w:r>
      <w:proofErr w:type="gramStart"/>
      <w:r>
        <w:rPr>
          <w:rFonts w:eastAsia="Arial"/>
          <w:rtl/>
        </w:rPr>
        <w:t>تنقل</w:t>
      </w:r>
      <w:proofErr w:type="gramEnd"/>
      <w:r>
        <w:rPr>
          <w:rFonts w:eastAsia="Arial"/>
          <w:rtl/>
        </w:rPr>
        <w:t xml:space="preserve"> المخترعين على مدى الفترة </w:t>
      </w:r>
      <w:r>
        <w:rPr>
          <w:rFonts w:eastAsia="Arial"/>
        </w:rPr>
        <w:t>1991</w:t>
      </w:r>
      <w:r w:rsidR="00D817CD">
        <w:rPr>
          <w:rFonts w:eastAsia="Arial" w:hint="cs"/>
          <w:rtl/>
        </w:rPr>
        <w:t>-</w:t>
      </w:r>
      <w:r>
        <w:rPr>
          <w:rFonts w:eastAsia="Arial"/>
        </w:rPr>
        <w:t>2010</w:t>
      </w:r>
      <w:r>
        <w:rPr>
          <w:rFonts w:eastAsia="Arial"/>
          <w:rtl/>
        </w:rPr>
        <w:t>. ويتسم التحليل الذي قامت على أساسه بطابع وصفي محض، ولا يقدم بذاته أي أدلة على دوافع هجرة المهارة وعواقبها.</w:t>
      </w:r>
    </w:p>
    <w:p w:rsidR="00D63DEB" w:rsidRPr="00447B89" w:rsidRDefault="00D63DEB" w:rsidP="00D817CD">
      <w:pPr>
        <w:pStyle w:val="Heading2AR"/>
        <w:rPr>
          <w:sz w:val="36"/>
          <w:szCs w:val="36"/>
        </w:rPr>
      </w:pPr>
      <w:proofErr w:type="gramStart"/>
      <w:r w:rsidRPr="00447B89">
        <w:rPr>
          <w:rFonts w:eastAsia="Arial"/>
          <w:sz w:val="36"/>
          <w:szCs w:val="36"/>
          <w:rtl/>
        </w:rPr>
        <w:t>المفاهيم</w:t>
      </w:r>
      <w:proofErr w:type="gramEnd"/>
      <w:r w:rsidRPr="00447B89">
        <w:rPr>
          <w:rFonts w:eastAsia="Arial"/>
          <w:sz w:val="36"/>
          <w:szCs w:val="36"/>
          <w:rtl/>
        </w:rPr>
        <w:t xml:space="preserve"> الرئيسية</w:t>
      </w:r>
    </w:p>
    <w:p w:rsidR="00D63DEB" w:rsidRDefault="00D63DEB" w:rsidP="00D817CD">
      <w:pPr>
        <w:pStyle w:val="NormalParaAR"/>
      </w:pPr>
      <w:r w:rsidRPr="00D817CD">
        <w:rPr>
          <w:rFonts w:eastAsia="Arial"/>
          <w:rtl/>
        </w:rPr>
        <w:t>يمكن تعريف</w:t>
      </w:r>
      <w:r>
        <w:rPr>
          <w:rFonts w:eastAsia="Arial"/>
          <w:i/>
          <w:iCs/>
          <w:rtl/>
        </w:rPr>
        <w:t xml:space="preserve"> الهجرة الدولية</w:t>
      </w:r>
      <w:r>
        <w:rPr>
          <w:rFonts w:eastAsia="Arial"/>
          <w:rtl/>
        </w:rPr>
        <w:t xml:space="preserve"> على أنها "تحركات أشخاص يغادرون بلدان منشأهم، أو بلدان إقامتهم الاعتيادية، بهدف الاستقرار بشكل دائم أو مؤقت في بلد آخر" </w:t>
      </w:r>
      <w:r>
        <w:fldChar w:fldCharType="begin"/>
      </w:r>
      <w:r>
        <w:instrText xml:space="preserve"> ADDIN ZOTERO_ITEM CSL_CITATION {"citationID":"tJBFezsM","properties":{"custom":"(IOM,\\i  2008\\i0{})","formattedCitation":"{\\rtf (IOM,\\i  2008\\i0{})}","plainCitation":"(IOM, 2008)"},"citationItems":[{"id":251,"uris":["http://zotero.org/users/1555720/items/599HGJ8P"],"uri":["http://zotero.org/users/1555720/items/599HGJ8P"],"itemData":{"id":251,"type":"book","title":"World migration 2008: managing labour mobility in the evolving global economy.","publisher":"International Organization for Migration","publisher-place":"Geneva, Switzerland","source":"Open WorldCat","event-place":"Geneva, Switzerland","ISBN":"9290684054 9789290684053","shortTitle":"World migration 2008","language":"English","issued":{"date-parts":[["2008"]]}},"suppress-author":true,"prefix":"IOM"}],"schema":"https://github.com/citation-style-language/schema/raw/master/csl-citation.json"} </w:instrText>
      </w:r>
      <w:r>
        <w:fldChar w:fldCharType="separate"/>
      </w:r>
      <w:r>
        <w:rPr>
          <w:rFonts w:eastAsia="Arial"/>
          <w:rtl/>
        </w:rPr>
        <w:t xml:space="preserve">(تقرير المنظمة الدولية للهجرة، </w:t>
      </w:r>
      <w:r>
        <w:rPr>
          <w:rFonts w:eastAsia="Arial"/>
          <w:i/>
          <w:iCs/>
        </w:rPr>
        <w:t>2008</w:t>
      </w:r>
      <w:r>
        <w:fldChar w:fldCharType="end"/>
      </w:r>
      <w:r>
        <w:rPr>
          <w:rFonts w:eastAsia="Arial"/>
          <w:rtl/>
        </w:rPr>
        <w:t xml:space="preserve">، ص. </w:t>
      </w:r>
      <w:r>
        <w:rPr>
          <w:rFonts w:eastAsia="Arial"/>
        </w:rPr>
        <w:t>495</w:t>
      </w:r>
      <w:r w:rsidR="00447B89">
        <w:rPr>
          <w:rFonts w:eastAsia="Arial"/>
          <w:rtl/>
        </w:rPr>
        <w:t>)</w:t>
      </w:r>
      <w:r>
        <w:rPr>
          <w:rStyle w:val="FootnoteReference"/>
        </w:rPr>
        <w:footnoteReference w:id="1"/>
      </w:r>
      <w:r w:rsidR="00447B89">
        <w:rPr>
          <w:rFonts w:eastAsia="Arial" w:hint="cs"/>
          <w:rtl/>
        </w:rPr>
        <w:t>.</w:t>
      </w:r>
      <w:r>
        <w:rPr>
          <w:rFonts w:eastAsia="Arial"/>
          <w:rtl/>
        </w:rPr>
        <w:t xml:space="preserve"> </w:t>
      </w:r>
      <w:proofErr w:type="gramStart"/>
      <w:r>
        <w:rPr>
          <w:rFonts w:eastAsia="Arial"/>
          <w:rtl/>
        </w:rPr>
        <w:t>وبمزيدٍ</w:t>
      </w:r>
      <w:proofErr w:type="gramEnd"/>
      <w:r>
        <w:rPr>
          <w:rFonts w:eastAsia="Arial"/>
          <w:rtl/>
        </w:rPr>
        <w:t xml:space="preserve"> من التحديد، فإن </w:t>
      </w:r>
      <w:r>
        <w:rPr>
          <w:rFonts w:eastAsia="Arial"/>
          <w:i/>
          <w:iCs/>
          <w:rtl/>
        </w:rPr>
        <w:t>التنقل الدولي للأفراد المهرة</w:t>
      </w:r>
      <w:r>
        <w:rPr>
          <w:rFonts w:eastAsia="Arial"/>
          <w:rtl/>
        </w:rPr>
        <w:t xml:space="preserve"> يعرَّف على أنه تنقل عبر الحدود لأفراد اكتسبوا، "إما من خلال تعليم عالٍ أو خبرة مهنية، مستوى المؤهلات اللازم في العادة لممارسة مهنة (عالية المهارات)" (المصدر السابق ص. </w:t>
      </w:r>
      <w:r>
        <w:rPr>
          <w:rFonts w:eastAsia="Arial"/>
        </w:rPr>
        <w:t>494</w:t>
      </w:r>
      <w:r>
        <w:rPr>
          <w:rFonts w:eastAsia="Arial"/>
          <w:rtl/>
        </w:rPr>
        <w:t>).</w:t>
      </w:r>
    </w:p>
    <w:p w:rsidR="00D63DEB" w:rsidRDefault="00D63DEB" w:rsidP="00D817CD">
      <w:pPr>
        <w:pStyle w:val="NormalParaAR"/>
      </w:pPr>
      <w:r>
        <w:rPr>
          <w:rFonts w:eastAsia="Arial"/>
          <w:rtl/>
        </w:rPr>
        <w:t xml:space="preserve">وأما مصطلح </w:t>
      </w:r>
      <w:r>
        <w:rPr>
          <w:rFonts w:eastAsia="Arial"/>
          <w:i/>
          <w:iCs/>
          <w:rtl/>
        </w:rPr>
        <w:t>استنزاف الأدمغة</w:t>
      </w:r>
      <w:r>
        <w:rPr>
          <w:rFonts w:eastAsia="Arial"/>
          <w:rtl/>
        </w:rPr>
        <w:t xml:space="preserve"> فيمكن تعريفه على أنه "هجرة أشخاص مدربين وموهوبين من بلد المنشأ إلى بلد آخر بما يؤدي إلى استنفاد موارد المهارات في الأولى" (المصدر السابق، ص. </w:t>
      </w:r>
      <w:r>
        <w:rPr>
          <w:rFonts w:eastAsia="Arial"/>
        </w:rPr>
        <w:t>492</w:t>
      </w:r>
      <w:r>
        <w:rPr>
          <w:rFonts w:eastAsia="Arial"/>
          <w:rtl/>
        </w:rPr>
        <w:t xml:space="preserve">). ويختلف هذا عن غيره من التدفقات ذات العوامل الدولية، حيث يقتضي مصطلح "استنزاف الأدمغة" اختلالاً جسيماً في توازن صافي تدفقات الأشخاص الموهوبين لصالح اتجاه واحد </w:t>
      </w:r>
      <w:r>
        <w:fldChar w:fldCharType="begin"/>
      </w:r>
      <w:r>
        <w:instrText xml:space="preserve"> ADDIN ZOTERO_ITEM CSL_CITATION {"citationID":"CdK5y8np","properties":{"formattedCitation":"(Salt 1997)","plainCitation":"(Salt 1997)"},"citationItems":[{"id":253,"uris":["http://zotero.org/users/1555720/items/TWBH7EZ7"],"uri":["http://zotero.org/users/1555720/items/TWBH7EZ7"],"itemData":{"id":253,"type":"report","title":"International Movements of the Highly Skilled","publisher":"OECD Publishing","genre":"OECD Social, Employment and Migration Working Paper","source":"RePEc - IDEAS","abstract":"In recent years there has been a growing recognition of the importance of international recruitment and movement of the highly skilled. Modern industries and services increasingly rely upon the acquisition, deployment and use of human expertise to add value in their operations. When this expertise is not available locally, employers frequently import it from abroad. This takes place in the context of two fundamental and interrelated processes: the development of internal labour markets by employers, on the one hand, and of the institutional framework by governments to facilitate the global interchange of skills, on the other. The principal flows of highly skilled workers today reflect the global expansion of world trade, the international expansion of trans-national corporations, and the activities of institutions such as governments and recruitment agencies. Although not straightforward, there appears for example to be a positive relationship between flows of skilled labour and ...","URL":"http://ideas.repec.org/p/oec/elsaab/3-en.html","number":"3","author":[{"family":"Salt","given":"John"}],"issued":{"date-parts":[["1997"]]},"accessed":{"date-parts":[["2013",9,9]]}}}],"schema":"https://github.com/citation-style-language/schema/raw/master/csl-citation.json"} </w:instrText>
      </w:r>
      <w:r>
        <w:fldChar w:fldCharType="separate"/>
      </w:r>
      <w:r>
        <w:rPr>
          <w:rFonts w:eastAsia="Arial"/>
          <w:rtl/>
        </w:rPr>
        <w:t xml:space="preserve"> (صولت </w:t>
      </w:r>
      <w:r>
        <w:rPr>
          <w:rFonts w:eastAsia="Arial"/>
        </w:rPr>
        <w:t>1997</w:t>
      </w:r>
      <w:r>
        <w:rPr>
          <w:rFonts w:eastAsia="Arial"/>
          <w:rtl/>
        </w:rPr>
        <w:t>)</w:t>
      </w:r>
      <w:r>
        <w:fldChar w:fldCharType="end"/>
      </w:r>
      <w:r>
        <w:rPr>
          <w:rStyle w:val="FootnoteReference"/>
        </w:rPr>
        <w:footnoteReference w:id="2"/>
      </w:r>
      <w:r w:rsidR="00447B89">
        <w:rPr>
          <w:rFonts w:hint="cs"/>
          <w:rtl/>
        </w:rPr>
        <w:t>.</w:t>
      </w:r>
    </w:p>
    <w:p w:rsidR="00D63DEB" w:rsidRDefault="00D63DEB" w:rsidP="00447B89">
      <w:pPr>
        <w:pStyle w:val="NormalParaAR"/>
      </w:pPr>
      <w:r>
        <w:rPr>
          <w:rFonts w:eastAsia="Arial"/>
          <w:rtl/>
        </w:rPr>
        <w:t>ويكمن في هذه الظاهرة تهديد خطير على بلدان المنبع، والتي تكون في كثير من الأحيان اقتصادات نامية. ويؤدي خروج العمال المهرة على وجه الخصوص إلى خفض مباشر فيما أوتي الاقتصاد من رأس المال البشري. وعاقبة ذلك الحتمية هي إنقاص</w:t>
      </w:r>
      <w:r w:rsidR="00447B89">
        <w:rPr>
          <w:rFonts w:eastAsia="Arial" w:hint="cs"/>
          <w:rtl/>
        </w:rPr>
        <w:t> </w:t>
      </w:r>
      <w:r>
        <w:rPr>
          <w:rFonts w:eastAsia="Arial"/>
          <w:rtl/>
        </w:rPr>
        <w:t>فرص التنمية الاقتصادية. وعلى الأمد الأطول، ربما تخفف احتمالات عودة المهاجرين - وما يقترن بذلك من "كسب أدمغة" - علاوةً على المساهمات الاقتصادية الواردة من المواطنين المغتربين من خسائر استنزاف الأدمغة المبدئية، بل إن من شأن ذلك أن يجعل للمهاجرين المهرة نفعاً اجتماعياً، غير أن مسألة الآثار الأطول أمداً لهجرة العمالة الماهرة تبقى رهينة بالتجربة</w:t>
      </w:r>
      <w:r w:rsidR="00447B89">
        <w:rPr>
          <w:rFonts w:eastAsia="Arial" w:hint="cs"/>
          <w:rtl/>
        </w:rPr>
        <w:t> </w:t>
      </w:r>
      <w:r>
        <w:rPr>
          <w:rFonts w:eastAsia="Arial"/>
          <w:rtl/>
        </w:rPr>
        <w:t>العملية.</w:t>
      </w:r>
    </w:p>
    <w:p w:rsidR="00D63DEB" w:rsidRPr="000B777A" w:rsidRDefault="00D63DEB" w:rsidP="00D817CD">
      <w:pPr>
        <w:pStyle w:val="Heading2AR"/>
        <w:rPr>
          <w:b/>
          <w:bCs/>
          <w:sz w:val="36"/>
          <w:szCs w:val="36"/>
        </w:rPr>
      </w:pPr>
      <w:r w:rsidRPr="000B777A">
        <w:rPr>
          <w:rFonts w:eastAsia="Arial"/>
          <w:b/>
          <w:bCs/>
          <w:sz w:val="36"/>
          <w:szCs w:val="36"/>
          <w:rtl/>
        </w:rPr>
        <w:t xml:space="preserve">تعدادات السكان </w:t>
      </w:r>
      <w:proofErr w:type="gramStart"/>
      <w:r w:rsidRPr="000B777A">
        <w:rPr>
          <w:rFonts w:eastAsia="Arial"/>
          <w:b/>
          <w:bCs/>
          <w:sz w:val="36"/>
          <w:szCs w:val="36"/>
          <w:rtl/>
        </w:rPr>
        <w:t>مصدر</w:t>
      </w:r>
      <w:proofErr w:type="gramEnd"/>
      <w:r w:rsidRPr="000B777A">
        <w:rPr>
          <w:rFonts w:eastAsia="Arial"/>
          <w:b/>
          <w:bCs/>
          <w:sz w:val="36"/>
          <w:szCs w:val="36"/>
          <w:rtl/>
        </w:rPr>
        <w:t xml:space="preserve"> المعلومات الأكثر استخداماً</w:t>
      </w:r>
    </w:p>
    <w:p w:rsidR="00D63DEB" w:rsidRDefault="00D63DEB" w:rsidP="000B777A">
      <w:pPr>
        <w:pStyle w:val="NormalParaAR"/>
        <w:rPr>
          <w:rtl/>
          <w:lang w:bidi="ar-EG"/>
        </w:rPr>
      </w:pPr>
      <w:proofErr w:type="gramStart"/>
      <w:r>
        <w:rPr>
          <w:rFonts w:eastAsia="Arial"/>
          <w:rtl/>
        </w:rPr>
        <w:t>شهدت</w:t>
      </w:r>
      <w:proofErr w:type="gramEnd"/>
      <w:r>
        <w:rPr>
          <w:rFonts w:eastAsia="Arial"/>
          <w:rtl/>
        </w:rPr>
        <w:t xml:space="preserve"> فترة الخمس عشرة سنة الماضية حدوث تقدم في فهمنا لآثار هجرة العمال المهرة، ويعزى جانب كبير من ذلك إلى توافر بيانات جديدة خلال تلك الفترة. وتتكون هذه البيانات من معلومات عن المهاجرين </w:t>
      </w:r>
      <w:proofErr w:type="gramStart"/>
      <w:r>
        <w:rPr>
          <w:rFonts w:eastAsia="Arial"/>
          <w:rtl/>
        </w:rPr>
        <w:t>حسب</w:t>
      </w:r>
      <w:proofErr w:type="gramEnd"/>
      <w:r>
        <w:rPr>
          <w:rFonts w:eastAsia="Arial"/>
          <w:rtl/>
        </w:rPr>
        <w:t xml:space="preserve"> بلد المقصد استناداً إلى تعدادات</w:t>
      </w:r>
      <w:r w:rsidR="000B777A">
        <w:rPr>
          <w:rFonts w:eastAsia="Arial" w:hint="cs"/>
          <w:rtl/>
        </w:rPr>
        <w:t> </w:t>
      </w:r>
      <w:r>
        <w:rPr>
          <w:rFonts w:eastAsia="Arial"/>
          <w:rtl/>
        </w:rPr>
        <w:t>السكان.</w:t>
      </w:r>
    </w:p>
    <w:p w:rsidR="00D63DEB" w:rsidRDefault="00D63DEB" w:rsidP="00D817CD">
      <w:pPr>
        <w:pStyle w:val="NormalParaAR"/>
        <w:rPr>
          <w:rtl/>
          <w:lang w:bidi="ar-EG"/>
        </w:rPr>
      </w:pPr>
      <w:proofErr w:type="gramStart"/>
      <w:r>
        <w:rPr>
          <w:rFonts w:eastAsia="Arial"/>
          <w:rtl/>
        </w:rPr>
        <w:lastRenderedPageBreak/>
        <w:t>ويمكن</w:t>
      </w:r>
      <w:proofErr w:type="gramEnd"/>
      <w:r>
        <w:rPr>
          <w:rFonts w:eastAsia="Arial"/>
          <w:rtl/>
        </w:rPr>
        <w:t xml:space="preserve"> تعريف معدل الهجرة في أي بلد معين </w:t>
      </w:r>
      <w:r>
        <w:rPr>
          <w:rFonts w:eastAsia="Arial"/>
          <w:i/>
          <w:iCs/>
          <w:rtl/>
        </w:rPr>
        <w:t>م</w:t>
      </w:r>
      <w:r>
        <w:rPr>
          <w:rFonts w:eastAsia="Arial"/>
          <w:rtl/>
        </w:rPr>
        <w:t xml:space="preserve"> على أنه النسبة بين عدد سكان البلد </w:t>
      </w:r>
      <w:r>
        <w:rPr>
          <w:rFonts w:eastAsia="Arial"/>
          <w:i/>
          <w:iCs/>
          <w:rtl/>
        </w:rPr>
        <w:t>م</w:t>
      </w:r>
      <w:r>
        <w:rPr>
          <w:rFonts w:eastAsia="Arial"/>
          <w:rtl/>
        </w:rPr>
        <w:t xml:space="preserve"> الأصليين المقيمين في الخارج وإجمالي تعداد سكان البلد </w:t>
      </w:r>
      <w:r>
        <w:rPr>
          <w:rFonts w:eastAsia="Arial"/>
          <w:i/>
          <w:iCs/>
          <w:rtl/>
        </w:rPr>
        <w:t>م</w:t>
      </w:r>
      <w:r>
        <w:rPr>
          <w:rFonts w:eastAsia="Arial"/>
          <w:rtl/>
        </w:rPr>
        <w:t xml:space="preserve"> الأصليين. </w:t>
      </w:r>
      <w:proofErr w:type="gramStart"/>
      <w:r>
        <w:rPr>
          <w:rFonts w:eastAsia="Arial"/>
          <w:rtl/>
        </w:rPr>
        <w:t>وعلى</w:t>
      </w:r>
      <w:proofErr w:type="gramEnd"/>
      <w:r>
        <w:rPr>
          <w:rFonts w:eastAsia="Arial"/>
          <w:rtl/>
        </w:rPr>
        <w:t xml:space="preserve"> نفس المنوال، يُحسب معدل هجرة الأشخاص الماهرين، أو معدل "استنزاف الأدمغة"، على أنه النسبة بين عدد المواطنين المتعلمين تعليماً عالياً المقيمين في الخارج إلى المواطنين المتعلمين تعليماً عالياً المقيمين في وطنهم.</w:t>
      </w:r>
    </w:p>
    <w:p w:rsidR="00D63DEB" w:rsidRDefault="00D63DEB" w:rsidP="00B235E2">
      <w:pPr>
        <w:pStyle w:val="NormalParaAR"/>
      </w:pPr>
      <w:r>
        <w:rPr>
          <w:rFonts w:eastAsia="Arial"/>
          <w:rtl/>
        </w:rPr>
        <w:t xml:space="preserve">وقد بلغ معدل الهجرة العالمي المقدَّر </w:t>
      </w:r>
      <w:r w:rsidR="00B235E2">
        <w:rPr>
          <w:rFonts w:eastAsia="Arial" w:hint="cs"/>
          <w:rtl/>
        </w:rPr>
        <w:t>2</w:t>
      </w:r>
      <w:proofErr w:type="gramStart"/>
      <w:r w:rsidR="00B235E2">
        <w:rPr>
          <w:rFonts w:eastAsia="Arial" w:hint="cs"/>
          <w:rtl/>
        </w:rPr>
        <w:t>,4</w:t>
      </w:r>
      <w:proofErr w:type="gramEnd"/>
      <w:r>
        <w:rPr>
          <w:rFonts w:eastAsia="Arial"/>
          <w:rtl/>
        </w:rPr>
        <w:t xml:space="preserve"> بالمائة تقريباً عام </w:t>
      </w:r>
      <w:r>
        <w:rPr>
          <w:rFonts w:eastAsia="Arial"/>
        </w:rPr>
        <w:t>2000</w:t>
      </w:r>
      <w:r>
        <w:rPr>
          <w:rFonts w:eastAsia="Arial"/>
          <w:rtl/>
        </w:rPr>
        <w:t xml:space="preserve"> - وفق المستخلص من بيانات تعداد السكان. </w:t>
      </w:r>
      <w:proofErr w:type="gramStart"/>
      <w:r>
        <w:rPr>
          <w:rFonts w:eastAsia="Arial"/>
          <w:rtl/>
        </w:rPr>
        <w:t>ويرتفع</w:t>
      </w:r>
      <w:proofErr w:type="gramEnd"/>
      <w:r>
        <w:rPr>
          <w:rFonts w:eastAsia="Arial"/>
          <w:rtl/>
        </w:rPr>
        <w:t xml:space="preserve"> معدل الهجرة بالنسبة للمتعلمين تعليماً عالياً عن إجمالي معدل الهجرة ارتفاعاً معتبراً، وذلك في جميع مناطق العالم. وتختص قارة أفريقيا بمعدل هجرة عالمي شديد الارتفاع للأشخاص ذوي المهارات العالية، حيث يقدر بنسبة </w:t>
      </w:r>
      <w:r w:rsidR="00B235E2">
        <w:rPr>
          <w:rFonts w:eastAsia="Arial" w:hint="cs"/>
          <w:rtl/>
        </w:rPr>
        <w:t>10</w:t>
      </w:r>
      <w:proofErr w:type="gramStart"/>
      <w:r w:rsidR="00B235E2">
        <w:rPr>
          <w:rFonts w:eastAsia="Arial" w:hint="cs"/>
          <w:rtl/>
        </w:rPr>
        <w:t>,6</w:t>
      </w:r>
      <w:proofErr w:type="gramEnd"/>
      <w:r w:rsidR="00B235E2">
        <w:rPr>
          <w:rFonts w:eastAsia="Arial" w:hint="cs"/>
          <w:rtl/>
        </w:rPr>
        <w:t xml:space="preserve"> </w:t>
      </w:r>
      <w:r>
        <w:rPr>
          <w:rFonts w:eastAsia="Arial"/>
          <w:rtl/>
        </w:rPr>
        <w:t xml:space="preserve">بالمائة، ويتجلى ذلك على الأخص عند مقارنته بنسب مناطق المنبع الأخرى وبالمتوسط العالمي، الذي يبلغ </w:t>
      </w:r>
      <w:r w:rsidR="00B235E2">
        <w:rPr>
          <w:rFonts w:eastAsia="Arial" w:hint="cs"/>
          <w:rtl/>
        </w:rPr>
        <w:t>5,4</w:t>
      </w:r>
      <w:r>
        <w:rPr>
          <w:rFonts w:eastAsia="Arial"/>
          <w:rtl/>
        </w:rPr>
        <w:t xml:space="preserve"> بالمائة. ويظهر في منطقة أمريكا اللاتينية والكاريبي أيضاً معدل هجرة مرتفع نسبياً للأشخاص ذوي المهارات العالية (</w:t>
      </w:r>
      <w:r>
        <w:rPr>
          <w:rFonts w:eastAsia="Arial"/>
        </w:rPr>
        <w:t>8</w:t>
      </w:r>
      <w:proofErr w:type="gramStart"/>
      <w:r w:rsidR="00B235E2">
        <w:rPr>
          <w:rFonts w:eastAsia="Arial" w:hint="cs"/>
          <w:rtl/>
        </w:rPr>
        <w:t>,</w:t>
      </w:r>
      <w:r>
        <w:rPr>
          <w:rFonts w:eastAsia="Arial"/>
        </w:rPr>
        <w:t>8</w:t>
      </w:r>
      <w:proofErr w:type="gramEnd"/>
      <w:r>
        <w:rPr>
          <w:rFonts w:eastAsia="Arial"/>
          <w:rtl/>
        </w:rPr>
        <w:t xml:space="preserve"> بالمائة)، بينما لا يتجاوز معدل استنزاف الأدمغة في أمريكا الشمالية </w:t>
      </w:r>
      <w:r w:rsidR="00B235E2">
        <w:rPr>
          <w:rFonts w:eastAsia="Arial" w:hint="cs"/>
          <w:rtl/>
        </w:rPr>
        <w:t>1,38</w:t>
      </w:r>
      <w:r>
        <w:rPr>
          <w:rFonts w:eastAsia="Arial"/>
          <w:rtl/>
        </w:rPr>
        <w:t xml:space="preserve"> بالمائة.</w:t>
      </w:r>
    </w:p>
    <w:p w:rsidR="00D63DEB" w:rsidRPr="00B235E2" w:rsidRDefault="00D63DEB" w:rsidP="00D817CD">
      <w:pPr>
        <w:pStyle w:val="Heading2AR"/>
        <w:rPr>
          <w:b/>
          <w:bCs/>
          <w:sz w:val="36"/>
          <w:szCs w:val="36"/>
        </w:rPr>
      </w:pPr>
      <w:r w:rsidRPr="00B235E2">
        <w:rPr>
          <w:rFonts w:eastAsia="Arial"/>
          <w:b/>
          <w:bCs/>
          <w:sz w:val="36"/>
          <w:szCs w:val="36"/>
          <w:rtl/>
        </w:rPr>
        <w:t>مجموعات البيانات المستندة إلى تعداد السكان محدودة بتقييدات معينة</w:t>
      </w:r>
    </w:p>
    <w:p w:rsidR="00D63DEB" w:rsidRDefault="00D63DEB" w:rsidP="00B235E2">
      <w:pPr>
        <w:pStyle w:val="NormalParaAR"/>
        <w:rPr>
          <w:rtl/>
          <w:lang w:bidi="ar-EG"/>
        </w:rPr>
      </w:pPr>
      <w:r>
        <w:rPr>
          <w:rFonts w:eastAsia="Arial"/>
          <w:rtl/>
        </w:rPr>
        <w:t xml:space="preserve">على الرغم من القيمة العالية لمجموعات البيانات المستندة إلى تعداد السكان بالنسبة إلى الأبحاث الاقتصادية، فإن عليها تقييدات معينة تحدها. </w:t>
      </w:r>
      <w:proofErr w:type="gramStart"/>
      <w:r>
        <w:rPr>
          <w:rFonts w:eastAsia="Arial"/>
          <w:rtl/>
        </w:rPr>
        <w:t>فعلى</w:t>
      </w:r>
      <w:proofErr w:type="gramEnd"/>
      <w:r>
        <w:rPr>
          <w:rFonts w:eastAsia="Arial"/>
          <w:rtl/>
        </w:rPr>
        <w:t xml:space="preserve"> سبيل المثال، لا تغطي مجموعات بيانات حصر المهاجرين في العادة إلا سنة واحدة، أو اثنتين على الأكثر. </w:t>
      </w:r>
      <w:proofErr w:type="gramStart"/>
      <w:r>
        <w:rPr>
          <w:rFonts w:eastAsia="Arial"/>
          <w:rtl/>
        </w:rPr>
        <w:t>وعلاوةً</w:t>
      </w:r>
      <w:proofErr w:type="gramEnd"/>
      <w:r>
        <w:rPr>
          <w:rFonts w:eastAsia="Arial"/>
          <w:rtl/>
        </w:rPr>
        <w:t xml:space="preserve"> على ذلك، لا تصدر هذه البيانات إلا مرة كل عشر سنوات - ومن شواهد ذلك أن بيانات السكان لعام</w:t>
      </w:r>
      <w:r w:rsidR="00B235E2">
        <w:rPr>
          <w:rFonts w:eastAsia="Arial" w:hint="cs"/>
          <w:rtl/>
        </w:rPr>
        <w:t> </w:t>
      </w:r>
      <w:r>
        <w:rPr>
          <w:rFonts w:eastAsia="Arial"/>
        </w:rPr>
        <w:t>2010</w:t>
      </w:r>
      <w:r>
        <w:rPr>
          <w:rFonts w:eastAsia="Arial"/>
          <w:rtl/>
        </w:rPr>
        <w:t xml:space="preserve"> لم تصدر لعموم الجماهير بعد!</w:t>
      </w:r>
    </w:p>
    <w:p w:rsidR="00D63DEB" w:rsidRDefault="00D63DEB" w:rsidP="00D817CD">
      <w:pPr>
        <w:pStyle w:val="NormalParaAR"/>
      </w:pPr>
      <w:r>
        <w:rPr>
          <w:rFonts w:eastAsia="Arial"/>
          <w:rtl/>
        </w:rPr>
        <w:t xml:space="preserve">كما أن معظم مجموعات البيانات القائمة تقدم تحليلاً للمهارات حسب ثلاثة مستويات مدرسية، مما لا يتيح تمييزاً بين مستويات المهارة إلا بشكل تقريبي للغاية، خاصة وإن من شأن التعليم العالي أن يتضمن شهادات التعليم العالي غير الجامعي والشهادات الجامعية والشهادات العليا وشهادات الدكتوراه. </w:t>
      </w:r>
      <w:proofErr w:type="gramStart"/>
      <w:r>
        <w:rPr>
          <w:rFonts w:eastAsia="Arial"/>
          <w:rtl/>
        </w:rPr>
        <w:t>ومن</w:t>
      </w:r>
      <w:proofErr w:type="gramEnd"/>
      <w:r>
        <w:rPr>
          <w:rFonts w:eastAsia="Arial"/>
          <w:rtl/>
        </w:rPr>
        <w:t xml:space="preserve"> المرجح أن تتباين الآثار الاقتصادية للهجرة في بلدان المنبع والمقصد حسب نوعية التعليم العالي التي نالها الأفراد المعنيين. </w:t>
      </w:r>
    </w:p>
    <w:p w:rsidR="00D63DEB" w:rsidRPr="002E0704" w:rsidRDefault="00D63DEB" w:rsidP="005445CA">
      <w:pPr>
        <w:pStyle w:val="Heading2AR"/>
        <w:rPr>
          <w:b/>
          <w:bCs/>
          <w:sz w:val="36"/>
          <w:szCs w:val="36"/>
        </w:rPr>
      </w:pPr>
      <w:r w:rsidRPr="002E0704">
        <w:rPr>
          <w:rFonts w:eastAsia="Arial"/>
          <w:b/>
          <w:bCs/>
          <w:sz w:val="36"/>
          <w:szCs w:val="36"/>
          <w:rtl/>
        </w:rPr>
        <w:t>التركيز على هجرة المخترعين</w:t>
      </w:r>
    </w:p>
    <w:p w:rsidR="00D63DEB" w:rsidRDefault="00D63DEB" w:rsidP="005445CA">
      <w:pPr>
        <w:pStyle w:val="NormalParaAR"/>
      </w:pPr>
      <w:r>
        <w:rPr>
          <w:rFonts w:eastAsia="Arial"/>
          <w:rtl/>
        </w:rPr>
        <w:t xml:space="preserve">من شأن التركيز على هجرة المخترعين استقاءً من طلبات البراءات، كما حدث في هذا التقرير، أن يتغلب على كثير من التقييدات المقترنة بالبيانات المستندة إلى تعدادات السكان، حيث يستخرج فئة واحدة محددة من العمال ذوي المهارة العالية التي تلازمها صفة التجانس أكثر من مجموعة العمال المتعلمين تعليماً عالياً بشكل عام. </w:t>
      </w:r>
      <w:proofErr w:type="gramStart"/>
      <w:r>
        <w:rPr>
          <w:rFonts w:eastAsia="Arial"/>
          <w:rtl/>
        </w:rPr>
        <w:t>كما</w:t>
      </w:r>
      <w:proofErr w:type="gramEnd"/>
      <w:r>
        <w:rPr>
          <w:rFonts w:eastAsia="Arial"/>
          <w:rtl/>
        </w:rPr>
        <w:t xml:space="preserve"> أن للمخترعين، من وجهة نظر معتبرة، أهمية اقتصادية خاصة لما يسهمون به من تكوين للمعرفة التي ينبع منها التحول التكنولوجي والصناعي.</w:t>
      </w:r>
    </w:p>
    <w:p w:rsidR="00D63DEB" w:rsidRPr="002163C2" w:rsidRDefault="00D63DEB" w:rsidP="005445CA">
      <w:pPr>
        <w:pStyle w:val="NormalParaAR"/>
      </w:pPr>
      <w:r>
        <w:rPr>
          <w:rFonts w:eastAsia="Arial"/>
          <w:rtl/>
        </w:rPr>
        <w:t>ولطلبات معاهدة التعاون بشأن البراءات خاصية فريدة، حيث إنها في الغالب الأعم تسجل كلاً من محل إقامة المودع وجنسيته، ويرجع ذلك إلى حصر المعاهدة جواز إيداع طلبات في إطار المعاهدة على مواطني دولة من الدول المتعاقدة في المعاهدة أو سكانها. وللتحقق من وفاء المودعين بأحد معياري التأهل على الأقل، يُستعلم في استمارة طلب معاهدة التعاون بشأن البراءات عن كلٍ من الجنسية ومحل الإقامة.</w:t>
      </w:r>
    </w:p>
    <w:p w:rsidR="00D63DEB" w:rsidRDefault="00D63DEB" w:rsidP="005445CA">
      <w:pPr>
        <w:pStyle w:val="NormalParaAR"/>
      </w:pPr>
      <w:r>
        <w:rPr>
          <w:rFonts w:eastAsia="Arial"/>
          <w:rtl/>
        </w:rPr>
        <w:t xml:space="preserve">وفي نفس الوقت، اتضح أن إجراءات طلب براءة في الولايات المتحدة كانت حتى عام </w:t>
      </w:r>
      <w:r>
        <w:rPr>
          <w:rFonts w:eastAsia="Arial"/>
        </w:rPr>
        <w:t>2012</w:t>
      </w:r>
      <w:r>
        <w:rPr>
          <w:rFonts w:eastAsia="Arial"/>
          <w:rtl/>
        </w:rPr>
        <w:t xml:space="preserve"> تشترط إدراج جميع المخترعين المذكورين في طلبات معاهدة التعاون بشأن البراءات على أنهم مودعي طلبات أيضاً، أي أن تضمن أي طلب من طلبات معاهدة التعاون بشأن البراءات الولايات المتحدة باعتبارها دولة التمس المودع فيها استخراج براءة، مما يسمى في الطلب "دولة معيَّنة"، يؤدي إلى إدراج جميع المخترعين باعتبارهم مودعي طلبات وضمان توافر معلومات محال إقامتهم وجنسياتهم. وهذا متحقق في الغالب الأعم من طلبات معاهدة التعاون بشأن البراءات، مما يعكس الإقبال على الولايات المتحدة باعتبارها أكبر أسواق العالم. </w:t>
      </w:r>
    </w:p>
    <w:p w:rsidR="00D63DEB" w:rsidRDefault="00D63DEB" w:rsidP="002E0704">
      <w:pPr>
        <w:pStyle w:val="NormalParaAR"/>
      </w:pPr>
      <w:r>
        <w:rPr>
          <w:rFonts w:eastAsia="Arial"/>
          <w:rtl/>
        </w:rPr>
        <w:lastRenderedPageBreak/>
        <w:t>ونتيجةً لذ</w:t>
      </w:r>
      <w:r w:rsidR="002E0704">
        <w:rPr>
          <w:rFonts w:eastAsia="Arial" w:hint="cs"/>
          <w:rtl/>
        </w:rPr>
        <w:t>ل</w:t>
      </w:r>
      <w:r>
        <w:rPr>
          <w:rFonts w:eastAsia="Arial"/>
          <w:rtl/>
        </w:rPr>
        <w:t xml:space="preserve">ك، تتاح معلومات الجنسية ومحل الإقامة لنسبة </w:t>
      </w:r>
      <w:r w:rsidR="002E0704">
        <w:rPr>
          <w:rFonts w:eastAsia="Arial" w:hint="cs"/>
          <w:rtl/>
        </w:rPr>
        <w:t xml:space="preserve">80,6 </w:t>
      </w:r>
      <w:r>
        <w:rPr>
          <w:rFonts w:eastAsia="Arial"/>
          <w:rtl/>
        </w:rPr>
        <w:t>المائة من المخترعين. وبمزيدٍ من التحديد، تتيح سجلات معاهدة التعاون بشأن البراءات تغطية جيدة لمعلومات جنسيات المخترعين ومحال إقامتهم لجميع البلدان في الفترة بين عامي</w:t>
      </w:r>
      <w:r w:rsidR="002E0704">
        <w:rPr>
          <w:rFonts w:eastAsia="Arial" w:hint="cs"/>
          <w:rtl/>
        </w:rPr>
        <w:t> </w:t>
      </w:r>
      <w:r>
        <w:rPr>
          <w:rFonts w:eastAsia="Arial"/>
        </w:rPr>
        <w:t>2004</w:t>
      </w:r>
      <w:r>
        <w:rPr>
          <w:rFonts w:eastAsia="Arial"/>
          <w:rtl/>
        </w:rPr>
        <w:t xml:space="preserve"> و</w:t>
      </w:r>
      <w:r>
        <w:rPr>
          <w:rFonts w:eastAsia="Arial"/>
        </w:rPr>
        <w:t>2011</w:t>
      </w:r>
      <w:r>
        <w:rPr>
          <w:rFonts w:eastAsia="Arial"/>
          <w:rtl/>
        </w:rPr>
        <w:t xml:space="preserve">. </w:t>
      </w:r>
      <w:proofErr w:type="gramStart"/>
      <w:r>
        <w:rPr>
          <w:rFonts w:eastAsia="Arial"/>
          <w:rtl/>
        </w:rPr>
        <w:t>كما</w:t>
      </w:r>
      <w:proofErr w:type="gramEnd"/>
      <w:r>
        <w:rPr>
          <w:rFonts w:eastAsia="Arial"/>
          <w:rtl/>
        </w:rPr>
        <w:t xml:space="preserve"> ترتفع النسبة لما قبل </w:t>
      </w:r>
      <w:r>
        <w:rPr>
          <w:rFonts w:eastAsia="Arial"/>
        </w:rPr>
        <w:t>2004</w:t>
      </w:r>
      <w:r>
        <w:rPr>
          <w:rFonts w:eastAsia="Arial"/>
          <w:rtl/>
        </w:rPr>
        <w:t xml:space="preserve"> كذلك لمعظم البلدان باستثناء كندا وهولندا والولايات المتحدة. ومن المؤسف أن</w:t>
      </w:r>
      <w:r w:rsidR="002E0704">
        <w:rPr>
          <w:rFonts w:eastAsia="Arial" w:hint="cs"/>
          <w:rtl/>
        </w:rPr>
        <w:t>ه</w:t>
      </w:r>
      <w:r>
        <w:rPr>
          <w:rFonts w:eastAsia="Arial"/>
          <w:rtl/>
        </w:rPr>
        <w:t xml:space="preserve"> كان من التبعات غير المقصودة لما شهدته الولايات المتحدة من إصلاحات في مجال البراءات انحسار تغطية معلومات جنسيات المخترعين ومحل إقامتهم في سجلات معاهدة التعاون بشأن البراءات انحساراً حاداً اعتباراً من سبتمبر</w:t>
      </w:r>
      <w:r w:rsidR="002E0704">
        <w:rPr>
          <w:rFonts w:eastAsia="Arial" w:hint="cs"/>
          <w:rtl/>
        </w:rPr>
        <w:t> </w:t>
      </w:r>
      <w:r>
        <w:rPr>
          <w:rFonts w:eastAsia="Arial"/>
        </w:rPr>
        <w:t>2012</w:t>
      </w:r>
      <w:r>
        <w:rPr>
          <w:rFonts w:eastAsia="Arial"/>
          <w:rtl/>
        </w:rPr>
        <w:t>.</w:t>
      </w:r>
    </w:p>
    <w:p w:rsidR="00D63DEB" w:rsidRPr="002E0704" w:rsidRDefault="00D63DEB" w:rsidP="005445CA">
      <w:pPr>
        <w:pStyle w:val="Heading2AR"/>
        <w:rPr>
          <w:b/>
          <w:bCs/>
          <w:sz w:val="36"/>
          <w:szCs w:val="36"/>
          <w:rtl/>
          <w:lang w:bidi="ar-EG"/>
        </w:rPr>
      </w:pPr>
      <w:proofErr w:type="gramStart"/>
      <w:r w:rsidRPr="002E0704">
        <w:rPr>
          <w:rFonts w:eastAsia="Arial"/>
          <w:b/>
          <w:bCs/>
          <w:sz w:val="36"/>
          <w:szCs w:val="36"/>
          <w:rtl/>
        </w:rPr>
        <w:t>المخترعون</w:t>
      </w:r>
      <w:proofErr w:type="gramEnd"/>
      <w:r w:rsidRPr="002E0704">
        <w:rPr>
          <w:rFonts w:eastAsia="Arial"/>
          <w:b/>
          <w:bCs/>
          <w:sz w:val="36"/>
          <w:szCs w:val="36"/>
          <w:rtl/>
        </w:rPr>
        <w:t xml:space="preserve"> كثيرو التنقل</w:t>
      </w:r>
    </w:p>
    <w:p w:rsidR="00D63DEB" w:rsidRDefault="00D63DEB" w:rsidP="002E0704">
      <w:pPr>
        <w:pStyle w:val="NormalParaAR"/>
        <w:rPr>
          <w:rtl/>
          <w:lang w:bidi="ar-EG"/>
        </w:rPr>
      </w:pPr>
      <w:r>
        <w:rPr>
          <w:rFonts w:eastAsia="Arial"/>
          <w:rtl/>
        </w:rPr>
        <w:t>تبرز سجلات معاهدة التعاون بشأن البراءات ارتفاعاً شاذاً في</w:t>
      </w:r>
      <w:proofErr w:type="gramStart"/>
      <w:r>
        <w:rPr>
          <w:rFonts w:eastAsia="Arial"/>
          <w:rtl/>
        </w:rPr>
        <w:t xml:space="preserve"> م</w:t>
      </w:r>
      <w:proofErr w:type="gramEnd"/>
      <w:r>
        <w:rPr>
          <w:rFonts w:eastAsia="Arial"/>
          <w:rtl/>
        </w:rPr>
        <w:t xml:space="preserve">عدلات هجرة المخترعين - حيث تقدر بنسبة </w:t>
      </w:r>
      <w:r w:rsidR="002E0704">
        <w:rPr>
          <w:rFonts w:eastAsia="Arial" w:hint="cs"/>
          <w:rtl/>
        </w:rPr>
        <w:t xml:space="preserve">7,46 </w:t>
      </w:r>
      <w:r>
        <w:rPr>
          <w:rFonts w:eastAsia="Arial"/>
          <w:rtl/>
        </w:rPr>
        <w:t xml:space="preserve">بالمائة لفترة العشر سنوات الواقعة بين </w:t>
      </w:r>
      <w:r>
        <w:rPr>
          <w:rFonts w:eastAsia="Arial"/>
        </w:rPr>
        <w:t>1991</w:t>
      </w:r>
      <w:r>
        <w:rPr>
          <w:rFonts w:eastAsia="Arial"/>
          <w:rtl/>
        </w:rPr>
        <w:t xml:space="preserve"> و</w:t>
      </w:r>
      <w:r>
        <w:rPr>
          <w:rFonts w:eastAsia="Arial"/>
        </w:rPr>
        <w:t>2000</w:t>
      </w:r>
      <w:r>
        <w:rPr>
          <w:rFonts w:eastAsia="Arial"/>
          <w:rtl/>
        </w:rPr>
        <w:t xml:space="preserve"> ونسبة </w:t>
      </w:r>
      <w:r w:rsidR="002E0704">
        <w:rPr>
          <w:rFonts w:eastAsia="Arial" w:hint="cs"/>
          <w:rtl/>
        </w:rPr>
        <w:t>9,95</w:t>
      </w:r>
      <w:r>
        <w:rPr>
          <w:rFonts w:eastAsia="Arial"/>
          <w:rtl/>
        </w:rPr>
        <w:t xml:space="preserve"> بالمائة للفترة </w:t>
      </w:r>
      <w:r>
        <w:rPr>
          <w:rFonts w:eastAsia="Arial"/>
        </w:rPr>
        <w:t>2001</w:t>
      </w:r>
      <w:r w:rsidR="005445CA">
        <w:rPr>
          <w:rFonts w:eastAsia="Arial" w:hint="cs"/>
          <w:rtl/>
        </w:rPr>
        <w:t>-</w:t>
      </w:r>
      <w:r>
        <w:rPr>
          <w:rFonts w:eastAsia="Arial"/>
        </w:rPr>
        <w:t>2010</w:t>
      </w:r>
      <w:r>
        <w:rPr>
          <w:rFonts w:eastAsia="Arial"/>
          <w:rtl/>
        </w:rPr>
        <w:t xml:space="preserve">. وبالمقارنة، تشير بيانات تعداد السكان إلى نسبة هجرة تبلغ </w:t>
      </w:r>
      <w:r w:rsidR="002E0704">
        <w:rPr>
          <w:rFonts w:eastAsia="Arial" w:hint="cs"/>
          <w:rtl/>
        </w:rPr>
        <w:t>5,4</w:t>
      </w:r>
      <w:r>
        <w:rPr>
          <w:rFonts w:eastAsia="Arial"/>
          <w:rtl/>
        </w:rPr>
        <w:t xml:space="preserve"> بالمائة للسكان المتعلمين تعليماً عالياً. </w:t>
      </w:r>
      <w:proofErr w:type="gramStart"/>
      <w:r>
        <w:rPr>
          <w:rFonts w:eastAsia="Arial"/>
          <w:rtl/>
        </w:rPr>
        <w:t>وعلى</w:t>
      </w:r>
      <w:proofErr w:type="gramEnd"/>
      <w:r>
        <w:rPr>
          <w:rFonts w:eastAsia="Arial"/>
          <w:rtl/>
        </w:rPr>
        <w:t xml:space="preserve"> ذلك يكون المخترعون أكثر تنقلاً من عموم العمال المهرة، الذين ترتفع أصلاً بينهم معدلات التنقل بالنسبة إلى باقي فئات السكان. </w:t>
      </w:r>
    </w:p>
    <w:p w:rsidR="00D63DEB" w:rsidRDefault="00D63DEB" w:rsidP="002E0704">
      <w:pPr>
        <w:pStyle w:val="NormalParaAR"/>
      </w:pPr>
      <w:r>
        <w:rPr>
          <w:rFonts w:eastAsia="Arial"/>
          <w:rtl/>
        </w:rPr>
        <w:t xml:space="preserve">وقد ظهرت أعلى معدلات هجرة المخترعين خلال الفترة </w:t>
      </w:r>
      <w:r>
        <w:rPr>
          <w:rFonts w:eastAsia="Arial"/>
        </w:rPr>
        <w:t>2001</w:t>
      </w:r>
      <w:r w:rsidR="005445CA">
        <w:rPr>
          <w:rFonts w:eastAsia="Arial" w:hint="cs"/>
          <w:rtl/>
        </w:rPr>
        <w:t>-</w:t>
      </w:r>
      <w:r>
        <w:rPr>
          <w:rFonts w:eastAsia="Arial"/>
        </w:rPr>
        <w:t>2010</w:t>
      </w:r>
      <w:r>
        <w:rPr>
          <w:rFonts w:eastAsia="Arial"/>
          <w:rtl/>
        </w:rPr>
        <w:t xml:space="preserve"> الوافدين في أمريكا الشمالية وفي منطقة</w:t>
      </w:r>
      <w:proofErr w:type="gramStart"/>
      <w:r>
        <w:rPr>
          <w:rFonts w:eastAsia="Arial"/>
          <w:rtl/>
        </w:rPr>
        <w:t xml:space="preserve"> أو</w:t>
      </w:r>
      <w:proofErr w:type="gramEnd"/>
      <w:r>
        <w:rPr>
          <w:rFonts w:eastAsia="Arial"/>
          <w:rtl/>
        </w:rPr>
        <w:t xml:space="preserve">قيانوسيا والمحيط الهادئ، حيث بلغ المعدل </w:t>
      </w:r>
      <w:r w:rsidR="002E0704">
        <w:rPr>
          <w:rFonts w:eastAsia="Arial" w:hint="cs"/>
          <w:rtl/>
        </w:rPr>
        <w:t xml:space="preserve">17,76 </w:t>
      </w:r>
      <w:r>
        <w:rPr>
          <w:rFonts w:eastAsia="Arial"/>
          <w:rtl/>
        </w:rPr>
        <w:t>بالمائة و</w:t>
      </w:r>
      <w:r w:rsidR="002E0704">
        <w:rPr>
          <w:rFonts w:eastAsia="Arial" w:hint="cs"/>
          <w:rtl/>
        </w:rPr>
        <w:t xml:space="preserve">12,07 </w:t>
      </w:r>
      <w:r>
        <w:rPr>
          <w:rFonts w:eastAsia="Arial"/>
          <w:rtl/>
        </w:rPr>
        <w:t xml:space="preserve">بالمائة على الترتيب. أما معدل هجرة المخترعين الوافدين إلى بلدان منظمة التعاون والتنمية في الميدان الاقتصادي فيبلغ </w:t>
      </w:r>
      <w:r w:rsidR="002E0704">
        <w:rPr>
          <w:rFonts w:eastAsia="Arial" w:hint="cs"/>
          <w:rtl/>
        </w:rPr>
        <w:t>10,26</w:t>
      </w:r>
      <w:r>
        <w:rPr>
          <w:rFonts w:eastAsia="Arial"/>
          <w:rtl/>
        </w:rPr>
        <w:t xml:space="preserve"> بالمائة </w:t>
      </w:r>
      <w:r w:rsidR="005445CA">
        <w:rPr>
          <w:rFonts w:eastAsia="Arial"/>
          <w:rtl/>
        </w:rPr>
        <w:t>- وهو بذلك أعلى من سائر البلدان</w:t>
      </w:r>
      <w:r w:rsidR="005445CA">
        <w:rPr>
          <w:rFonts w:eastAsia="Arial" w:hint="cs"/>
          <w:rtl/>
        </w:rPr>
        <w:t xml:space="preserve"> </w:t>
      </w:r>
      <w:r>
        <w:rPr>
          <w:rFonts w:eastAsia="Arial"/>
          <w:rtl/>
        </w:rPr>
        <w:t>(</w:t>
      </w:r>
      <w:r w:rsidR="002E0704">
        <w:rPr>
          <w:rFonts w:eastAsia="Arial" w:hint="cs"/>
          <w:rtl/>
        </w:rPr>
        <w:t>6,13</w:t>
      </w:r>
      <w:r>
        <w:rPr>
          <w:rFonts w:eastAsia="Arial"/>
          <w:rtl/>
        </w:rPr>
        <w:t xml:space="preserve"> بالمائة). ويبين تصنيف البنك الدولي لعام </w:t>
      </w:r>
      <w:r>
        <w:rPr>
          <w:rFonts w:eastAsia="Arial"/>
        </w:rPr>
        <w:t>2012</w:t>
      </w:r>
      <w:r>
        <w:rPr>
          <w:rFonts w:eastAsia="Arial"/>
          <w:rtl/>
        </w:rPr>
        <w:t xml:space="preserve"> أن اقتصادات الدخل المرتفع </w:t>
      </w:r>
      <w:r w:rsidR="00407DB3">
        <w:rPr>
          <w:rFonts w:eastAsia="Arial" w:hint="cs"/>
          <w:rtl/>
        </w:rPr>
        <w:t>شهدت</w:t>
      </w:r>
      <w:r>
        <w:rPr>
          <w:rFonts w:eastAsia="Arial"/>
          <w:rtl/>
        </w:rPr>
        <w:t xml:space="preserve"> ارتفاعاً في المتوسط في معدلات الهجرة الوافدة خلال الفترة </w:t>
      </w:r>
      <w:r>
        <w:rPr>
          <w:rFonts w:eastAsia="Arial"/>
        </w:rPr>
        <w:t>2001</w:t>
      </w:r>
      <w:r w:rsidR="00407DB3">
        <w:rPr>
          <w:rFonts w:eastAsia="Arial" w:hint="cs"/>
          <w:rtl/>
        </w:rPr>
        <w:t>-</w:t>
      </w:r>
      <w:r>
        <w:rPr>
          <w:rFonts w:eastAsia="Arial"/>
        </w:rPr>
        <w:t>2010</w:t>
      </w:r>
      <w:r w:rsidR="00407DB3">
        <w:rPr>
          <w:rFonts w:eastAsia="Arial" w:hint="cs"/>
          <w:rtl/>
        </w:rPr>
        <w:t xml:space="preserve"> (</w:t>
      </w:r>
      <w:r w:rsidR="002E0704">
        <w:rPr>
          <w:rFonts w:eastAsia="Arial" w:hint="cs"/>
          <w:rtl/>
        </w:rPr>
        <w:t>10,47 بالمائة)</w:t>
      </w:r>
      <w:r>
        <w:rPr>
          <w:rFonts w:eastAsia="Arial"/>
          <w:rtl/>
        </w:rPr>
        <w:t xml:space="preserve"> مقارنةً باقتصادات الدخل المتوسط الأعلى والأدنى (</w:t>
      </w:r>
      <w:r w:rsidR="002E0704">
        <w:rPr>
          <w:rFonts w:eastAsia="Arial" w:hint="cs"/>
          <w:rtl/>
        </w:rPr>
        <w:t>3,39 بالمائة</w:t>
      </w:r>
      <w:r>
        <w:rPr>
          <w:rFonts w:eastAsia="Arial"/>
          <w:rtl/>
        </w:rPr>
        <w:t xml:space="preserve"> و</w:t>
      </w:r>
      <w:r w:rsidR="002E0704">
        <w:rPr>
          <w:rFonts w:eastAsia="Arial" w:hint="cs"/>
          <w:rtl/>
        </w:rPr>
        <w:t>2,04 بالمائة</w:t>
      </w:r>
      <w:r>
        <w:rPr>
          <w:rFonts w:eastAsia="Arial"/>
          <w:rtl/>
        </w:rPr>
        <w:t xml:space="preserve"> على</w:t>
      </w:r>
      <w:r w:rsidR="002E0704">
        <w:rPr>
          <w:rFonts w:eastAsia="Arial" w:hint="cs"/>
          <w:rtl/>
        </w:rPr>
        <w:t> </w:t>
      </w:r>
      <w:r>
        <w:rPr>
          <w:rFonts w:eastAsia="Arial"/>
          <w:rtl/>
        </w:rPr>
        <w:t>الترتيب).</w:t>
      </w:r>
    </w:p>
    <w:p w:rsidR="00D63DEB" w:rsidRPr="002E0704" w:rsidRDefault="00D63DEB" w:rsidP="00FF4510">
      <w:pPr>
        <w:pStyle w:val="Heading2AR"/>
        <w:rPr>
          <w:b/>
          <w:bCs/>
          <w:sz w:val="36"/>
          <w:szCs w:val="36"/>
        </w:rPr>
      </w:pPr>
      <w:r w:rsidRPr="002E0704">
        <w:rPr>
          <w:rFonts w:eastAsia="Arial"/>
          <w:b/>
          <w:bCs/>
          <w:sz w:val="36"/>
          <w:szCs w:val="36"/>
          <w:rtl/>
        </w:rPr>
        <w:t xml:space="preserve">تركُز </w:t>
      </w:r>
      <w:proofErr w:type="gramStart"/>
      <w:r w:rsidRPr="002E0704">
        <w:rPr>
          <w:rFonts w:eastAsia="Arial"/>
          <w:b/>
          <w:bCs/>
          <w:sz w:val="36"/>
          <w:szCs w:val="36"/>
          <w:rtl/>
        </w:rPr>
        <w:t>المخترعين</w:t>
      </w:r>
      <w:proofErr w:type="gramEnd"/>
      <w:r w:rsidRPr="002E0704">
        <w:rPr>
          <w:rFonts w:eastAsia="Arial"/>
          <w:b/>
          <w:bCs/>
          <w:sz w:val="36"/>
          <w:szCs w:val="36"/>
          <w:rtl/>
        </w:rPr>
        <w:t xml:space="preserve"> المهاجرين بنسب مرتفعة في أوروبا وأمريكا الشمالية</w:t>
      </w:r>
    </w:p>
    <w:p w:rsidR="00D63DEB" w:rsidRDefault="00D63DEB" w:rsidP="002E0704">
      <w:pPr>
        <w:pStyle w:val="NormalParaAR"/>
        <w:rPr>
          <w:rStyle w:val="Strong"/>
          <w:b w:val="0"/>
        </w:rPr>
      </w:pPr>
      <w:r>
        <w:rPr>
          <w:rFonts w:eastAsia="Arial"/>
          <w:rtl/>
        </w:rPr>
        <w:t xml:space="preserve">تبين إحصاءات الفترة </w:t>
      </w:r>
      <w:r>
        <w:rPr>
          <w:rFonts w:eastAsia="Arial"/>
        </w:rPr>
        <w:t>2001</w:t>
      </w:r>
      <w:r w:rsidR="00FF4510">
        <w:rPr>
          <w:rFonts w:eastAsia="Arial" w:hint="cs"/>
          <w:rtl/>
        </w:rPr>
        <w:t>-</w:t>
      </w:r>
      <w:r>
        <w:rPr>
          <w:rFonts w:eastAsia="Arial"/>
        </w:rPr>
        <w:t>2010</w:t>
      </w:r>
      <w:r>
        <w:rPr>
          <w:rFonts w:eastAsia="Arial"/>
          <w:rtl/>
        </w:rPr>
        <w:t xml:space="preserve"> أن </w:t>
      </w:r>
      <w:r w:rsidR="002E0704">
        <w:rPr>
          <w:rFonts w:eastAsia="Arial" w:hint="cs"/>
          <w:rtl/>
        </w:rPr>
        <w:t>95,34</w:t>
      </w:r>
      <w:r>
        <w:rPr>
          <w:rFonts w:eastAsia="Arial"/>
          <w:rtl/>
        </w:rPr>
        <w:t xml:space="preserve"> بالمائة من المخترعين ا</w:t>
      </w:r>
      <w:proofErr w:type="gramStart"/>
      <w:r>
        <w:rPr>
          <w:rFonts w:eastAsia="Arial"/>
          <w:rtl/>
        </w:rPr>
        <w:t>لمه</w:t>
      </w:r>
      <w:proofErr w:type="gramEnd"/>
      <w:r>
        <w:rPr>
          <w:rFonts w:eastAsia="Arial"/>
          <w:rtl/>
        </w:rPr>
        <w:t xml:space="preserve">اجرين مستقرون في إحدى بلدان منظمة التعاون والتنمية في الميدان الاقتصادي، وأن </w:t>
      </w:r>
      <w:r w:rsidR="002E0704">
        <w:rPr>
          <w:rFonts w:eastAsia="Arial" w:hint="cs"/>
          <w:rtl/>
        </w:rPr>
        <w:t>97,7</w:t>
      </w:r>
      <w:r>
        <w:rPr>
          <w:rFonts w:eastAsia="Arial"/>
          <w:rtl/>
        </w:rPr>
        <w:t xml:space="preserve"> منهم مستقرون في اقتصاد مرتفع الدخل. وتستأثر أمريكا الشمالية بأكبر حصة من هذه الأرقام، حيث يقطن </w:t>
      </w:r>
      <w:r w:rsidR="002E0704">
        <w:rPr>
          <w:rFonts w:eastAsia="Arial" w:hint="cs"/>
          <w:rtl/>
        </w:rPr>
        <w:t>59,30</w:t>
      </w:r>
      <w:r>
        <w:rPr>
          <w:rFonts w:eastAsia="Arial"/>
          <w:rtl/>
        </w:rPr>
        <w:t xml:space="preserve"> بالمائة من المخترعين المهاجرين في أمريكا الشمالية، ويقطن </w:t>
      </w:r>
      <w:r w:rsidR="002E0704">
        <w:rPr>
          <w:rFonts w:eastAsia="Arial" w:hint="cs"/>
          <w:rtl/>
        </w:rPr>
        <w:t>31,87</w:t>
      </w:r>
      <w:r>
        <w:rPr>
          <w:rFonts w:eastAsia="Arial"/>
          <w:rtl/>
        </w:rPr>
        <w:t xml:space="preserve"> بالمائة منهم في أوروبا.</w:t>
      </w:r>
    </w:p>
    <w:p w:rsidR="00D63DEB" w:rsidRPr="00306606" w:rsidRDefault="00D63DEB" w:rsidP="00666E38">
      <w:pPr>
        <w:pStyle w:val="NormalParaAR"/>
      </w:pPr>
      <w:r>
        <w:rPr>
          <w:rFonts w:eastAsia="Arial"/>
          <w:rtl/>
        </w:rPr>
        <w:t xml:space="preserve">وعلى المستوى القطري، بالنسبة إلى الفترة </w:t>
      </w:r>
      <w:r>
        <w:rPr>
          <w:rFonts w:eastAsia="Arial"/>
        </w:rPr>
        <w:t>2001</w:t>
      </w:r>
      <w:r w:rsidR="00FF4510">
        <w:rPr>
          <w:rFonts w:eastAsia="Arial" w:hint="cs"/>
          <w:rtl/>
        </w:rPr>
        <w:t>-</w:t>
      </w:r>
      <w:r>
        <w:rPr>
          <w:rFonts w:eastAsia="Arial"/>
        </w:rPr>
        <w:t>2010</w:t>
      </w:r>
      <w:r>
        <w:rPr>
          <w:rFonts w:eastAsia="Arial"/>
          <w:rtl/>
        </w:rPr>
        <w:t xml:space="preserve">، استقبلت الولايات المتحدة أغلبية المخترعين المهاجرين، حيث بلغت نسبتهم فيها </w:t>
      </w:r>
      <w:r w:rsidR="002E0704">
        <w:rPr>
          <w:rFonts w:eastAsia="Arial" w:hint="cs"/>
          <w:rtl/>
        </w:rPr>
        <w:t>57</w:t>
      </w:r>
      <w:proofErr w:type="gramStart"/>
      <w:r w:rsidR="002E0704">
        <w:rPr>
          <w:rFonts w:eastAsia="Arial" w:hint="cs"/>
          <w:rtl/>
        </w:rPr>
        <w:t>,17</w:t>
      </w:r>
      <w:proofErr w:type="gramEnd"/>
      <w:r>
        <w:rPr>
          <w:rFonts w:eastAsia="Arial"/>
          <w:rtl/>
        </w:rPr>
        <w:t xml:space="preserve"> بالمائة. ومن البلدان التي ترتفع فيها نسب المخترعين المهاجرين بعد الولايات المتحدة ألمانيا (</w:t>
      </w:r>
      <w:r w:rsidR="002E0704">
        <w:rPr>
          <w:rFonts w:eastAsia="Arial" w:hint="cs"/>
          <w:rtl/>
        </w:rPr>
        <w:t>7</w:t>
      </w:r>
      <w:proofErr w:type="gramStart"/>
      <w:r w:rsidR="002E0704">
        <w:rPr>
          <w:rFonts w:eastAsia="Arial" w:hint="cs"/>
          <w:rtl/>
        </w:rPr>
        <w:t>,44</w:t>
      </w:r>
      <w:proofErr w:type="gramEnd"/>
      <w:r>
        <w:rPr>
          <w:rFonts w:eastAsia="Arial"/>
          <w:rtl/>
        </w:rPr>
        <w:t xml:space="preserve"> </w:t>
      </w:r>
      <w:r w:rsidR="002E0704">
        <w:rPr>
          <w:rFonts w:eastAsia="Arial" w:hint="cs"/>
          <w:rtl/>
        </w:rPr>
        <w:t>بالمائة</w:t>
      </w:r>
      <w:r>
        <w:rPr>
          <w:rFonts w:eastAsia="Arial"/>
          <w:rtl/>
        </w:rPr>
        <w:t>) وسويسرا (</w:t>
      </w:r>
      <w:r w:rsidR="00666E38">
        <w:rPr>
          <w:rFonts w:eastAsia="Arial" w:hint="cs"/>
          <w:rtl/>
        </w:rPr>
        <w:t>6,00 بالمائة</w:t>
      </w:r>
      <w:r>
        <w:rPr>
          <w:rFonts w:eastAsia="Arial"/>
          <w:rtl/>
        </w:rPr>
        <w:t>) والمملكة المتحدة (</w:t>
      </w:r>
      <w:r w:rsidR="00666E38">
        <w:rPr>
          <w:rFonts w:eastAsia="Arial" w:hint="cs"/>
          <w:rtl/>
        </w:rPr>
        <w:t>4,63 بالمائة</w:t>
      </w:r>
      <w:r>
        <w:rPr>
          <w:rFonts w:eastAsia="Arial"/>
          <w:rtl/>
        </w:rPr>
        <w:t>). ويبين التوزيع الجغرافي للمهاجرين الوافدين من بلدان الدخل غير المرتفع أن الولايات المتحدة هي بلد المقصد الأول بفارق كبير (</w:t>
      </w:r>
      <w:r w:rsidR="00666E38">
        <w:rPr>
          <w:rFonts w:eastAsia="Arial" w:hint="cs"/>
          <w:rtl/>
        </w:rPr>
        <w:t>74</w:t>
      </w:r>
      <w:proofErr w:type="gramStart"/>
      <w:r w:rsidR="00666E38">
        <w:rPr>
          <w:rFonts w:eastAsia="Arial" w:hint="cs"/>
          <w:rtl/>
        </w:rPr>
        <w:t>,87</w:t>
      </w:r>
      <w:proofErr w:type="gramEnd"/>
      <w:r w:rsidR="00666E38">
        <w:rPr>
          <w:rFonts w:eastAsia="Arial" w:hint="cs"/>
          <w:rtl/>
        </w:rPr>
        <w:t xml:space="preserve"> بالمائة</w:t>
      </w:r>
      <w:r>
        <w:rPr>
          <w:rFonts w:eastAsia="Arial"/>
          <w:rtl/>
        </w:rPr>
        <w:t>)، مما يشير إلى أن لها جاذبية خاصة بالنسبة إلى المخترعين المهاجرين من بلدان الدخل المنخفض والمتوسط.</w:t>
      </w:r>
    </w:p>
    <w:p w:rsidR="00D63DEB" w:rsidRDefault="00D63DEB" w:rsidP="00FF4510">
      <w:pPr>
        <w:pStyle w:val="NormalParaAR"/>
      </w:pPr>
      <w:r>
        <w:rPr>
          <w:rFonts w:eastAsia="Arial"/>
          <w:rtl/>
        </w:rPr>
        <w:t>وعلاوة على ذلك، يبلغ عدد المخترعين المهاجرين في الولايات المتحدة خمسة عشر ضعفاً من عدد مخترعي الولايات المتحدة المقيمين خارجها - الشكل ه.</w:t>
      </w:r>
      <w:r>
        <w:rPr>
          <w:rFonts w:eastAsia="Arial"/>
        </w:rPr>
        <w:t>1</w:t>
      </w:r>
      <w:r>
        <w:rPr>
          <w:rFonts w:eastAsia="Arial"/>
          <w:rtl/>
        </w:rPr>
        <w:t xml:space="preserve">. ومن المثير للاهتمام أنه بالرغم من التدفقات المعتبرة من المخترعين الوافدين، تشهد كلٌ من ألمانيا والمملكة المتحدة عدداً من المخترعين المهاجرين المغادرين أكبر من عدد نظرائهم الوافدين. </w:t>
      </w:r>
      <w:proofErr w:type="gramStart"/>
      <w:r>
        <w:rPr>
          <w:rFonts w:eastAsia="Arial"/>
          <w:rtl/>
        </w:rPr>
        <w:t>وعلى</w:t>
      </w:r>
      <w:proofErr w:type="gramEnd"/>
      <w:r>
        <w:rPr>
          <w:rFonts w:eastAsia="Arial"/>
          <w:rtl/>
        </w:rPr>
        <w:t xml:space="preserve"> منوال مشابه، تشهد كندا وفرنسا اتجاه سالب في صافي هجرة المخترعين.</w:t>
      </w:r>
    </w:p>
    <w:p w:rsidR="00D63DEB" w:rsidRPr="000901CE" w:rsidRDefault="00D63DEB" w:rsidP="00666E38">
      <w:pPr>
        <w:pStyle w:val="Text"/>
        <w:bidi/>
        <w:jc w:val="center"/>
        <w:rPr>
          <w:rFonts w:ascii="Arabic Typesetting" w:hAnsi="Arabic Typesetting" w:cs="Arabic Typesetting"/>
          <w:b/>
          <w:bCs/>
          <w:sz w:val="36"/>
          <w:szCs w:val="36"/>
        </w:rPr>
      </w:pPr>
      <w:r>
        <w:br w:type="page"/>
      </w:r>
      <w:r w:rsidR="00666E38" w:rsidRPr="000901CE">
        <w:rPr>
          <w:rFonts w:ascii="Arabic Typesetting" w:eastAsia="Arial" w:hAnsi="Arabic Typesetting" w:cs="Arabic Typesetting"/>
          <w:b/>
          <w:bCs/>
          <w:sz w:val="36"/>
          <w:szCs w:val="36"/>
          <w:rtl/>
        </w:rPr>
        <w:lastRenderedPageBreak/>
        <w:t>الشكل هـ</w:t>
      </w:r>
      <w:r w:rsidRPr="000901CE">
        <w:rPr>
          <w:rFonts w:ascii="Arabic Typesetting" w:eastAsia="Arial" w:hAnsi="Arabic Typesetting" w:cs="Arabic Typesetting"/>
          <w:b/>
          <w:bCs/>
          <w:sz w:val="36"/>
          <w:szCs w:val="36"/>
          <w:rtl/>
        </w:rPr>
        <w:t>.</w:t>
      </w:r>
      <w:r w:rsidRPr="000901CE">
        <w:rPr>
          <w:rFonts w:ascii="Arabic Typesetting" w:eastAsia="Arial" w:hAnsi="Arabic Typesetting" w:cs="Arabic Typesetting"/>
          <w:b/>
          <w:bCs/>
          <w:sz w:val="36"/>
          <w:szCs w:val="36"/>
        </w:rPr>
        <w:t>1</w:t>
      </w:r>
      <w:r w:rsidRPr="000901CE">
        <w:rPr>
          <w:rFonts w:ascii="Arabic Typesetting" w:eastAsia="Arial" w:hAnsi="Arabic Typesetting" w:cs="Arabic Typesetting"/>
          <w:b/>
          <w:bCs/>
          <w:sz w:val="36"/>
          <w:szCs w:val="36"/>
          <w:rtl/>
        </w:rPr>
        <w:t xml:space="preserve">: المخترعون المهاجرون الوافدون والمغادرون (بالآلاف) وموقف الهجرة الصافي، </w:t>
      </w:r>
      <w:r w:rsidRPr="000901CE">
        <w:rPr>
          <w:rFonts w:ascii="Arabic Typesetting" w:eastAsia="Arial" w:hAnsi="Arabic Typesetting" w:cs="Arabic Typesetting"/>
          <w:b/>
          <w:bCs/>
          <w:sz w:val="36"/>
          <w:szCs w:val="36"/>
        </w:rPr>
        <w:t>2001</w:t>
      </w:r>
      <w:r w:rsidR="00037CA7" w:rsidRPr="000901CE">
        <w:rPr>
          <w:rFonts w:ascii="Arabic Typesetting" w:eastAsia="Arial" w:hAnsi="Arabic Typesetting" w:cs="Arabic Typesetting"/>
          <w:b/>
          <w:bCs/>
          <w:sz w:val="36"/>
          <w:szCs w:val="36"/>
          <w:rtl/>
        </w:rPr>
        <w:t>-</w:t>
      </w:r>
      <w:r w:rsidRPr="000901CE">
        <w:rPr>
          <w:rFonts w:ascii="Arabic Typesetting" w:eastAsia="Arial" w:hAnsi="Arabic Typesetting" w:cs="Arabic Typesetting"/>
          <w:b/>
          <w:bCs/>
          <w:sz w:val="36"/>
          <w:szCs w:val="36"/>
        </w:rPr>
        <w:t>2010</w:t>
      </w:r>
    </w:p>
    <w:p w:rsidR="00D63DEB" w:rsidRDefault="00D63DEB" w:rsidP="00666E38">
      <w:pPr>
        <w:pStyle w:val="Text"/>
        <w:spacing w:after="240"/>
        <w:jc w:val="center"/>
        <w:rPr>
          <w:noProof/>
        </w:rPr>
      </w:pPr>
      <w:r>
        <w:rPr>
          <w:b/>
          <w:noProof/>
        </w:rPr>
        <w:drawing>
          <wp:inline distT="0" distB="0" distL="0" distR="0" wp14:anchorId="5BF1BE40" wp14:editId="641C9163">
            <wp:extent cx="5746750" cy="331660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6750" cy="3316605"/>
                    </a:xfrm>
                    <a:prstGeom prst="rect">
                      <a:avLst/>
                    </a:prstGeom>
                    <a:noFill/>
                    <a:ln>
                      <a:noFill/>
                    </a:ln>
                  </pic:spPr>
                </pic:pic>
              </a:graphicData>
            </a:graphic>
          </wp:inline>
        </w:drawing>
      </w:r>
    </w:p>
    <w:p w:rsidR="00D63DEB" w:rsidRDefault="00D63DEB" w:rsidP="00037CA7">
      <w:pPr>
        <w:pStyle w:val="NormalParaAR"/>
        <w:rPr>
          <w:noProof/>
        </w:rPr>
      </w:pPr>
      <w:proofErr w:type="gramStart"/>
      <w:r>
        <w:rPr>
          <w:rFonts w:eastAsia="Arial"/>
          <w:rtl/>
        </w:rPr>
        <w:t>وتبرز</w:t>
      </w:r>
      <w:proofErr w:type="gramEnd"/>
      <w:r>
        <w:rPr>
          <w:rFonts w:eastAsia="Arial"/>
          <w:rtl/>
        </w:rPr>
        <w:t xml:space="preserve"> الصين والهند في صدارة المنابع الرئيسية للمخترعين المهاجرين الوافدين إلى الولايات المتحدة، بينما تتميز بلدان أخرى بتوزيعات تختلف من بلد إلى آخر من حيث منابع الهجرة الوافدة، والغالب أن تعكس تلك التوزيعات القرب الجغرافي والتشارك في الجذور التاريخية والثقافية واللغوية.</w:t>
      </w:r>
    </w:p>
    <w:p w:rsidR="00D63DEB" w:rsidRPr="00666E38" w:rsidRDefault="00D63DEB" w:rsidP="00037CA7">
      <w:pPr>
        <w:pStyle w:val="Heading2AR"/>
        <w:rPr>
          <w:b/>
          <w:bCs/>
          <w:sz w:val="36"/>
          <w:szCs w:val="36"/>
        </w:rPr>
      </w:pPr>
      <w:r w:rsidRPr="00666E38">
        <w:rPr>
          <w:rFonts w:eastAsia="Arial"/>
          <w:b/>
          <w:bCs/>
          <w:sz w:val="36"/>
          <w:szCs w:val="36"/>
          <w:rtl/>
        </w:rPr>
        <w:t xml:space="preserve">المؤسسات الأكاديمية </w:t>
      </w:r>
      <w:proofErr w:type="gramStart"/>
      <w:r w:rsidRPr="00666E38">
        <w:rPr>
          <w:rFonts w:eastAsia="Arial"/>
          <w:b/>
          <w:bCs/>
          <w:sz w:val="36"/>
          <w:szCs w:val="36"/>
          <w:rtl/>
        </w:rPr>
        <w:t>الأعلى</w:t>
      </w:r>
      <w:proofErr w:type="gramEnd"/>
      <w:r w:rsidRPr="00666E38">
        <w:rPr>
          <w:rFonts w:eastAsia="Arial"/>
          <w:b/>
          <w:bCs/>
          <w:sz w:val="36"/>
          <w:szCs w:val="36"/>
          <w:rtl/>
        </w:rPr>
        <w:t xml:space="preserve"> في معدلات الهجرة</w:t>
      </w:r>
    </w:p>
    <w:p w:rsidR="00D63DEB" w:rsidRDefault="00D63DEB" w:rsidP="00666E38">
      <w:pPr>
        <w:pStyle w:val="NormalParaAR"/>
      </w:pPr>
      <w:r>
        <w:rPr>
          <w:rFonts w:eastAsia="Arial"/>
          <w:rtl/>
        </w:rPr>
        <w:t>تختص الجامعات ومراكز الأبحاث العامة المتصدرة للبراءات ببعض أعلى معدلات الهجرة من بين صفوة مودعي طلبات معاهدة التعاون بشأن البراءات لأهم بلدان المقصد. ويرجع ذلك إلى دور "نقاط الدخول" المميزة الذي تؤديه الجامعات ومؤسسات الأبحاث العامة بالنسبة إلى العمال ذوي المهارة العالية الوافدين من الخارج. ولهذا أهميته في سياق تقييم أثر هجرة العمالة الماهرة في الرفاه، حيث إن من شأن حدوث استنزاف الأدمغة خلال المراحل التعليمية، وخاصة في</w:t>
      </w:r>
      <w:r w:rsidR="00666E38">
        <w:rPr>
          <w:rFonts w:eastAsia="Arial" w:hint="cs"/>
          <w:rtl/>
        </w:rPr>
        <w:t xml:space="preserve"> </w:t>
      </w:r>
      <w:r>
        <w:rPr>
          <w:rFonts w:eastAsia="Arial"/>
          <w:rtl/>
        </w:rPr>
        <w:t xml:space="preserve">مرحلة الدراسات العليا، أن يزيد من فرص بلدان المنبع في تحويل استنزاف الأدمغة إلى اكتساب أدمغة بحكم المهارات النفيسة التي يرجع بها العائدون إلى الأوطان بعد تحصيلها في المهجر. </w:t>
      </w:r>
    </w:p>
    <w:p w:rsidR="00D63DEB" w:rsidRDefault="00D63DEB" w:rsidP="00037CA7">
      <w:pPr>
        <w:pStyle w:val="NormalParaAR"/>
      </w:pPr>
      <w:proofErr w:type="gramStart"/>
      <w:r>
        <w:rPr>
          <w:rFonts w:eastAsia="Arial"/>
          <w:rtl/>
        </w:rPr>
        <w:t>وكما</w:t>
      </w:r>
      <w:proofErr w:type="gramEnd"/>
      <w:r>
        <w:rPr>
          <w:rFonts w:eastAsia="Arial"/>
          <w:rtl/>
        </w:rPr>
        <w:t xml:space="preserve"> يظهر في الشكل ه.</w:t>
      </w:r>
      <w:proofErr w:type="gramStart"/>
      <w:r>
        <w:rPr>
          <w:rFonts w:eastAsia="Arial"/>
        </w:rPr>
        <w:t>2</w:t>
      </w:r>
      <w:r>
        <w:rPr>
          <w:rFonts w:eastAsia="Arial"/>
          <w:rtl/>
        </w:rPr>
        <w:t xml:space="preserve">، ترتفع معدلات الهجرة الوافدة في الجامعات، وبفارق كبير في كثيرٍ من الأحيان، عن معدلات الهجرة الوافدة في الشركات في </w:t>
      </w:r>
      <w:r>
        <w:rPr>
          <w:rFonts w:eastAsia="Arial"/>
        </w:rPr>
        <w:t>15</w:t>
      </w:r>
      <w:r>
        <w:rPr>
          <w:rFonts w:eastAsia="Arial"/>
          <w:rtl/>
        </w:rPr>
        <w:t xml:space="preserve"> من </w:t>
      </w:r>
      <w:r>
        <w:rPr>
          <w:rFonts w:eastAsia="Arial"/>
        </w:rPr>
        <w:t>20</w:t>
      </w:r>
      <w:r>
        <w:rPr>
          <w:rFonts w:eastAsia="Arial"/>
          <w:rtl/>
        </w:rPr>
        <w:t xml:space="preserve"> مقصداً مختاراً، مما يؤكد على درجة الانفتاح الأعلى في الجامعات والمؤسسات البحثية.</w:t>
      </w:r>
      <w:proofErr w:type="gramEnd"/>
      <w:r>
        <w:rPr>
          <w:rFonts w:eastAsia="Arial"/>
          <w:rtl/>
        </w:rPr>
        <w:t xml:space="preserve"> والبلدان الوحيدة التي لم يتبين فيها ارتفاع معدلات الهجرة بين الأكاديميين مقارنةً بالمخترعين في الشركات هي بلجيكا وهولندا وفنلندا وإسبانيا وإيطاليا.</w:t>
      </w:r>
    </w:p>
    <w:p w:rsidR="00D63DEB" w:rsidRPr="00037CA7" w:rsidRDefault="00D63DEB" w:rsidP="00666E38">
      <w:pPr>
        <w:pStyle w:val="NormalParaAR"/>
        <w:jc w:val="center"/>
        <w:rPr>
          <w:b/>
          <w:bCs/>
        </w:rPr>
      </w:pPr>
      <w:bookmarkStart w:id="4" w:name="_Toc367983553"/>
      <w:r>
        <w:rPr>
          <w:rFonts w:eastAsia="Arial"/>
          <w:rtl/>
        </w:rPr>
        <w:br w:type="page"/>
      </w:r>
      <w:r w:rsidRPr="00037CA7">
        <w:rPr>
          <w:rFonts w:eastAsia="Arial"/>
          <w:b/>
          <w:bCs/>
          <w:rtl/>
        </w:rPr>
        <w:lastRenderedPageBreak/>
        <w:t>الشكل ه.</w:t>
      </w:r>
      <w:r w:rsidRPr="00037CA7">
        <w:rPr>
          <w:rFonts w:eastAsia="Arial"/>
          <w:b/>
          <w:bCs/>
        </w:rPr>
        <w:t>2</w:t>
      </w:r>
      <w:r w:rsidRPr="00037CA7">
        <w:rPr>
          <w:rFonts w:eastAsia="Arial"/>
          <w:b/>
          <w:bCs/>
          <w:rtl/>
        </w:rPr>
        <w:t xml:space="preserve">: معدلات الهجرة الوافدة. المخترعون في الجامعات مقابل الشركات، </w:t>
      </w:r>
      <w:r w:rsidRPr="00037CA7">
        <w:rPr>
          <w:rFonts w:eastAsia="Arial"/>
          <w:b/>
          <w:bCs/>
        </w:rPr>
        <w:t>2001</w:t>
      </w:r>
      <w:r w:rsidR="00037CA7">
        <w:rPr>
          <w:rFonts w:eastAsia="Arial" w:hint="cs"/>
          <w:b/>
          <w:bCs/>
          <w:rtl/>
        </w:rPr>
        <w:t>-</w:t>
      </w:r>
      <w:r w:rsidRPr="00037CA7">
        <w:rPr>
          <w:rFonts w:eastAsia="Arial"/>
          <w:b/>
          <w:bCs/>
        </w:rPr>
        <w:t>2010</w:t>
      </w:r>
      <w:bookmarkEnd w:id="4"/>
    </w:p>
    <w:p w:rsidR="00D63DEB" w:rsidRDefault="00D63DEB" w:rsidP="00666E38">
      <w:pPr>
        <w:pStyle w:val="Text"/>
        <w:jc w:val="center"/>
      </w:pPr>
      <w:r>
        <w:rPr>
          <w:noProof/>
        </w:rPr>
        <w:drawing>
          <wp:inline distT="0" distB="0" distL="0" distR="0" wp14:anchorId="370271A3" wp14:editId="73CE388D">
            <wp:extent cx="5733415" cy="3309543"/>
            <wp:effectExtent l="0" t="0" r="6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3309543"/>
                    </a:xfrm>
                    <a:prstGeom prst="rect">
                      <a:avLst/>
                    </a:prstGeom>
                    <a:noFill/>
                    <a:ln>
                      <a:noFill/>
                    </a:ln>
                  </pic:spPr>
                </pic:pic>
              </a:graphicData>
            </a:graphic>
          </wp:inline>
        </w:drawing>
      </w:r>
    </w:p>
    <w:p w:rsidR="00D63DEB" w:rsidRPr="00666E38" w:rsidRDefault="00D63DEB" w:rsidP="00037CA7">
      <w:pPr>
        <w:pStyle w:val="Heading2AR"/>
        <w:rPr>
          <w:b/>
          <w:bCs/>
          <w:sz w:val="36"/>
          <w:szCs w:val="36"/>
        </w:rPr>
      </w:pPr>
      <w:r w:rsidRPr="00666E38">
        <w:rPr>
          <w:rFonts w:eastAsia="Arial"/>
          <w:b/>
          <w:bCs/>
          <w:sz w:val="36"/>
          <w:szCs w:val="36"/>
          <w:rtl/>
        </w:rPr>
        <w:t xml:space="preserve">إسهامات معتبرة من المخترعين الوافدين </w:t>
      </w:r>
      <w:proofErr w:type="gramStart"/>
      <w:r w:rsidRPr="00666E38">
        <w:rPr>
          <w:rFonts w:eastAsia="Arial"/>
          <w:b/>
          <w:bCs/>
          <w:sz w:val="36"/>
          <w:szCs w:val="36"/>
          <w:rtl/>
        </w:rPr>
        <w:t>في</w:t>
      </w:r>
      <w:proofErr w:type="gramEnd"/>
      <w:r w:rsidRPr="00666E38">
        <w:rPr>
          <w:rFonts w:eastAsia="Arial"/>
          <w:b/>
          <w:bCs/>
          <w:sz w:val="36"/>
          <w:szCs w:val="36"/>
          <w:rtl/>
        </w:rPr>
        <w:t xml:space="preserve"> تقدم بلدانهم المستضيفة تكنولوجياً</w:t>
      </w:r>
    </w:p>
    <w:p w:rsidR="00D63DEB" w:rsidRDefault="00D63DEB" w:rsidP="00A9254B">
      <w:pPr>
        <w:pStyle w:val="NormalParaAR"/>
      </w:pPr>
      <w:r>
        <w:rPr>
          <w:rFonts w:eastAsia="Arial"/>
          <w:rtl/>
        </w:rPr>
        <w:t xml:space="preserve">من سبل التبصر النافعة في دراسة ما يسهم به المهاجرون الوافدون في اقتصاد بلدانهم المضيفة النظر في عدد </w:t>
      </w:r>
      <w:proofErr w:type="spellStart"/>
      <w:r>
        <w:rPr>
          <w:rFonts w:eastAsia="Arial"/>
          <w:rtl/>
        </w:rPr>
        <w:t>الاستشهادات</w:t>
      </w:r>
      <w:proofErr w:type="spellEnd"/>
      <w:r>
        <w:rPr>
          <w:rFonts w:eastAsia="Arial"/>
          <w:rtl/>
        </w:rPr>
        <w:t xml:space="preserve"> التي تحظى بها طلبات معاهدة التعاون بشأن البراءات التي تضم مخترعين وافدين. وقد استخدمت الأدبيات الاقتصادية عدد </w:t>
      </w:r>
      <w:proofErr w:type="spellStart"/>
      <w:r>
        <w:rPr>
          <w:rFonts w:eastAsia="Arial"/>
          <w:rtl/>
        </w:rPr>
        <w:t>الاستشهادات</w:t>
      </w:r>
      <w:proofErr w:type="spellEnd"/>
      <w:r>
        <w:rPr>
          <w:rFonts w:eastAsia="Arial"/>
          <w:rtl/>
        </w:rPr>
        <w:t xml:space="preserve"> باعتباره مقياساً للجودة التي يمثلها موضوع البراءة. ويمكن على وجه الخصوص المقارنة بين النسبة من بين جميع البراءات التي يرد فيها ذكر مخترع واحد على الأقل له سابقة هجرة ونسبة المخترعين من ذوي السوابق في الهجرة المذكورين في صفوة البراءات، والمعرَّفة بأنها براءات الخمسة بالمائة الأولى من حيث عدد </w:t>
      </w:r>
      <w:proofErr w:type="spellStart"/>
      <w:r>
        <w:rPr>
          <w:rFonts w:eastAsia="Arial"/>
          <w:rtl/>
        </w:rPr>
        <w:t>الاستشهادات</w:t>
      </w:r>
      <w:proofErr w:type="spellEnd"/>
      <w:r>
        <w:rPr>
          <w:rFonts w:eastAsia="Arial"/>
          <w:rtl/>
        </w:rPr>
        <w:t xml:space="preserve"> بها في الخمس سنوات التالية لإيداع الطلب. وتبين النتائج أن ارتفاع نسبة المهاجرين مطرد بين اختراعات الصفوة إذا ما قورنت بنسبتهم بين مجموع براءات معاهدة التعاون بشأن البراءات كافة. ومن الوارد أن يفسَّر الاختلاف في محصلات </w:t>
      </w:r>
      <w:proofErr w:type="spellStart"/>
      <w:r>
        <w:rPr>
          <w:rFonts w:eastAsia="Arial"/>
          <w:rtl/>
        </w:rPr>
        <w:t>الاستشهادات</w:t>
      </w:r>
      <w:proofErr w:type="spellEnd"/>
      <w:r>
        <w:rPr>
          <w:rFonts w:eastAsia="Arial"/>
          <w:rtl/>
        </w:rPr>
        <w:t xml:space="preserve"> على عدة أوجه، ومع ذلك فهو يبين بشكل عام أن المهاجرين يسهمون بشكل معتبر في تقدم بلدانهم المضيفة تكنولوجياً.</w:t>
      </w:r>
    </w:p>
    <w:p w:rsidR="00D63DEB" w:rsidRPr="00666E38" w:rsidRDefault="00D63DEB" w:rsidP="00037CA7">
      <w:pPr>
        <w:pStyle w:val="Heading2AR"/>
        <w:rPr>
          <w:b/>
          <w:bCs/>
          <w:sz w:val="36"/>
          <w:szCs w:val="36"/>
        </w:rPr>
      </w:pPr>
      <w:r w:rsidRPr="00666E38">
        <w:rPr>
          <w:rFonts w:eastAsia="Arial"/>
          <w:b/>
          <w:bCs/>
          <w:sz w:val="36"/>
          <w:szCs w:val="36"/>
          <w:rtl/>
        </w:rPr>
        <w:t>البلدان الأفريقية والكاريبية الأكثر تأثراً باستنزاف أدمغة المخترعين</w:t>
      </w:r>
    </w:p>
    <w:p w:rsidR="00D63DEB" w:rsidRDefault="00D63DEB" w:rsidP="00A8557E">
      <w:pPr>
        <w:pStyle w:val="NormalParaAR"/>
      </w:pPr>
      <w:r>
        <w:rPr>
          <w:rFonts w:eastAsia="Arial"/>
          <w:rtl/>
        </w:rPr>
        <w:t xml:space="preserve">كما ذكر آنفاً، فإن نسبة المخترعين من ذوي السوابق في الهجرة بلغت </w:t>
      </w:r>
      <w:r w:rsidR="00666E38">
        <w:rPr>
          <w:rFonts w:eastAsia="Arial" w:hint="cs"/>
          <w:rtl/>
        </w:rPr>
        <w:t>7,46</w:t>
      </w:r>
      <w:r>
        <w:rPr>
          <w:rFonts w:eastAsia="Arial"/>
          <w:rtl/>
        </w:rPr>
        <w:t xml:space="preserve"> بالمائة من </w:t>
      </w:r>
      <w:r>
        <w:rPr>
          <w:rFonts w:eastAsia="Arial"/>
        </w:rPr>
        <w:t>1991</w:t>
      </w:r>
      <w:r>
        <w:rPr>
          <w:rFonts w:eastAsia="Arial"/>
          <w:rtl/>
        </w:rPr>
        <w:t xml:space="preserve"> إلى </w:t>
      </w:r>
      <w:r>
        <w:rPr>
          <w:rFonts w:eastAsia="Arial"/>
        </w:rPr>
        <w:t>2000</w:t>
      </w:r>
      <w:r>
        <w:rPr>
          <w:rFonts w:eastAsia="Arial"/>
          <w:rtl/>
        </w:rPr>
        <w:t>، و</w:t>
      </w:r>
      <w:r w:rsidR="00666E38">
        <w:rPr>
          <w:rFonts w:eastAsia="Arial" w:hint="cs"/>
          <w:rtl/>
        </w:rPr>
        <w:t>9</w:t>
      </w:r>
      <w:proofErr w:type="gramStart"/>
      <w:r w:rsidR="00666E38">
        <w:rPr>
          <w:rFonts w:eastAsia="Arial" w:hint="cs"/>
          <w:rtl/>
        </w:rPr>
        <w:t>,95</w:t>
      </w:r>
      <w:proofErr w:type="gramEnd"/>
      <w:r>
        <w:rPr>
          <w:rFonts w:eastAsia="Arial"/>
          <w:rtl/>
        </w:rPr>
        <w:t xml:space="preserve"> بالمائة من</w:t>
      </w:r>
      <w:r w:rsidR="00666E38">
        <w:rPr>
          <w:rFonts w:eastAsia="Arial" w:hint="cs"/>
          <w:rtl/>
        </w:rPr>
        <w:t> </w:t>
      </w:r>
      <w:r>
        <w:rPr>
          <w:rFonts w:eastAsia="Arial"/>
        </w:rPr>
        <w:t>2001</w:t>
      </w:r>
      <w:r>
        <w:rPr>
          <w:rFonts w:eastAsia="Arial"/>
          <w:rtl/>
        </w:rPr>
        <w:t xml:space="preserve"> إلى </w:t>
      </w:r>
      <w:r>
        <w:rPr>
          <w:rFonts w:eastAsia="Arial"/>
        </w:rPr>
        <w:t>2010</w:t>
      </w:r>
      <w:r>
        <w:rPr>
          <w:rFonts w:eastAsia="Arial"/>
          <w:rtl/>
        </w:rPr>
        <w:t>. ومع ذلك فإن معدل هجرة المخترعين النازحين من بلدان الدخل المرتفع خلال هاتين الفترتين لم تبلغ إلا</w:t>
      </w:r>
      <w:r w:rsidR="00666E38">
        <w:rPr>
          <w:rFonts w:eastAsia="Arial" w:hint="cs"/>
          <w:rtl/>
        </w:rPr>
        <w:t> 4,99</w:t>
      </w:r>
      <w:r>
        <w:rPr>
          <w:rFonts w:eastAsia="Arial"/>
          <w:rtl/>
        </w:rPr>
        <w:t xml:space="preserve"> بالمائة و</w:t>
      </w:r>
      <w:r w:rsidR="00666E38">
        <w:rPr>
          <w:rFonts w:eastAsia="Arial" w:hint="cs"/>
          <w:rtl/>
        </w:rPr>
        <w:t>5,92</w:t>
      </w:r>
      <w:r>
        <w:rPr>
          <w:rFonts w:eastAsia="Arial"/>
          <w:rtl/>
        </w:rPr>
        <w:t xml:space="preserve"> بالمائة على الترتيب. وكانت النسبة أعلى بكثير في حالة بلدان</w:t>
      </w:r>
      <w:r w:rsidR="00037CA7">
        <w:rPr>
          <w:rFonts w:hint="cs"/>
          <w:rtl/>
          <w:lang w:bidi="ar-EG"/>
        </w:rPr>
        <w:t xml:space="preserve"> </w:t>
      </w:r>
      <w:r>
        <w:rPr>
          <w:rFonts w:eastAsia="Arial"/>
          <w:rtl/>
        </w:rPr>
        <w:t xml:space="preserve">الدخل المنخفض والمتوسط الأدنى والمتوسط الأعلى، حيث بلغت </w:t>
      </w:r>
      <w:r w:rsidR="00A8557E">
        <w:rPr>
          <w:rFonts w:eastAsia="Arial" w:hint="cs"/>
          <w:rtl/>
        </w:rPr>
        <w:t>87</w:t>
      </w:r>
      <w:proofErr w:type="gramStart"/>
      <w:r w:rsidR="00A8557E">
        <w:rPr>
          <w:rFonts w:eastAsia="Arial" w:hint="cs"/>
          <w:rtl/>
        </w:rPr>
        <w:t>,56</w:t>
      </w:r>
      <w:proofErr w:type="gramEnd"/>
      <w:r>
        <w:rPr>
          <w:rFonts w:eastAsia="Arial"/>
          <w:rtl/>
        </w:rPr>
        <w:t xml:space="preserve"> </w:t>
      </w:r>
      <w:r w:rsidR="00A8557E">
        <w:rPr>
          <w:rFonts w:eastAsia="Arial" w:hint="cs"/>
          <w:rtl/>
        </w:rPr>
        <w:t xml:space="preserve">بالمائة </w:t>
      </w:r>
      <w:r>
        <w:rPr>
          <w:rFonts w:eastAsia="Arial"/>
          <w:rtl/>
        </w:rPr>
        <w:t>و</w:t>
      </w:r>
      <w:r w:rsidR="00A8557E">
        <w:rPr>
          <w:rFonts w:eastAsia="Arial" w:hint="cs"/>
          <w:rtl/>
        </w:rPr>
        <w:t>53,07</w:t>
      </w:r>
      <w:r>
        <w:rPr>
          <w:rFonts w:eastAsia="Arial"/>
          <w:rtl/>
        </w:rPr>
        <w:t xml:space="preserve"> بالمائة و</w:t>
      </w:r>
      <w:r w:rsidR="00A8557E">
        <w:rPr>
          <w:rFonts w:eastAsia="Arial" w:hint="cs"/>
          <w:rtl/>
        </w:rPr>
        <w:t>30,30</w:t>
      </w:r>
      <w:r>
        <w:rPr>
          <w:rFonts w:eastAsia="Arial"/>
          <w:rtl/>
        </w:rPr>
        <w:t xml:space="preserve"> بالمائة على الترتيب خلال الفترة </w:t>
      </w:r>
      <w:r>
        <w:rPr>
          <w:rFonts w:eastAsia="Arial"/>
        </w:rPr>
        <w:t>2001</w:t>
      </w:r>
      <w:r w:rsidR="00037CA7">
        <w:rPr>
          <w:rFonts w:eastAsia="Arial" w:hint="cs"/>
          <w:rtl/>
        </w:rPr>
        <w:t>-</w:t>
      </w:r>
      <w:r>
        <w:rPr>
          <w:rFonts w:eastAsia="Arial"/>
        </w:rPr>
        <w:t>2010</w:t>
      </w:r>
      <w:r>
        <w:rPr>
          <w:rFonts w:eastAsia="Arial"/>
          <w:rtl/>
        </w:rPr>
        <w:t>.</w:t>
      </w:r>
    </w:p>
    <w:p w:rsidR="00D63DEB" w:rsidRDefault="00D63DEB" w:rsidP="00037CA7">
      <w:pPr>
        <w:pStyle w:val="NormalParaAR"/>
      </w:pPr>
      <w:r>
        <w:rPr>
          <w:rFonts w:eastAsia="Arial"/>
          <w:rtl/>
        </w:rPr>
        <w:t xml:space="preserve">ويسفر حساب </w:t>
      </w:r>
      <w:proofErr w:type="gramStart"/>
      <w:r>
        <w:rPr>
          <w:rFonts w:eastAsia="Arial"/>
          <w:rtl/>
        </w:rPr>
        <w:t>معدلات</w:t>
      </w:r>
      <w:proofErr w:type="gramEnd"/>
      <w:r>
        <w:rPr>
          <w:rFonts w:eastAsia="Arial"/>
          <w:rtl/>
        </w:rPr>
        <w:t xml:space="preserve"> المخترعين المهاجرين المغادرين لكل قارة على حدة عن فروق كبيرة. وكما ي</w:t>
      </w:r>
      <w:r w:rsidR="00A9254B">
        <w:rPr>
          <w:rFonts w:eastAsia="Arial" w:hint="cs"/>
          <w:rtl/>
        </w:rPr>
        <w:t>ُ</w:t>
      </w:r>
      <w:r>
        <w:rPr>
          <w:rFonts w:eastAsia="Arial"/>
          <w:rtl/>
        </w:rPr>
        <w:t xml:space="preserve">توقع، وكما هو الشأن بالنسبة إلى خريجي الكليات، فإن منطقة أمريكا اللاتينية والكاريبي، ومنطقة أفريقيا إلى درجة أشد، تعانيان من أشد درجات استنزاف أدمغة المخترعين، بنسب تتراوح بين </w:t>
      </w:r>
      <w:r>
        <w:rPr>
          <w:rFonts w:eastAsia="Arial"/>
        </w:rPr>
        <w:t>32</w:t>
      </w:r>
      <w:r>
        <w:rPr>
          <w:rFonts w:eastAsia="Arial"/>
          <w:rtl/>
        </w:rPr>
        <w:t xml:space="preserve"> و</w:t>
      </w:r>
      <w:r>
        <w:rPr>
          <w:rFonts w:eastAsia="Arial"/>
        </w:rPr>
        <w:t>42</w:t>
      </w:r>
      <w:r>
        <w:rPr>
          <w:rFonts w:eastAsia="Arial"/>
          <w:rtl/>
        </w:rPr>
        <w:t xml:space="preserve"> بالمائة في كلتا الفترتين، بينما تتراوح معدلات الهجرة المغادرة في القارات الأخرى بين </w:t>
      </w:r>
      <w:r>
        <w:rPr>
          <w:rFonts w:eastAsia="Arial"/>
        </w:rPr>
        <w:t>10</w:t>
      </w:r>
      <w:r>
        <w:rPr>
          <w:rFonts w:eastAsia="Arial"/>
          <w:rtl/>
        </w:rPr>
        <w:t xml:space="preserve"> و</w:t>
      </w:r>
      <w:r>
        <w:rPr>
          <w:rFonts w:eastAsia="Arial"/>
        </w:rPr>
        <w:t>13</w:t>
      </w:r>
      <w:r>
        <w:rPr>
          <w:rFonts w:eastAsia="Arial"/>
          <w:rtl/>
        </w:rPr>
        <w:t xml:space="preserve"> بالمائة، باستثناء أمريكا الشمالية التي لا يزيد المعدل فيها عن </w:t>
      </w:r>
      <w:r>
        <w:rPr>
          <w:rFonts w:eastAsia="Arial"/>
        </w:rPr>
        <w:t>3</w:t>
      </w:r>
      <w:r>
        <w:rPr>
          <w:rFonts w:eastAsia="Arial"/>
          <w:rtl/>
        </w:rPr>
        <w:t xml:space="preserve"> بالمائة. </w:t>
      </w:r>
    </w:p>
    <w:p w:rsidR="00D63DEB" w:rsidRDefault="00D63DEB" w:rsidP="00A9254B">
      <w:pPr>
        <w:pStyle w:val="NormalParaAR"/>
      </w:pPr>
      <w:r>
        <w:rPr>
          <w:rFonts w:eastAsia="Arial"/>
          <w:rtl/>
        </w:rPr>
        <w:lastRenderedPageBreak/>
        <w:t>ويبين الشكل ه.</w:t>
      </w:r>
      <w:proofErr w:type="gramStart"/>
      <w:r>
        <w:rPr>
          <w:rFonts w:eastAsia="Arial"/>
        </w:rPr>
        <w:t>3</w:t>
      </w:r>
      <w:r>
        <w:rPr>
          <w:rFonts w:eastAsia="Arial"/>
          <w:rtl/>
        </w:rPr>
        <w:t xml:space="preserve"> معدلات الهجرة المغادرة - أو معدلات "استنزاف الأدمغة" - على خريطة للفترة </w:t>
      </w:r>
      <w:r>
        <w:rPr>
          <w:rFonts w:eastAsia="Arial"/>
        </w:rPr>
        <w:t>2001</w:t>
      </w:r>
      <w:r w:rsidR="00A9254B">
        <w:rPr>
          <w:rFonts w:eastAsia="Arial" w:hint="cs"/>
          <w:rtl/>
        </w:rPr>
        <w:t>-</w:t>
      </w:r>
      <w:r>
        <w:rPr>
          <w:rFonts w:eastAsia="Arial"/>
        </w:rPr>
        <w:t>2010</w:t>
      </w:r>
      <w:r>
        <w:rPr>
          <w:rFonts w:eastAsia="Arial"/>
          <w:rtl/>
        </w:rPr>
        <w:t>.</w:t>
      </w:r>
      <w:proofErr w:type="gramEnd"/>
      <w:r>
        <w:rPr>
          <w:rFonts w:eastAsia="Arial"/>
          <w:rtl/>
        </w:rPr>
        <w:t xml:space="preserve"> وتؤكد الخريطة على فكرة تأثر بلدان الدخل المنخفض والمتوسط وخاصة الاقتصادات الأفريقية إلى أشد درجة "باستنزاف أدمغة" المخترعين، غير أن بعض اقتصادات أمريكا اللاتينية وآسيا تعاني فيما يبدو من استنزاف أدمغة المخترعين كذلك.</w:t>
      </w:r>
    </w:p>
    <w:p w:rsidR="00D63DEB" w:rsidRPr="00A9254B" w:rsidRDefault="00D63DEB" w:rsidP="00A8557E">
      <w:pPr>
        <w:pStyle w:val="NormalParaAR"/>
        <w:jc w:val="center"/>
        <w:rPr>
          <w:b/>
          <w:bCs/>
        </w:rPr>
      </w:pPr>
      <w:r w:rsidRPr="00A9254B">
        <w:rPr>
          <w:rFonts w:eastAsia="Arial"/>
          <w:b/>
          <w:bCs/>
          <w:rtl/>
        </w:rPr>
        <w:t>الشكل ه.</w:t>
      </w:r>
      <w:r w:rsidRPr="00A9254B">
        <w:rPr>
          <w:rFonts w:eastAsia="Arial"/>
          <w:b/>
          <w:bCs/>
        </w:rPr>
        <w:t>3</w:t>
      </w:r>
      <w:r w:rsidRPr="00A9254B">
        <w:rPr>
          <w:rFonts w:eastAsia="Arial"/>
          <w:b/>
          <w:bCs/>
          <w:rtl/>
        </w:rPr>
        <w:t xml:space="preserve">: معدلات استنزاف الأدمغة، </w:t>
      </w:r>
      <w:r w:rsidRPr="00A9254B">
        <w:rPr>
          <w:rFonts w:eastAsia="Arial"/>
          <w:b/>
          <w:bCs/>
        </w:rPr>
        <w:t>2001</w:t>
      </w:r>
      <w:r w:rsidR="00D9530E">
        <w:rPr>
          <w:rFonts w:eastAsia="Arial" w:hint="cs"/>
          <w:b/>
          <w:bCs/>
          <w:rtl/>
        </w:rPr>
        <w:t>-</w:t>
      </w:r>
      <w:r w:rsidRPr="00A9254B">
        <w:rPr>
          <w:rFonts w:eastAsia="Arial"/>
          <w:b/>
          <w:bCs/>
        </w:rPr>
        <w:t>2010</w:t>
      </w:r>
    </w:p>
    <w:p w:rsidR="00D63DEB" w:rsidRPr="00306606" w:rsidRDefault="00D63DEB" w:rsidP="00A8557E">
      <w:pPr>
        <w:pStyle w:val="Text"/>
        <w:jc w:val="center"/>
      </w:pPr>
      <w:r>
        <w:rPr>
          <w:noProof/>
        </w:rPr>
        <w:drawing>
          <wp:inline distT="0" distB="0" distL="0" distR="0" wp14:anchorId="495C7E38" wp14:editId="7C631410">
            <wp:extent cx="5760720" cy="2263140"/>
            <wp:effectExtent l="19050" t="0" r="0" b="0"/>
            <wp:docPr id="8" name="Immagine 27" descr="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pping exercise"/>
                    <pic:cNvPicPr>
                      <a:picLocks noChangeAspect="1" noChangeArrowheads="1"/>
                    </pic:cNvPicPr>
                  </pic:nvPicPr>
                  <pic:blipFill>
                    <a:blip r:embed="rId12" cstate="print"/>
                    <a:srcRect t="23831" b="20576"/>
                    <a:stretch>
                      <a:fillRect/>
                    </a:stretch>
                  </pic:blipFill>
                  <pic:spPr bwMode="auto">
                    <a:xfrm>
                      <a:off x="0" y="0"/>
                      <a:ext cx="5760720" cy="2263140"/>
                    </a:xfrm>
                    <a:prstGeom prst="rect">
                      <a:avLst/>
                    </a:prstGeom>
                    <a:noFill/>
                    <a:ln w="9525">
                      <a:noFill/>
                      <a:miter lim="800000"/>
                      <a:headEnd/>
                      <a:tailEnd/>
                    </a:ln>
                  </pic:spPr>
                </pic:pic>
              </a:graphicData>
            </a:graphic>
          </wp:inline>
        </w:drawing>
      </w:r>
    </w:p>
    <w:p w:rsidR="00D63DEB" w:rsidRPr="00A8557E" w:rsidRDefault="00D63DEB" w:rsidP="00A8557E">
      <w:pPr>
        <w:pStyle w:val="Heading2AR"/>
        <w:spacing w:before="0"/>
        <w:rPr>
          <w:b/>
          <w:bCs/>
          <w:sz w:val="36"/>
          <w:szCs w:val="36"/>
        </w:rPr>
      </w:pPr>
      <w:r w:rsidRPr="00A8557E">
        <w:rPr>
          <w:rFonts w:eastAsia="Arial"/>
          <w:b/>
          <w:bCs/>
          <w:sz w:val="36"/>
          <w:szCs w:val="36"/>
          <w:rtl/>
        </w:rPr>
        <w:t xml:space="preserve">المخترعون المهاجرون المغادرون </w:t>
      </w:r>
      <w:proofErr w:type="gramStart"/>
      <w:r w:rsidRPr="00A8557E">
        <w:rPr>
          <w:rFonts w:eastAsia="Arial"/>
          <w:b/>
          <w:bCs/>
          <w:sz w:val="36"/>
          <w:szCs w:val="36"/>
          <w:rtl/>
        </w:rPr>
        <w:t>موزعون</w:t>
      </w:r>
      <w:proofErr w:type="gramEnd"/>
      <w:r w:rsidRPr="00A8557E">
        <w:rPr>
          <w:rFonts w:eastAsia="Arial"/>
          <w:b/>
          <w:bCs/>
          <w:sz w:val="36"/>
          <w:szCs w:val="36"/>
          <w:rtl/>
        </w:rPr>
        <w:t xml:space="preserve"> بشكل أكثر انتظاماً من المهاجرين الوافدين </w:t>
      </w:r>
    </w:p>
    <w:p w:rsidR="00D63DEB" w:rsidRDefault="00D63DEB" w:rsidP="00A9254B">
      <w:pPr>
        <w:pStyle w:val="NormalParaAR"/>
      </w:pPr>
      <w:proofErr w:type="gramStart"/>
      <w:r>
        <w:rPr>
          <w:rFonts w:eastAsia="Arial"/>
          <w:rtl/>
        </w:rPr>
        <w:t>على</w:t>
      </w:r>
      <w:proofErr w:type="gramEnd"/>
      <w:r>
        <w:rPr>
          <w:rFonts w:eastAsia="Arial"/>
          <w:rtl/>
        </w:rPr>
        <w:t xml:space="preserve"> العكس من معدلات المهاجرين المغادرين النسبية، تتفوق بلدان الدخل العالي من حيث الأعداد المطلقة للمخترعين المهاجرين المغادرين، باستثناء الصين والهند. </w:t>
      </w:r>
      <w:proofErr w:type="gramStart"/>
      <w:r>
        <w:rPr>
          <w:rFonts w:eastAsia="Arial"/>
          <w:rtl/>
        </w:rPr>
        <w:t>وقد</w:t>
      </w:r>
      <w:proofErr w:type="gramEnd"/>
      <w:r>
        <w:rPr>
          <w:rFonts w:eastAsia="Arial"/>
          <w:rtl/>
        </w:rPr>
        <w:t xml:space="preserve"> تصدرت المملكة المتحدة والصين وألمانيا والهند التصنيف من حيث إجمالي المهاجرين المغادرين في الفترة </w:t>
      </w:r>
      <w:r>
        <w:rPr>
          <w:rFonts w:eastAsia="Arial"/>
        </w:rPr>
        <w:t>1991</w:t>
      </w:r>
      <w:r w:rsidR="00A9254B">
        <w:rPr>
          <w:rFonts w:eastAsia="Arial" w:hint="cs"/>
          <w:rtl/>
        </w:rPr>
        <w:t>-</w:t>
      </w:r>
      <w:r>
        <w:rPr>
          <w:rFonts w:eastAsia="Arial"/>
        </w:rPr>
        <w:t>2000</w:t>
      </w:r>
      <w:r>
        <w:rPr>
          <w:rFonts w:eastAsia="Arial"/>
          <w:rtl/>
        </w:rPr>
        <w:t xml:space="preserve">. </w:t>
      </w:r>
      <w:proofErr w:type="gramStart"/>
      <w:r>
        <w:rPr>
          <w:rFonts w:eastAsia="Arial"/>
          <w:rtl/>
        </w:rPr>
        <w:t>وتصدرت</w:t>
      </w:r>
      <w:proofErr w:type="gramEnd"/>
      <w:r>
        <w:rPr>
          <w:rFonts w:eastAsia="Arial"/>
          <w:rtl/>
        </w:rPr>
        <w:t xml:space="preserve"> الصين والهند ذلك في الفترة </w:t>
      </w:r>
      <w:r>
        <w:rPr>
          <w:rFonts w:eastAsia="Arial"/>
        </w:rPr>
        <w:t>2001</w:t>
      </w:r>
      <w:r w:rsidR="00A9254B">
        <w:rPr>
          <w:rFonts w:eastAsia="Arial" w:hint="cs"/>
          <w:rtl/>
        </w:rPr>
        <w:t>-</w:t>
      </w:r>
      <w:r>
        <w:rPr>
          <w:rFonts w:eastAsia="Arial"/>
        </w:rPr>
        <w:t>2010</w:t>
      </w:r>
      <w:r>
        <w:rPr>
          <w:rFonts w:eastAsia="Arial"/>
          <w:rtl/>
        </w:rPr>
        <w:t xml:space="preserve">، ونُسب إليهما، ومعهما بعض أكبر البلدان الأوروبية، السواد الأعظم من المخترعين المهاجرين المغادرين. وتبين المقارنة بين أنماط الهجرة الوافدة والهجرة المغادرة أن هذه الأخيرة موزعة بشكل أكثر انتظاماً بين البلدان، حيث استقبلت الولايات المتحدة وحدها حوالي </w:t>
      </w:r>
      <w:r>
        <w:rPr>
          <w:rFonts w:eastAsia="Arial"/>
        </w:rPr>
        <w:t>57</w:t>
      </w:r>
      <w:r>
        <w:rPr>
          <w:rFonts w:eastAsia="Arial"/>
          <w:rtl/>
        </w:rPr>
        <w:t xml:space="preserve"> بالمائة من إجمالي المخترعين المهاجرين الوافدين خلال الفترة </w:t>
      </w:r>
      <w:r>
        <w:rPr>
          <w:rFonts w:eastAsia="Arial"/>
        </w:rPr>
        <w:t>2001</w:t>
      </w:r>
      <w:r w:rsidR="00A9254B">
        <w:rPr>
          <w:rFonts w:eastAsia="Arial" w:hint="cs"/>
          <w:rtl/>
        </w:rPr>
        <w:t>-</w:t>
      </w:r>
      <w:r>
        <w:rPr>
          <w:rFonts w:eastAsia="Arial"/>
        </w:rPr>
        <w:t>2010</w:t>
      </w:r>
      <w:r>
        <w:rPr>
          <w:rFonts w:eastAsia="Arial"/>
          <w:rtl/>
        </w:rPr>
        <w:t>، بينما نُسب إلى الستة بلدان المتصدرة لمنابع الهجرة المغادرة، وهي تعييناً الصين والهند وألمانيا والمملكة المتحدة وكندا وفرنسا</w:t>
      </w:r>
      <w:r w:rsidR="00A9254B">
        <w:rPr>
          <w:rFonts w:eastAsia="Arial" w:hint="cs"/>
          <w:rtl/>
        </w:rPr>
        <w:t>،</w:t>
      </w:r>
      <w:r>
        <w:rPr>
          <w:rFonts w:eastAsia="Arial"/>
          <w:rtl/>
        </w:rPr>
        <w:t xml:space="preserve"> </w:t>
      </w:r>
      <w:r>
        <w:rPr>
          <w:rFonts w:eastAsia="Arial"/>
        </w:rPr>
        <w:t>57</w:t>
      </w:r>
      <w:r>
        <w:rPr>
          <w:rFonts w:eastAsia="Arial"/>
          <w:rtl/>
        </w:rPr>
        <w:t xml:space="preserve"> بالمائة من جميع المخترعين المهاجرين المغادرين.</w:t>
      </w:r>
    </w:p>
    <w:p w:rsidR="00D63DEB" w:rsidRPr="00B738C6" w:rsidRDefault="00D63DEB" w:rsidP="00A8557E">
      <w:pPr>
        <w:pStyle w:val="NormalParaAR"/>
        <w:jc w:val="center"/>
        <w:rPr>
          <w:b/>
        </w:rPr>
      </w:pPr>
      <w:r>
        <w:rPr>
          <w:rFonts w:eastAsia="Arial"/>
          <w:b/>
          <w:bCs/>
          <w:rtl/>
        </w:rPr>
        <w:t>الجدول ه.</w:t>
      </w:r>
      <w:r>
        <w:rPr>
          <w:rFonts w:eastAsia="Arial"/>
          <w:b/>
          <w:bCs/>
        </w:rPr>
        <w:t>1</w:t>
      </w:r>
      <w:r>
        <w:rPr>
          <w:rFonts w:eastAsia="Arial"/>
          <w:b/>
          <w:bCs/>
          <w:rtl/>
        </w:rPr>
        <w:t>: نسبة المخترعين المهاجرين المغادرين إلى مجموع المهاجرين المغادرين، حسب البلد</w:t>
      </w:r>
    </w:p>
    <w:tbl>
      <w:tblPr>
        <w:bidiVisual/>
        <w:tblW w:w="0" w:type="auto"/>
        <w:jc w:val="center"/>
        <w:tblBorders>
          <w:top w:val="single" w:sz="12" w:space="0" w:color="auto"/>
          <w:bottom w:val="single" w:sz="12" w:space="0" w:color="auto"/>
        </w:tblBorders>
        <w:tblLook w:val="01E0" w:firstRow="1" w:lastRow="1" w:firstColumn="1" w:lastColumn="1" w:noHBand="0" w:noVBand="0"/>
      </w:tblPr>
      <w:tblGrid>
        <w:gridCol w:w="1394"/>
        <w:gridCol w:w="1695"/>
        <w:gridCol w:w="1543"/>
        <w:gridCol w:w="1416"/>
        <w:gridCol w:w="1530"/>
        <w:gridCol w:w="1688"/>
      </w:tblGrid>
      <w:tr w:rsidR="00D63DEB" w:rsidRPr="00A9254B" w:rsidTr="00A8557E">
        <w:trPr>
          <w:jc w:val="center"/>
        </w:trPr>
        <w:tc>
          <w:tcPr>
            <w:tcW w:w="4632" w:type="dxa"/>
            <w:gridSpan w:val="3"/>
            <w:tcBorders>
              <w:bottom w:val="single" w:sz="2" w:space="0" w:color="auto"/>
            </w:tcBorders>
            <w:shd w:val="clear" w:color="auto" w:fill="auto"/>
          </w:tcPr>
          <w:p w:rsidR="00D63DEB" w:rsidRPr="00A9254B" w:rsidRDefault="00D63DEB" w:rsidP="00A8557E">
            <w:pPr>
              <w:pStyle w:val="NormalParaAR"/>
              <w:spacing w:after="0" w:line="280" w:lineRule="exact"/>
              <w:jc w:val="center"/>
              <w:rPr>
                <w:sz w:val="32"/>
                <w:szCs w:val="32"/>
              </w:rPr>
            </w:pPr>
            <w:proofErr w:type="gramStart"/>
            <w:r w:rsidRPr="00A9254B">
              <w:rPr>
                <w:rFonts w:eastAsia="Arial"/>
                <w:sz w:val="32"/>
                <w:szCs w:val="32"/>
                <w:rtl/>
              </w:rPr>
              <w:t>إجمالي</w:t>
            </w:r>
            <w:proofErr w:type="gramEnd"/>
            <w:r w:rsidRPr="00A9254B">
              <w:rPr>
                <w:rFonts w:eastAsia="Arial"/>
                <w:sz w:val="32"/>
                <w:szCs w:val="32"/>
                <w:rtl/>
              </w:rPr>
              <w:t xml:space="preserve"> عدد المهاجرين المغادرين، </w:t>
            </w:r>
            <w:r w:rsidRPr="00A9254B">
              <w:rPr>
                <w:rFonts w:eastAsia="Arial"/>
                <w:sz w:val="32"/>
                <w:szCs w:val="32"/>
              </w:rPr>
              <w:t>1991</w:t>
            </w:r>
            <w:r w:rsidR="00A9254B">
              <w:rPr>
                <w:rFonts w:eastAsia="Arial" w:hint="cs"/>
                <w:sz w:val="32"/>
                <w:szCs w:val="32"/>
                <w:rtl/>
              </w:rPr>
              <w:t>-</w:t>
            </w:r>
            <w:r w:rsidRPr="00A9254B">
              <w:rPr>
                <w:rFonts w:eastAsia="Arial"/>
                <w:sz w:val="32"/>
                <w:szCs w:val="32"/>
              </w:rPr>
              <w:t>2000</w:t>
            </w:r>
          </w:p>
        </w:tc>
        <w:tc>
          <w:tcPr>
            <w:tcW w:w="4634" w:type="dxa"/>
            <w:gridSpan w:val="3"/>
            <w:tcBorders>
              <w:bottom w:val="single" w:sz="2" w:space="0" w:color="auto"/>
            </w:tcBorders>
            <w:shd w:val="clear" w:color="auto" w:fill="auto"/>
          </w:tcPr>
          <w:p w:rsidR="00D63DEB" w:rsidRPr="00A9254B" w:rsidRDefault="00D63DEB" w:rsidP="00A8557E">
            <w:pPr>
              <w:pStyle w:val="NormalParaAR"/>
              <w:spacing w:after="0" w:line="280" w:lineRule="exact"/>
              <w:jc w:val="center"/>
              <w:rPr>
                <w:sz w:val="32"/>
                <w:szCs w:val="32"/>
              </w:rPr>
            </w:pPr>
            <w:proofErr w:type="gramStart"/>
            <w:r w:rsidRPr="00A9254B">
              <w:rPr>
                <w:rFonts w:eastAsia="Arial"/>
                <w:sz w:val="32"/>
                <w:szCs w:val="32"/>
                <w:rtl/>
              </w:rPr>
              <w:t>إجمالي</w:t>
            </w:r>
            <w:proofErr w:type="gramEnd"/>
            <w:r w:rsidRPr="00A9254B">
              <w:rPr>
                <w:rFonts w:eastAsia="Arial"/>
                <w:sz w:val="32"/>
                <w:szCs w:val="32"/>
                <w:rtl/>
              </w:rPr>
              <w:t xml:space="preserve"> عدد المهاجرين المغادرين، </w:t>
            </w:r>
            <w:r w:rsidRPr="00A9254B">
              <w:rPr>
                <w:rFonts w:eastAsia="Arial"/>
                <w:sz w:val="32"/>
                <w:szCs w:val="32"/>
              </w:rPr>
              <w:t>2001</w:t>
            </w:r>
            <w:r w:rsidR="00A9254B">
              <w:rPr>
                <w:rFonts w:eastAsia="Arial" w:hint="cs"/>
                <w:sz w:val="32"/>
                <w:szCs w:val="32"/>
                <w:rtl/>
              </w:rPr>
              <w:t>-</w:t>
            </w:r>
            <w:r w:rsidRPr="00A9254B">
              <w:rPr>
                <w:rFonts w:eastAsia="Arial"/>
                <w:sz w:val="32"/>
                <w:szCs w:val="32"/>
              </w:rPr>
              <w:t>2010</w:t>
            </w:r>
          </w:p>
        </w:tc>
      </w:tr>
      <w:tr w:rsidR="00D63DEB" w:rsidRPr="00A9254B" w:rsidTr="00A8557E">
        <w:trPr>
          <w:jc w:val="center"/>
        </w:trPr>
        <w:tc>
          <w:tcPr>
            <w:tcW w:w="1394" w:type="dxa"/>
            <w:tcBorders>
              <w:top w:val="single" w:sz="2" w:space="0" w:color="auto"/>
              <w:bottom w:val="single" w:sz="2" w:space="0" w:color="auto"/>
            </w:tcBorders>
            <w:shd w:val="clear" w:color="auto" w:fill="auto"/>
            <w:vAlign w:val="center"/>
          </w:tcPr>
          <w:p w:rsidR="00D63DEB" w:rsidRPr="00A9254B" w:rsidRDefault="00D63DEB" w:rsidP="00A8557E">
            <w:pPr>
              <w:pStyle w:val="NormalParaAR"/>
              <w:spacing w:after="0" w:line="280" w:lineRule="exact"/>
              <w:rPr>
                <w:sz w:val="32"/>
                <w:szCs w:val="32"/>
              </w:rPr>
            </w:pPr>
            <w:r w:rsidRPr="00A9254B">
              <w:rPr>
                <w:rFonts w:eastAsia="Arial"/>
                <w:sz w:val="32"/>
                <w:szCs w:val="32"/>
                <w:rtl/>
              </w:rPr>
              <w:t>البلد</w:t>
            </w:r>
          </w:p>
        </w:tc>
        <w:tc>
          <w:tcPr>
            <w:tcW w:w="1695" w:type="dxa"/>
            <w:tcBorders>
              <w:top w:val="single" w:sz="2" w:space="0" w:color="auto"/>
              <w:bottom w:val="single" w:sz="2" w:space="0" w:color="auto"/>
            </w:tcBorders>
            <w:shd w:val="clear" w:color="auto" w:fill="auto"/>
            <w:vAlign w:val="center"/>
          </w:tcPr>
          <w:p w:rsidR="00D63DEB" w:rsidRPr="00A9254B" w:rsidRDefault="00D63DEB" w:rsidP="00A8557E">
            <w:pPr>
              <w:pStyle w:val="NormalParaAR"/>
              <w:spacing w:after="0" w:line="280" w:lineRule="exact"/>
              <w:rPr>
                <w:sz w:val="32"/>
                <w:szCs w:val="32"/>
              </w:rPr>
            </w:pPr>
            <w:proofErr w:type="gramStart"/>
            <w:r w:rsidRPr="00A9254B">
              <w:rPr>
                <w:rFonts w:eastAsia="Arial"/>
                <w:sz w:val="32"/>
                <w:szCs w:val="32"/>
                <w:rtl/>
              </w:rPr>
              <w:t>المهاجر</w:t>
            </w:r>
            <w:r w:rsidR="003E21F7">
              <w:rPr>
                <w:rFonts w:eastAsia="Arial" w:hint="cs"/>
                <w:sz w:val="32"/>
                <w:szCs w:val="32"/>
                <w:rtl/>
              </w:rPr>
              <w:t>و</w:t>
            </w:r>
            <w:r w:rsidRPr="00A9254B">
              <w:rPr>
                <w:rFonts w:eastAsia="Arial"/>
                <w:sz w:val="32"/>
                <w:szCs w:val="32"/>
                <w:rtl/>
              </w:rPr>
              <w:t>ن</w:t>
            </w:r>
            <w:proofErr w:type="gramEnd"/>
            <w:r w:rsidRPr="00A9254B">
              <w:rPr>
                <w:rFonts w:eastAsia="Arial"/>
                <w:sz w:val="32"/>
                <w:szCs w:val="32"/>
                <w:rtl/>
              </w:rPr>
              <w:t xml:space="preserve"> المغادر</w:t>
            </w:r>
            <w:r w:rsidR="003E21F7">
              <w:rPr>
                <w:rFonts w:eastAsia="Arial" w:hint="cs"/>
                <w:sz w:val="32"/>
                <w:szCs w:val="32"/>
                <w:rtl/>
              </w:rPr>
              <w:t>و</w:t>
            </w:r>
            <w:r w:rsidRPr="00A9254B">
              <w:rPr>
                <w:rFonts w:eastAsia="Arial"/>
                <w:sz w:val="32"/>
                <w:szCs w:val="32"/>
                <w:rtl/>
              </w:rPr>
              <w:t>ن</w:t>
            </w:r>
          </w:p>
        </w:tc>
        <w:tc>
          <w:tcPr>
            <w:tcW w:w="1543" w:type="dxa"/>
            <w:tcBorders>
              <w:top w:val="single" w:sz="2" w:space="0" w:color="auto"/>
              <w:bottom w:val="single" w:sz="2" w:space="0" w:color="auto"/>
            </w:tcBorders>
            <w:shd w:val="clear" w:color="auto" w:fill="auto"/>
            <w:vAlign w:val="center"/>
          </w:tcPr>
          <w:p w:rsidR="00D63DEB" w:rsidRPr="00A9254B" w:rsidRDefault="00D63DEB" w:rsidP="00A8557E">
            <w:pPr>
              <w:pStyle w:val="NormalParaAR"/>
              <w:spacing w:after="0" w:line="280" w:lineRule="exact"/>
              <w:rPr>
                <w:sz w:val="32"/>
                <w:szCs w:val="32"/>
              </w:rPr>
            </w:pPr>
            <w:r w:rsidRPr="00A9254B">
              <w:rPr>
                <w:rFonts w:eastAsia="Arial"/>
                <w:sz w:val="32"/>
                <w:szCs w:val="32"/>
                <w:rtl/>
              </w:rPr>
              <w:t xml:space="preserve">النسبة إلى إجمالي المهاجرين </w:t>
            </w:r>
            <w:proofErr w:type="gramStart"/>
            <w:r w:rsidRPr="00A9254B">
              <w:rPr>
                <w:rFonts w:eastAsia="Arial"/>
                <w:sz w:val="32"/>
                <w:szCs w:val="32"/>
                <w:rtl/>
              </w:rPr>
              <w:t>المغادرين</w:t>
            </w:r>
            <w:proofErr w:type="gramEnd"/>
          </w:p>
        </w:tc>
        <w:tc>
          <w:tcPr>
            <w:tcW w:w="1416" w:type="dxa"/>
            <w:tcBorders>
              <w:top w:val="single" w:sz="2" w:space="0" w:color="auto"/>
              <w:bottom w:val="single" w:sz="2" w:space="0" w:color="auto"/>
            </w:tcBorders>
            <w:shd w:val="clear" w:color="auto" w:fill="auto"/>
            <w:vAlign w:val="center"/>
          </w:tcPr>
          <w:p w:rsidR="00D63DEB" w:rsidRPr="00A9254B" w:rsidRDefault="00D63DEB" w:rsidP="00A8557E">
            <w:pPr>
              <w:pStyle w:val="NormalParaAR"/>
              <w:spacing w:after="0" w:line="280" w:lineRule="exact"/>
              <w:rPr>
                <w:sz w:val="32"/>
                <w:szCs w:val="32"/>
              </w:rPr>
            </w:pPr>
            <w:r w:rsidRPr="00A9254B">
              <w:rPr>
                <w:rFonts w:eastAsia="Arial"/>
                <w:sz w:val="32"/>
                <w:szCs w:val="32"/>
                <w:rtl/>
              </w:rPr>
              <w:t>البلد</w:t>
            </w:r>
          </w:p>
        </w:tc>
        <w:tc>
          <w:tcPr>
            <w:tcW w:w="1530" w:type="dxa"/>
            <w:tcBorders>
              <w:top w:val="single" w:sz="2" w:space="0" w:color="auto"/>
              <w:bottom w:val="single" w:sz="2" w:space="0" w:color="auto"/>
            </w:tcBorders>
            <w:shd w:val="clear" w:color="auto" w:fill="auto"/>
            <w:vAlign w:val="center"/>
          </w:tcPr>
          <w:p w:rsidR="00D63DEB" w:rsidRPr="00A9254B" w:rsidRDefault="003E21F7" w:rsidP="00A8557E">
            <w:pPr>
              <w:pStyle w:val="NormalParaAR"/>
              <w:spacing w:after="0" w:line="280" w:lineRule="exact"/>
              <w:rPr>
                <w:sz w:val="32"/>
                <w:szCs w:val="32"/>
              </w:rPr>
            </w:pPr>
            <w:proofErr w:type="gramStart"/>
            <w:r w:rsidRPr="00A9254B">
              <w:rPr>
                <w:rFonts w:eastAsia="Arial"/>
                <w:sz w:val="32"/>
                <w:szCs w:val="32"/>
                <w:rtl/>
              </w:rPr>
              <w:t>المهاجر</w:t>
            </w:r>
            <w:r>
              <w:rPr>
                <w:rFonts w:eastAsia="Arial" w:hint="cs"/>
                <w:sz w:val="32"/>
                <w:szCs w:val="32"/>
                <w:rtl/>
              </w:rPr>
              <w:t>و</w:t>
            </w:r>
            <w:r w:rsidRPr="00A9254B">
              <w:rPr>
                <w:rFonts w:eastAsia="Arial"/>
                <w:sz w:val="32"/>
                <w:szCs w:val="32"/>
                <w:rtl/>
              </w:rPr>
              <w:t>ن</w:t>
            </w:r>
            <w:proofErr w:type="gramEnd"/>
            <w:r w:rsidRPr="00A9254B">
              <w:rPr>
                <w:rFonts w:eastAsia="Arial"/>
                <w:sz w:val="32"/>
                <w:szCs w:val="32"/>
                <w:rtl/>
              </w:rPr>
              <w:t xml:space="preserve"> المغادر</w:t>
            </w:r>
            <w:r>
              <w:rPr>
                <w:rFonts w:eastAsia="Arial" w:hint="cs"/>
                <w:sz w:val="32"/>
                <w:szCs w:val="32"/>
                <w:rtl/>
              </w:rPr>
              <w:t>و</w:t>
            </w:r>
            <w:r w:rsidRPr="00A9254B">
              <w:rPr>
                <w:rFonts w:eastAsia="Arial"/>
                <w:sz w:val="32"/>
                <w:szCs w:val="32"/>
                <w:rtl/>
              </w:rPr>
              <w:t>ن</w:t>
            </w:r>
          </w:p>
        </w:tc>
        <w:tc>
          <w:tcPr>
            <w:tcW w:w="1688" w:type="dxa"/>
            <w:tcBorders>
              <w:top w:val="single" w:sz="2" w:space="0" w:color="auto"/>
              <w:bottom w:val="single" w:sz="2" w:space="0" w:color="auto"/>
            </w:tcBorders>
            <w:shd w:val="clear" w:color="auto" w:fill="auto"/>
            <w:vAlign w:val="center"/>
          </w:tcPr>
          <w:p w:rsidR="00D63DEB" w:rsidRPr="00A9254B" w:rsidRDefault="00D63DEB" w:rsidP="00A8557E">
            <w:pPr>
              <w:pStyle w:val="NormalParaAR"/>
              <w:spacing w:after="0" w:line="280" w:lineRule="exact"/>
              <w:rPr>
                <w:sz w:val="32"/>
                <w:szCs w:val="32"/>
              </w:rPr>
            </w:pPr>
            <w:r w:rsidRPr="00A9254B">
              <w:rPr>
                <w:rFonts w:eastAsia="Arial"/>
                <w:sz w:val="32"/>
                <w:szCs w:val="32"/>
                <w:rtl/>
              </w:rPr>
              <w:t xml:space="preserve">النسبة إلى إجمالي المهاجرين </w:t>
            </w:r>
            <w:proofErr w:type="gramStart"/>
            <w:r w:rsidRPr="00A9254B">
              <w:rPr>
                <w:rFonts w:eastAsia="Arial"/>
                <w:sz w:val="32"/>
                <w:szCs w:val="32"/>
                <w:rtl/>
              </w:rPr>
              <w:t>المغادرين</w:t>
            </w:r>
            <w:proofErr w:type="gramEnd"/>
          </w:p>
        </w:tc>
      </w:tr>
      <w:tr w:rsidR="00D63DEB" w:rsidRPr="00A9254B" w:rsidTr="00A8557E">
        <w:trPr>
          <w:jc w:val="center"/>
        </w:trPr>
        <w:tc>
          <w:tcPr>
            <w:tcW w:w="1394" w:type="dxa"/>
            <w:tcBorders>
              <w:top w:val="single" w:sz="2" w:space="0" w:color="auto"/>
            </w:tcBorders>
            <w:shd w:val="clear" w:color="auto" w:fill="auto"/>
            <w:vAlign w:val="bottom"/>
          </w:tcPr>
          <w:p w:rsidR="00D63DEB" w:rsidRPr="00A9254B" w:rsidRDefault="00D63DEB" w:rsidP="00A8557E">
            <w:pPr>
              <w:pStyle w:val="NormalParaAR"/>
              <w:spacing w:after="0" w:line="280" w:lineRule="exact"/>
              <w:rPr>
                <w:color w:val="000000"/>
                <w:sz w:val="32"/>
                <w:szCs w:val="32"/>
              </w:rPr>
            </w:pPr>
            <w:proofErr w:type="gramStart"/>
            <w:r w:rsidRPr="00A9254B">
              <w:rPr>
                <w:rFonts w:eastAsia="Arial"/>
                <w:color w:val="000000"/>
                <w:sz w:val="32"/>
                <w:szCs w:val="32"/>
                <w:rtl/>
              </w:rPr>
              <w:t>المملكة</w:t>
            </w:r>
            <w:proofErr w:type="gramEnd"/>
            <w:r w:rsidRPr="00A9254B">
              <w:rPr>
                <w:rFonts w:eastAsia="Arial"/>
                <w:color w:val="000000"/>
                <w:sz w:val="32"/>
                <w:szCs w:val="32"/>
                <w:rtl/>
              </w:rPr>
              <w:t xml:space="preserve"> المتحدة</w:t>
            </w:r>
          </w:p>
        </w:tc>
        <w:tc>
          <w:tcPr>
            <w:tcW w:w="1695" w:type="dxa"/>
            <w:tcBorders>
              <w:top w:val="single" w:sz="2" w:space="0" w:color="auto"/>
            </w:tcBorders>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8,930</w:t>
            </w:r>
          </w:p>
        </w:tc>
        <w:tc>
          <w:tcPr>
            <w:tcW w:w="1543" w:type="dxa"/>
            <w:tcBorders>
              <w:top w:val="single" w:sz="2" w:space="0" w:color="auto"/>
            </w:tcBorders>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13.11</w:t>
            </w:r>
          </w:p>
        </w:tc>
        <w:tc>
          <w:tcPr>
            <w:tcW w:w="1416" w:type="dxa"/>
            <w:tcBorders>
              <w:top w:val="single" w:sz="2" w:space="0" w:color="auto"/>
            </w:tcBorders>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tl/>
              </w:rPr>
              <w:t>الصين</w:t>
            </w:r>
          </w:p>
        </w:tc>
        <w:tc>
          <w:tcPr>
            <w:tcW w:w="1530" w:type="dxa"/>
            <w:tcBorders>
              <w:top w:val="single" w:sz="2" w:space="0" w:color="auto"/>
            </w:tcBorders>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53,610</w:t>
            </w:r>
          </w:p>
        </w:tc>
        <w:tc>
          <w:tcPr>
            <w:tcW w:w="1688" w:type="dxa"/>
            <w:tcBorders>
              <w:top w:val="single" w:sz="2" w:space="0" w:color="auto"/>
            </w:tcBorders>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15.75</w:t>
            </w:r>
          </w:p>
        </w:tc>
      </w:tr>
      <w:tr w:rsidR="00D63DEB" w:rsidRPr="00A9254B" w:rsidTr="00A8557E">
        <w:trPr>
          <w:jc w:val="center"/>
        </w:trPr>
        <w:tc>
          <w:tcPr>
            <w:tcW w:w="1394"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tl/>
              </w:rPr>
              <w:t>الصين</w:t>
            </w:r>
          </w:p>
        </w:tc>
        <w:tc>
          <w:tcPr>
            <w:tcW w:w="1695"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8,206</w:t>
            </w:r>
          </w:p>
        </w:tc>
        <w:tc>
          <w:tcPr>
            <w:tcW w:w="1543"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12.05</w:t>
            </w:r>
          </w:p>
        </w:tc>
        <w:tc>
          <w:tcPr>
            <w:tcW w:w="1416"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tl/>
              </w:rPr>
              <w:t>الهند</w:t>
            </w:r>
          </w:p>
        </w:tc>
        <w:tc>
          <w:tcPr>
            <w:tcW w:w="1530"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40,097</w:t>
            </w:r>
          </w:p>
        </w:tc>
        <w:tc>
          <w:tcPr>
            <w:tcW w:w="1688"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11.78</w:t>
            </w:r>
          </w:p>
        </w:tc>
      </w:tr>
      <w:tr w:rsidR="00D63DEB" w:rsidRPr="00A9254B" w:rsidTr="00A8557E">
        <w:trPr>
          <w:jc w:val="center"/>
        </w:trPr>
        <w:tc>
          <w:tcPr>
            <w:tcW w:w="1394"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tl/>
              </w:rPr>
              <w:t>ألمانيا</w:t>
            </w:r>
          </w:p>
        </w:tc>
        <w:tc>
          <w:tcPr>
            <w:tcW w:w="1695"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7,216</w:t>
            </w:r>
          </w:p>
        </w:tc>
        <w:tc>
          <w:tcPr>
            <w:tcW w:w="1543"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10.60</w:t>
            </w:r>
          </w:p>
        </w:tc>
        <w:tc>
          <w:tcPr>
            <w:tcW w:w="1416"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tl/>
              </w:rPr>
              <w:t>ألمانيا</w:t>
            </w:r>
          </w:p>
        </w:tc>
        <w:tc>
          <w:tcPr>
            <w:tcW w:w="1530"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32,158</w:t>
            </w:r>
          </w:p>
        </w:tc>
        <w:tc>
          <w:tcPr>
            <w:tcW w:w="1688"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9.45</w:t>
            </w:r>
          </w:p>
        </w:tc>
      </w:tr>
      <w:tr w:rsidR="00D63DEB" w:rsidRPr="00A9254B" w:rsidTr="00A8557E">
        <w:trPr>
          <w:jc w:val="center"/>
        </w:trPr>
        <w:tc>
          <w:tcPr>
            <w:tcW w:w="1394"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tl/>
              </w:rPr>
              <w:t>الهند</w:t>
            </w:r>
          </w:p>
        </w:tc>
        <w:tc>
          <w:tcPr>
            <w:tcW w:w="1695"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5,193</w:t>
            </w:r>
          </w:p>
        </w:tc>
        <w:tc>
          <w:tcPr>
            <w:tcW w:w="1543"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7.63</w:t>
            </w:r>
          </w:p>
        </w:tc>
        <w:tc>
          <w:tcPr>
            <w:tcW w:w="1416" w:type="dxa"/>
            <w:shd w:val="clear" w:color="auto" w:fill="auto"/>
            <w:vAlign w:val="bottom"/>
          </w:tcPr>
          <w:p w:rsidR="00D63DEB" w:rsidRPr="00A9254B" w:rsidRDefault="00D63DEB" w:rsidP="00A8557E">
            <w:pPr>
              <w:pStyle w:val="NormalParaAR"/>
              <w:spacing w:after="0" w:line="280" w:lineRule="exact"/>
              <w:rPr>
                <w:color w:val="000000"/>
                <w:sz w:val="32"/>
                <w:szCs w:val="32"/>
              </w:rPr>
            </w:pPr>
            <w:proofErr w:type="gramStart"/>
            <w:r w:rsidRPr="00A9254B">
              <w:rPr>
                <w:rFonts w:eastAsia="Arial"/>
                <w:color w:val="000000"/>
                <w:sz w:val="32"/>
                <w:szCs w:val="32"/>
                <w:rtl/>
              </w:rPr>
              <w:t>المملكة</w:t>
            </w:r>
            <w:proofErr w:type="gramEnd"/>
            <w:r w:rsidRPr="00A9254B">
              <w:rPr>
                <w:rFonts w:eastAsia="Arial"/>
                <w:color w:val="000000"/>
                <w:sz w:val="32"/>
                <w:szCs w:val="32"/>
                <w:rtl/>
              </w:rPr>
              <w:t xml:space="preserve"> المتحدة</w:t>
            </w:r>
          </w:p>
        </w:tc>
        <w:tc>
          <w:tcPr>
            <w:tcW w:w="1530"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27,746</w:t>
            </w:r>
          </w:p>
        </w:tc>
        <w:tc>
          <w:tcPr>
            <w:tcW w:w="1688"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8.15</w:t>
            </w:r>
          </w:p>
        </w:tc>
      </w:tr>
      <w:tr w:rsidR="00D63DEB" w:rsidRPr="00A9254B" w:rsidTr="00A8557E">
        <w:trPr>
          <w:jc w:val="center"/>
        </w:trPr>
        <w:tc>
          <w:tcPr>
            <w:tcW w:w="1394"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tl/>
              </w:rPr>
              <w:t>فرنسا</w:t>
            </w:r>
          </w:p>
        </w:tc>
        <w:tc>
          <w:tcPr>
            <w:tcW w:w="1695"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3,350</w:t>
            </w:r>
          </w:p>
        </w:tc>
        <w:tc>
          <w:tcPr>
            <w:tcW w:w="1543"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4.92</w:t>
            </w:r>
          </w:p>
        </w:tc>
        <w:tc>
          <w:tcPr>
            <w:tcW w:w="1416"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tl/>
              </w:rPr>
              <w:t>كندا</w:t>
            </w:r>
          </w:p>
        </w:tc>
        <w:tc>
          <w:tcPr>
            <w:tcW w:w="1530"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21,315</w:t>
            </w:r>
          </w:p>
        </w:tc>
        <w:tc>
          <w:tcPr>
            <w:tcW w:w="1688"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6.26</w:t>
            </w:r>
          </w:p>
        </w:tc>
      </w:tr>
      <w:tr w:rsidR="00D63DEB" w:rsidRPr="00A9254B" w:rsidTr="00A8557E">
        <w:trPr>
          <w:jc w:val="center"/>
        </w:trPr>
        <w:tc>
          <w:tcPr>
            <w:tcW w:w="1394"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tl/>
              </w:rPr>
              <w:t>كندا</w:t>
            </w:r>
          </w:p>
        </w:tc>
        <w:tc>
          <w:tcPr>
            <w:tcW w:w="1695"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3,286</w:t>
            </w:r>
          </w:p>
        </w:tc>
        <w:tc>
          <w:tcPr>
            <w:tcW w:w="1543"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4.83</w:t>
            </w:r>
          </w:p>
        </w:tc>
        <w:tc>
          <w:tcPr>
            <w:tcW w:w="1416"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tl/>
              </w:rPr>
              <w:t>فرنسا</w:t>
            </w:r>
          </w:p>
        </w:tc>
        <w:tc>
          <w:tcPr>
            <w:tcW w:w="1530"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19,123</w:t>
            </w:r>
          </w:p>
        </w:tc>
        <w:tc>
          <w:tcPr>
            <w:tcW w:w="1688"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5.62</w:t>
            </w:r>
          </w:p>
        </w:tc>
      </w:tr>
      <w:tr w:rsidR="00D63DEB" w:rsidRPr="00A9254B" w:rsidTr="00A8557E">
        <w:trPr>
          <w:jc w:val="center"/>
        </w:trPr>
        <w:tc>
          <w:tcPr>
            <w:tcW w:w="1394" w:type="dxa"/>
            <w:shd w:val="clear" w:color="auto" w:fill="auto"/>
            <w:vAlign w:val="bottom"/>
          </w:tcPr>
          <w:p w:rsidR="00D63DEB" w:rsidRPr="00A9254B" w:rsidRDefault="00D63DEB" w:rsidP="00A8557E">
            <w:pPr>
              <w:pStyle w:val="NormalParaAR"/>
              <w:spacing w:after="0" w:line="280" w:lineRule="exact"/>
              <w:rPr>
                <w:color w:val="000000"/>
                <w:sz w:val="32"/>
                <w:szCs w:val="32"/>
              </w:rPr>
            </w:pPr>
            <w:proofErr w:type="gramStart"/>
            <w:r w:rsidRPr="00A9254B">
              <w:rPr>
                <w:rFonts w:eastAsia="Arial"/>
                <w:color w:val="000000"/>
                <w:sz w:val="32"/>
                <w:szCs w:val="32"/>
                <w:rtl/>
              </w:rPr>
              <w:t>الولايات</w:t>
            </w:r>
            <w:proofErr w:type="gramEnd"/>
            <w:r w:rsidRPr="00A9254B">
              <w:rPr>
                <w:rFonts w:eastAsia="Arial"/>
                <w:color w:val="000000"/>
                <w:sz w:val="32"/>
                <w:szCs w:val="32"/>
                <w:rtl/>
              </w:rPr>
              <w:t xml:space="preserve"> المتحدة</w:t>
            </w:r>
          </w:p>
        </w:tc>
        <w:tc>
          <w:tcPr>
            <w:tcW w:w="1695"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3,205</w:t>
            </w:r>
          </w:p>
        </w:tc>
        <w:tc>
          <w:tcPr>
            <w:tcW w:w="1543"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4.71</w:t>
            </w:r>
          </w:p>
        </w:tc>
        <w:tc>
          <w:tcPr>
            <w:tcW w:w="1416" w:type="dxa"/>
            <w:shd w:val="clear" w:color="auto" w:fill="auto"/>
            <w:vAlign w:val="bottom"/>
          </w:tcPr>
          <w:p w:rsidR="00D63DEB" w:rsidRPr="00A9254B" w:rsidRDefault="00D63DEB" w:rsidP="00A8557E">
            <w:pPr>
              <w:pStyle w:val="NormalParaAR"/>
              <w:spacing w:after="0" w:line="280" w:lineRule="exact"/>
              <w:rPr>
                <w:color w:val="000000"/>
                <w:sz w:val="32"/>
                <w:szCs w:val="32"/>
              </w:rPr>
            </w:pPr>
            <w:proofErr w:type="gramStart"/>
            <w:r w:rsidRPr="00A9254B">
              <w:rPr>
                <w:rFonts w:eastAsia="Arial"/>
                <w:color w:val="000000"/>
                <w:sz w:val="32"/>
                <w:szCs w:val="32"/>
                <w:rtl/>
              </w:rPr>
              <w:t>الولايات</w:t>
            </w:r>
            <w:proofErr w:type="gramEnd"/>
            <w:r w:rsidRPr="00A9254B">
              <w:rPr>
                <w:rFonts w:eastAsia="Arial"/>
                <w:color w:val="000000"/>
                <w:sz w:val="32"/>
                <w:szCs w:val="32"/>
                <w:rtl/>
              </w:rPr>
              <w:t xml:space="preserve"> المتحدة</w:t>
            </w:r>
          </w:p>
        </w:tc>
        <w:tc>
          <w:tcPr>
            <w:tcW w:w="1530"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11,131</w:t>
            </w:r>
          </w:p>
        </w:tc>
        <w:tc>
          <w:tcPr>
            <w:tcW w:w="1688"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3.27</w:t>
            </w:r>
          </w:p>
        </w:tc>
      </w:tr>
      <w:tr w:rsidR="00D63DEB" w:rsidRPr="00A9254B" w:rsidTr="00A8557E">
        <w:trPr>
          <w:jc w:val="center"/>
        </w:trPr>
        <w:tc>
          <w:tcPr>
            <w:tcW w:w="1394"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tl/>
              </w:rPr>
              <w:t>إيطاليا</w:t>
            </w:r>
          </w:p>
        </w:tc>
        <w:tc>
          <w:tcPr>
            <w:tcW w:w="1695"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2,068</w:t>
            </w:r>
          </w:p>
        </w:tc>
        <w:tc>
          <w:tcPr>
            <w:tcW w:w="1543"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3.04</w:t>
            </w:r>
          </w:p>
        </w:tc>
        <w:tc>
          <w:tcPr>
            <w:tcW w:w="1416"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tl/>
              </w:rPr>
              <w:t>إيطاليا</w:t>
            </w:r>
          </w:p>
        </w:tc>
        <w:tc>
          <w:tcPr>
            <w:tcW w:w="1530"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9,820</w:t>
            </w:r>
          </w:p>
        </w:tc>
        <w:tc>
          <w:tcPr>
            <w:tcW w:w="1688"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2.88</w:t>
            </w:r>
          </w:p>
        </w:tc>
      </w:tr>
      <w:tr w:rsidR="00D63DEB" w:rsidRPr="00A9254B" w:rsidTr="00A8557E">
        <w:trPr>
          <w:jc w:val="center"/>
        </w:trPr>
        <w:tc>
          <w:tcPr>
            <w:tcW w:w="1394"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tl/>
              </w:rPr>
              <w:t>النمسا</w:t>
            </w:r>
          </w:p>
        </w:tc>
        <w:tc>
          <w:tcPr>
            <w:tcW w:w="1695"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1,993</w:t>
            </w:r>
          </w:p>
        </w:tc>
        <w:tc>
          <w:tcPr>
            <w:tcW w:w="1543"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2.93</w:t>
            </w:r>
          </w:p>
        </w:tc>
        <w:tc>
          <w:tcPr>
            <w:tcW w:w="1416"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tl/>
              </w:rPr>
              <w:t>هولندا</w:t>
            </w:r>
          </w:p>
        </w:tc>
        <w:tc>
          <w:tcPr>
            <w:tcW w:w="1530"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9,132</w:t>
            </w:r>
          </w:p>
        </w:tc>
        <w:tc>
          <w:tcPr>
            <w:tcW w:w="1688"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2.68</w:t>
            </w:r>
          </w:p>
        </w:tc>
      </w:tr>
      <w:tr w:rsidR="00D63DEB" w:rsidRPr="00A9254B" w:rsidTr="00A8557E">
        <w:trPr>
          <w:jc w:val="center"/>
        </w:trPr>
        <w:tc>
          <w:tcPr>
            <w:tcW w:w="1394"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tl/>
              </w:rPr>
              <w:t>هولندا</w:t>
            </w:r>
          </w:p>
        </w:tc>
        <w:tc>
          <w:tcPr>
            <w:tcW w:w="1695"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1,986</w:t>
            </w:r>
          </w:p>
        </w:tc>
        <w:tc>
          <w:tcPr>
            <w:tcW w:w="1543"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2.92</w:t>
            </w:r>
          </w:p>
        </w:tc>
        <w:tc>
          <w:tcPr>
            <w:tcW w:w="1416"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tl/>
              </w:rPr>
              <w:t>كوريا</w:t>
            </w:r>
          </w:p>
        </w:tc>
        <w:tc>
          <w:tcPr>
            <w:tcW w:w="1530"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9,127</w:t>
            </w:r>
          </w:p>
        </w:tc>
        <w:tc>
          <w:tcPr>
            <w:tcW w:w="1688" w:type="dxa"/>
            <w:shd w:val="clear" w:color="auto" w:fill="auto"/>
            <w:vAlign w:val="bottom"/>
          </w:tcPr>
          <w:p w:rsidR="00D63DEB" w:rsidRPr="00A9254B" w:rsidRDefault="00D63DEB" w:rsidP="00A8557E">
            <w:pPr>
              <w:pStyle w:val="NormalParaAR"/>
              <w:spacing w:after="0" w:line="280" w:lineRule="exact"/>
              <w:rPr>
                <w:color w:val="000000"/>
                <w:sz w:val="32"/>
                <w:szCs w:val="32"/>
              </w:rPr>
            </w:pPr>
            <w:r w:rsidRPr="00A9254B">
              <w:rPr>
                <w:rFonts w:eastAsia="Arial"/>
                <w:color w:val="000000"/>
                <w:sz w:val="32"/>
                <w:szCs w:val="32"/>
              </w:rPr>
              <w:t>2.68</w:t>
            </w:r>
          </w:p>
        </w:tc>
      </w:tr>
    </w:tbl>
    <w:p w:rsidR="00D63DEB" w:rsidRDefault="00D63DEB" w:rsidP="00D63DEB">
      <w:pPr>
        <w:pStyle w:val="Text"/>
      </w:pPr>
    </w:p>
    <w:p w:rsidR="00D63DEB" w:rsidRPr="00A8557E" w:rsidRDefault="00D63DEB" w:rsidP="00A8557E">
      <w:pPr>
        <w:pStyle w:val="Text"/>
        <w:bidi/>
        <w:spacing w:after="240"/>
        <w:rPr>
          <w:rFonts w:ascii="Arabic Typesetting" w:hAnsi="Arabic Typesetting" w:cs="Arabic Typesetting"/>
          <w:b/>
          <w:bCs/>
          <w:sz w:val="36"/>
          <w:szCs w:val="36"/>
        </w:rPr>
      </w:pPr>
      <w:r>
        <w:br w:type="page"/>
      </w:r>
      <w:proofErr w:type="gramStart"/>
      <w:r w:rsidRPr="00A8557E">
        <w:rPr>
          <w:rFonts w:ascii="Arabic Typesetting" w:eastAsia="Arial" w:hAnsi="Arabic Typesetting" w:cs="Arabic Typesetting"/>
          <w:b/>
          <w:bCs/>
          <w:sz w:val="36"/>
          <w:szCs w:val="36"/>
          <w:rtl/>
        </w:rPr>
        <w:lastRenderedPageBreak/>
        <w:t>بيانات</w:t>
      </w:r>
      <w:proofErr w:type="gramEnd"/>
      <w:r w:rsidRPr="00A8557E">
        <w:rPr>
          <w:rFonts w:ascii="Arabic Typesetting" w:eastAsia="Arial" w:hAnsi="Arabic Typesetting" w:cs="Arabic Typesetting"/>
          <w:b/>
          <w:bCs/>
          <w:sz w:val="36"/>
          <w:szCs w:val="36"/>
          <w:rtl/>
        </w:rPr>
        <w:t xml:space="preserve"> المخترعين تبين أن المهاجرين المغادرين أعلى إنتاجية من مواطنيهم من غير المهاجرين</w:t>
      </w:r>
    </w:p>
    <w:p w:rsidR="00D63DEB" w:rsidRDefault="00D63DEB" w:rsidP="00A9254B">
      <w:pPr>
        <w:pStyle w:val="NormalParaAR"/>
      </w:pPr>
      <w:proofErr w:type="gramStart"/>
      <w:r>
        <w:rPr>
          <w:rFonts w:eastAsia="Arial"/>
          <w:rtl/>
        </w:rPr>
        <w:t>يمكن</w:t>
      </w:r>
      <w:proofErr w:type="gramEnd"/>
      <w:r>
        <w:rPr>
          <w:rFonts w:eastAsia="Arial"/>
          <w:rtl/>
        </w:rPr>
        <w:t xml:space="preserve"> الاستعانة على التوصل إلى فهم أفضل للتبعات الاقتصادية لاستنزاف أدمغة المخترعين بالنظر في خصائص أداء من غادروا بلادهم مقارنةً بمن بقوا فيها. ويمكن على وجه الخصوص فحص متوسط </w:t>
      </w:r>
      <w:proofErr w:type="spellStart"/>
      <w:r>
        <w:rPr>
          <w:rFonts w:eastAsia="Arial"/>
          <w:rtl/>
        </w:rPr>
        <w:t>الاستشهادات</w:t>
      </w:r>
      <w:proofErr w:type="spellEnd"/>
      <w:r>
        <w:rPr>
          <w:rFonts w:eastAsia="Arial"/>
          <w:rtl/>
        </w:rPr>
        <w:t xml:space="preserve"> بالبراءات التي تذكر مخترعين "باقين" ومتوسط </w:t>
      </w:r>
      <w:proofErr w:type="spellStart"/>
      <w:r>
        <w:rPr>
          <w:rFonts w:eastAsia="Arial"/>
          <w:rtl/>
        </w:rPr>
        <w:t>الاستشهادات</w:t>
      </w:r>
      <w:proofErr w:type="spellEnd"/>
      <w:r>
        <w:rPr>
          <w:rFonts w:eastAsia="Arial"/>
          <w:rtl/>
        </w:rPr>
        <w:t xml:space="preserve"> بالبراءات التي تذكر مخترعين مهاجرين مغادرين لنفس البلدان. وتشير النتائج لمعظم البلدان إلى أن المخترعين المهاجرين المغادرين يحظون، في المتوسط، </w:t>
      </w:r>
      <w:proofErr w:type="spellStart"/>
      <w:r w:rsidR="00A9254B">
        <w:rPr>
          <w:rFonts w:eastAsia="Arial" w:hint="cs"/>
          <w:rtl/>
        </w:rPr>
        <w:t>ب</w:t>
      </w:r>
      <w:r>
        <w:rPr>
          <w:rFonts w:eastAsia="Arial"/>
          <w:rtl/>
        </w:rPr>
        <w:t>استشهادات</w:t>
      </w:r>
      <w:proofErr w:type="spellEnd"/>
      <w:r>
        <w:rPr>
          <w:rFonts w:eastAsia="Arial"/>
          <w:rtl/>
        </w:rPr>
        <w:t xml:space="preserve"> أكثر من مواطنيهم غير المهاجرين. </w:t>
      </w:r>
    </w:p>
    <w:p w:rsidR="00D63DEB" w:rsidRPr="00A8557E" w:rsidRDefault="00D63DEB" w:rsidP="00A9254B">
      <w:pPr>
        <w:pStyle w:val="Heading2AR"/>
        <w:rPr>
          <w:b/>
          <w:bCs/>
          <w:sz w:val="36"/>
          <w:szCs w:val="36"/>
        </w:rPr>
      </w:pPr>
      <w:r w:rsidRPr="00A8557E">
        <w:rPr>
          <w:rFonts w:eastAsia="Arial"/>
          <w:b/>
          <w:bCs/>
          <w:sz w:val="36"/>
          <w:szCs w:val="36"/>
          <w:rtl/>
        </w:rPr>
        <w:t xml:space="preserve">الولايات المتحدة تظهر في أغلبية </w:t>
      </w:r>
      <w:proofErr w:type="gramStart"/>
      <w:r w:rsidRPr="00A8557E">
        <w:rPr>
          <w:rFonts w:eastAsia="Arial"/>
          <w:b/>
          <w:bCs/>
          <w:sz w:val="36"/>
          <w:szCs w:val="36"/>
          <w:rtl/>
        </w:rPr>
        <w:t>محاور</w:t>
      </w:r>
      <w:proofErr w:type="gramEnd"/>
      <w:r w:rsidRPr="00A8557E">
        <w:rPr>
          <w:rFonts w:eastAsia="Arial"/>
          <w:b/>
          <w:bCs/>
          <w:sz w:val="36"/>
          <w:szCs w:val="36"/>
          <w:rtl/>
        </w:rPr>
        <w:t xml:space="preserve"> هجرة المخترعين الأكثر كثافة</w:t>
      </w:r>
    </w:p>
    <w:p w:rsidR="00D63DEB" w:rsidRPr="00A9254B" w:rsidRDefault="00D63DEB" w:rsidP="00A9254B">
      <w:pPr>
        <w:pStyle w:val="NormalParaAR"/>
        <w:rPr>
          <w:rFonts w:eastAsia="Arial"/>
          <w:rtl/>
          <w:lang w:bidi="ar-EG"/>
        </w:rPr>
      </w:pPr>
      <w:r w:rsidRPr="00A9254B">
        <w:rPr>
          <w:rFonts w:eastAsia="Arial"/>
          <w:rtl/>
        </w:rPr>
        <w:t>تظهر الولايات المتحدة للناظر في أكثر محاور المخترعين ثنائية الأطراف كثافةً أكثر من غيرها في تصنيفات بلدان المقصد، بينما تكون اقتصادات الدخل المرتفع الأخرى في العادة البلد المصدر، باستثناء الصين والهند. وإذا استبعدت الولايات المتحدة من التحليل، تظهر التدفقات الأوروبية الداخلية مهيمنة على محاور الصدارة، مع وجود استثناءات مثيرة للاهتمام.</w:t>
      </w:r>
    </w:p>
    <w:p w:rsidR="00D63DEB" w:rsidRPr="00A9254B" w:rsidRDefault="00D63DEB" w:rsidP="00A9254B">
      <w:pPr>
        <w:pStyle w:val="NormalParaAR"/>
        <w:rPr>
          <w:rFonts w:eastAsia="Arial"/>
        </w:rPr>
      </w:pPr>
      <w:r w:rsidRPr="00A9254B">
        <w:rPr>
          <w:rFonts w:eastAsia="Arial"/>
          <w:rtl/>
        </w:rPr>
        <w:t>ويسلط الشكل ه.</w:t>
      </w:r>
      <w:proofErr w:type="gramStart"/>
      <w:r w:rsidRPr="00A9254B">
        <w:rPr>
          <w:rFonts w:eastAsia="Arial"/>
        </w:rPr>
        <w:t>4</w:t>
      </w:r>
      <w:r w:rsidRPr="00A9254B">
        <w:rPr>
          <w:rFonts w:eastAsia="Arial"/>
          <w:rtl/>
        </w:rPr>
        <w:t xml:space="preserve"> الضوء على العشرة محاور المتصدرة التي لا يكون بلد المنبع فيها اقتصاداً مرتفع الدخل للفترة </w:t>
      </w:r>
      <w:r w:rsidRPr="00A9254B">
        <w:rPr>
          <w:rFonts w:eastAsia="Arial"/>
        </w:rPr>
        <w:t>2001</w:t>
      </w:r>
      <w:r w:rsidR="00A9254B">
        <w:rPr>
          <w:rFonts w:eastAsia="Arial" w:hint="cs"/>
          <w:rtl/>
        </w:rPr>
        <w:t>-</w:t>
      </w:r>
      <w:r w:rsidRPr="00A9254B">
        <w:rPr>
          <w:rFonts w:eastAsia="Arial"/>
        </w:rPr>
        <w:t>2010</w:t>
      </w:r>
      <w:r w:rsidRPr="00A9254B">
        <w:rPr>
          <w:rFonts w:eastAsia="Arial"/>
          <w:rtl/>
        </w:rPr>
        <w:t>، وهو يوضح بشكل بياني أهمية الولايات المتحدة باعتبارها بلد مقصد.</w:t>
      </w:r>
      <w:proofErr w:type="gramEnd"/>
      <w:r w:rsidRPr="00A9254B">
        <w:rPr>
          <w:rFonts w:eastAsia="Arial"/>
          <w:rtl/>
        </w:rPr>
        <w:t xml:space="preserve"> </w:t>
      </w:r>
      <w:proofErr w:type="gramStart"/>
      <w:r w:rsidRPr="00A9254B">
        <w:rPr>
          <w:rFonts w:eastAsia="Arial"/>
          <w:rtl/>
        </w:rPr>
        <w:t>كما</w:t>
      </w:r>
      <w:proofErr w:type="gramEnd"/>
      <w:r w:rsidRPr="00A9254B">
        <w:rPr>
          <w:rFonts w:eastAsia="Arial"/>
          <w:rtl/>
        </w:rPr>
        <w:t xml:space="preserve"> يوضح أهمية الصين والهند باعتبارهما بلدي منبع، مع بزوغ روسيا وتركيا وإيران ورومانيا والمكسيك في ميدان البلدان المتصدرة للإرسال.</w:t>
      </w:r>
    </w:p>
    <w:p w:rsidR="00D63DEB" w:rsidRPr="00A9254B" w:rsidRDefault="00D63DEB" w:rsidP="002A153B">
      <w:pPr>
        <w:pStyle w:val="NormalParaAR"/>
        <w:jc w:val="center"/>
        <w:rPr>
          <w:rFonts w:eastAsia="Arial"/>
          <w:b/>
          <w:bCs/>
        </w:rPr>
      </w:pPr>
      <w:r w:rsidRPr="00A9254B">
        <w:rPr>
          <w:rFonts w:eastAsia="Arial"/>
          <w:b/>
          <w:bCs/>
          <w:rtl/>
        </w:rPr>
        <w:t>الشكل ه.</w:t>
      </w:r>
      <w:r w:rsidRPr="00A9254B">
        <w:rPr>
          <w:rFonts w:eastAsia="Arial"/>
          <w:b/>
          <w:bCs/>
        </w:rPr>
        <w:t>4</w:t>
      </w:r>
      <w:r w:rsidRPr="00A9254B">
        <w:rPr>
          <w:rFonts w:eastAsia="Arial"/>
          <w:b/>
          <w:bCs/>
          <w:rtl/>
        </w:rPr>
        <w:t xml:space="preserve">: محاور الهجرة العشرة المتصدرة بين الشمال والجنوب، </w:t>
      </w:r>
      <w:r w:rsidRPr="00A9254B">
        <w:rPr>
          <w:rFonts w:eastAsia="Arial"/>
          <w:b/>
          <w:bCs/>
        </w:rPr>
        <w:t>2001</w:t>
      </w:r>
      <w:r w:rsidR="00A9254B">
        <w:rPr>
          <w:rFonts w:eastAsia="Arial" w:hint="cs"/>
          <w:b/>
          <w:bCs/>
          <w:rtl/>
        </w:rPr>
        <w:t>-</w:t>
      </w:r>
      <w:r w:rsidRPr="00A9254B">
        <w:rPr>
          <w:rFonts w:eastAsia="Arial"/>
          <w:b/>
          <w:bCs/>
        </w:rPr>
        <w:t>2010</w:t>
      </w:r>
    </w:p>
    <w:p w:rsidR="00D63DEB" w:rsidRDefault="00D63DEB" w:rsidP="002A153B">
      <w:pPr>
        <w:pStyle w:val="Text"/>
        <w:jc w:val="center"/>
      </w:pPr>
      <w:r>
        <w:rPr>
          <w:noProof/>
        </w:rPr>
        <w:drawing>
          <wp:inline distT="0" distB="0" distL="0" distR="0" wp14:anchorId="0005B555" wp14:editId="760A39BE">
            <wp:extent cx="5760720" cy="2735580"/>
            <wp:effectExtent l="19050" t="0" r="0" b="0"/>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srcRect t="7230"/>
                    <a:stretch>
                      <a:fillRect/>
                    </a:stretch>
                  </pic:blipFill>
                  <pic:spPr bwMode="auto">
                    <a:xfrm>
                      <a:off x="0" y="0"/>
                      <a:ext cx="5760720" cy="2735580"/>
                    </a:xfrm>
                    <a:prstGeom prst="rect">
                      <a:avLst/>
                    </a:prstGeom>
                    <a:noFill/>
                    <a:ln w="9525">
                      <a:noFill/>
                      <a:miter lim="800000"/>
                      <a:headEnd/>
                      <a:tailEnd/>
                    </a:ln>
                  </pic:spPr>
                </pic:pic>
              </a:graphicData>
            </a:graphic>
          </wp:inline>
        </w:drawing>
      </w:r>
    </w:p>
    <w:p w:rsidR="00D63DEB" w:rsidRDefault="00D63DEB" w:rsidP="00D63DEB">
      <w:pPr>
        <w:pStyle w:val="Text"/>
      </w:pPr>
    </w:p>
    <w:p w:rsidR="00D63DEB" w:rsidRPr="002A153B" w:rsidRDefault="00D63DEB" w:rsidP="00A9254B">
      <w:pPr>
        <w:pStyle w:val="Heading2AR"/>
        <w:rPr>
          <w:rFonts w:eastAsia="Arial"/>
          <w:b/>
          <w:bCs/>
          <w:sz w:val="36"/>
          <w:szCs w:val="36"/>
        </w:rPr>
      </w:pPr>
      <w:r w:rsidRPr="002A153B">
        <w:rPr>
          <w:rFonts w:eastAsia="Arial"/>
          <w:b/>
          <w:bCs/>
          <w:sz w:val="36"/>
          <w:szCs w:val="36"/>
          <w:rtl/>
        </w:rPr>
        <w:t xml:space="preserve">أين يذهب المخترعون </w:t>
      </w:r>
      <w:proofErr w:type="spellStart"/>
      <w:r w:rsidRPr="002A153B">
        <w:rPr>
          <w:rFonts w:eastAsia="Arial"/>
          <w:b/>
          <w:bCs/>
          <w:sz w:val="36"/>
          <w:szCs w:val="36"/>
          <w:rtl/>
        </w:rPr>
        <w:t>الأفارقة</w:t>
      </w:r>
      <w:proofErr w:type="spellEnd"/>
      <w:r w:rsidRPr="002A153B">
        <w:rPr>
          <w:rFonts w:eastAsia="Arial"/>
          <w:b/>
          <w:bCs/>
          <w:sz w:val="36"/>
          <w:szCs w:val="36"/>
          <w:rtl/>
        </w:rPr>
        <w:t>؟</w:t>
      </w:r>
    </w:p>
    <w:p w:rsidR="00D63DEB" w:rsidRPr="00A9254B" w:rsidRDefault="00D63DEB" w:rsidP="00A9254B">
      <w:pPr>
        <w:pStyle w:val="NormalParaAR"/>
        <w:rPr>
          <w:rFonts w:eastAsia="Arial"/>
        </w:rPr>
      </w:pPr>
      <w:proofErr w:type="gramStart"/>
      <w:r w:rsidRPr="00A9254B">
        <w:rPr>
          <w:rFonts w:eastAsia="Arial"/>
          <w:rtl/>
        </w:rPr>
        <w:t>يبدو</w:t>
      </w:r>
      <w:proofErr w:type="gramEnd"/>
      <w:r w:rsidRPr="00A9254B">
        <w:rPr>
          <w:rFonts w:eastAsia="Arial"/>
          <w:rtl/>
        </w:rPr>
        <w:t xml:space="preserve"> استنزاف أدمغة المخترعين كبيراً بشكل غير متناسب في أفريقيا، كما يبرز بشكل أقوى من معدلات هجرة خريجي الجامعات بشهادات عادية. ومع ذلك، يتبين بالنظر داخل القارة أن بلداناً مثل جنوب أفريقيا وبوتسوانا وناميبيا تعاني بشكل أخف من استنزاف أدمغة المخترعين.</w:t>
      </w:r>
    </w:p>
    <w:p w:rsidR="00D63DEB" w:rsidRPr="00A9254B" w:rsidRDefault="00D63DEB" w:rsidP="00A9254B">
      <w:pPr>
        <w:pStyle w:val="NormalParaAR"/>
        <w:rPr>
          <w:rFonts w:eastAsia="Arial"/>
        </w:rPr>
      </w:pPr>
    </w:p>
    <w:p w:rsidR="00D63DEB" w:rsidRPr="00A9254B" w:rsidRDefault="00D63DEB" w:rsidP="002A153B">
      <w:pPr>
        <w:pStyle w:val="NormalParaAR"/>
        <w:rPr>
          <w:rFonts w:eastAsia="Arial"/>
          <w:bCs/>
        </w:rPr>
      </w:pPr>
      <w:r w:rsidRPr="00A9254B">
        <w:rPr>
          <w:rFonts w:eastAsia="Arial"/>
          <w:rtl/>
        </w:rPr>
        <w:lastRenderedPageBreak/>
        <w:t xml:space="preserve">ويستقر المخترعون </w:t>
      </w:r>
      <w:proofErr w:type="spellStart"/>
      <w:r w:rsidRPr="00A9254B">
        <w:rPr>
          <w:rFonts w:eastAsia="Arial"/>
          <w:rtl/>
        </w:rPr>
        <w:t>الأفارقة</w:t>
      </w:r>
      <w:proofErr w:type="spellEnd"/>
      <w:r w:rsidRPr="00A9254B">
        <w:rPr>
          <w:rFonts w:eastAsia="Arial"/>
          <w:rtl/>
        </w:rPr>
        <w:t xml:space="preserve"> بشكل أساسي في الولايات المتحدة </w:t>
      </w:r>
      <w:proofErr w:type="gramStart"/>
      <w:r w:rsidRPr="00A9254B">
        <w:rPr>
          <w:rFonts w:eastAsia="Arial"/>
          <w:rtl/>
        </w:rPr>
        <w:t>وفي</w:t>
      </w:r>
      <w:proofErr w:type="gramEnd"/>
      <w:r w:rsidRPr="00A9254B">
        <w:rPr>
          <w:rFonts w:eastAsia="Arial"/>
          <w:rtl/>
        </w:rPr>
        <w:t xml:space="preserve"> أوروبا (الشكل ه.</w:t>
      </w:r>
      <w:r w:rsidRPr="00A9254B">
        <w:rPr>
          <w:rFonts w:eastAsia="Arial"/>
        </w:rPr>
        <w:t>5</w:t>
      </w:r>
      <w:r w:rsidRPr="00A9254B">
        <w:rPr>
          <w:rFonts w:eastAsia="Arial"/>
          <w:rtl/>
        </w:rPr>
        <w:t>). وقد مثلوا</w:t>
      </w:r>
      <w:r w:rsidR="00A9254B">
        <w:rPr>
          <w:rFonts w:eastAsia="Arial" w:hint="cs"/>
          <w:rtl/>
        </w:rPr>
        <w:t xml:space="preserve"> </w:t>
      </w:r>
      <w:r w:rsidR="002A153B">
        <w:rPr>
          <w:rFonts w:eastAsia="Arial" w:hint="cs"/>
          <w:rtl/>
        </w:rPr>
        <w:t>1</w:t>
      </w:r>
      <w:proofErr w:type="gramStart"/>
      <w:r w:rsidR="002A153B">
        <w:rPr>
          <w:rFonts w:eastAsia="Arial" w:hint="cs"/>
          <w:rtl/>
        </w:rPr>
        <w:t>,53</w:t>
      </w:r>
      <w:proofErr w:type="gramEnd"/>
      <w:r w:rsidRPr="00A9254B">
        <w:rPr>
          <w:rFonts w:eastAsia="Arial"/>
          <w:rtl/>
        </w:rPr>
        <w:t xml:space="preserve"> بالمائة من جميع المهاجرين الوافدين إلى الولايات المتحدة و</w:t>
      </w:r>
      <w:r w:rsidR="002A153B">
        <w:rPr>
          <w:rFonts w:eastAsia="Arial" w:hint="cs"/>
          <w:rtl/>
        </w:rPr>
        <w:t>2,15</w:t>
      </w:r>
      <w:r w:rsidRPr="00A9254B">
        <w:rPr>
          <w:rFonts w:eastAsia="Arial"/>
          <w:rtl/>
        </w:rPr>
        <w:t xml:space="preserve"> بالمائة من جميع المهاجرين الوافدين إلى أوروبا خلال الفترة </w:t>
      </w:r>
      <w:r w:rsidRPr="00A9254B">
        <w:rPr>
          <w:rFonts w:eastAsia="Arial"/>
        </w:rPr>
        <w:t>2001</w:t>
      </w:r>
      <w:r w:rsidR="0077769B">
        <w:rPr>
          <w:rFonts w:eastAsia="Arial" w:hint="cs"/>
          <w:rtl/>
        </w:rPr>
        <w:t>-</w:t>
      </w:r>
      <w:r w:rsidRPr="00A9254B">
        <w:rPr>
          <w:rFonts w:eastAsia="Arial"/>
        </w:rPr>
        <w:t>2010</w:t>
      </w:r>
      <w:r w:rsidRPr="00A9254B">
        <w:rPr>
          <w:rFonts w:eastAsia="Arial"/>
          <w:rtl/>
        </w:rPr>
        <w:t xml:space="preserve">. </w:t>
      </w:r>
      <w:proofErr w:type="gramStart"/>
      <w:r w:rsidRPr="00A9254B">
        <w:rPr>
          <w:rFonts w:eastAsia="Arial"/>
          <w:rtl/>
        </w:rPr>
        <w:t>وداخل</w:t>
      </w:r>
      <w:proofErr w:type="gramEnd"/>
      <w:r w:rsidRPr="00A9254B">
        <w:rPr>
          <w:rFonts w:eastAsia="Arial"/>
          <w:rtl/>
        </w:rPr>
        <w:t xml:space="preserve"> أوروبا، استضافت فرنسا </w:t>
      </w:r>
      <w:r w:rsidRPr="00A9254B">
        <w:rPr>
          <w:rFonts w:eastAsia="Arial"/>
        </w:rPr>
        <w:t>37</w:t>
      </w:r>
      <w:r w:rsidRPr="00A9254B">
        <w:rPr>
          <w:rFonts w:eastAsia="Arial"/>
          <w:rtl/>
        </w:rPr>
        <w:t xml:space="preserve">% من جميع المخترعين </w:t>
      </w:r>
      <w:proofErr w:type="spellStart"/>
      <w:r w:rsidRPr="00A9254B">
        <w:rPr>
          <w:rFonts w:eastAsia="Arial"/>
          <w:rtl/>
        </w:rPr>
        <w:t>الأفارقة</w:t>
      </w:r>
      <w:proofErr w:type="spellEnd"/>
      <w:r w:rsidRPr="00A9254B">
        <w:rPr>
          <w:rFonts w:eastAsia="Arial"/>
          <w:rtl/>
        </w:rPr>
        <w:t xml:space="preserve"> المقيمين في القارة، مما يعكس على الراجح روابط لغوية وتاريخية مشتركة. وتمثل بلدان أخرى بعد الولايات المتحدة وأوروبا مثل كندا وأستراليا واليابان والمملكة العربية السعودية وجهات مهمة للمخترعين </w:t>
      </w:r>
      <w:proofErr w:type="spellStart"/>
      <w:r w:rsidRPr="00A9254B">
        <w:rPr>
          <w:rFonts w:eastAsia="Arial"/>
          <w:rtl/>
        </w:rPr>
        <w:t>الأفارقة</w:t>
      </w:r>
      <w:proofErr w:type="spellEnd"/>
      <w:r w:rsidRPr="00A9254B">
        <w:rPr>
          <w:rFonts w:eastAsia="Arial"/>
          <w:rtl/>
        </w:rPr>
        <w:t>. ومن المثير للاهتمام أن جنوب أفريقيا تؤدي فيما يبدو دور المركز الإقليمي من حيث جذب المهارات من داخل القارة.</w:t>
      </w:r>
    </w:p>
    <w:p w:rsidR="00D63DEB" w:rsidRPr="0077769B" w:rsidRDefault="00D63DEB" w:rsidP="002A153B">
      <w:pPr>
        <w:pStyle w:val="NormalParaAR"/>
        <w:jc w:val="center"/>
        <w:rPr>
          <w:rFonts w:eastAsia="Arial"/>
          <w:b/>
          <w:bCs/>
        </w:rPr>
      </w:pPr>
      <w:r w:rsidRPr="0077769B">
        <w:rPr>
          <w:rFonts w:eastAsia="Arial"/>
          <w:b/>
          <w:bCs/>
          <w:rtl/>
        </w:rPr>
        <w:t>الشكل ه.</w:t>
      </w:r>
      <w:r w:rsidRPr="0077769B">
        <w:rPr>
          <w:rFonts w:eastAsia="Arial"/>
          <w:b/>
          <w:bCs/>
        </w:rPr>
        <w:t>5</w:t>
      </w:r>
      <w:r w:rsidRPr="0077769B">
        <w:rPr>
          <w:rFonts w:eastAsia="Arial"/>
          <w:b/>
          <w:bCs/>
          <w:rtl/>
        </w:rPr>
        <w:t xml:space="preserve">: أين يذهب المخترعون </w:t>
      </w:r>
      <w:proofErr w:type="spellStart"/>
      <w:r w:rsidRPr="0077769B">
        <w:rPr>
          <w:rFonts w:eastAsia="Arial"/>
          <w:b/>
          <w:bCs/>
          <w:rtl/>
        </w:rPr>
        <w:t>الأفارقة</w:t>
      </w:r>
      <w:proofErr w:type="spellEnd"/>
      <w:r w:rsidRPr="0077769B">
        <w:rPr>
          <w:rFonts w:eastAsia="Arial"/>
          <w:b/>
          <w:bCs/>
          <w:rtl/>
        </w:rPr>
        <w:t>؟</w:t>
      </w:r>
    </w:p>
    <w:p w:rsidR="00D63DEB" w:rsidRPr="00B56F5C" w:rsidRDefault="00D63DEB" w:rsidP="002A153B">
      <w:pPr>
        <w:pStyle w:val="Text"/>
        <w:jc w:val="center"/>
        <w:rPr>
          <w:rStyle w:val="Strong"/>
        </w:rPr>
      </w:pPr>
      <w:r>
        <w:rPr>
          <w:noProof/>
        </w:rPr>
        <w:drawing>
          <wp:inline distT="0" distB="0" distL="0" distR="0" wp14:anchorId="01563340" wp14:editId="62F8DE03">
            <wp:extent cx="5760720" cy="3329940"/>
            <wp:effectExtent l="19050" t="0" r="0" b="0"/>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5760720" cy="3329940"/>
                    </a:xfrm>
                    <a:prstGeom prst="rect">
                      <a:avLst/>
                    </a:prstGeom>
                    <a:noFill/>
                    <a:ln w="9525">
                      <a:noFill/>
                      <a:miter lim="800000"/>
                      <a:headEnd/>
                      <a:tailEnd/>
                    </a:ln>
                  </pic:spPr>
                </pic:pic>
              </a:graphicData>
            </a:graphic>
          </wp:inline>
        </w:drawing>
      </w:r>
    </w:p>
    <w:p w:rsidR="00D63DEB" w:rsidRPr="004726D8" w:rsidRDefault="00D63DEB" w:rsidP="00D63DEB">
      <w:pPr>
        <w:pStyle w:val="Text"/>
      </w:pPr>
    </w:p>
    <w:p w:rsidR="00D63DEB" w:rsidRPr="002A153B" w:rsidRDefault="00D63DEB" w:rsidP="00A9254B">
      <w:pPr>
        <w:pStyle w:val="Heading2AR"/>
        <w:rPr>
          <w:rFonts w:eastAsia="Arial"/>
          <w:b/>
          <w:bCs/>
          <w:sz w:val="36"/>
          <w:szCs w:val="36"/>
        </w:rPr>
      </w:pPr>
      <w:r w:rsidRPr="002A153B">
        <w:rPr>
          <w:rFonts w:eastAsia="Arial"/>
          <w:b/>
          <w:bCs/>
          <w:sz w:val="36"/>
          <w:szCs w:val="36"/>
          <w:rtl/>
        </w:rPr>
        <w:t xml:space="preserve">أين يذهب مخترعون أمريكا اللاتينية </w:t>
      </w:r>
      <w:proofErr w:type="gramStart"/>
      <w:r w:rsidRPr="002A153B">
        <w:rPr>
          <w:rFonts w:eastAsia="Arial"/>
          <w:b/>
          <w:bCs/>
          <w:sz w:val="36"/>
          <w:szCs w:val="36"/>
          <w:rtl/>
        </w:rPr>
        <w:t>والكاريبي</w:t>
      </w:r>
      <w:proofErr w:type="gramEnd"/>
      <w:r w:rsidRPr="002A153B">
        <w:rPr>
          <w:rFonts w:eastAsia="Arial"/>
          <w:b/>
          <w:bCs/>
          <w:sz w:val="36"/>
          <w:szCs w:val="36"/>
          <w:rtl/>
        </w:rPr>
        <w:t>؟</w:t>
      </w:r>
    </w:p>
    <w:p w:rsidR="00D63DEB" w:rsidRPr="00A9254B" w:rsidRDefault="00D63DEB" w:rsidP="002A153B">
      <w:pPr>
        <w:pStyle w:val="NormalParaAR"/>
        <w:rPr>
          <w:rFonts w:eastAsia="Arial"/>
        </w:rPr>
      </w:pPr>
      <w:proofErr w:type="gramStart"/>
      <w:r w:rsidRPr="00A9254B">
        <w:rPr>
          <w:rFonts w:eastAsia="Arial"/>
          <w:rtl/>
        </w:rPr>
        <w:t>تبدو</w:t>
      </w:r>
      <w:proofErr w:type="gramEnd"/>
      <w:r w:rsidRPr="00A9254B">
        <w:rPr>
          <w:rFonts w:eastAsia="Arial"/>
          <w:rtl/>
        </w:rPr>
        <w:t xml:space="preserve"> الدول الأصغر في منطقة أمريكا اللاتينية والكاريبي أشد معاناة من غيرها فيما يتعلق باستنزاف الأدمغة، بينما تتأثر بلدان أكبر مثل البرازيل وكولومبيا والمكسيك وشيلي والأرجنتين إلى درجة أقل. ويبين الشكل ه.</w:t>
      </w:r>
      <w:proofErr w:type="gramStart"/>
      <w:r w:rsidRPr="00A9254B">
        <w:rPr>
          <w:rFonts w:eastAsia="Arial"/>
        </w:rPr>
        <w:t>6</w:t>
      </w:r>
      <w:r w:rsidRPr="00A9254B">
        <w:rPr>
          <w:rFonts w:eastAsia="Arial"/>
          <w:rtl/>
        </w:rPr>
        <w:t xml:space="preserve"> الوجهات العشر الأكثر جذباً لمخترعي أمريكا اللاتينية والكاريبي.</w:t>
      </w:r>
      <w:proofErr w:type="gramEnd"/>
      <w:r w:rsidRPr="00A9254B">
        <w:rPr>
          <w:rFonts w:eastAsia="Arial"/>
          <w:rtl/>
        </w:rPr>
        <w:t xml:space="preserve"> </w:t>
      </w:r>
      <w:proofErr w:type="gramStart"/>
      <w:r w:rsidRPr="00A9254B">
        <w:rPr>
          <w:rFonts w:eastAsia="Arial"/>
          <w:rtl/>
        </w:rPr>
        <w:t>وكما</w:t>
      </w:r>
      <w:proofErr w:type="gramEnd"/>
      <w:r w:rsidRPr="00A9254B">
        <w:rPr>
          <w:rFonts w:eastAsia="Arial"/>
          <w:rtl/>
        </w:rPr>
        <w:t xml:space="preserve"> هو الشأن مع المخترعين </w:t>
      </w:r>
      <w:proofErr w:type="spellStart"/>
      <w:r w:rsidRPr="00A9254B">
        <w:rPr>
          <w:rFonts w:eastAsia="Arial"/>
          <w:rtl/>
        </w:rPr>
        <w:t>الأفارقة</w:t>
      </w:r>
      <w:proofErr w:type="spellEnd"/>
      <w:r w:rsidRPr="00A9254B">
        <w:rPr>
          <w:rFonts w:eastAsia="Arial"/>
          <w:rtl/>
        </w:rPr>
        <w:t xml:space="preserve"> المهاجرين المغادرين، فإن الولايات المتحدة وأوروبا تحتلان صدارة التصنيف. وبتعبير نسبي، يمكن القول بأن مخترعي أمريكا اللاتينية والكاريبي يمثلون حوالي </w:t>
      </w:r>
      <w:r w:rsidRPr="00A9254B">
        <w:rPr>
          <w:rFonts w:eastAsia="Arial"/>
        </w:rPr>
        <w:t>3</w:t>
      </w:r>
      <w:r w:rsidRPr="00A9254B">
        <w:rPr>
          <w:rFonts w:eastAsia="Arial"/>
          <w:rtl/>
        </w:rPr>
        <w:t xml:space="preserve"> بالمائة من جميع المهاجرين الوافدين إلى الولايات المتحدة وحوالي </w:t>
      </w:r>
      <w:r w:rsidRPr="00A9254B">
        <w:rPr>
          <w:rFonts w:eastAsia="Arial"/>
        </w:rPr>
        <w:t>2</w:t>
      </w:r>
      <w:r w:rsidRPr="00A9254B">
        <w:rPr>
          <w:rFonts w:eastAsia="Arial"/>
          <w:rtl/>
        </w:rPr>
        <w:t xml:space="preserve"> بالمائة من جميع المهاجرين الوافدين إلى أوروبا، غير أن العدد المطلق من مخترعي أمريكا اللاتينية والكاريبي المهاجرين إلى الولايات المتحدة يربو على ضعفي أولئك المهاجرين إلى أوروبا. وعلى خلاف شأنها مع المخترعين </w:t>
      </w:r>
      <w:proofErr w:type="spellStart"/>
      <w:r w:rsidRPr="00A9254B">
        <w:rPr>
          <w:rFonts w:eastAsia="Arial"/>
          <w:rtl/>
        </w:rPr>
        <w:t>الأفارقة</w:t>
      </w:r>
      <w:proofErr w:type="spellEnd"/>
      <w:r w:rsidRPr="00A9254B">
        <w:rPr>
          <w:rFonts w:eastAsia="Arial"/>
          <w:rtl/>
        </w:rPr>
        <w:t xml:space="preserve">، فإن فرنسا لا تتصدر التصنيف داخل أوروبا، بل ألمانيا هي صاحبة الصدارة، تتبعها سويسرا ثم إسبانيا وفرنسا. وتفسر الروابط التاريخية واللغة المشتركة اجتذاب إسبانيا لعدد معتبر من المواهب من أمريكا اللاتينية والكاريبي. </w:t>
      </w:r>
      <w:proofErr w:type="gramStart"/>
      <w:r w:rsidRPr="00A9254B">
        <w:rPr>
          <w:rFonts w:eastAsia="Arial"/>
          <w:rtl/>
        </w:rPr>
        <w:t>ومن</w:t>
      </w:r>
      <w:proofErr w:type="gramEnd"/>
      <w:r w:rsidRPr="00A9254B">
        <w:rPr>
          <w:rFonts w:eastAsia="Arial"/>
          <w:rtl/>
        </w:rPr>
        <w:t xml:space="preserve"> المثير للاهتمام كذلك أن </w:t>
      </w:r>
      <w:r w:rsidRPr="00A9254B">
        <w:rPr>
          <w:rFonts w:eastAsia="Arial"/>
        </w:rPr>
        <w:t>3</w:t>
      </w:r>
      <w:r w:rsidRPr="00A9254B">
        <w:rPr>
          <w:rFonts w:eastAsia="Arial"/>
          <w:rtl/>
        </w:rPr>
        <w:t xml:space="preserve"> من </w:t>
      </w:r>
      <w:r w:rsidRPr="00A9254B">
        <w:rPr>
          <w:rFonts w:eastAsia="Arial"/>
        </w:rPr>
        <w:t>10</w:t>
      </w:r>
      <w:r w:rsidRPr="00A9254B">
        <w:rPr>
          <w:rFonts w:eastAsia="Arial"/>
          <w:rtl/>
        </w:rPr>
        <w:t xml:space="preserve"> بلدان في هذا التصنيف تنتمي إلى المنطقة ذاتها، وهي البرازيل والمكسيك</w:t>
      </w:r>
      <w:r w:rsidR="002A153B">
        <w:rPr>
          <w:rFonts w:eastAsia="Arial" w:hint="cs"/>
          <w:rtl/>
        </w:rPr>
        <w:t> </w:t>
      </w:r>
      <w:r w:rsidRPr="00A9254B">
        <w:rPr>
          <w:rFonts w:eastAsia="Arial"/>
          <w:rtl/>
        </w:rPr>
        <w:t xml:space="preserve">وشيلي. </w:t>
      </w:r>
    </w:p>
    <w:p w:rsidR="00D63DEB" w:rsidRDefault="00D63DEB" w:rsidP="00D63DEB">
      <w:pPr>
        <w:pStyle w:val="Text"/>
        <w:rPr>
          <w:rStyle w:val="Strong"/>
        </w:rPr>
      </w:pPr>
      <w:r>
        <w:rPr>
          <w:rStyle w:val="Strong"/>
        </w:rPr>
        <w:br w:type="page"/>
      </w:r>
    </w:p>
    <w:p w:rsidR="00D63DEB" w:rsidRPr="00BE6CBF" w:rsidRDefault="00D63DEB" w:rsidP="002A153B">
      <w:pPr>
        <w:pStyle w:val="NormalParaAR"/>
        <w:jc w:val="center"/>
        <w:rPr>
          <w:rFonts w:eastAsia="Arial"/>
          <w:b/>
          <w:bCs/>
        </w:rPr>
      </w:pPr>
      <w:r w:rsidRPr="00BE6CBF">
        <w:rPr>
          <w:rFonts w:eastAsia="Arial"/>
          <w:b/>
          <w:bCs/>
          <w:rtl/>
        </w:rPr>
        <w:lastRenderedPageBreak/>
        <w:t>الشكل ه.</w:t>
      </w:r>
      <w:r w:rsidRPr="00BE6CBF">
        <w:rPr>
          <w:rFonts w:eastAsia="Arial"/>
          <w:b/>
          <w:bCs/>
        </w:rPr>
        <w:t>6</w:t>
      </w:r>
      <w:r w:rsidRPr="00BE6CBF">
        <w:rPr>
          <w:rFonts w:eastAsia="Arial"/>
          <w:b/>
          <w:bCs/>
          <w:rtl/>
        </w:rPr>
        <w:t>: أين يذهب مخترعو أمريكا اللاتينية؟</w:t>
      </w:r>
    </w:p>
    <w:p w:rsidR="00D63DEB" w:rsidRPr="000C75B5" w:rsidRDefault="00D63DEB" w:rsidP="002A153B">
      <w:pPr>
        <w:pStyle w:val="Text"/>
        <w:jc w:val="center"/>
        <w:rPr>
          <w:rStyle w:val="Strong"/>
          <w:b w:val="0"/>
          <w:bCs w:val="0"/>
        </w:rPr>
      </w:pPr>
      <w:r>
        <w:rPr>
          <w:noProof/>
        </w:rPr>
        <w:drawing>
          <wp:inline distT="0" distB="0" distL="0" distR="0" wp14:anchorId="006A090A" wp14:editId="7EE96B71">
            <wp:extent cx="5753100" cy="3162300"/>
            <wp:effectExtent l="19050" t="0" r="0" b="0"/>
            <wp:docPr id="1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srcRect/>
                    <a:stretch>
                      <a:fillRect/>
                    </a:stretch>
                  </pic:blipFill>
                  <pic:spPr bwMode="auto">
                    <a:xfrm>
                      <a:off x="0" y="0"/>
                      <a:ext cx="5753100" cy="3162300"/>
                    </a:xfrm>
                    <a:prstGeom prst="rect">
                      <a:avLst/>
                    </a:prstGeom>
                    <a:noFill/>
                    <a:ln w="9525">
                      <a:noFill/>
                      <a:miter lim="800000"/>
                      <a:headEnd/>
                      <a:tailEnd/>
                    </a:ln>
                  </pic:spPr>
                </pic:pic>
              </a:graphicData>
            </a:graphic>
          </wp:inline>
        </w:drawing>
      </w:r>
    </w:p>
    <w:p w:rsidR="00D63DEB" w:rsidRPr="004726D8" w:rsidRDefault="00D63DEB" w:rsidP="00D63DEB">
      <w:pPr>
        <w:pStyle w:val="Text"/>
        <w:rPr>
          <w:rStyle w:val="Strong"/>
          <w:b w:val="0"/>
          <w:bCs w:val="0"/>
        </w:rPr>
      </w:pPr>
    </w:p>
    <w:p w:rsidR="00D63DEB" w:rsidRPr="002A153B" w:rsidRDefault="00D63DEB" w:rsidP="00A9254B">
      <w:pPr>
        <w:pStyle w:val="Heading2AR"/>
        <w:rPr>
          <w:rFonts w:eastAsia="Arial"/>
          <w:b/>
          <w:bCs/>
          <w:sz w:val="36"/>
          <w:szCs w:val="36"/>
        </w:rPr>
      </w:pPr>
      <w:r w:rsidRPr="002A153B">
        <w:rPr>
          <w:rFonts w:eastAsia="Arial"/>
          <w:b/>
          <w:bCs/>
          <w:sz w:val="36"/>
          <w:szCs w:val="36"/>
          <w:rtl/>
        </w:rPr>
        <w:t>أين يذهب مخترعو الشرق الأوسط وجنوب آسيا وشرق آسيا وأوقيانوسيا والمحيط الهادئ؟</w:t>
      </w:r>
    </w:p>
    <w:p w:rsidR="00D63DEB" w:rsidRPr="00A9254B" w:rsidRDefault="00D63DEB" w:rsidP="002A153B">
      <w:pPr>
        <w:pStyle w:val="NormalParaAR"/>
        <w:rPr>
          <w:rFonts w:eastAsia="Arial"/>
        </w:rPr>
      </w:pPr>
      <w:r w:rsidRPr="00A9254B">
        <w:rPr>
          <w:rFonts w:eastAsia="Arial"/>
          <w:rtl/>
        </w:rPr>
        <w:t>يبين الشكل ه.</w:t>
      </w:r>
      <w:proofErr w:type="gramStart"/>
      <w:r w:rsidRPr="00A9254B">
        <w:rPr>
          <w:rFonts w:eastAsia="Arial"/>
        </w:rPr>
        <w:t>7</w:t>
      </w:r>
      <w:r w:rsidRPr="00A9254B">
        <w:rPr>
          <w:rFonts w:eastAsia="Arial"/>
          <w:rtl/>
        </w:rPr>
        <w:t xml:space="preserve"> الوجهات العشر الأكثر جذباً للمخترعين من هذه المناطق.</w:t>
      </w:r>
      <w:proofErr w:type="gramEnd"/>
      <w:r w:rsidRPr="00A9254B">
        <w:rPr>
          <w:rFonts w:eastAsia="Arial"/>
          <w:rtl/>
        </w:rPr>
        <w:t xml:space="preserve"> ويتبين عن طريق المقارنة بمنطقة أمريكا اللاتينية والكاريبي وبأفريقيا على وجه الخصوص أن العدد المطلق للمخترعين المهاجرين المغادرين من الشرق الأوسط وجنوب وشرق آسيا وأوقيانوسيا والمحيط الهادئ أكبر بكثير. </w:t>
      </w:r>
      <w:proofErr w:type="gramStart"/>
      <w:r w:rsidRPr="00A9254B">
        <w:rPr>
          <w:rFonts w:eastAsia="Arial"/>
          <w:rtl/>
        </w:rPr>
        <w:t>وتختص</w:t>
      </w:r>
      <w:proofErr w:type="gramEnd"/>
      <w:r w:rsidRPr="00A9254B">
        <w:rPr>
          <w:rFonts w:eastAsia="Arial"/>
          <w:rtl/>
        </w:rPr>
        <w:t xml:space="preserve"> هجرة المخترعين من هذه المناطق بسمتين أساسيتين أولهما أن نسبة المخترعين الذاهبين إلى الولايات المتحدة مقارنةً بباقي مناطق العالم كبيرة. </w:t>
      </w:r>
      <w:proofErr w:type="gramStart"/>
      <w:r w:rsidRPr="00A9254B">
        <w:rPr>
          <w:rFonts w:eastAsia="Arial"/>
          <w:rtl/>
        </w:rPr>
        <w:t>فعلى</w:t>
      </w:r>
      <w:proofErr w:type="gramEnd"/>
      <w:r w:rsidRPr="00A9254B">
        <w:rPr>
          <w:rFonts w:eastAsia="Arial"/>
          <w:rtl/>
        </w:rPr>
        <w:t xml:space="preserve"> سبيل المثال، يزيد</w:t>
      </w:r>
      <w:r w:rsidR="002A153B">
        <w:rPr>
          <w:rFonts w:eastAsia="Arial" w:hint="cs"/>
          <w:rtl/>
        </w:rPr>
        <w:t xml:space="preserve"> </w:t>
      </w:r>
      <w:r w:rsidRPr="00A9254B">
        <w:rPr>
          <w:rFonts w:eastAsia="Arial"/>
          <w:rtl/>
        </w:rPr>
        <w:t xml:space="preserve">عدد المخترعين المهاجرين من هذه المنطقة إلى الولايات المتحدة بتسعة أضعاف عن أولئك المهاجرين إلى أوروبا. وهم يمثلون </w:t>
      </w:r>
      <w:r w:rsidR="002A153B">
        <w:rPr>
          <w:rFonts w:eastAsia="Arial" w:hint="cs"/>
          <w:rtl/>
        </w:rPr>
        <w:t>54</w:t>
      </w:r>
      <w:proofErr w:type="gramStart"/>
      <w:r w:rsidR="002A153B">
        <w:rPr>
          <w:rFonts w:eastAsia="Arial" w:hint="cs"/>
          <w:rtl/>
        </w:rPr>
        <w:t>,4</w:t>
      </w:r>
      <w:proofErr w:type="gramEnd"/>
      <w:r w:rsidR="002A153B">
        <w:rPr>
          <w:rFonts w:eastAsia="Arial" w:hint="cs"/>
          <w:rtl/>
        </w:rPr>
        <w:t xml:space="preserve"> بالمائة</w:t>
      </w:r>
      <w:r w:rsidRPr="00A9254B">
        <w:rPr>
          <w:rFonts w:eastAsia="Arial"/>
          <w:rtl/>
        </w:rPr>
        <w:t xml:space="preserve"> من جميع المخترعين المهاجرين إلى الولايات المتحدة في الفترة </w:t>
      </w:r>
      <w:r w:rsidRPr="00A9254B">
        <w:rPr>
          <w:rFonts w:eastAsia="Arial"/>
        </w:rPr>
        <w:t>2001</w:t>
      </w:r>
      <w:r w:rsidR="00AA0AC0">
        <w:rPr>
          <w:rFonts w:eastAsia="Arial" w:hint="cs"/>
          <w:rtl/>
        </w:rPr>
        <w:t>-</w:t>
      </w:r>
      <w:r w:rsidRPr="00A9254B">
        <w:rPr>
          <w:rFonts w:eastAsia="Arial"/>
        </w:rPr>
        <w:t>2010</w:t>
      </w:r>
      <w:r w:rsidRPr="00A9254B">
        <w:rPr>
          <w:rFonts w:eastAsia="Arial"/>
          <w:rtl/>
        </w:rPr>
        <w:t xml:space="preserve">، وهذا يزيد بقدر معتبر على نسب المهاجرين من مخترعي أفريقيا وأمريكا اللاتينية والكاريبي إلى الولايات المتحدة. ومن الممكن أن تعزى هذه المحصلة إلى حدٍ بعيد إلى تدفقات الهجرة من الصين والهند إلى الولايات المتحدة، رغم أداء البلدان الأخرى دوراً أيضاً. </w:t>
      </w:r>
      <w:proofErr w:type="gramStart"/>
      <w:r w:rsidRPr="00A9254B">
        <w:rPr>
          <w:rFonts w:eastAsia="Arial"/>
          <w:rtl/>
        </w:rPr>
        <w:t>وأما</w:t>
      </w:r>
      <w:proofErr w:type="gramEnd"/>
      <w:r w:rsidRPr="00A9254B">
        <w:rPr>
          <w:rFonts w:eastAsia="Arial"/>
          <w:rtl/>
        </w:rPr>
        <w:t xml:space="preserve"> السمة الثانية فإن البلدان المنتمية إلى نفس المنطقة تحتل مكانة بين العشرة مقاصد الأولى. وتجتذب اليابان وأستراليا ونيوزيلندا وسنغافورة وجمهورية كوريا والصين وماليزيا على الأخص أعداداً كبيرة من مخترعي هذه الناحية من العالم.</w:t>
      </w:r>
    </w:p>
    <w:p w:rsidR="00D63DEB" w:rsidRPr="004726D8" w:rsidRDefault="00D63DEB" w:rsidP="00D63DEB">
      <w:pPr>
        <w:pStyle w:val="Text"/>
        <w:rPr>
          <w:rStyle w:val="Strong"/>
          <w:b w:val="0"/>
          <w:bCs w:val="0"/>
        </w:rPr>
      </w:pPr>
    </w:p>
    <w:p w:rsidR="00D63DEB" w:rsidRDefault="00D63DEB" w:rsidP="00D63DEB">
      <w:pPr>
        <w:pStyle w:val="Text"/>
        <w:rPr>
          <w:rStyle w:val="Strong"/>
          <w:bCs w:val="0"/>
        </w:rPr>
      </w:pPr>
      <w:r>
        <w:rPr>
          <w:rStyle w:val="Strong"/>
        </w:rPr>
        <w:br w:type="page"/>
      </w:r>
    </w:p>
    <w:p w:rsidR="00D63DEB" w:rsidRPr="004C268D" w:rsidRDefault="00D63DEB" w:rsidP="002A153B">
      <w:pPr>
        <w:pStyle w:val="NormalParaAR"/>
        <w:jc w:val="center"/>
        <w:rPr>
          <w:rFonts w:eastAsia="Arial"/>
          <w:b/>
          <w:bCs/>
        </w:rPr>
      </w:pPr>
      <w:r w:rsidRPr="004C268D">
        <w:rPr>
          <w:rFonts w:eastAsia="Arial"/>
          <w:b/>
          <w:bCs/>
          <w:rtl/>
        </w:rPr>
        <w:lastRenderedPageBreak/>
        <w:t>الشكل ه.</w:t>
      </w:r>
      <w:r w:rsidRPr="004C268D">
        <w:rPr>
          <w:rFonts w:eastAsia="Arial"/>
          <w:b/>
          <w:bCs/>
        </w:rPr>
        <w:t>7</w:t>
      </w:r>
      <w:r w:rsidRPr="004C268D">
        <w:rPr>
          <w:rFonts w:eastAsia="Arial"/>
          <w:b/>
          <w:bCs/>
          <w:rtl/>
        </w:rPr>
        <w:t>: أين يذهب مخترعو الشرق الأوسط وجنوب آسيا وشرق آسيا وأوقيانوسيا والمحيط الهادئ؟</w:t>
      </w:r>
    </w:p>
    <w:p w:rsidR="00D63DEB" w:rsidRPr="000C75B5" w:rsidRDefault="00D63DEB" w:rsidP="002A153B">
      <w:pPr>
        <w:pStyle w:val="Text"/>
        <w:jc w:val="center"/>
        <w:rPr>
          <w:rStyle w:val="Strong"/>
          <w:b w:val="0"/>
          <w:bCs w:val="0"/>
        </w:rPr>
      </w:pPr>
      <w:r>
        <w:rPr>
          <w:noProof/>
        </w:rPr>
        <w:drawing>
          <wp:inline distT="0" distB="0" distL="0" distR="0" wp14:anchorId="5BCBD1B3" wp14:editId="3538ADCC">
            <wp:extent cx="5728458" cy="3057753"/>
            <wp:effectExtent l="0" t="0" r="5715" b="9525"/>
            <wp:docPr id="15" name="Immagine 51" descr="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pping exercise"/>
                    <pic:cNvPicPr>
                      <a:picLocks noChangeAspect="1" noChangeArrowheads="1"/>
                    </pic:cNvPicPr>
                  </pic:nvPicPr>
                  <pic:blipFill rotWithShape="1">
                    <a:blip r:embed="rId16" cstate="print"/>
                    <a:srcRect b="6023"/>
                    <a:stretch/>
                  </pic:blipFill>
                  <pic:spPr bwMode="auto">
                    <a:xfrm>
                      <a:off x="0" y="0"/>
                      <a:ext cx="5749747" cy="3069116"/>
                    </a:xfrm>
                    <a:prstGeom prst="rect">
                      <a:avLst/>
                    </a:prstGeom>
                    <a:noFill/>
                    <a:ln>
                      <a:noFill/>
                    </a:ln>
                    <a:extLst>
                      <a:ext uri="{53640926-AAD7-44D8-BBD7-CCE9431645EC}">
                        <a14:shadowObscured xmlns:a14="http://schemas.microsoft.com/office/drawing/2010/main"/>
                      </a:ext>
                    </a:extLst>
                  </pic:spPr>
                </pic:pic>
              </a:graphicData>
            </a:graphic>
          </wp:inline>
        </w:drawing>
      </w:r>
    </w:p>
    <w:p w:rsidR="00D63DEB" w:rsidRPr="002A153B" w:rsidRDefault="00D63DEB" w:rsidP="00A9254B">
      <w:pPr>
        <w:pStyle w:val="Heading2AR"/>
        <w:rPr>
          <w:rFonts w:eastAsia="Arial"/>
          <w:b/>
          <w:bCs/>
          <w:sz w:val="36"/>
          <w:szCs w:val="36"/>
        </w:rPr>
      </w:pPr>
      <w:r w:rsidRPr="002A153B">
        <w:rPr>
          <w:rFonts w:eastAsia="Arial"/>
          <w:b/>
          <w:bCs/>
          <w:sz w:val="36"/>
          <w:szCs w:val="36"/>
          <w:rtl/>
        </w:rPr>
        <w:t>أين يذهب مخترعو أوروبا وآسيا الوسطى؟</w:t>
      </w:r>
    </w:p>
    <w:p w:rsidR="00D63DEB" w:rsidRPr="00A9254B" w:rsidRDefault="00D63DEB" w:rsidP="00A9254B">
      <w:pPr>
        <w:pStyle w:val="NormalParaAR"/>
        <w:rPr>
          <w:rFonts w:eastAsia="Arial"/>
        </w:rPr>
      </w:pPr>
      <w:r w:rsidRPr="00A9254B">
        <w:rPr>
          <w:rFonts w:eastAsia="Arial"/>
          <w:rtl/>
        </w:rPr>
        <w:t xml:space="preserve">تختلف أغلبية المخترعين المهاجرين من هذه المنطقة عن المناطق الأخرى التي خضعت للتحليل في عدم توجههم إلى الولايات المتحدة، بل يبقون داخل أوروبا وآسيا الوسطى، وجلهم ينتقل تحديداً داخل أوروبا الغربية وإليها. </w:t>
      </w:r>
      <w:proofErr w:type="gramStart"/>
      <w:r w:rsidRPr="00A9254B">
        <w:rPr>
          <w:rFonts w:eastAsia="Arial"/>
          <w:rtl/>
        </w:rPr>
        <w:t>وتأتي</w:t>
      </w:r>
      <w:proofErr w:type="gramEnd"/>
      <w:r w:rsidRPr="00A9254B">
        <w:rPr>
          <w:rFonts w:eastAsia="Arial"/>
          <w:rtl/>
        </w:rPr>
        <w:t xml:space="preserve"> الولايات المتحدة في المرتبة الثانية من حيث جذب المواهب من هذه المنطقة، حيث يعزى إليها </w:t>
      </w:r>
      <w:r w:rsidRPr="00A9254B">
        <w:rPr>
          <w:rFonts w:eastAsia="Arial"/>
        </w:rPr>
        <w:t>31</w:t>
      </w:r>
      <w:r w:rsidRPr="00A9254B">
        <w:rPr>
          <w:rFonts w:eastAsia="Arial"/>
          <w:rtl/>
        </w:rPr>
        <w:t xml:space="preserve"> بالمائة من جميع المهاجرين إلى الولايات المتحدة. ومن المفسرات المحتملة لتدفقات المخترعين الكبيرة داخل المنطقة وضع الدخل المرتفع وروابط اللغة وانفتاح أسواق العمالة الأوروبية الغربية، غير أن النظر في أكثر بلدان المقصد الجاذبة للمهاجرين من بلدان أوروبا وآسيا الوسطى يبين أن الولايات المتحدة ما</w:t>
      </w:r>
      <w:r w:rsidR="002A153B">
        <w:rPr>
          <w:rFonts w:eastAsia="Arial" w:hint="cs"/>
          <w:rtl/>
        </w:rPr>
        <w:t xml:space="preserve"> </w:t>
      </w:r>
      <w:r w:rsidRPr="00A9254B">
        <w:rPr>
          <w:rFonts w:eastAsia="Arial"/>
          <w:rtl/>
        </w:rPr>
        <w:t>زالت المقصد المفضل لمعظم بلدان المنبع.</w:t>
      </w:r>
    </w:p>
    <w:p w:rsidR="00D63DEB" w:rsidRPr="004C268D" w:rsidRDefault="00D63DEB" w:rsidP="002A153B">
      <w:pPr>
        <w:pStyle w:val="NormalParaAR"/>
        <w:jc w:val="center"/>
        <w:rPr>
          <w:rFonts w:eastAsia="Arial"/>
          <w:b/>
          <w:bCs/>
        </w:rPr>
      </w:pPr>
      <w:r w:rsidRPr="004C268D">
        <w:rPr>
          <w:rFonts w:eastAsia="Arial"/>
          <w:b/>
          <w:bCs/>
          <w:rtl/>
        </w:rPr>
        <w:t>الشكل ه.</w:t>
      </w:r>
      <w:r w:rsidRPr="004C268D">
        <w:rPr>
          <w:rFonts w:eastAsia="Arial"/>
          <w:b/>
          <w:bCs/>
        </w:rPr>
        <w:t>8</w:t>
      </w:r>
      <w:r w:rsidRPr="004C268D">
        <w:rPr>
          <w:rFonts w:eastAsia="Arial"/>
          <w:b/>
          <w:bCs/>
          <w:rtl/>
        </w:rPr>
        <w:t>: أين يذهب مخترعو أوروبا وآسيا الوسطى؟</w:t>
      </w:r>
    </w:p>
    <w:p w:rsidR="00D63DEB" w:rsidRPr="000C75B5" w:rsidRDefault="00D63DEB" w:rsidP="00577428">
      <w:pPr>
        <w:pStyle w:val="Text"/>
        <w:jc w:val="center"/>
        <w:rPr>
          <w:rStyle w:val="Strong"/>
          <w:b w:val="0"/>
          <w:bCs w:val="0"/>
        </w:rPr>
      </w:pPr>
      <w:r>
        <w:rPr>
          <w:noProof/>
        </w:rPr>
        <w:drawing>
          <wp:inline distT="0" distB="0" distL="0" distR="0" wp14:anchorId="5B97BC70" wp14:editId="6724FF02">
            <wp:extent cx="5110542" cy="2669201"/>
            <wp:effectExtent l="0" t="0" r="0" b="0"/>
            <wp:docPr id="18" name="Immagine 55" descr="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pping exercise"/>
                    <pic:cNvPicPr>
                      <a:picLocks noChangeAspect="1" noChangeArrowheads="1"/>
                    </pic:cNvPicPr>
                  </pic:nvPicPr>
                  <pic:blipFill rotWithShape="1">
                    <a:blip r:embed="rId17" cstate="print"/>
                    <a:srcRect b="5400"/>
                    <a:stretch/>
                  </pic:blipFill>
                  <pic:spPr bwMode="auto">
                    <a:xfrm>
                      <a:off x="0" y="0"/>
                      <a:ext cx="5118236" cy="2673219"/>
                    </a:xfrm>
                    <a:prstGeom prst="rect">
                      <a:avLst/>
                    </a:prstGeom>
                    <a:noFill/>
                    <a:ln>
                      <a:noFill/>
                    </a:ln>
                    <a:extLst>
                      <a:ext uri="{53640926-AAD7-44D8-BBD7-CCE9431645EC}">
                        <a14:shadowObscured xmlns:a14="http://schemas.microsoft.com/office/drawing/2010/main"/>
                      </a:ext>
                    </a:extLst>
                  </pic:spPr>
                </pic:pic>
              </a:graphicData>
            </a:graphic>
          </wp:inline>
        </w:drawing>
      </w:r>
    </w:p>
    <w:p w:rsidR="00D63DEB" w:rsidRDefault="00D63DEB" w:rsidP="00D63DEB">
      <w:pPr>
        <w:pStyle w:val="Text"/>
      </w:pPr>
      <w:r>
        <w:br w:type="page"/>
      </w:r>
    </w:p>
    <w:p w:rsidR="00D63DEB" w:rsidRPr="00A9254B" w:rsidRDefault="00D63DEB" w:rsidP="00A9254B">
      <w:pPr>
        <w:pStyle w:val="Heading2AR"/>
        <w:rPr>
          <w:rFonts w:eastAsia="Arial"/>
        </w:rPr>
      </w:pPr>
      <w:proofErr w:type="gramStart"/>
      <w:r w:rsidRPr="00A9254B">
        <w:rPr>
          <w:rFonts w:eastAsia="Arial"/>
          <w:rtl/>
        </w:rPr>
        <w:lastRenderedPageBreak/>
        <w:t>ملاحظات</w:t>
      </w:r>
      <w:proofErr w:type="gramEnd"/>
      <w:r w:rsidRPr="00A9254B">
        <w:rPr>
          <w:rFonts w:eastAsia="Arial"/>
          <w:rtl/>
        </w:rPr>
        <w:t xml:space="preserve"> ختامية</w:t>
      </w:r>
    </w:p>
    <w:p w:rsidR="00D63DEB" w:rsidRPr="00A9254B" w:rsidRDefault="00D63DEB" w:rsidP="00A9254B">
      <w:pPr>
        <w:pStyle w:val="NormalParaAR"/>
        <w:rPr>
          <w:rFonts w:eastAsia="Arial"/>
        </w:rPr>
      </w:pPr>
      <w:r w:rsidRPr="00A9254B">
        <w:rPr>
          <w:rFonts w:eastAsia="Arial"/>
          <w:rtl/>
        </w:rPr>
        <w:t xml:space="preserve">يصف هذا التقرير مجموعة بيانات عالمية جديدة للمخترعين المهاجرين باستخدام معلومات عن جنسيات المخترعين ومحال إقامتهم المتاحة في طلبات معاهدة التعاون بشأن البراءات. ويمكن من خلال استخدام بيانات البراءات لتتبع أنماط هجرة العمال ذوي المهارات العالية تتبعاً جغرافياً التغلب على التقييدات التي تحد من فائدة مجموعات بيانات الهجرة القائمة. </w:t>
      </w:r>
    </w:p>
    <w:p w:rsidR="00D63DEB" w:rsidRPr="00A9254B" w:rsidRDefault="00D63DEB" w:rsidP="00A9254B">
      <w:pPr>
        <w:pStyle w:val="NormalParaAR"/>
        <w:rPr>
          <w:rFonts w:eastAsia="Arial"/>
        </w:rPr>
      </w:pPr>
      <w:r w:rsidRPr="00A9254B">
        <w:rPr>
          <w:rFonts w:eastAsia="Arial"/>
          <w:rtl/>
        </w:rPr>
        <w:t xml:space="preserve">وبالرغم من بعض المحاذير، تدون قاعدة البيانات الجديدة هذه بشكل مفيد ظاهرة لها أهمية متنامية. ولا شك أن الاستعراض الوصفي المقدم في هذا التقرير يوحي باتساقه مع أنماط الهجرة واتجاهاتها </w:t>
      </w:r>
      <w:proofErr w:type="spellStart"/>
      <w:r w:rsidRPr="00A9254B">
        <w:rPr>
          <w:rFonts w:eastAsia="Arial"/>
          <w:rtl/>
        </w:rPr>
        <w:t>المستقاة</w:t>
      </w:r>
      <w:proofErr w:type="spellEnd"/>
      <w:r w:rsidRPr="00A9254B">
        <w:rPr>
          <w:rFonts w:eastAsia="Arial"/>
          <w:rtl/>
        </w:rPr>
        <w:t xml:space="preserve"> من بيانات السكان. </w:t>
      </w:r>
      <w:proofErr w:type="gramStart"/>
      <w:r w:rsidRPr="00A9254B">
        <w:rPr>
          <w:rFonts w:eastAsia="Arial"/>
          <w:rtl/>
        </w:rPr>
        <w:t>وفي</w:t>
      </w:r>
      <w:proofErr w:type="gramEnd"/>
      <w:r w:rsidRPr="00A9254B">
        <w:rPr>
          <w:rFonts w:eastAsia="Arial"/>
          <w:rtl/>
        </w:rPr>
        <w:t xml:space="preserve"> نفس الوقت، تفتح قاعدة البيانات آفاقاً جديدة للبحث، مما يبشر بإخراج رؤى تجريبية جديدة من شأنها أن تفيد في عمليتي سياسات الابتكار وسياسات الهجرة.</w:t>
      </w:r>
    </w:p>
    <w:p w:rsidR="00D63DEB" w:rsidRPr="00BB2A5B" w:rsidRDefault="00D63DEB" w:rsidP="00577428">
      <w:pPr>
        <w:pStyle w:val="Text"/>
        <w:bidi/>
      </w:pPr>
    </w:p>
    <w:p w:rsidR="00D63DEB" w:rsidRPr="007724BA" w:rsidRDefault="00D63DEB" w:rsidP="00A9254B">
      <w:pPr>
        <w:pStyle w:val="EndofDocumentAR"/>
      </w:pPr>
      <w:r>
        <w:rPr>
          <w:rFonts w:eastAsia="Arial"/>
          <w:rtl/>
        </w:rPr>
        <w:t xml:space="preserve">[نهاية المرفق </w:t>
      </w:r>
      <w:proofErr w:type="gramStart"/>
      <w:r>
        <w:rPr>
          <w:rFonts w:eastAsia="Arial"/>
          <w:rtl/>
        </w:rPr>
        <w:t>والوثيقة</w:t>
      </w:r>
      <w:proofErr w:type="gramEnd"/>
      <w:r>
        <w:rPr>
          <w:rFonts w:eastAsia="Arial"/>
          <w:rtl/>
        </w:rPr>
        <w:t>]</w:t>
      </w:r>
    </w:p>
    <w:p w:rsidR="00D63DEB" w:rsidRPr="00701E3B" w:rsidRDefault="00D63DEB" w:rsidP="00577428">
      <w:pPr>
        <w:pStyle w:val="Text"/>
        <w:bidi/>
        <w:rPr>
          <w:sz w:val="18"/>
          <w:szCs w:val="18"/>
        </w:rPr>
      </w:pPr>
    </w:p>
    <w:sectPr w:rsidR="00D63DEB" w:rsidRPr="00701E3B" w:rsidSect="007C61FF">
      <w:headerReference w:type="first" r:id="rId18"/>
      <w:footerReference w:type="first" r:id="rId19"/>
      <w:pgSz w:w="11907" w:h="16840" w:code="9"/>
      <w:pgMar w:top="567" w:right="1418" w:bottom="1418" w:left="1134"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53B" w:rsidRDefault="002A153B">
      <w:r>
        <w:separator/>
      </w:r>
    </w:p>
  </w:endnote>
  <w:endnote w:type="continuationSeparator" w:id="0">
    <w:p w:rsidR="002A153B" w:rsidRDefault="002A1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53B" w:rsidRDefault="002A1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53B" w:rsidRDefault="002A153B" w:rsidP="009622BF">
      <w:pPr>
        <w:bidi/>
      </w:pPr>
      <w:bookmarkStart w:id="0" w:name="OLE_LINK1"/>
      <w:bookmarkStart w:id="1" w:name="OLE_LINK2"/>
      <w:r>
        <w:separator/>
      </w:r>
      <w:bookmarkEnd w:id="0"/>
      <w:bookmarkEnd w:id="1"/>
    </w:p>
  </w:footnote>
  <w:footnote w:type="continuationSeparator" w:id="0">
    <w:p w:rsidR="002A153B" w:rsidRDefault="002A153B" w:rsidP="009622BF">
      <w:pPr>
        <w:bidi/>
      </w:pPr>
      <w:r>
        <w:separator/>
      </w:r>
    </w:p>
  </w:footnote>
  <w:footnote w:id="1">
    <w:p w:rsidR="002A153B" w:rsidRPr="00D817CD" w:rsidRDefault="002A153B" w:rsidP="000901CE">
      <w:pPr>
        <w:pStyle w:val="NormalParaAR"/>
        <w:spacing w:after="0"/>
        <w:rPr>
          <w:sz w:val="28"/>
          <w:szCs w:val="28"/>
        </w:rPr>
      </w:pPr>
      <w:r w:rsidRPr="00D817CD">
        <w:rPr>
          <w:rStyle w:val="FootnoteReference"/>
          <w:sz w:val="20"/>
          <w:szCs w:val="20"/>
        </w:rPr>
        <w:footnoteRef/>
      </w:r>
      <w:r>
        <w:rPr>
          <w:rFonts w:eastAsia="Arial" w:hint="cs"/>
          <w:sz w:val="28"/>
          <w:szCs w:val="28"/>
          <w:rtl/>
        </w:rPr>
        <w:t xml:space="preserve">  </w:t>
      </w:r>
      <w:r w:rsidRPr="00D817CD">
        <w:rPr>
          <w:rFonts w:eastAsia="Arial"/>
          <w:sz w:val="28"/>
          <w:szCs w:val="28"/>
          <w:rtl/>
        </w:rPr>
        <w:t xml:space="preserve">تقرير المنظمة الدولية للهجرة </w:t>
      </w:r>
      <w:r w:rsidRPr="00D817CD">
        <w:rPr>
          <w:rFonts w:eastAsia="Arial"/>
          <w:sz w:val="28"/>
          <w:szCs w:val="28"/>
        </w:rPr>
        <w:t>2008</w:t>
      </w:r>
      <w:r w:rsidRPr="00D817CD">
        <w:rPr>
          <w:rFonts w:eastAsia="Arial"/>
          <w:sz w:val="28"/>
          <w:szCs w:val="28"/>
          <w:rtl/>
        </w:rPr>
        <w:t xml:space="preserve"> "الهجرة العالمية </w:t>
      </w:r>
      <w:r w:rsidRPr="00D817CD">
        <w:rPr>
          <w:rFonts w:eastAsia="Arial"/>
          <w:sz w:val="28"/>
          <w:szCs w:val="28"/>
        </w:rPr>
        <w:t>2008</w:t>
      </w:r>
      <w:r w:rsidRPr="00D817CD">
        <w:rPr>
          <w:rFonts w:eastAsia="Arial"/>
          <w:sz w:val="28"/>
          <w:szCs w:val="28"/>
          <w:rtl/>
        </w:rPr>
        <w:t>: إدارة تنقل العمالة</w:t>
      </w:r>
      <w:r>
        <w:rPr>
          <w:rFonts w:eastAsia="Arial"/>
          <w:sz w:val="28"/>
          <w:szCs w:val="28"/>
          <w:rtl/>
        </w:rPr>
        <w:t xml:space="preserve"> في ظل الاقتصاد العالمي المتطور</w:t>
      </w:r>
      <w:r w:rsidRPr="00D817CD">
        <w:rPr>
          <w:rFonts w:eastAsia="Arial"/>
          <w:sz w:val="28"/>
          <w:szCs w:val="28"/>
          <w:rtl/>
        </w:rPr>
        <w:t>"</w:t>
      </w:r>
      <w:r>
        <w:rPr>
          <w:rFonts w:eastAsia="Arial" w:hint="cs"/>
          <w:sz w:val="28"/>
          <w:szCs w:val="28"/>
          <w:rtl/>
        </w:rPr>
        <w:t>.</w:t>
      </w:r>
      <w:r w:rsidRPr="00D817CD">
        <w:rPr>
          <w:rFonts w:eastAsia="Arial"/>
          <w:sz w:val="28"/>
          <w:szCs w:val="28"/>
          <w:rtl/>
        </w:rPr>
        <w:t xml:space="preserve"> جنيف، </w:t>
      </w:r>
      <w:proofErr w:type="gramStart"/>
      <w:r w:rsidRPr="00D817CD">
        <w:rPr>
          <w:rFonts w:eastAsia="Arial"/>
          <w:sz w:val="28"/>
          <w:szCs w:val="28"/>
          <w:rtl/>
        </w:rPr>
        <w:t>سويسرا</w:t>
      </w:r>
      <w:proofErr w:type="gramEnd"/>
      <w:r w:rsidRPr="00D817CD">
        <w:rPr>
          <w:rFonts w:eastAsia="Arial"/>
          <w:sz w:val="28"/>
          <w:szCs w:val="28"/>
          <w:rtl/>
        </w:rPr>
        <w:t>: المنظمة الدولية للهجرة.</w:t>
      </w:r>
    </w:p>
  </w:footnote>
  <w:footnote w:id="2">
    <w:p w:rsidR="002A153B" w:rsidRDefault="002A153B" w:rsidP="000901CE">
      <w:pPr>
        <w:pStyle w:val="NormalParaAR"/>
        <w:spacing w:after="0"/>
      </w:pPr>
      <w:r w:rsidRPr="00D817CD">
        <w:rPr>
          <w:rStyle w:val="FootnoteReference"/>
          <w:sz w:val="20"/>
          <w:szCs w:val="20"/>
        </w:rPr>
        <w:footnoteRef/>
      </w:r>
      <w:r w:rsidRPr="00D817CD">
        <w:rPr>
          <w:rFonts w:eastAsia="Arial"/>
          <w:sz w:val="28"/>
          <w:szCs w:val="28"/>
          <w:rtl/>
        </w:rPr>
        <w:t xml:space="preserve"> </w:t>
      </w:r>
      <w:r w:rsidRPr="00D817CD">
        <w:rPr>
          <w:rFonts w:eastAsia="Arial"/>
          <w:sz w:val="28"/>
          <w:szCs w:val="28"/>
        </w:rPr>
        <w:t xml:space="preserve">Salt, John. 1997. “International Movements of the Highly Skilled”. </w:t>
      </w:r>
      <w:proofErr w:type="gramStart"/>
      <w:r w:rsidRPr="00D817CD">
        <w:rPr>
          <w:rFonts w:eastAsia="Arial"/>
          <w:sz w:val="28"/>
          <w:szCs w:val="28"/>
        </w:rPr>
        <w:t>OECD Social, Employment and Migration Working Paper 3</w:t>
      </w:r>
      <w:r w:rsidRPr="00D817CD">
        <w:rPr>
          <w:rFonts w:eastAsia="Arial"/>
          <w:sz w:val="28"/>
          <w:szCs w:val="28"/>
          <w:rtl/>
        </w:rPr>
        <w:t>.</w:t>
      </w:r>
      <w:proofErr w:type="gramEnd"/>
      <w:r w:rsidRPr="00D817CD">
        <w:rPr>
          <w:rFonts w:eastAsia="Arial"/>
          <w:sz w:val="28"/>
          <w:szCs w:val="28"/>
          <w:rtl/>
        </w:rPr>
        <w:t xml:space="preserve"> نشر </w:t>
      </w:r>
      <w:proofErr w:type="gramStart"/>
      <w:r w:rsidRPr="00D817CD">
        <w:rPr>
          <w:rFonts w:eastAsia="Arial"/>
          <w:sz w:val="28"/>
          <w:szCs w:val="28"/>
          <w:rtl/>
        </w:rPr>
        <w:t>منظمة</w:t>
      </w:r>
      <w:proofErr w:type="gramEnd"/>
      <w:r w:rsidRPr="00D817CD">
        <w:rPr>
          <w:rFonts w:eastAsia="Arial"/>
          <w:sz w:val="28"/>
          <w:szCs w:val="28"/>
          <w:rtl/>
        </w:rPr>
        <w:t xml:space="preserve"> التعاون والتنمية في الميدان الاقتصادي.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53B" w:rsidRDefault="002A153B" w:rsidP="00A871F4">
    <w:r>
      <w:rPr>
        <w:lang w:val="fr-CH"/>
      </w:rPr>
      <w:t>CDIP</w:t>
    </w:r>
    <w:r>
      <w:t>/12/INF/4</w:t>
    </w:r>
  </w:p>
  <w:p w:rsidR="002A153B" w:rsidRDefault="002A153B" w:rsidP="00A871F4">
    <w:r>
      <w:t>Annex</w:t>
    </w:r>
  </w:p>
  <w:p w:rsidR="002A153B" w:rsidRDefault="002A153B" w:rsidP="00D61541">
    <w:r>
      <w:fldChar w:fldCharType="begin"/>
    </w:r>
    <w:r>
      <w:instrText xml:space="preserve"> PAGE  \* MERGEFORMAT </w:instrText>
    </w:r>
    <w:r>
      <w:fldChar w:fldCharType="separate"/>
    </w:r>
    <w:r w:rsidR="00A717E8">
      <w:rPr>
        <w:noProof/>
      </w:rPr>
      <w:t>2</w:t>
    </w:r>
    <w:r>
      <w:fldChar w:fldCharType="end"/>
    </w:r>
  </w:p>
  <w:p w:rsidR="002A153B" w:rsidRDefault="002A153B" w:rsidP="00D615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53B" w:rsidRDefault="002A153B">
    <w:pPr>
      <w:pStyle w:val="Header"/>
    </w:pPr>
    <w:r>
      <w:t>CDIP/12/INF/4</w:t>
    </w:r>
  </w:p>
  <w:p w:rsidR="002A153B" w:rsidRDefault="002A153B">
    <w:pPr>
      <w:pStyle w:val="Header"/>
    </w:pPr>
    <w:r>
      <w:t>ANNEX</w:t>
    </w:r>
  </w:p>
  <w:p w:rsidR="002A153B" w:rsidRPr="00DB362D" w:rsidRDefault="00DB362D">
    <w:pPr>
      <w:pStyle w:val="Header"/>
      <w:rPr>
        <w:rFonts w:ascii="Arabic Typesetting" w:hAnsi="Arabic Typesetting" w:cs="Arabic Typesetting"/>
        <w:sz w:val="36"/>
        <w:szCs w:val="36"/>
      </w:rPr>
    </w:pPr>
    <w:r w:rsidRPr="00DB362D">
      <w:rPr>
        <w:rFonts w:ascii="Arabic Typesetting" w:hAnsi="Arabic Typesetting" w:cs="Arabic Typesetting"/>
        <w:sz w:val="36"/>
        <w:szCs w:val="36"/>
        <w:rtl/>
      </w:rPr>
      <w:t>المرفق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2AFA66"/>
    <w:lvl w:ilvl="0">
      <w:start w:val="1"/>
      <w:numFmt w:val="decimal"/>
      <w:lvlText w:val="%1."/>
      <w:lvlJc w:val="left"/>
      <w:pPr>
        <w:tabs>
          <w:tab w:val="num" w:pos="1492"/>
        </w:tabs>
        <w:ind w:left="1492" w:hanging="360"/>
      </w:pPr>
    </w:lvl>
  </w:abstractNum>
  <w:abstractNum w:abstractNumId="1">
    <w:nsid w:val="FFFFFF7D"/>
    <w:multiLevelType w:val="singleLevel"/>
    <w:tmpl w:val="FD22C480"/>
    <w:lvl w:ilvl="0">
      <w:start w:val="1"/>
      <w:numFmt w:val="decimal"/>
      <w:lvlText w:val="%1."/>
      <w:lvlJc w:val="left"/>
      <w:pPr>
        <w:tabs>
          <w:tab w:val="num" w:pos="1209"/>
        </w:tabs>
        <w:ind w:left="1209" w:hanging="360"/>
      </w:pPr>
    </w:lvl>
  </w:abstractNum>
  <w:abstractNum w:abstractNumId="2">
    <w:nsid w:val="FFFFFF7E"/>
    <w:multiLevelType w:val="singleLevel"/>
    <w:tmpl w:val="E5B28C26"/>
    <w:lvl w:ilvl="0">
      <w:start w:val="1"/>
      <w:numFmt w:val="decimal"/>
      <w:lvlText w:val="%1."/>
      <w:lvlJc w:val="left"/>
      <w:pPr>
        <w:tabs>
          <w:tab w:val="num" w:pos="926"/>
        </w:tabs>
        <w:ind w:left="926" w:hanging="360"/>
      </w:pPr>
    </w:lvl>
  </w:abstractNum>
  <w:abstractNum w:abstractNumId="3">
    <w:nsid w:val="FFFFFF7F"/>
    <w:multiLevelType w:val="singleLevel"/>
    <w:tmpl w:val="E584A17C"/>
    <w:lvl w:ilvl="0">
      <w:start w:val="1"/>
      <w:numFmt w:val="decimal"/>
      <w:lvlText w:val="%1."/>
      <w:lvlJc w:val="left"/>
      <w:pPr>
        <w:tabs>
          <w:tab w:val="num" w:pos="643"/>
        </w:tabs>
        <w:ind w:left="643" w:hanging="360"/>
      </w:pPr>
    </w:lvl>
  </w:abstractNum>
  <w:abstractNum w:abstractNumId="4">
    <w:nsid w:val="FFFFFF80"/>
    <w:multiLevelType w:val="singleLevel"/>
    <w:tmpl w:val="337A4E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2C38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EA2F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CA47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B8DA0A"/>
    <w:lvl w:ilvl="0">
      <w:start w:val="1"/>
      <w:numFmt w:val="upperLetter"/>
      <w:lvlRestart w:val="0"/>
      <w:lvlText w:val="%1."/>
      <w:lvlJc w:val="left"/>
      <w:pPr>
        <w:tabs>
          <w:tab w:val="num" w:pos="567"/>
        </w:tabs>
        <w:ind w:left="0" w:firstLine="0"/>
      </w:pPr>
      <w:rPr>
        <w:rFonts w:ascii="Arabic Typesetting" w:hAnsi="Arabic Typesetting" w:cs="Arabic Typesetting" w:hint="default"/>
        <w:b w:val="0"/>
        <w:i/>
        <w:iCs/>
        <w:color w:val="auto"/>
        <w:sz w:val="34"/>
        <w:szCs w:val="34"/>
      </w:rPr>
    </w:lvl>
  </w:abstractNum>
  <w:abstractNum w:abstractNumId="9">
    <w:nsid w:val="FFFFFF89"/>
    <w:multiLevelType w:val="singleLevel"/>
    <w:tmpl w:val="87D6AB3E"/>
    <w:lvl w:ilvl="0">
      <w:start w:val="1"/>
      <w:numFmt w:val="bullet"/>
      <w:lvlText w:val=""/>
      <w:lvlJc w:val="left"/>
      <w:pPr>
        <w:tabs>
          <w:tab w:val="num" w:pos="360"/>
        </w:tabs>
        <w:ind w:left="360" w:hanging="360"/>
      </w:pPr>
      <w:rPr>
        <w:rFonts w:ascii="Symbol" w:hAnsi="Symbol" w:hint="default"/>
      </w:rPr>
    </w:lvl>
  </w:abstractNum>
  <w:abstractNum w:abstractNumId="10">
    <w:nsid w:val="1727581F"/>
    <w:multiLevelType w:val="multilevel"/>
    <w:tmpl w:val="34D8CCB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177D5000"/>
    <w:multiLevelType w:val="singleLevel"/>
    <w:tmpl w:val="0409000F"/>
    <w:lvl w:ilvl="0">
      <w:start w:val="1"/>
      <w:numFmt w:val="decimal"/>
      <w:lvlText w:val="%1."/>
      <w:lvlJc w:val="left"/>
      <w:pPr>
        <w:tabs>
          <w:tab w:val="num" w:pos="360"/>
        </w:tabs>
        <w:ind w:left="360" w:hanging="360"/>
      </w:pPr>
    </w:lvl>
  </w:abstractNum>
  <w:abstractNum w:abstractNumId="12">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F93CBC"/>
    <w:multiLevelType w:val="hybridMultilevel"/>
    <w:tmpl w:val="FB6865DE"/>
    <w:lvl w:ilvl="0" w:tplc="4FC6ED1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5CD70082"/>
    <w:multiLevelType w:val="multilevel"/>
    <w:tmpl w:val="7DD82B1A"/>
    <w:lvl w:ilvl="0">
      <w:start w:val="1"/>
      <w:numFmt w:val="decimal"/>
      <w:lvlText w:val="%1."/>
      <w:lvlJc w:val="left"/>
      <w:pPr>
        <w:tabs>
          <w:tab w:val="num" w:pos="567"/>
        </w:tabs>
        <w:ind w:left="0" w:firstLine="0"/>
      </w:pPr>
      <w:rPr>
        <w:rFonts w:ascii="Arabic Typesetting" w:hAnsi="Arabic Typesetting" w:cs="Arabic Typesetting" w:hint="default"/>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7637C8B"/>
    <w:multiLevelType w:val="hybridMultilevel"/>
    <w:tmpl w:val="BD7A977A"/>
    <w:lvl w:ilvl="0" w:tplc="943C363E">
      <w:start w:val="1"/>
      <w:numFmt w:val="decimal"/>
      <w:lvlText w:val="%1."/>
      <w:lvlJc w:val="left"/>
      <w:pPr>
        <w:tabs>
          <w:tab w:val="num" w:pos="703"/>
        </w:tabs>
        <w:ind w:left="5534"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9732E1A"/>
    <w:multiLevelType w:val="hybridMultilevel"/>
    <w:tmpl w:val="429CB222"/>
    <w:lvl w:ilvl="0" w:tplc="CDDCEC6E">
      <w:start w:val="1"/>
      <w:numFmt w:val="decimal"/>
      <w:pStyle w:val="Section"/>
      <w:lvlText w:val="%1."/>
      <w:lvlJc w:val="left"/>
      <w:pPr>
        <w:tabs>
          <w:tab w:val="num" w:pos="720"/>
        </w:tabs>
        <w:ind w:left="720" w:hanging="360"/>
      </w:pPr>
      <w:rPr>
        <w:rFonts w:hint="default"/>
      </w:rPr>
    </w:lvl>
    <w:lvl w:ilvl="1" w:tplc="B7F021C6">
      <w:start w:val="1"/>
      <w:numFmt w:val="none"/>
      <w:lvlText w:val="1.2"/>
      <w:lvlJc w:val="left"/>
      <w:pPr>
        <w:tabs>
          <w:tab w:val="num" w:pos="720"/>
        </w:tabs>
        <w:ind w:left="720" w:hanging="360"/>
      </w:pPr>
      <w:rPr>
        <w:rFonts w:hint="default"/>
      </w:rPr>
    </w:lvl>
    <w:lvl w:ilvl="2" w:tplc="FB4C4EF2">
      <w:start w:val="5"/>
      <w:numFmt w:val="bullet"/>
      <w:lvlText w:val="-"/>
      <w:lvlJc w:val="left"/>
      <w:pPr>
        <w:tabs>
          <w:tab w:val="num" w:pos="2340"/>
        </w:tabs>
        <w:ind w:left="2340" w:hanging="360"/>
      </w:pPr>
      <w:rPr>
        <w:rFonts w:ascii="Arial" w:eastAsia="Times New Roman" w:hAnsi="Arial" w:cs="Arial" w:hint="default"/>
      </w:rPr>
    </w:lvl>
    <w:lvl w:ilvl="3" w:tplc="FB849350">
      <w:start w:val="1"/>
      <w:numFmt w:val="decimal"/>
      <w:lvlText w:val="%4."/>
      <w:lvlJc w:val="left"/>
      <w:pPr>
        <w:tabs>
          <w:tab w:val="num" w:pos="2880"/>
        </w:tabs>
        <w:ind w:left="2880" w:hanging="360"/>
      </w:pPr>
      <w:rPr>
        <w:b w:val="0"/>
      </w:rPr>
    </w:lvl>
    <w:lvl w:ilvl="4" w:tplc="F7CAC2CA" w:tentative="1">
      <w:start w:val="1"/>
      <w:numFmt w:val="lowerLetter"/>
      <w:lvlText w:val="%5."/>
      <w:lvlJc w:val="left"/>
      <w:pPr>
        <w:tabs>
          <w:tab w:val="num" w:pos="3600"/>
        </w:tabs>
        <w:ind w:left="3600" w:hanging="360"/>
      </w:pPr>
    </w:lvl>
    <w:lvl w:ilvl="5" w:tplc="4C12DC26" w:tentative="1">
      <w:start w:val="1"/>
      <w:numFmt w:val="lowerRoman"/>
      <w:lvlText w:val="%6."/>
      <w:lvlJc w:val="right"/>
      <w:pPr>
        <w:tabs>
          <w:tab w:val="num" w:pos="4320"/>
        </w:tabs>
        <w:ind w:left="4320" w:hanging="180"/>
      </w:pPr>
    </w:lvl>
    <w:lvl w:ilvl="6" w:tplc="1BE2F600" w:tentative="1">
      <w:start w:val="1"/>
      <w:numFmt w:val="decimal"/>
      <w:lvlText w:val="%7."/>
      <w:lvlJc w:val="left"/>
      <w:pPr>
        <w:tabs>
          <w:tab w:val="num" w:pos="5040"/>
        </w:tabs>
        <w:ind w:left="5040" w:hanging="360"/>
      </w:pPr>
    </w:lvl>
    <w:lvl w:ilvl="7" w:tplc="21AC1AD6" w:tentative="1">
      <w:start w:val="1"/>
      <w:numFmt w:val="lowerLetter"/>
      <w:lvlText w:val="%8."/>
      <w:lvlJc w:val="left"/>
      <w:pPr>
        <w:tabs>
          <w:tab w:val="num" w:pos="5760"/>
        </w:tabs>
        <w:ind w:left="5760" w:hanging="360"/>
      </w:pPr>
    </w:lvl>
    <w:lvl w:ilvl="8" w:tplc="DE90DFB4" w:tentative="1">
      <w:start w:val="1"/>
      <w:numFmt w:val="lowerRoman"/>
      <w:lvlText w:val="%9."/>
      <w:lvlJc w:val="right"/>
      <w:pPr>
        <w:tabs>
          <w:tab w:val="num" w:pos="6480"/>
        </w:tabs>
        <w:ind w:left="6480" w:hanging="180"/>
      </w:pPr>
    </w:lvl>
  </w:abstractNum>
  <w:abstractNum w:abstractNumId="18">
    <w:nsid w:val="6FBF3CCB"/>
    <w:multiLevelType w:val="multilevel"/>
    <w:tmpl w:val="AC860180"/>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9">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ECC3A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14"/>
  </w:num>
  <w:num w:numId="3">
    <w:abstractNumId w:val="10"/>
  </w:num>
  <w:num w:numId="4">
    <w:abstractNumId w:val="18"/>
  </w:num>
  <w:num w:numId="5">
    <w:abstractNumId w:val="8"/>
  </w:num>
  <w:num w:numId="6">
    <w:abstractNumId w:val="19"/>
  </w:num>
  <w:num w:numId="7">
    <w:abstractNumId w:val="13"/>
  </w:num>
  <w:num w:numId="8">
    <w:abstractNumId w:val="16"/>
  </w:num>
  <w:num w:numId="9">
    <w:abstractNumId w:val="15"/>
  </w:num>
  <w:num w:numId="10">
    <w:abstractNumId w:val="20"/>
  </w:num>
  <w:num w:numId="11">
    <w:abstractNumId w:val="12"/>
  </w:num>
  <w:num w:numId="12">
    <w:abstractNumId w:val="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926"/>
    <w:rsid w:val="00002CBE"/>
    <w:rsid w:val="00003232"/>
    <w:rsid w:val="000033DA"/>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76F"/>
    <w:rsid w:val="00024E17"/>
    <w:rsid w:val="000258DB"/>
    <w:rsid w:val="000259E5"/>
    <w:rsid w:val="00031B2C"/>
    <w:rsid w:val="00033D2C"/>
    <w:rsid w:val="00035CE8"/>
    <w:rsid w:val="00036041"/>
    <w:rsid w:val="00037CA7"/>
    <w:rsid w:val="00040637"/>
    <w:rsid w:val="00040688"/>
    <w:rsid w:val="0004070F"/>
    <w:rsid w:val="0004115B"/>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FF5"/>
    <w:rsid w:val="00062502"/>
    <w:rsid w:val="00063C91"/>
    <w:rsid w:val="000640E7"/>
    <w:rsid w:val="00066DC7"/>
    <w:rsid w:val="0006794A"/>
    <w:rsid w:val="00067F31"/>
    <w:rsid w:val="00071138"/>
    <w:rsid w:val="00073402"/>
    <w:rsid w:val="00075745"/>
    <w:rsid w:val="00075A04"/>
    <w:rsid w:val="00075D39"/>
    <w:rsid w:val="000760C3"/>
    <w:rsid w:val="000763A4"/>
    <w:rsid w:val="00076901"/>
    <w:rsid w:val="0008237C"/>
    <w:rsid w:val="000833C3"/>
    <w:rsid w:val="0008421F"/>
    <w:rsid w:val="0008451C"/>
    <w:rsid w:val="00085A0B"/>
    <w:rsid w:val="000863B7"/>
    <w:rsid w:val="00087DB6"/>
    <w:rsid w:val="00090139"/>
    <w:rsid w:val="000901CE"/>
    <w:rsid w:val="0009024C"/>
    <w:rsid w:val="00090ADD"/>
    <w:rsid w:val="000913C0"/>
    <w:rsid w:val="00091F52"/>
    <w:rsid w:val="00092982"/>
    <w:rsid w:val="00092DD6"/>
    <w:rsid w:val="00094C85"/>
    <w:rsid w:val="00094D7E"/>
    <w:rsid w:val="0009517B"/>
    <w:rsid w:val="00095AE2"/>
    <w:rsid w:val="000962DF"/>
    <w:rsid w:val="0009661E"/>
    <w:rsid w:val="000A12BC"/>
    <w:rsid w:val="000A1306"/>
    <w:rsid w:val="000A1521"/>
    <w:rsid w:val="000A2FC1"/>
    <w:rsid w:val="000A3A57"/>
    <w:rsid w:val="000A5408"/>
    <w:rsid w:val="000A6510"/>
    <w:rsid w:val="000B0BB4"/>
    <w:rsid w:val="000B1045"/>
    <w:rsid w:val="000B1BAE"/>
    <w:rsid w:val="000B29B3"/>
    <w:rsid w:val="000B3889"/>
    <w:rsid w:val="000B3B3B"/>
    <w:rsid w:val="000B42E7"/>
    <w:rsid w:val="000B70B7"/>
    <w:rsid w:val="000B73E6"/>
    <w:rsid w:val="000B7759"/>
    <w:rsid w:val="000B777A"/>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85D"/>
    <w:rsid w:val="001042E0"/>
    <w:rsid w:val="00104C51"/>
    <w:rsid w:val="0010597B"/>
    <w:rsid w:val="00110107"/>
    <w:rsid w:val="00110531"/>
    <w:rsid w:val="00110794"/>
    <w:rsid w:val="00112524"/>
    <w:rsid w:val="00113769"/>
    <w:rsid w:val="00114141"/>
    <w:rsid w:val="00114827"/>
    <w:rsid w:val="00115266"/>
    <w:rsid w:val="00115336"/>
    <w:rsid w:val="001154FB"/>
    <w:rsid w:val="00115B51"/>
    <w:rsid w:val="001171EF"/>
    <w:rsid w:val="001173C5"/>
    <w:rsid w:val="00121092"/>
    <w:rsid w:val="00121AA0"/>
    <w:rsid w:val="00121FE6"/>
    <w:rsid w:val="00123F16"/>
    <w:rsid w:val="0012405D"/>
    <w:rsid w:val="001252B1"/>
    <w:rsid w:val="00126897"/>
    <w:rsid w:val="0012696D"/>
    <w:rsid w:val="00130FC9"/>
    <w:rsid w:val="001310EE"/>
    <w:rsid w:val="0013191A"/>
    <w:rsid w:val="00131E8F"/>
    <w:rsid w:val="00135C24"/>
    <w:rsid w:val="00136389"/>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5E6"/>
    <w:rsid w:val="001757AF"/>
    <w:rsid w:val="00175825"/>
    <w:rsid w:val="0017666F"/>
    <w:rsid w:val="00176D64"/>
    <w:rsid w:val="00176E2C"/>
    <w:rsid w:val="00177DBF"/>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A098F"/>
    <w:rsid w:val="001A10CB"/>
    <w:rsid w:val="001A110B"/>
    <w:rsid w:val="001A149A"/>
    <w:rsid w:val="001A2AB7"/>
    <w:rsid w:val="001A4A9C"/>
    <w:rsid w:val="001A6B88"/>
    <w:rsid w:val="001A6C33"/>
    <w:rsid w:val="001A6E68"/>
    <w:rsid w:val="001B3131"/>
    <w:rsid w:val="001B4B2F"/>
    <w:rsid w:val="001B7C00"/>
    <w:rsid w:val="001C09D2"/>
    <w:rsid w:val="001C130D"/>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36F5"/>
    <w:rsid w:val="001D6A48"/>
    <w:rsid w:val="001E1043"/>
    <w:rsid w:val="001E1048"/>
    <w:rsid w:val="001E10E1"/>
    <w:rsid w:val="001E175F"/>
    <w:rsid w:val="001E19F7"/>
    <w:rsid w:val="001E2669"/>
    <w:rsid w:val="001E3FB9"/>
    <w:rsid w:val="001E4083"/>
    <w:rsid w:val="001E5588"/>
    <w:rsid w:val="001E56CB"/>
    <w:rsid w:val="001E56FC"/>
    <w:rsid w:val="001E582D"/>
    <w:rsid w:val="001E6318"/>
    <w:rsid w:val="001F0AD5"/>
    <w:rsid w:val="001F0C0A"/>
    <w:rsid w:val="001F1509"/>
    <w:rsid w:val="001F18E7"/>
    <w:rsid w:val="001F3A75"/>
    <w:rsid w:val="001F3A9D"/>
    <w:rsid w:val="001F3FDB"/>
    <w:rsid w:val="001F6545"/>
    <w:rsid w:val="001F66B5"/>
    <w:rsid w:val="001F6F36"/>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20227"/>
    <w:rsid w:val="0022176B"/>
    <w:rsid w:val="00222760"/>
    <w:rsid w:val="00222782"/>
    <w:rsid w:val="0022360A"/>
    <w:rsid w:val="00226B82"/>
    <w:rsid w:val="00227103"/>
    <w:rsid w:val="00230249"/>
    <w:rsid w:val="00230D5F"/>
    <w:rsid w:val="00231BE3"/>
    <w:rsid w:val="00232C51"/>
    <w:rsid w:val="00233414"/>
    <w:rsid w:val="00233D69"/>
    <w:rsid w:val="00234E82"/>
    <w:rsid w:val="00235C9D"/>
    <w:rsid w:val="002412D4"/>
    <w:rsid w:val="0024220D"/>
    <w:rsid w:val="00242BD3"/>
    <w:rsid w:val="00242C02"/>
    <w:rsid w:val="00243155"/>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B0A"/>
    <w:rsid w:val="00266C61"/>
    <w:rsid w:val="0026749A"/>
    <w:rsid w:val="00270E72"/>
    <w:rsid w:val="0027167E"/>
    <w:rsid w:val="00271F24"/>
    <w:rsid w:val="00272503"/>
    <w:rsid w:val="00272F3A"/>
    <w:rsid w:val="002736FD"/>
    <w:rsid w:val="00273941"/>
    <w:rsid w:val="00273D91"/>
    <w:rsid w:val="002743E2"/>
    <w:rsid w:val="0027447E"/>
    <w:rsid w:val="0027520A"/>
    <w:rsid w:val="00275419"/>
    <w:rsid w:val="00275A2D"/>
    <w:rsid w:val="0027655E"/>
    <w:rsid w:val="002772A5"/>
    <w:rsid w:val="002806F8"/>
    <w:rsid w:val="002810B5"/>
    <w:rsid w:val="00281F4F"/>
    <w:rsid w:val="00286744"/>
    <w:rsid w:val="002909B9"/>
    <w:rsid w:val="00292CEE"/>
    <w:rsid w:val="00292D22"/>
    <w:rsid w:val="0029470D"/>
    <w:rsid w:val="00297B80"/>
    <w:rsid w:val="002A076C"/>
    <w:rsid w:val="002A1059"/>
    <w:rsid w:val="002A153B"/>
    <w:rsid w:val="002A3C9D"/>
    <w:rsid w:val="002A5403"/>
    <w:rsid w:val="002A6C9F"/>
    <w:rsid w:val="002A77F3"/>
    <w:rsid w:val="002B14F0"/>
    <w:rsid w:val="002B1F0F"/>
    <w:rsid w:val="002B53D3"/>
    <w:rsid w:val="002B6202"/>
    <w:rsid w:val="002C014C"/>
    <w:rsid w:val="002C060C"/>
    <w:rsid w:val="002C0BA6"/>
    <w:rsid w:val="002C12A7"/>
    <w:rsid w:val="002C2B6F"/>
    <w:rsid w:val="002C314F"/>
    <w:rsid w:val="002C4AD1"/>
    <w:rsid w:val="002C7D29"/>
    <w:rsid w:val="002D0298"/>
    <w:rsid w:val="002D1662"/>
    <w:rsid w:val="002D1DE5"/>
    <w:rsid w:val="002D3506"/>
    <w:rsid w:val="002D3670"/>
    <w:rsid w:val="002D4807"/>
    <w:rsid w:val="002D5DDC"/>
    <w:rsid w:val="002D5F16"/>
    <w:rsid w:val="002D62F1"/>
    <w:rsid w:val="002D6FD8"/>
    <w:rsid w:val="002D727B"/>
    <w:rsid w:val="002D7EAD"/>
    <w:rsid w:val="002E0704"/>
    <w:rsid w:val="002E1169"/>
    <w:rsid w:val="002E1218"/>
    <w:rsid w:val="002E28F3"/>
    <w:rsid w:val="002E7615"/>
    <w:rsid w:val="002E7A2A"/>
    <w:rsid w:val="002E7F16"/>
    <w:rsid w:val="002F1425"/>
    <w:rsid w:val="002F2EC8"/>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11453"/>
    <w:rsid w:val="003114C9"/>
    <w:rsid w:val="0031229D"/>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4127"/>
    <w:rsid w:val="00335CA6"/>
    <w:rsid w:val="003365F0"/>
    <w:rsid w:val="00336C50"/>
    <w:rsid w:val="00337388"/>
    <w:rsid w:val="0034007D"/>
    <w:rsid w:val="003433E5"/>
    <w:rsid w:val="00344082"/>
    <w:rsid w:val="0034582C"/>
    <w:rsid w:val="00345916"/>
    <w:rsid w:val="00345CAC"/>
    <w:rsid w:val="0034789E"/>
    <w:rsid w:val="003501DA"/>
    <w:rsid w:val="003503E2"/>
    <w:rsid w:val="00351DC1"/>
    <w:rsid w:val="003534EE"/>
    <w:rsid w:val="003600A2"/>
    <w:rsid w:val="003612D8"/>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18B3"/>
    <w:rsid w:val="0038356A"/>
    <w:rsid w:val="0038382F"/>
    <w:rsid w:val="0038443F"/>
    <w:rsid w:val="00385427"/>
    <w:rsid w:val="00387542"/>
    <w:rsid w:val="00387C6B"/>
    <w:rsid w:val="00390F67"/>
    <w:rsid w:val="00390FC0"/>
    <w:rsid w:val="003911B2"/>
    <w:rsid w:val="00391AFE"/>
    <w:rsid w:val="00392705"/>
    <w:rsid w:val="0039283A"/>
    <w:rsid w:val="00393A79"/>
    <w:rsid w:val="0039419C"/>
    <w:rsid w:val="00395987"/>
    <w:rsid w:val="00396375"/>
    <w:rsid w:val="00396801"/>
    <w:rsid w:val="00396E82"/>
    <w:rsid w:val="003A07FF"/>
    <w:rsid w:val="003A146E"/>
    <w:rsid w:val="003A26CD"/>
    <w:rsid w:val="003A37F7"/>
    <w:rsid w:val="003A54E9"/>
    <w:rsid w:val="003A5E7C"/>
    <w:rsid w:val="003A78C7"/>
    <w:rsid w:val="003A7E9A"/>
    <w:rsid w:val="003B15FE"/>
    <w:rsid w:val="003B1C41"/>
    <w:rsid w:val="003B46AD"/>
    <w:rsid w:val="003B5C96"/>
    <w:rsid w:val="003B65FB"/>
    <w:rsid w:val="003B6A26"/>
    <w:rsid w:val="003C218D"/>
    <w:rsid w:val="003C3D89"/>
    <w:rsid w:val="003C3EE2"/>
    <w:rsid w:val="003C4224"/>
    <w:rsid w:val="003C426D"/>
    <w:rsid w:val="003C4877"/>
    <w:rsid w:val="003C4B42"/>
    <w:rsid w:val="003C4E91"/>
    <w:rsid w:val="003C6D76"/>
    <w:rsid w:val="003C72F6"/>
    <w:rsid w:val="003D073C"/>
    <w:rsid w:val="003D0791"/>
    <w:rsid w:val="003D1130"/>
    <w:rsid w:val="003D37D4"/>
    <w:rsid w:val="003D47A7"/>
    <w:rsid w:val="003D56B5"/>
    <w:rsid w:val="003D5DCC"/>
    <w:rsid w:val="003D6B84"/>
    <w:rsid w:val="003E1A49"/>
    <w:rsid w:val="003E21F7"/>
    <w:rsid w:val="003E2D01"/>
    <w:rsid w:val="003E330E"/>
    <w:rsid w:val="003E3AE3"/>
    <w:rsid w:val="003E5733"/>
    <w:rsid w:val="003E5E27"/>
    <w:rsid w:val="003E6FD2"/>
    <w:rsid w:val="003E788F"/>
    <w:rsid w:val="003E7A97"/>
    <w:rsid w:val="003E7D3A"/>
    <w:rsid w:val="003F0950"/>
    <w:rsid w:val="003F09C9"/>
    <w:rsid w:val="003F0AFE"/>
    <w:rsid w:val="003F4C37"/>
    <w:rsid w:val="003F67AE"/>
    <w:rsid w:val="003F6BBB"/>
    <w:rsid w:val="003F719F"/>
    <w:rsid w:val="0040033D"/>
    <w:rsid w:val="004007E1"/>
    <w:rsid w:val="00400B1F"/>
    <w:rsid w:val="004032D2"/>
    <w:rsid w:val="00403C4F"/>
    <w:rsid w:val="004058B4"/>
    <w:rsid w:val="00405C45"/>
    <w:rsid w:val="004062EF"/>
    <w:rsid w:val="004062F0"/>
    <w:rsid w:val="00406CB5"/>
    <w:rsid w:val="00407DB3"/>
    <w:rsid w:val="004106F3"/>
    <w:rsid w:val="00410B8F"/>
    <w:rsid w:val="00412057"/>
    <w:rsid w:val="004126C1"/>
    <w:rsid w:val="00413BA5"/>
    <w:rsid w:val="00414FD0"/>
    <w:rsid w:val="00417E93"/>
    <w:rsid w:val="00422A2A"/>
    <w:rsid w:val="00424BB4"/>
    <w:rsid w:val="004258CD"/>
    <w:rsid w:val="004261D2"/>
    <w:rsid w:val="004303D1"/>
    <w:rsid w:val="004335A8"/>
    <w:rsid w:val="00433C0A"/>
    <w:rsid w:val="004349FA"/>
    <w:rsid w:val="004406BD"/>
    <w:rsid w:val="00442FBE"/>
    <w:rsid w:val="004433B1"/>
    <w:rsid w:val="00443571"/>
    <w:rsid w:val="004444E3"/>
    <w:rsid w:val="004447FD"/>
    <w:rsid w:val="00445032"/>
    <w:rsid w:val="004450CB"/>
    <w:rsid w:val="00446967"/>
    <w:rsid w:val="00446AB6"/>
    <w:rsid w:val="00447B89"/>
    <w:rsid w:val="00450EEE"/>
    <w:rsid w:val="004512B2"/>
    <w:rsid w:val="004528EE"/>
    <w:rsid w:val="00453360"/>
    <w:rsid w:val="00456409"/>
    <w:rsid w:val="004569C6"/>
    <w:rsid w:val="00456ADC"/>
    <w:rsid w:val="0045768F"/>
    <w:rsid w:val="00457769"/>
    <w:rsid w:val="004627AE"/>
    <w:rsid w:val="0046298E"/>
    <w:rsid w:val="004647BB"/>
    <w:rsid w:val="0046482B"/>
    <w:rsid w:val="004648E0"/>
    <w:rsid w:val="00470628"/>
    <w:rsid w:val="00472043"/>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FFC"/>
    <w:rsid w:val="00490ED4"/>
    <w:rsid w:val="00491B91"/>
    <w:rsid w:val="00491C21"/>
    <w:rsid w:val="00491C66"/>
    <w:rsid w:val="004935D6"/>
    <w:rsid w:val="00494195"/>
    <w:rsid w:val="004945FB"/>
    <w:rsid w:val="00497356"/>
    <w:rsid w:val="004A076F"/>
    <w:rsid w:val="004A1DC1"/>
    <w:rsid w:val="004A31A2"/>
    <w:rsid w:val="004A48A7"/>
    <w:rsid w:val="004A655D"/>
    <w:rsid w:val="004B01B1"/>
    <w:rsid w:val="004B08D1"/>
    <w:rsid w:val="004B10E6"/>
    <w:rsid w:val="004B198F"/>
    <w:rsid w:val="004B46D0"/>
    <w:rsid w:val="004B57B0"/>
    <w:rsid w:val="004B60CE"/>
    <w:rsid w:val="004B61C9"/>
    <w:rsid w:val="004C0B26"/>
    <w:rsid w:val="004C12FE"/>
    <w:rsid w:val="004C1D57"/>
    <w:rsid w:val="004C268D"/>
    <w:rsid w:val="004C2F7C"/>
    <w:rsid w:val="004C34F8"/>
    <w:rsid w:val="004C375F"/>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C8C"/>
    <w:rsid w:val="004E6CC7"/>
    <w:rsid w:val="004E776F"/>
    <w:rsid w:val="004F111D"/>
    <w:rsid w:val="004F1843"/>
    <w:rsid w:val="004F1EEC"/>
    <w:rsid w:val="004F24C8"/>
    <w:rsid w:val="004F30D6"/>
    <w:rsid w:val="004F34A5"/>
    <w:rsid w:val="004F40D6"/>
    <w:rsid w:val="004F6925"/>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66BD"/>
    <w:rsid w:val="0052772D"/>
    <w:rsid w:val="00530442"/>
    <w:rsid w:val="00534AF0"/>
    <w:rsid w:val="00535060"/>
    <w:rsid w:val="00535738"/>
    <w:rsid w:val="005409EB"/>
    <w:rsid w:val="00540F30"/>
    <w:rsid w:val="00541DD2"/>
    <w:rsid w:val="00543A63"/>
    <w:rsid w:val="00543AB5"/>
    <w:rsid w:val="005445CA"/>
    <w:rsid w:val="005457CF"/>
    <w:rsid w:val="00545976"/>
    <w:rsid w:val="0054660F"/>
    <w:rsid w:val="00547628"/>
    <w:rsid w:val="005533C3"/>
    <w:rsid w:val="005536E6"/>
    <w:rsid w:val="00553AC3"/>
    <w:rsid w:val="00553DBA"/>
    <w:rsid w:val="00554335"/>
    <w:rsid w:val="00555631"/>
    <w:rsid w:val="0055621D"/>
    <w:rsid w:val="0055764D"/>
    <w:rsid w:val="00560C6A"/>
    <w:rsid w:val="00560F85"/>
    <w:rsid w:val="005610A0"/>
    <w:rsid w:val="0056248F"/>
    <w:rsid w:val="00563926"/>
    <w:rsid w:val="00564985"/>
    <w:rsid w:val="00565379"/>
    <w:rsid w:val="005674C3"/>
    <w:rsid w:val="00567990"/>
    <w:rsid w:val="00567C4C"/>
    <w:rsid w:val="005728C8"/>
    <w:rsid w:val="005733AD"/>
    <w:rsid w:val="0057381A"/>
    <w:rsid w:val="00573ABD"/>
    <w:rsid w:val="00574B91"/>
    <w:rsid w:val="00574E5C"/>
    <w:rsid w:val="005750F7"/>
    <w:rsid w:val="0057512C"/>
    <w:rsid w:val="00576319"/>
    <w:rsid w:val="0057648C"/>
    <w:rsid w:val="00576AF3"/>
    <w:rsid w:val="00577428"/>
    <w:rsid w:val="00581FF0"/>
    <w:rsid w:val="005825FC"/>
    <w:rsid w:val="00582A90"/>
    <w:rsid w:val="00583437"/>
    <w:rsid w:val="00583CE0"/>
    <w:rsid w:val="00584B4A"/>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AA"/>
    <w:rsid w:val="0059672B"/>
    <w:rsid w:val="005A0C60"/>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5912"/>
    <w:rsid w:val="005D794C"/>
    <w:rsid w:val="005D7A9F"/>
    <w:rsid w:val="005D7AA2"/>
    <w:rsid w:val="005E2154"/>
    <w:rsid w:val="005E2FC7"/>
    <w:rsid w:val="005E37B9"/>
    <w:rsid w:val="005E427F"/>
    <w:rsid w:val="005E4574"/>
    <w:rsid w:val="005E4BBE"/>
    <w:rsid w:val="005E4C97"/>
    <w:rsid w:val="005E5014"/>
    <w:rsid w:val="005E684F"/>
    <w:rsid w:val="005E77BA"/>
    <w:rsid w:val="005F0112"/>
    <w:rsid w:val="005F03E3"/>
    <w:rsid w:val="005F0829"/>
    <w:rsid w:val="005F32BE"/>
    <w:rsid w:val="005F34FB"/>
    <w:rsid w:val="005F39A0"/>
    <w:rsid w:val="005F6B68"/>
    <w:rsid w:val="005F6F2E"/>
    <w:rsid w:val="005F7D85"/>
    <w:rsid w:val="00601A1F"/>
    <w:rsid w:val="00602655"/>
    <w:rsid w:val="00603B68"/>
    <w:rsid w:val="00605297"/>
    <w:rsid w:val="00605CB9"/>
    <w:rsid w:val="006065BF"/>
    <w:rsid w:val="00607C00"/>
    <w:rsid w:val="00610430"/>
    <w:rsid w:val="00611858"/>
    <w:rsid w:val="00614EB1"/>
    <w:rsid w:val="00614F67"/>
    <w:rsid w:val="00615277"/>
    <w:rsid w:val="00615519"/>
    <w:rsid w:val="00615CED"/>
    <w:rsid w:val="00615CFC"/>
    <w:rsid w:val="00617A92"/>
    <w:rsid w:val="00620CEE"/>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656E"/>
    <w:rsid w:val="00646DF5"/>
    <w:rsid w:val="00650397"/>
    <w:rsid w:val="006507E8"/>
    <w:rsid w:val="00650C73"/>
    <w:rsid w:val="00651143"/>
    <w:rsid w:val="00651959"/>
    <w:rsid w:val="00653149"/>
    <w:rsid w:val="006531E4"/>
    <w:rsid w:val="00654505"/>
    <w:rsid w:val="006575ED"/>
    <w:rsid w:val="006578FD"/>
    <w:rsid w:val="00660060"/>
    <w:rsid w:val="006609AA"/>
    <w:rsid w:val="00662EDE"/>
    <w:rsid w:val="00664C9F"/>
    <w:rsid w:val="00666548"/>
    <w:rsid w:val="00666A71"/>
    <w:rsid w:val="00666E38"/>
    <w:rsid w:val="00667537"/>
    <w:rsid w:val="00670865"/>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20FB"/>
    <w:rsid w:val="006A339D"/>
    <w:rsid w:val="006A4462"/>
    <w:rsid w:val="006A5B59"/>
    <w:rsid w:val="006A6A14"/>
    <w:rsid w:val="006A753A"/>
    <w:rsid w:val="006A777C"/>
    <w:rsid w:val="006A7C46"/>
    <w:rsid w:val="006B0F76"/>
    <w:rsid w:val="006B1F20"/>
    <w:rsid w:val="006B398A"/>
    <w:rsid w:val="006B3E04"/>
    <w:rsid w:val="006B4024"/>
    <w:rsid w:val="006B47D7"/>
    <w:rsid w:val="006B499D"/>
    <w:rsid w:val="006B5041"/>
    <w:rsid w:val="006B643D"/>
    <w:rsid w:val="006B79A4"/>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7572"/>
    <w:rsid w:val="006F2F22"/>
    <w:rsid w:val="006F434A"/>
    <w:rsid w:val="006F7974"/>
    <w:rsid w:val="00700A60"/>
    <w:rsid w:val="00705027"/>
    <w:rsid w:val="00710494"/>
    <w:rsid w:val="007117BD"/>
    <w:rsid w:val="00715129"/>
    <w:rsid w:val="007154CE"/>
    <w:rsid w:val="00715B25"/>
    <w:rsid w:val="00716020"/>
    <w:rsid w:val="00720860"/>
    <w:rsid w:val="00721087"/>
    <w:rsid w:val="00721530"/>
    <w:rsid w:val="00723422"/>
    <w:rsid w:val="007260FE"/>
    <w:rsid w:val="00726DD6"/>
    <w:rsid w:val="0073076E"/>
    <w:rsid w:val="00733416"/>
    <w:rsid w:val="0073377E"/>
    <w:rsid w:val="00733E05"/>
    <w:rsid w:val="00735C8A"/>
    <w:rsid w:val="00735FE2"/>
    <w:rsid w:val="0073719A"/>
    <w:rsid w:val="00737C62"/>
    <w:rsid w:val="00737C91"/>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28AB"/>
    <w:rsid w:val="00772CFE"/>
    <w:rsid w:val="007730CF"/>
    <w:rsid w:val="00774756"/>
    <w:rsid w:val="00775181"/>
    <w:rsid w:val="007751B6"/>
    <w:rsid w:val="00775345"/>
    <w:rsid w:val="00776A33"/>
    <w:rsid w:val="00776F15"/>
    <w:rsid w:val="0077769B"/>
    <w:rsid w:val="007779ED"/>
    <w:rsid w:val="00780B1A"/>
    <w:rsid w:val="007810D3"/>
    <w:rsid w:val="0078264A"/>
    <w:rsid w:val="00783D11"/>
    <w:rsid w:val="00785E46"/>
    <w:rsid w:val="00787917"/>
    <w:rsid w:val="00791489"/>
    <w:rsid w:val="00791683"/>
    <w:rsid w:val="00792F0C"/>
    <w:rsid w:val="00795460"/>
    <w:rsid w:val="00796CF7"/>
    <w:rsid w:val="007A0313"/>
    <w:rsid w:val="007A0A83"/>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C09C4"/>
    <w:rsid w:val="007C25E9"/>
    <w:rsid w:val="007C2F78"/>
    <w:rsid w:val="007C34C5"/>
    <w:rsid w:val="007C4079"/>
    <w:rsid w:val="007C4827"/>
    <w:rsid w:val="007C4A20"/>
    <w:rsid w:val="007C61FF"/>
    <w:rsid w:val="007D0B7F"/>
    <w:rsid w:val="007D1266"/>
    <w:rsid w:val="007D1B94"/>
    <w:rsid w:val="007D458D"/>
    <w:rsid w:val="007D4E8C"/>
    <w:rsid w:val="007D538F"/>
    <w:rsid w:val="007D668A"/>
    <w:rsid w:val="007E09E2"/>
    <w:rsid w:val="007E0FF5"/>
    <w:rsid w:val="007E1012"/>
    <w:rsid w:val="007E17CD"/>
    <w:rsid w:val="007E24ED"/>
    <w:rsid w:val="007E374B"/>
    <w:rsid w:val="007E39DE"/>
    <w:rsid w:val="007E3F53"/>
    <w:rsid w:val="007E7997"/>
    <w:rsid w:val="007E7B47"/>
    <w:rsid w:val="007F04EF"/>
    <w:rsid w:val="007F342F"/>
    <w:rsid w:val="007F38D1"/>
    <w:rsid w:val="007F56BB"/>
    <w:rsid w:val="007F63CE"/>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5CA6"/>
    <w:rsid w:val="00860323"/>
    <w:rsid w:val="00860F4F"/>
    <w:rsid w:val="008610B9"/>
    <w:rsid w:val="00862656"/>
    <w:rsid w:val="00862A9A"/>
    <w:rsid w:val="00863013"/>
    <w:rsid w:val="00863F67"/>
    <w:rsid w:val="0086483A"/>
    <w:rsid w:val="0087049C"/>
    <w:rsid w:val="00870AAD"/>
    <w:rsid w:val="00870EDE"/>
    <w:rsid w:val="00871DA0"/>
    <w:rsid w:val="00872030"/>
    <w:rsid w:val="00873973"/>
    <w:rsid w:val="00875C28"/>
    <w:rsid w:val="00875E75"/>
    <w:rsid w:val="0087658F"/>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CE6"/>
    <w:rsid w:val="008A1F25"/>
    <w:rsid w:val="008A47FB"/>
    <w:rsid w:val="008A5234"/>
    <w:rsid w:val="008A5397"/>
    <w:rsid w:val="008A6861"/>
    <w:rsid w:val="008A7522"/>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311C"/>
    <w:rsid w:val="008D31D2"/>
    <w:rsid w:val="008D3CC5"/>
    <w:rsid w:val="008D564A"/>
    <w:rsid w:val="008D5E47"/>
    <w:rsid w:val="008D7D8C"/>
    <w:rsid w:val="008E004E"/>
    <w:rsid w:val="008E04FB"/>
    <w:rsid w:val="008E3E79"/>
    <w:rsid w:val="008E5282"/>
    <w:rsid w:val="008E5E2C"/>
    <w:rsid w:val="008E78F1"/>
    <w:rsid w:val="008F03CE"/>
    <w:rsid w:val="008F075B"/>
    <w:rsid w:val="008F0E9E"/>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41E8"/>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F3"/>
    <w:rsid w:val="0096587A"/>
    <w:rsid w:val="009666E7"/>
    <w:rsid w:val="00967278"/>
    <w:rsid w:val="00971568"/>
    <w:rsid w:val="009728F2"/>
    <w:rsid w:val="00972BEF"/>
    <w:rsid w:val="00973BCF"/>
    <w:rsid w:val="009744BC"/>
    <w:rsid w:val="00974E60"/>
    <w:rsid w:val="00975896"/>
    <w:rsid w:val="00975DF1"/>
    <w:rsid w:val="00976AFE"/>
    <w:rsid w:val="00983CEA"/>
    <w:rsid w:val="00984198"/>
    <w:rsid w:val="00984E04"/>
    <w:rsid w:val="00986194"/>
    <w:rsid w:val="009861D2"/>
    <w:rsid w:val="00986E53"/>
    <w:rsid w:val="00987CE5"/>
    <w:rsid w:val="00993CF0"/>
    <w:rsid w:val="0099428D"/>
    <w:rsid w:val="009949A7"/>
    <w:rsid w:val="00995CDC"/>
    <w:rsid w:val="009975CA"/>
    <w:rsid w:val="009A0C15"/>
    <w:rsid w:val="009A1088"/>
    <w:rsid w:val="009A14CB"/>
    <w:rsid w:val="009A27C7"/>
    <w:rsid w:val="009A2961"/>
    <w:rsid w:val="009A344A"/>
    <w:rsid w:val="009A41C7"/>
    <w:rsid w:val="009A4F5A"/>
    <w:rsid w:val="009A5C82"/>
    <w:rsid w:val="009B010D"/>
    <w:rsid w:val="009B0AAB"/>
    <w:rsid w:val="009B0D3E"/>
    <w:rsid w:val="009B14CB"/>
    <w:rsid w:val="009B2AD1"/>
    <w:rsid w:val="009B3224"/>
    <w:rsid w:val="009B3A61"/>
    <w:rsid w:val="009B528E"/>
    <w:rsid w:val="009B54FE"/>
    <w:rsid w:val="009B77DD"/>
    <w:rsid w:val="009C13BF"/>
    <w:rsid w:val="009C2943"/>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80"/>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1925"/>
    <w:rsid w:val="00A01DEB"/>
    <w:rsid w:val="00A06D32"/>
    <w:rsid w:val="00A07545"/>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DF1"/>
    <w:rsid w:val="00A52AFB"/>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1670"/>
    <w:rsid w:val="00A717E8"/>
    <w:rsid w:val="00A72874"/>
    <w:rsid w:val="00A72E48"/>
    <w:rsid w:val="00A7359C"/>
    <w:rsid w:val="00A73616"/>
    <w:rsid w:val="00A75D25"/>
    <w:rsid w:val="00A76648"/>
    <w:rsid w:val="00A76DF7"/>
    <w:rsid w:val="00A77523"/>
    <w:rsid w:val="00A83454"/>
    <w:rsid w:val="00A843FC"/>
    <w:rsid w:val="00A84DA5"/>
    <w:rsid w:val="00A85302"/>
    <w:rsid w:val="00A8557E"/>
    <w:rsid w:val="00A86119"/>
    <w:rsid w:val="00A8649F"/>
    <w:rsid w:val="00A86D25"/>
    <w:rsid w:val="00A871F4"/>
    <w:rsid w:val="00A877BD"/>
    <w:rsid w:val="00A8786B"/>
    <w:rsid w:val="00A903F1"/>
    <w:rsid w:val="00A905CC"/>
    <w:rsid w:val="00A90974"/>
    <w:rsid w:val="00A9197E"/>
    <w:rsid w:val="00A92065"/>
    <w:rsid w:val="00A92184"/>
    <w:rsid w:val="00A9254B"/>
    <w:rsid w:val="00A9334F"/>
    <w:rsid w:val="00A93D6F"/>
    <w:rsid w:val="00A9614E"/>
    <w:rsid w:val="00A963B5"/>
    <w:rsid w:val="00A96FA8"/>
    <w:rsid w:val="00A97665"/>
    <w:rsid w:val="00AA0504"/>
    <w:rsid w:val="00AA0909"/>
    <w:rsid w:val="00AA0AC0"/>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7348"/>
    <w:rsid w:val="00AC13B0"/>
    <w:rsid w:val="00AC2FD0"/>
    <w:rsid w:val="00AC3DBD"/>
    <w:rsid w:val="00AC5E85"/>
    <w:rsid w:val="00AD03D8"/>
    <w:rsid w:val="00AD0D5F"/>
    <w:rsid w:val="00AD34CF"/>
    <w:rsid w:val="00AD36C8"/>
    <w:rsid w:val="00AD37C9"/>
    <w:rsid w:val="00AD47D3"/>
    <w:rsid w:val="00AD652F"/>
    <w:rsid w:val="00AD7D05"/>
    <w:rsid w:val="00AE01F6"/>
    <w:rsid w:val="00AE16F0"/>
    <w:rsid w:val="00AE2328"/>
    <w:rsid w:val="00AE473C"/>
    <w:rsid w:val="00AE55E7"/>
    <w:rsid w:val="00AE6363"/>
    <w:rsid w:val="00AE6CD6"/>
    <w:rsid w:val="00AE7348"/>
    <w:rsid w:val="00AE7394"/>
    <w:rsid w:val="00AE7CD2"/>
    <w:rsid w:val="00AF0B77"/>
    <w:rsid w:val="00AF138B"/>
    <w:rsid w:val="00AF160F"/>
    <w:rsid w:val="00AF1919"/>
    <w:rsid w:val="00AF1B7B"/>
    <w:rsid w:val="00AF3291"/>
    <w:rsid w:val="00AF395E"/>
    <w:rsid w:val="00AF4D6A"/>
    <w:rsid w:val="00AF5D2C"/>
    <w:rsid w:val="00AF5D6E"/>
    <w:rsid w:val="00AF6318"/>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5E2"/>
    <w:rsid w:val="00B23771"/>
    <w:rsid w:val="00B24EA8"/>
    <w:rsid w:val="00B26625"/>
    <w:rsid w:val="00B26A5A"/>
    <w:rsid w:val="00B2713B"/>
    <w:rsid w:val="00B2769B"/>
    <w:rsid w:val="00B307D2"/>
    <w:rsid w:val="00B3398B"/>
    <w:rsid w:val="00B33B1E"/>
    <w:rsid w:val="00B362D9"/>
    <w:rsid w:val="00B36B99"/>
    <w:rsid w:val="00B36D20"/>
    <w:rsid w:val="00B36F67"/>
    <w:rsid w:val="00B40633"/>
    <w:rsid w:val="00B44049"/>
    <w:rsid w:val="00B44318"/>
    <w:rsid w:val="00B44C4B"/>
    <w:rsid w:val="00B477CB"/>
    <w:rsid w:val="00B508A7"/>
    <w:rsid w:val="00B52081"/>
    <w:rsid w:val="00B52695"/>
    <w:rsid w:val="00B545AF"/>
    <w:rsid w:val="00B55B09"/>
    <w:rsid w:val="00B56711"/>
    <w:rsid w:val="00B57EF2"/>
    <w:rsid w:val="00B604F3"/>
    <w:rsid w:val="00B6101C"/>
    <w:rsid w:val="00B615ED"/>
    <w:rsid w:val="00B63A9D"/>
    <w:rsid w:val="00B64888"/>
    <w:rsid w:val="00B672E3"/>
    <w:rsid w:val="00B675F9"/>
    <w:rsid w:val="00B70849"/>
    <w:rsid w:val="00B72C1C"/>
    <w:rsid w:val="00B73BB7"/>
    <w:rsid w:val="00B751C3"/>
    <w:rsid w:val="00B76C0D"/>
    <w:rsid w:val="00B77D0D"/>
    <w:rsid w:val="00B80817"/>
    <w:rsid w:val="00B827E6"/>
    <w:rsid w:val="00B82A28"/>
    <w:rsid w:val="00B82B8D"/>
    <w:rsid w:val="00B82C97"/>
    <w:rsid w:val="00B851D5"/>
    <w:rsid w:val="00B85B06"/>
    <w:rsid w:val="00B90558"/>
    <w:rsid w:val="00B92958"/>
    <w:rsid w:val="00B93957"/>
    <w:rsid w:val="00B9404A"/>
    <w:rsid w:val="00B94877"/>
    <w:rsid w:val="00B9491F"/>
    <w:rsid w:val="00B96043"/>
    <w:rsid w:val="00B96F5D"/>
    <w:rsid w:val="00BA02F9"/>
    <w:rsid w:val="00BA1987"/>
    <w:rsid w:val="00BA2682"/>
    <w:rsid w:val="00BA31E4"/>
    <w:rsid w:val="00BA3959"/>
    <w:rsid w:val="00BA47CC"/>
    <w:rsid w:val="00BA524B"/>
    <w:rsid w:val="00BA54F7"/>
    <w:rsid w:val="00BA576C"/>
    <w:rsid w:val="00BA6205"/>
    <w:rsid w:val="00BA6CE5"/>
    <w:rsid w:val="00BA6F38"/>
    <w:rsid w:val="00BB1388"/>
    <w:rsid w:val="00BB2683"/>
    <w:rsid w:val="00BB40DF"/>
    <w:rsid w:val="00BB5E2C"/>
    <w:rsid w:val="00BB7D9E"/>
    <w:rsid w:val="00BC16AC"/>
    <w:rsid w:val="00BC2B7B"/>
    <w:rsid w:val="00BC3AE8"/>
    <w:rsid w:val="00BC3AF4"/>
    <w:rsid w:val="00BC43A8"/>
    <w:rsid w:val="00BC5C6D"/>
    <w:rsid w:val="00BC7120"/>
    <w:rsid w:val="00BC76A3"/>
    <w:rsid w:val="00BD00D1"/>
    <w:rsid w:val="00BD07A2"/>
    <w:rsid w:val="00BD2603"/>
    <w:rsid w:val="00BD4EEC"/>
    <w:rsid w:val="00BD4F34"/>
    <w:rsid w:val="00BD537C"/>
    <w:rsid w:val="00BD5E50"/>
    <w:rsid w:val="00BD6F5B"/>
    <w:rsid w:val="00BD7662"/>
    <w:rsid w:val="00BE05ED"/>
    <w:rsid w:val="00BE350E"/>
    <w:rsid w:val="00BE3801"/>
    <w:rsid w:val="00BE38CF"/>
    <w:rsid w:val="00BE394B"/>
    <w:rsid w:val="00BE48A8"/>
    <w:rsid w:val="00BE528F"/>
    <w:rsid w:val="00BE5850"/>
    <w:rsid w:val="00BE58D6"/>
    <w:rsid w:val="00BE5CA6"/>
    <w:rsid w:val="00BE6CBF"/>
    <w:rsid w:val="00BE707F"/>
    <w:rsid w:val="00BE7F5D"/>
    <w:rsid w:val="00BF0707"/>
    <w:rsid w:val="00BF164F"/>
    <w:rsid w:val="00BF1AAF"/>
    <w:rsid w:val="00BF268B"/>
    <w:rsid w:val="00BF4D03"/>
    <w:rsid w:val="00BF4E85"/>
    <w:rsid w:val="00BF54BD"/>
    <w:rsid w:val="00BF5892"/>
    <w:rsid w:val="00C01804"/>
    <w:rsid w:val="00C026BC"/>
    <w:rsid w:val="00C02AD4"/>
    <w:rsid w:val="00C03869"/>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2151"/>
    <w:rsid w:val="00C3217A"/>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5C1D"/>
    <w:rsid w:val="00C57ED3"/>
    <w:rsid w:val="00C61640"/>
    <w:rsid w:val="00C61AA7"/>
    <w:rsid w:val="00C61B8E"/>
    <w:rsid w:val="00C668DE"/>
    <w:rsid w:val="00C7044F"/>
    <w:rsid w:val="00C720F8"/>
    <w:rsid w:val="00C7294B"/>
    <w:rsid w:val="00C75139"/>
    <w:rsid w:val="00C7525C"/>
    <w:rsid w:val="00C76CF7"/>
    <w:rsid w:val="00C83A4C"/>
    <w:rsid w:val="00C8533B"/>
    <w:rsid w:val="00C858BA"/>
    <w:rsid w:val="00C86977"/>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5A66"/>
    <w:rsid w:val="00CA651B"/>
    <w:rsid w:val="00CA796A"/>
    <w:rsid w:val="00CB2575"/>
    <w:rsid w:val="00CB3677"/>
    <w:rsid w:val="00CB368F"/>
    <w:rsid w:val="00CB4C42"/>
    <w:rsid w:val="00CB4DFA"/>
    <w:rsid w:val="00CB7BD7"/>
    <w:rsid w:val="00CC4CB6"/>
    <w:rsid w:val="00CC4DB0"/>
    <w:rsid w:val="00CC5038"/>
    <w:rsid w:val="00CC5326"/>
    <w:rsid w:val="00CC7426"/>
    <w:rsid w:val="00CC7910"/>
    <w:rsid w:val="00CD0C20"/>
    <w:rsid w:val="00CD297A"/>
    <w:rsid w:val="00CD3DB0"/>
    <w:rsid w:val="00CD4129"/>
    <w:rsid w:val="00CD5DBB"/>
    <w:rsid w:val="00CD67E7"/>
    <w:rsid w:val="00CD7388"/>
    <w:rsid w:val="00CE130A"/>
    <w:rsid w:val="00CE161C"/>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2B95"/>
    <w:rsid w:val="00D5362B"/>
    <w:rsid w:val="00D53A09"/>
    <w:rsid w:val="00D54AAB"/>
    <w:rsid w:val="00D552F9"/>
    <w:rsid w:val="00D56EDF"/>
    <w:rsid w:val="00D56F08"/>
    <w:rsid w:val="00D57361"/>
    <w:rsid w:val="00D61406"/>
    <w:rsid w:val="00D61541"/>
    <w:rsid w:val="00D61575"/>
    <w:rsid w:val="00D621B7"/>
    <w:rsid w:val="00D6294E"/>
    <w:rsid w:val="00D63C9A"/>
    <w:rsid w:val="00D63DEB"/>
    <w:rsid w:val="00D640BC"/>
    <w:rsid w:val="00D654D5"/>
    <w:rsid w:val="00D65A9D"/>
    <w:rsid w:val="00D65CB5"/>
    <w:rsid w:val="00D677BB"/>
    <w:rsid w:val="00D70544"/>
    <w:rsid w:val="00D71463"/>
    <w:rsid w:val="00D7194A"/>
    <w:rsid w:val="00D72AE4"/>
    <w:rsid w:val="00D73026"/>
    <w:rsid w:val="00D73FA1"/>
    <w:rsid w:val="00D7469D"/>
    <w:rsid w:val="00D7550B"/>
    <w:rsid w:val="00D75EEB"/>
    <w:rsid w:val="00D75F1E"/>
    <w:rsid w:val="00D80F87"/>
    <w:rsid w:val="00D812A5"/>
    <w:rsid w:val="00D817CD"/>
    <w:rsid w:val="00D82A5C"/>
    <w:rsid w:val="00D82D11"/>
    <w:rsid w:val="00D83CD3"/>
    <w:rsid w:val="00D83E51"/>
    <w:rsid w:val="00D84719"/>
    <w:rsid w:val="00D856EA"/>
    <w:rsid w:val="00D85ACD"/>
    <w:rsid w:val="00D86460"/>
    <w:rsid w:val="00D912D5"/>
    <w:rsid w:val="00D91AAF"/>
    <w:rsid w:val="00D94564"/>
    <w:rsid w:val="00D9530E"/>
    <w:rsid w:val="00D9536E"/>
    <w:rsid w:val="00D97426"/>
    <w:rsid w:val="00D97568"/>
    <w:rsid w:val="00DA06B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2D"/>
    <w:rsid w:val="00DB364F"/>
    <w:rsid w:val="00DB39E7"/>
    <w:rsid w:val="00DB3B3E"/>
    <w:rsid w:val="00DB4D88"/>
    <w:rsid w:val="00DB71DB"/>
    <w:rsid w:val="00DB71E1"/>
    <w:rsid w:val="00DB7B0F"/>
    <w:rsid w:val="00DB7CB3"/>
    <w:rsid w:val="00DC0D57"/>
    <w:rsid w:val="00DC16F7"/>
    <w:rsid w:val="00DC1CA3"/>
    <w:rsid w:val="00DC2641"/>
    <w:rsid w:val="00DC2B1E"/>
    <w:rsid w:val="00DC7481"/>
    <w:rsid w:val="00DC7591"/>
    <w:rsid w:val="00DD0839"/>
    <w:rsid w:val="00DD26D0"/>
    <w:rsid w:val="00DD47D5"/>
    <w:rsid w:val="00DD6729"/>
    <w:rsid w:val="00DD7530"/>
    <w:rsid w:val="00DD7960"/>
    <w:rsid w:val="00DD7B0D"/>
    <w:rsid w:val="00DE1F29"/>
    <w:rsid w:val="00DE3FEB"/>
    <w:rsid w:val="00DE4905"/>
    <w:rsid w:val="00DE510C"/>
    <w:rsid w:val="00DE7822"/>
    <w:rsid w:val="00DF081A"/>
    <w:rsid w:val="00DF265D"/>
    <w:rsid w:val="00DF2EB0"/>
    <w:rsid w:val="00DF31C1"/>
    <w:rsid w:val="00DF427A"/>
    <w:rsid w:val="00DF45C5"/>
    <w:rsid w:val="00DF5A8C"/>
    <w:rsid w:val="00DF71D8"/>
    <w:rsid w:val="00E00CCA"/>
    <w:rsid w:val="00E01623"/>
    <w:rsid w:val="00E03FE3"/>
    <w:rsid w:val="00E06951"/>
    <w:rsid w:val="00E10C94"/>
    <w:rsid w:val="00E10EC4"/>
    <w:rsid w:val="00E118D7"/>
    <w:rsid w:val="00E13F46"/>
    <w:rsid w:val="00E15BD4"/>
    <w:rsid w:val="00E16458"/>
    <w:rsid w:val="00E16FB6"/>
    <w:rsid w:val="00E17001"/>
    <w:rsid w:val="00E17814"/>
    <w:rsid w:val="00E17CEF"/>
    <w:rsid w:val="00E20FBC"/>
    <w:rsid w:val="00E244CA"/>
    <w:rsid w:val="00E2512D"/>
    <w:rsid w:val="00E2548C"/>
    <w:rsid w:val="00E2662B"/>
    <w:rsid w:val="00E26736"/>
    <w:rsid w:val="00E268AC"/>
    <w:rsid w:val="00E27986"/>
    <w:rsid w:val="00E27D23"/>
    <w:rsid w:val="00E30A8A"/>
    <w:rsid w:val="00E31BC7"/>
    <w:rsid w:val="00E31E7F"/>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454D"/>
    <w:rsid w:val="00E65301"/>
    <w:rsid w:val="00E6598A"/>
    <w:rsid w:val="00E667A7"/>
    <w:rsid w:val="00E679B3"/>
    <w:rsid w:val="00E7190A"/>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4468"/>
    <w:rsid w:val="00E94A0E"/>
    <w:rsid w:val="00E96226"/>
    <w:rsid w:val="00E96DDE"/>
    <w:rsid w:val="00EA04AE"/>
    <w:rsid w:val="00EA062F"/>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5A40"/>
    <w:rsid w:val="00ED5F21"/>
    <w:rsid w:val="00ED602C"/>
    <w:rsid w:val="00ED62B5"/>
    <w:rsid w:val="00ED6DDB"/>
    <w:rsid w:val="00ED7985"/>
    <w:rsid w:val="00EE270D"/>
    <w:rsid w:val="00EE6989"/>
    <w:rsid w:val="00EE6C77"/>
    <w:rsid w:val="00EE7604"/>
    <w:rsid w:val="00EE7912"/>
    <w:rsid w:val="00EE7915"/>
    <w:rsid w:val="00EF0465"/>
    <w:rsid w:val="00EF13C5"/>
    <w:rsid w:val="00EF16D8"/>
    <w:rsid w:val="00EF28EF"/>
    <w:rsid w:val="00EF2EB9"/>
    <w:rsid w:val="00EF40E7"/>
    <w:rsid w:val="00EF4529"/>
    <w:rsid w:val="00EF5B34"/>
    <w:rsid w:val="00EF657C"/>
    <w:rsid w:val="00F004D1"/>
    <w:rsid w:val="00F00C0D"/>
    <w:rsid w:val="00F0128B"/>
    <w:rsid w:val="00F02663"/>
    <w:rsid w:val="00F03369"/>
    <w:rsid w:val="00F04E62"/>
    <w:rsid w:val="00F050AA"/>
    <w:rsid w:val="00F05E6D"/>
    <w:rsid w:val="00F11800"/>
    <w:rsid w:val="00F11B61"/>
    <w:rsid w:val="00F135D6"/>
    <w:rsid w:val="00F13922"/>
    <w:rsid w:val="00F13DBC"/>
    <w:rsid w:val="00F15FCF"/>
    <w:rsid w:val="00F16613"/>
    <w:rsid w:val="00F175B1"/>
    <w:rsid w:val="00F20706"/>
    <w:rsid w:val="00F21496"/>
    <w:rsid w:val="00F21E77"/>
    <w:rsid w:val="00F24D27"/>
    <w:rsid w:val="00F2520C"/>
    <w:rsid w:val="00F25BCB"/>
    <w:rsid w:val="00F25ECC"/>
    <w:rsid w:val="00F264C1"/>
    <w:rsid w:val="00F26D7F"/>
    <w:rsid w:val="00F27305"/>
    <w:rsid w:val="00F30790"/>
    <w:rsid w:val="00F31570"/>
    <w:rsid w:val="00F33355"/>
    <w:rsid w:val="00F34363"/>
    <w:rsid w:val="00F34CE9"/>
    <w:rsid w:val="00F354B9"/>
    <w:rsid w:val="00F35705"/>
    <w:rsid w:val="00F35B93"/>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5E0E"/>
    <w:rsid w:val="00F5611D"/>
    <w:rsid w:val="00F56E3E"/>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7E6A"/>
    <w:rsid w:val="00F70472"/>
    <w:rsid w:val="00F71430"/>
    <w:rsid w:val="00F71A8A"/>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70F6"/>
    <w:rsid w:val="00FA7420"/>
    <w:rsid w:val="00FA756C"/>
    <w:rsid w:val="00FA75E4"/>
    <w:rsid w:val="00FA776B"/>
    <w:rsid w:val="00FB0AB1"/>
    <w:rsid w:val="00FB2BEF"/>
    <w:rsid w:val="00FB36CA"/>
    <w:rsid w:val="00FB72AC"/>
    <w:rsid w:val="00FB7706"/>
    <w:rsid w:val="00FB7EC9"/>
    <w:rsid w:val="00FB7F82"/>
    <w:rsid w:val="00FC0DAF"/>
    <w:rsid w:val="00FC11F5"/>
    <w:rsid w:val="00FC126D"/>
    <w:rsid w:val="00FC3387"/>
    <w:rsid w:val="00FC382F"/>
    <w:rsid w:val="00FC4236"/>
    <w:rsid w:val="00FC615D"/>
    <w:rsid w:val="00FD01CC"/>
    <w:rsid w:val="00FD08AF"/>
    <w:rsid w:val="00FD1286"/>
    <w:rsid w:val="00FD1E7A"/>
    <w:rsid w:val="00FD2672"/>
    <w:rsid w:val="00FD28F4"/>
    <w:rsid w:val="00FD2CE2"/>
    <w:rsid w:val="00FD4A1E"/>
    <w:rsid w:val="00FD66A9"/>
    <w:rsid w:val="00FD6712"/>
    <w:rsid w:val="00FD6853"/>
    <w:rsid w:val="00FD6E54"/>
    <w:rsid w:val="00FE01B5"/>
    <w:rsid w:val="00FE03BB"/>
    <w:rsid w:val="00FE0BF0"/>
    <w:rsid w:val="00FE15A2"/>
    <w:rsid w:val="00FE2FE4"/>
    <w:rsid w:val="00FE3B37"/>
    <w:rsid w:val="00FE4B40"/>
    <w:rsid w:val="00FE5DC4"/>
    <w:rsid w:val="00FE6E94"/>
    <w:rsid w:val="00FE76CB"/>
    <w:rsid w:val="00FE7BD8"/>
    <w:rsid w:val="00FF12EF"/>
    <w:rsid w:val="00FF1D76"/>
    <w:rsid w:val="00FF309E"/>
    <w:rsid w:val="00FF3EE6"/>
    <w:rsid w:val="00FF434C"/>
    <w:rsid w:val="00FF4510"/>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73076E"/>
    <w:pPr>
      <w:keepNext/>
      <w:spacing w:before="24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D63DEB"/>
    <w:rPr>
      <w:rFonts w:ascii="Tahoma" w:hAnsi="Tahoma" w:cs="Tahoma"/>
      <w:sz w:val="16"/>
      <w:szCs w:val="16"/>
    </w:rPr>
  </w:style>
  <w:style w:type="character" w:customStyle="1" w:styleId="BalloonTextChar">
    <w:name w:val="Balloon Text Char"/>
    <w:basedOn w:val="DefaultParagraphFont"/>
    <w:link w:val="BalloonText"/>
    <w:rsid w:val="00D63DEB"/>
    <w:rPr>
      <w:rFonts w:ascii="Tahoma" w:hAnsi="Tahoma" w:cs="Tahoma"/>
      <w:sz w:val="16"/>
      <w:szCs w:val="16"/>
    </w:rPr>
  </w:style>
  <w:style w:type="character" w:customStyle="1" w:styleId="FootnoteTextChar">
    <w:name w:val="Footnote Text Char"/>
    <w:link w:val="FootnoteText"/>
    <w:semiHidden/>
    <w:locked/>
    <w:rsid w:val="00D63DEB"/>
    <w:rPr>
      <w:rFonts w:ascii="Arabic Typesetting" w:hAnsi="Arabic Typesetting" w:cs="Arabic Typesetting"/>
      <w:sz w:val="28"/>
      <w:szCs w:val="28"/>
    </w:rPr>
  </w:style>
  <w:style w:type="character" w:styleId="Strong">
    <w:name w:val="Strong"/>
    <w:uiPriority w:val="22"/>
    <w:qFormat/>
    <w:rsid w:val="00D63DEB"/>
    <w:rPr>
      <w:b/>
      <w:bCs/>
    </w:rPr>
  </w:style>
  <w:style w:type="paragraph" w:customStyle="1" w:styleId="Text">
    <w:name w:val="Text"/>
    <w:basedOn w:val="Normal"/>
    <w:uiPriority w:val="99"/>
    <w:qFormat/>
    <w:rsid w:val="00D63DEB"/>
    <w:rPr>
      <w:rFonts w:cs="Times New Roman"/>
      <w:szCs w:val="22"/>
    </w:rPr>
  </w:style>
  <w:style w:type="paragraph" w:customStyle="1" w:styleId="Section">
    <w:name w:val="Section"/>
    <w:basedOn w:val="Heading1"/>
    <w:uiPriority w:val="99"/>
    <w:qFormat/>
    <w:rsid w:val="00D63DEB"/>
    <w:pPr>
      <w:keepNext w:val="0"/>
      <w:numPr>
        <w:numId w:val="21"/>
      </w:numPr>
      <w:tabs>
        <w:tab w:val="clear" w:pos="720"/>
        <w:tab w:val="num" w:pos="330"/>
      </w:tabs>
      <w:spacing w:before="0" w:after="0"/>
      <w:ind w:left="329" w:hanging="357"/>
      <w:contextualSpacing/>
    </w:pPr>
    <w:rPr>
      <w:rFonts w:eastAsia="Times New Roman" w:cs="Times New Roman"/>
      <w:caps w:val="0"/>
      <w:kern w:val="0"/>
      <w:szCs w:val="28"/>
    </w:rPr>
  </w:style>
  <w:style w:type="paragraph" w:customStyle="1" w:styleId="Footnote">
    <w:name w:val="Footnote"/>
    <w:basedOn w:val="FootnoteText"/>
    <w:uiPriority w:val="99"/>
    <w:qFormat/>
    <w:rsid w:val="00D63DEB"/>
    <w:pPr>
      <w:bidi w:val="0"/>
      <w:spacing w:line="240" w:lineRule="auto"/>
    </w:pPr>
    <w:rPr>
      <w:rFonts w:ascii="Arial" w:hAnsi="Arial" w:cs="Times New Roman"/>
      <w:sz w:val="1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73076E"/>
    <w:pPr>
      <w:keepNext/>
      <w:spacing w:before="24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D63DEB"/>
    <w:rPr>
      <w:rFonts w:ascii="Tahoma" w:hAnsi="Tahoma" w:cs="Tahoma"/>
      <w:sz w:val="16"/>
      <w:szCs w:val="16"/>
    </w:rPr>
  </w:style>
  <w:style w:type="character" w:customStyle="1" w:styleId="BalloonTextChar">
    <w:name w:val="Balloon Text Char"/>
    <w:basedOn w:val="DefaultParagraphFont"/>
    <w:link w:val="BalloonText"/>
    <w:rsid w:val="00D63DEB"/>
    <w:rPr>
      <w:rFonts w:ascii="Tahoma" w:hAnsi="Tahoma" w:cs="Tahoma"/>
      <w:sz w:val="16"/>
      <w:szCs w:val="16"/>
    </w:rPr>
  </w:style>
  <w:style w:type="character" w:customStyle="1" w:styleId="FootnoteTextChar">
    <w:name w:val="Footnote Text Char"/>
    <w:link w:val="FootnoteText"/>
    <w:semiHidden/>
    <w:locked/>
    <w:rsid w:val="00D63DEB"/>
    <w:rPr>
      <w:rFonts w:ascii="Arabic Typesetting" w:hAnsi="Arabic Typesetting" w:cs="Arabic Typesetting"/>
      <w:sz w:val="28"/>
      <w:szCs w:val="28"/>
    </w:rPr>
  </w:style>
  <w:style w:type="character" w:styleId="Strong">
    <w:name w:val="Strong"/>
    <w:uiPriority w:val="22"/>
    <w:qFormat/>
    <w:rsid w:val="00D63DEB"/>
    <w:rPr>
      <w:b/>
      <w:bCs/>
    </w:rPr>
  </w:style>
  <w:style w:type="paragraph" w:customStyle="1" w:styleId="Text">
    <w:name w:val="Text"/>
    <w:basedOn w:val="Normal"/>
    <w:uiPriority w:val="99"/>
    <w:qFormat/>
    <w:rsid w:val="00D63DEB"/>
    <w:rPr>
      <w:rFonts w:cs="Times New Roman"/>
      <w:szCs w:val="22"/>
    </w:rPr>
  </w:style>
  <w:style w:type="paragraph" w:customStyle="1" w:styleId="Section">
    <w:name w:val="Section"/>
    <w:basedOn w:val="Heading1"/>
    <w:uiPriority w:val="99"/>
    <w:qFormat/>
    <w:rsid w:val="00D63DEB"/>
    <w:pPr>
      <w:keepNext w:val="0"/>
      <w:numPr>
        <w:numId w:val="21"/>
      </w:numPr>
      <w:tabs>
        <w:tab w:val="clear" w:pos="720"/>
        <w:tab w:val="num" w:pos="330"/>
      </w:tabs>
      <w:spacing w:before="0" w:after="0"/>
      <w:ind w:left="329" w:hanging="357"/>
      <w:contextualSpacing/>
    </w:pPr>
    <w:rPr>
      <w:rFonts w:eastAsia="Times New Roman" w:cs="Times New Roman"/>
      <w:caps w:val="0"/>
      <w:kern w:val="0"/>
      <w:szCs w:val="28"/>
    </w:rPr>
  </w:style>
  <w:style w:type="paragraph" w:customStyle="1" w:styleId="Footnote">
    <w:name w:val="Footnote"/>
    <w:basedOn w:val="FootnoteText"/>
    <w:uiPriority w:val="99"/>
    <w:qFormat/>
    <w:rsid w:val="00D63DEB"/>
    <w:pPr>
      <w:bidi w:val="0"/>
      <w:spacing w:line="240" w:lineRule="auto"/>
    </w:pPr>
    <w:rPr>
      <w:rFonts w:ascii="Arial" w:hAnsi="Arial" w:cs="Times New Roman"/>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3219</Words>
  <Characters>20120</Characters>
  <Application>Microsoft Office Word</Application>
  <DocSecurity>4</DocSecurity>
  <Lines>167</Lines>
  <Paragraphs>46</Paragraphs>
  <ScaleCrop>false</ScaleCrop>
  <HeadingPairs>
    <vt:vector size="2" baseType="variant">
      <vt:variant>
        <vt:lpstr>Title</vt:lpstr>
      </vt:variant>
      <vt:variant>
        <vt:i4>1</vt:i4>
      </vt:variant>
    </vt:vector>
  </HeadingPairs>
  <TitlesOfParts>
    <vt:vector size="1" baseType="lpstr">
      <vt:lpstr>CDIP/12/-- (Arabic)</vt:lpstr>
    </vt:vector>
  </TitlesOfParts>
  <Company>World Intellectual Property Organization</Company>
  <LinksUpToDate>false</LinksUpToDate>
  <CharactersWithSpaces>23293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CDIP/12/-- (Arabic)</dc:title>
  <dc:creator>YOUSSEF Randa</dc:creator>
  <cp:lastModifiedBy>IBRAHIM Ammar</cp:lastModifiedBy>
  <cp:revision>2</cp:revision>
  <cp:lastPrinted>2013-10-11T12:44:00Z</cp:lastPrinted>
  <dcterms:created xsi:type="dcterms:W3CDTF">2013-10-14T07:52:00Z</dcterms:created>
  <dcterms:modified xsi:type="dcterms:W3CDTF">2013-10-14T07:52:00Z</dcterms:modified>
</cp:coreProperties>
</file>