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EC76BC">
            <w:pPr>
              <w:pStyle w:val="DocumentCodeAR"/>
              <w:bidi/>
              <w:rPr>
                <w:rtl/>
              </w:rPr>
            </w:pPr>
            <w:r>
              <w:t>CDIP</w:t>
            </w:r>
            <w:r w:rsidR="00100F97">
              <w:t>/</w:t>
            </w:r>
            <w:r w:rsidR="00A871F4">
              <w:t>1</w:t>
            </w:r>
            <w:r w:rsidR="005804FC">
              <w:t>3</w:t>
            </w:r>
            <w:r w:rsidR="00F714D8">
              <w:t>/INF/</w:t>
            </w:r>
            <w:r w:rsidR="00EC76BC">
              <w:t>6</w:t>
            </w:r>
            <w:bookmarkStart w:id="2" w:name="_GoBack"/>
            <w:bookmarkEnd w:id="2"/>
          </w:p>
        </w:tc>
      </w:tr>
      <w:tr w:rsidR="001667B6" w:rsidRPr="00582A90" w:rsidTr="00582A90">
        <w:tc>
          <w:tcPr>
            <w:tcW w:w="9571" w:type="dxa"/>
            <w:gridSpan w:val="3"/>
            <w:shd w:val="clear" w:color="auto" w:fill="auto"/>
          </w:tcPr>
          <w:p w:rsidR="001667B6" w:rsidRPr="00B6101C" w:rsidRDefault="00B6101C" w:rsidP="00F714D8">
            <w:pPr>
              <w:pStyle w:val="DocumentLanguageAR"/>
              <w:bidi/>
              <w:rPr>
                <w:rtl/>
              </w:rPr>
            </w:pPr>
            <w:r w:rsidRPr="00B6101C">
              <w:rPr>
                <w:rFonts w:hint="cs"/>
                <w:rtl/>
              </w:rPr>
              <w:t xml:space="preserve">الأصل: </w:t>
            </w:r>
            <w:proofErr w:type="gramStart"/>
            <w:r w:rsidR="00F714D8">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F714D8">
            <w:pPr>
              <w:pStyle w:val="DocumentDateAR"/>
              <w:bidi/>
              <w:rPr>
                <w:rtl/>
              </w:rPr>
            </w:pPr>
            <w:r w:rsidRPr="00B6101C">
              <w:rPr>
                <w:rFonts w:hint="cs"/>
                <w:rtl/>
              </w:rPr>
              <w:t xml:space="preserve">التاريخ: </w:t>
            </w:r>
            <w:r w:rsidR="00F714D8">
              <w:rPr>
                <w:rFonts w:hint="cs"/>
                <w:rtl/>
              </w:rPr>
              <w:t>14</w:t>
            </w:r>
            <w:r w:rsidRPr="00B6101C">
              <w:rPr>
                <w:rFonts w:hint="cs"/>
                <w:rtl/>
              </w:rPr>
              <w:t xml:space="preserve"> </w:t>
            </w:r>
            <w:proofErr w:type="gramStart"/>
            <w:r w:rsidR="00F714D8">
              <w:rPr>
                <w:rFonts w:hint="cs"/>
                <w:rtl/>
              </w:rPr>
              <w:t>أبريل</w:t>
            </w:r>
            <w:proofErr w:type="gramEnd"/>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proofErr w:type="gramStart"/>
      <w:r w:rsidR="005804FC">
        <w:rPr>
          <w:rFonts w:ascii="Cambria Math" w:hAnsi="Cambria Math" w:hint="cs"/>
          <w:rtl/>
        </w:rPr>
        <w:t>الثالثة</w:t>
      </w:r>
      <w:proofErr w:type="gramEnd"/>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A71A3" w:rsidP="00FB7EC9">
      <w:pPr>
        <w:pStyle w:val="DocumentTitleAR"/>
        <w:bidi/>
        <w:rPr>
          <w:rtl/>
        </w:rPr>
      </w:pPr>
      <w:r>
        <w:rPr>
          <w:rFonts w:hint="cs"/>
          <w:rtl/>
        </w:rPr>
        <w:t xml:space="preserve">ملخص </w:t>
      </w:r>
      <w:r w:rsidRPr="00FA71A3">
        <w:rPr>
          <w:rtl/>
        </w:rPr>
        <w:t xml:space="preserve">التحليل المقارن للنُهج الوطنية المتعلقة بالتخلي </w:t>
      </w:r>
      <w:proofErr w:type="gramStart"/>
      <w:r w:rsidRPr="00FA71A3">
        <w:rPr>
          <w:rtl/>
        </w:rPr>
        <w:t>عن</w:t>
      </w:r>
      <w:proofErr w:type="gramEnd"/>
      <w:r w:rsidRPr="00FA71A3">
        <w:rPr>
          <w:rtl/>
        </w:rPr>
        <w:t xml:space="preserve"> حق المؤلف</w:t>
      </w:r>
    </w:p>
    <w:p w:rsidR="00D61541" w:rsidRDefault="00D61541" w:rsidP="00396B99">
      <w:pPr>
        <w:pStyle w:val="PreparedbyAR"/>
        <w:bidi/>
        <w:rPr>
          <w:rtl/>
        </w:rPr>
      </w:pPr>
      <w:r w:rsidRPr="00D61541">
        <w:rPr>
          <w:rFonts w:hint="cs"/>
          <w:rtl/>
        </w:rPr>
        <w:t xml:space="preserve">من </w:t>
      </w:r>
      <w:r w:rsidRPr="00931859">
        <w:rPr>
          <w:rFonts w:hint="cs"/>
          <w:rtl/>
        </w:rPr>
        <w:t>إعداد</w:t>
      </w:r>
      <w:r w:rsidR="00072891">
        <w:rPr>
          <w:rFonts w:hint="cs"/>
          <w:rtl/>
        </w:rPr>
        <w:t xml:space="preserve"> الدكتور</w:t>
      </w:r>
      <w:r w:rsidR="00FA71A3">
        <w:rPr>
          <w:rFonts w:hint="cs"/>
          <w:rtl/>
        </w:rPr>
        <w:t xml:space="preserve"> </w:t>
      </w:r>
      <w:proofErr w:type="spellStart"/>
      <w:r w:rsidR="00FA71A3">
        <w:rPr>
          <w:rFonts w:hint="cs"/>
          <w:rtl/>
        </w:rPr>
        <w:t>أندريس</w:t>
      </w:r>
      <w:proofErr w:type="spellEnd"/>
      <w:r w:rsidR="00FA71A3">
        <w:rPr>
          <w:rFonts w:hint="cs"/>
          <w:rtl/>
        </w:rPr>
        <w:t xml:space="preserve"> </w:t>
      </w:r>
      <w:proofErr w:type="spellStart"/>
      <w:r w:rsidR="00FA71A3">
        <w:rPr>
          <w:rFonts w:hint="cs"/>
          <w:rtl/>
        </w:rPr>
        <w:t>غواداموس</w:t>
      </w:r>
      <w:proofErr w:type="spellEnd"/>
      <w:r w:rsidR="00FA71A3">
        <w:rPr>
          <w:rFonts w:hint="cs"/>
          <w:rtl/>
        </w:rPr>
        <w:t>،</w:t>
      </w:r>
      <w:r w:rsidR="00782FBC">
        <w:rPr>
          <w:rFonts w:hint="cs"/>
          <w:rtl/>
        </w:rPr>
        <w:t xml:space="preserve"> </w:t>
      </w:r>
      <w:r w:rsidR="00396B99">
        <w:rPr>
          <w:rFonts w:hint="cs"/>
          <w:rtl/>
        </w:rPr>
        <w:t>أحد</w:t>
      </w:r>
      <w:r w:rsidR="00782FBC">
        <w:rPr>
          <w:rFonts w:hint="cs"/>
          <w:rtl/>
        </w:rPr>
        <w:t xml:space="preserve"> كبار المحاضرين </w:t>
      </w:r>
      <w:r w:rsidR="00FA71A3">
        <w:rPr>
          <w:rFonts w:hint="cs"/>
          <w:rtl/>
        </w:rPr>
        <w:t xml:space="preserve">في قانون الملكية الفكرية، جامعة </w:t>
      </w:r>
      <w:proofErr w:type="spellStart"/>
      <w:r w:rsidR="00FA71A3">
        <w:rPr>
          <w:rFonts w:hint="cs"/>
          <w:rtl/>
        </w:rPr>
        <w:t>ساسكس</w:t>
      </w:r>
      <w:proofErr w:type="spellEnd"/>
      <w:r w:rsidR="00FA71A3">
        <w:rPr>
          <w:rFonts w:hint="cs"/>
          <w:rtl/>
        </w:rPr>
        <w:t>، المملكة المتحدة</w:t>
      </w:r>
      <w:r w:rsidR="00FA71A3">
        <w:rPr>
          <w:rStyle w:val="FootnoteReference"/>
          <w:rtl/>
        </w:rPr>
        <w:footnoteReference w:id="1"/>
      </w:r>
    </w:p>
    <w:p w:rsidR="00782FBC" w:rsidRDefault="00190715" w:rsidP="00FA0893">
      <w:pPr>
        <w:pStyle w:val="NumberedParaAR"/>
      </w:pPr>
      <w:r>
        <w:rPr>
          <w:rFonts w:hint="cs"/>
          <w:rtl/>
        </w:rPr>
        <w:t xml:space="preserve">ناقشت اللجنة المعنية بالتنمية والملكية الفكرية (اللجنة)، في دورتها التاسعة المعقودة في مايو 2012، الوثيقة </w:t>
      </w:r>
      <w:proofErr w:type="spellStart"/>
      <w:r>
        <w:rPr>
          <w:rFonts w:hint="cs"/>
          <w:rtl/>
        </w:rPr>
        <w:t>المعنونة</w:t>
      </w:r>
      <w:proofErr w:type="spellEnd"/>
      <w:r>
        <w:rPr>
          <w:rFonts w:hint="cs"/>
          <w:rtl/>
        </w:rPr>
        <w:t xml:space="preserve"> "</w:t>
      </w:r>
      <w:r w:rsidRPr="00190715">
        <w:rPr>
          <w:rtl/>
        </w:rPr>
        <w:t>الحالات المحتملة والخيارات الممكنة بشأن التوصيات 1(ج) و1(و) و2(أ) الواردة في دراسة النطاق بشأن حق المؤلف والحقوق المجاورة والملك العام</w:t>
      </w:r>
      <w:r w:rsidR="002C5977">
        <w:rPr>
          <w:rFonts w:hint="cs"/>
          <w:rtl/>
        </w:rPr>
        <w:t>" (</w:t>
      </w:r>
      <w:r w:rsidR="002C5977" w:rsidRPr="002C5977">
        <w:t>CDIP/9/INF/2</w:t>
      </w:r>
      <w:r w:rsidR="00FA0893">
        <w:rPr>
          <w:rFonts w:hint="cs"/>
          <w:rtl/>
        </w:rPr>
        <w:t xml:space="preserve">). </w:t>
      </w:r>
      <w:proofErr w:type="gramStart"/>
      <w:r w:rsidR="00FA0893">
        <w:rPr>
          <w:rFonts w:hint="cs"/>
          <w:rtl/>
        </w:rPr>
        <w:t>وفيما</w:t>
      </w:r>
      <w:proofErr w:type="gramEnd"/>
      <w:r w:rsidR="00FA0893">
        <w:rPr>
          <w:rFonts w:hint="cs"/>
          <w:rtl/>
        </w:rPr>
        <w:t xml:space="preserve"> يخص التوصية 1(ج)، كان من المتوقّع أن </w:t>
      </w:r>
      <w:r w:rsidR="002C5977">
        <w:rPr>
          <w:rFonts w:hint="cs"/>
          <w:rtl/>
        </w:rPr>
        <w:t xml:space="preserve">تُقدم </w:t>
      </w:r>
      <w:r w:rsidR="00FA0893">
        <w:rPr>
          <w:rFonts w:hint="cs"/>
          <w:rtl/>
        </w:rPr>
        <w:t>إلى دورة اللجنة التالية مواصفات مقترحة بخصوص دراسة مقارنة بشأن التخلي عن حق المؤلف.</w:t>
      </w:r>
    </w:p>
    <w:p w:rsidR="00FA0893" w:rsidRDefault="00FA0893" w:rsidP="00072891">
      <w:pPr>
        <w:pStyle w:val="NumberedParaAR"/>
      </w:pPr>
      <w:r>
        <w:rPr>
          <w:rFonts w:hint="cs"/>
          <w:rtl/>
        </w:rPr>
        <w:t>وناقشت اللجنة المواصفات المذكورة (</w:t>
      </w:r>
      <w:r w:rsidRPr="00FA0893">
        <w:t>CDIP/10/14</w:t>
      </w:r>
      <w:r>
        <w:rPr>
          <w:rFonts w:hint="cs"/>
          <w:rtl/>
        </w:rPr>
        <w:t>) في دورتها العاشرة المعقودة في نوفمبر 2012 وطلبت من الأمانة المضي في إجراء الدراسة،</w:t>
      </w:r>
      <w:r w:rsidR="00072891">
        <w:rPr>
          <w:rFonts w:hint="cs"/>
          <w:rtl/>
        </w:rPr>
        <w:t xml:space="preserve"> مع أخذ تعليقات الدول الأعضاء في الحسبان.</w:t>
      </w:r>
    </w:p>
    <w:p w:rsidR="00072891" w:rsidRDefault="00072891" w:rsidP="0084257E">
      <w:pPr>
        <w:pStyle w:val="NumberedParaAR"/>
      </w:pPr>
      <w:r>
        <w:rPr>
          <w:rFonts w:hint="cs"/>
          <w:rtl/>
        </w:rPr>
        <w:t xml:space="preserve">وبناء عليه يحتوي مرفق هذه الوثيقة على </w:t>
      </w:r>
      <w:r w:rsidRPr="00072891">
        <w:rPr>
          <w:rtl/>
        </w:rPr>
        <w:t>ملخص التحليل المقارن للنُهج الوطنية المتعلقة بالتخلي عن حق المؤلف</w:t>
      </w:r>
      <w:r>
        <w:rPr>
          <w:rFonts w:hint="cs"/>
          <w:rtl/>
        </w:rPr>
        <w:t xml:space="preserve">، الذي أعده الدكتور </w:t>
      </w:r>
      <w:proofErr w:type="spellStart"/>
      <w:r w:rsidR="0084257E" w:rsidRPr="0084257E">
        <w:rPr>
          <w:rtl/>
        </w:rPr>
        <w:t>أندريس</w:t>
      </w:r>
      <w:proofErr w:type="spellEnd"/>
      <w:r w:rsidR="0084257E" w:rsidRPr="0084257E">
        <w:rPr>
          <w:rtl/>
        </w:rPr>
        <w:t xml:space="preserve"> </w:t>
      </w:r>
      <w:proofErr w:type="spellStart"/>
      <w:r w:rsidR="0084257E" w:rsidRPr="0084257E">
        <w:rPr>
          <w:rtl/>
        </w:rPr>
        <w:t>غواداموس</w:t>
      </w:r>
      <w:proofErr w:type="spellEnd"/>
      <w:r w:rsidR="0084257E" w:rsidRPr="0084257E">
        <w:rPr>
          <w:rtl/>
        </w:rPr>
        <w:t>، أحد كبار الم</w:t>
      </w:r>
      <w:r w:rsidR="0084257E">
        <w:rPr>
          <w:rtl/>
        </w:rPr>
        <w:t>حاضرين في قانون الملكية الفكرية</w:t>
      </w:r>
      <w:r w:rsidR="0084257E">
        <w:rPr>
          <w:rFonts w:hint="cs"/>
          <w:rtl/>
        </w:rPr>
        <w:t xml:space="preserve"> في</w:t>
      </w:r>
      <w:r w:rsidR="0084257E">
        <w:rPr>
          <w:rtl/>
        </w:rPr>
        <w:t xml:space="preserve"> جامعة </w:t>
      </w:r>
      <w:proofErr w:type="spellStart"/>
      <w:r w:rsidR="0084257E">
        <w:rPr>
          <w:rtl/>
        </w:rPr>
        <w:t>ساسكس</w:t>
      </w:r>
      <w:proofErr w:type="spellEnd"/>
      <w:r w:rsidR="0084257E">
        <w:rPr>
          <w:rFonts w:hint="cs"/>
          <w:rtl/>
        </w:rPr>
        <w:t xml:space="preserve"> ب</w:t>
      </w:r>
      <w:r w:rsidR="0084257E" w:rsidRPr="0084257E">
        <w:rPr>
          <w:rtl/>
        </w:rPr>
        <w:t>المملكة المتحدة</w:t>
      </w:r>
      <w:r w:rsidR="0084257E">
        <w:rPr>
          <w:rFonts w:hint="cs"/>
          <w:rtl/>
        </w:rPr>
        <w:t>.</w:t>
      </w:r>
    </w:p>
    <w:p w:rsidR="0084257E" w:rsidRDefault="0084257E" w:rsidP="0084257E">
      <w:pPr>
        <w:pStyle w:val="DecisionParaAR"/>
      </w:pPr>
      <w:r>
        <w:rPr>
          <w:rFonts w:hint="cs"/>
          <w:rtl/>
        </w:rPr>
        <w:t>إن اللجنة مدعوة إلى الإحاطة علما بالمعلومات الواردة في مرفق هذه الوثيقة.</w:t>
      </w:r>
    </w:p>
    <w:p w:rsidR="0084257E" w:rsidRDefault="0084257E" w:rsidP="0084257E">
      <w:pPr>
        <w:pStyle w:val="EndofDocumentAR"/>
        <w:rPr>
          <w:rtl/>
        </w:rPr>
        <w:sectPr w:rsidR="0084257E" w:rsidSect="00EB7752">
          <w:headerReference w:type="default" r:id="rId10"/>
          <w:pgSz w:w="11907" w:h="16840" w:code="9"/>
          <w:pgMar w:top="567" w:right="1418" w:bottom="1418" w:left="1134" w:header="510" w:footer="1021" w:gutter="0"/>
          <w:cols w:space="720"/>
          <w:titlePg/>
          <w:docGrid w:linePitch="299"/>
        </w:sectPr>
      </w:pPr>
      <w:r>
        <w:rPr>
          <w:rFonts w:hint="cs"/>
          <w:rtl/>
        </w:rPr>
        <w:t xml:space="preserve">[يلي ذلك </w:t>
      </w:r>
      <w:proofErr w:type="gramStart"/>
      <w:r>
        <w:rPr>
          <w:rFonts w:hint="cs"/>
          <w:rtl/>
        </w:rPr>
        <w:t>المرفق</w:t>
      </w:r>
      <w:proofErr w:type="gramEnd"/>
      <w:r>
        <w:rPr>
          <w:rFonts w:hint="cs"/>
          <w:rtl/>
        </w:rPr>
        <w:t>]</w:t>
      </w:r>
    </w:p>
    <w:p w:rsidR="0084257E" w:rsidRPr="00EA2461" w:rsidRDefault="00EA2461" w:rsidP="0084257E">
      <w:pPr>
        <w:pStyle w:val="NormalParaAR"/>
        <w:rPr>
          <w:b/>
          <w:bCs/>
          <w:sz w:val="40"/>
          <w:szCs w:val="40"/>
          <w:rtl/>
        </w:rPr>
      </w:pPr>
      <w:proofErr w:type="gramStart"/>
      <w:r w:rsidRPr="00EA2461">
        <w:rPr>
          <w:rFonts w:hint="cs"/>
          <w:b/>
          <w:bCs/>
          <w:sz w:val="40"/>
          <w:szCs w:val="40"/>
          <w:rtl/>
        </w:rPr>
        <w:lastRenderedPageBreak/>
        <w:t>ملخص</w:t>
      </w:r>
      <w:proofErr w:type="gramEnd"/>
      <w:r w:rsidR="00FE5162">
        <w:rPr>
          <w:rFonts w:hint="cs"/>
          <w:b/>
          <w:bCs/>
          <w:sz w:val="40"/>
          <w:szCs w:val="40"/>
          <w:rtl/>
        </w:rPr>
        <w:t xml:space="preserve"> عملي</w:t>
      </w:r>
    </w:p>
    <w:p w:rsidR="00EA2461" w:rsidRDefault="00FE5162" w:rsidP="00E208F9">
      <w:pPr>
        <w:pStyle w:val="NormalParaAR"/>
        <w:rPr>
          <w:rtl/>
          <w:lang w:val="en-GB"/>
        </w:rPr>
      </w:pPr>
      <w:r>
        <w:rPr>
          <w:rFonts w:hint="cs"/>
          <w:rtl/>
        </w:rPr>
        <w:t xml:space="preserve">هذا التقرير هو ثمرة العمل الذي تقوم به اللجنة المعنية بالتنمية والملكية الفكرية (اللجنة)، وهو منبثق تحديدا عن تقرير يحلّل مختلف جوانب حق المؤلف والملك العام أعدّته الأستاذة سيفرين </w:t>
      </w:r>
      <w:proofErr w:type="spellStart"/>
      <w:r>
        <w:rPr>
          <w:rFonts w:hint="cs"/>
          <w:rtl/>
        </w:rPr>
        <w:t>دوسولييه</w:t>
      </w:r>
      <w:proofErr w:type="spellEnd"/>
      <w:r>
        <w:rPr>
          <w:rFonts w:hint="cs"/>
          <w:rtl/>
        </w:rPr>
        <w:t xml:space="preserve"> (</w:t>
      </w:r>
      <w:r w:rsidRPr="00FE5162">
        <w:rPr>
          <w:lang w:val="en-GB"/>
        </w:rPr>
        <w:t>CDIP/4/3/REV./STUDY/INF/1</w:t>
      </w:r>
      <w:r>
        <w:rPr>
          <w:rFonts w:hint="cs"/>
          <w:rtl/>
          <w:lang w:val="en-GB"/>
        </w:rPr>
        <w:t xml:space="preserve">). ونتيجة للقضايا المثارة في ذلك التقرير، طلبت المنظمة العالمية للملكية الفكرية (الويبو) إجراء هذه الدراسة للتثبّت من </w:t>
      </w:r>
      <w:r w:rsidR="00035D43">
        <w:rPr>
          <w:rFonts w:hint="cs"/>
          <w:rtl/>
          <w:lang w:val="en-GB"/>
        </w:rPr>
        <w:t>ا</w:t>
      </w:r>
      <w:r w:rsidR="00E208F9">
        <w:rPr>
          <w:rFonts w:hint="cs"/>
          <w:rtl/>
          <w:lang w:val="en-GB"/>
        </w:rPr>
        <w:t xml:space="preserve">لقضايا القانونية المحيطة بالتنازل </w:t>
      </w:r>
      <w:r w:rsidR="00035D43">
        <w:rPr>
          <w:rFonts w:hint="cs"/>
          <w:rtl/>
          <w:lang w:val="en-GB"/>
        </w:rPr>
        <w:t>عن حق المؤلف.</w:t>
      </w:r>
    </w:p>
    <w:p w:rsidR="00035D43" w:rsidRDefault="00035D43" w:rsidP="0059464D">
      <w:pPr>
        <w:pStyle w:val="NormalParaAR"/>
        <w:rPr>
          <w:rtl/>
        </w:rPr>
      </w:pPr>
      <w:r>
        <w:rPr>
          <w:rFonts w:hint="cs"/>
          <w:rtl/>
        </w:rPr>
        <w:t>وينظر التقرير، أوّلا، في المسألة المتعلقة بكيفية تبرير حق المؤلف، إذ يمكن أن تؤثّر تلك المسألة في إمك</w:t>
      </w:r>
      <w:r w:rsidR="0059464D">
        <w:rPr>
          <w:rFonts w:hint="cs"/>
          <w:rtl/>
        </w:rPr>
        <w:t>انية سماح بلد ما لمؤلف ما بإصدار</w:t>
      </w:r>
      <w:r>
        <w:rPr>
          <w:rFonts w:hint="cs"/>
          <w:rtl/>
        </w:rPr>
        <w:t xml:space="preserve"> إعلان طوعي يؤدي إلى انتهاء حقوقه. ويمكن وصف حق المؤلف بطرق عدة منها أنه </w:t>
      </w:r>
      <w:r w:rsidR="00A176F8">
        <w:rPr>
          <w:rFonts w:hint="cs"/>
          <w:rtl/>
        </w:rPr>
        <w:t>حق طبيعي ومكافأة للمبدعين و</w:t>
      </w:r>
      <w:r>
        <w:rPr>
          <w:rFonts w:hint="cs"/>
          <w:rtl/>
        </w:rPr>
        <w:t xml:space="preserve">محفّز </w:t>
      </w:r>
      <w:r w:rsidR="00A176F8">
        <w:rPr>
          <w:rFonts w:hint="cs"/>
          <w:rtl/>
        </w:rPr>
        <w:t>ل</w:t>
      </w:r>
      <w:r>
        <w:rPr>
          <w:rFonts w:hint="cs"/>
          <w:rtl/>
        </w:rPr>
        <w:t xml:space="preserve">لإبداع وحق من حقوق الملكية ومكافأة اقتصادية </w:t>
      </w:r>
      <w:r w:rsidR="00A176F8">
        <w:rPr>
          <w:rFonts w:hint="cs"/>
          <w:rtl/>
        </w:rPr>
        <w:t xml:space="preserve">وجزء من المصلحة العامة. وهناك مُبرّران اثنان </w:t>
      </w:r>
      <w:r w:rsidR="0059464D">
        <w:rPr>
          <w:rFonts w:hint="cs"/>
          <w:rtl/>
        </w:rPr>
        <w:t>ي</w:t>
      </w:r>
      <w:r w:rsidR="00A176F8">
        <w:rPr>
          <w:rFonts w:hint="cs"/>
          <w:rtl/>
        </w:rPr>
        <w:t xml:space="preserve">ستكشفهما </w:t>
      </w:r>
      <w:r w:rsidR="0059464D">
        <w:rPr>
          <w:rFonts w:hint="cs"/>
          <w:rtl/>
        </w:rPr>
        <w:t>التقرير</w:t>
      </w:r>
      <w:r w:rsidR="00A176F8">
        <w:rPr>
          <w:rFonts w:hint="cs"/>
          <w:rtl/>
        </w:rPr>
        <w:t xml:space="preserve"> وهما المبرّر المعنوي والمبرّر المنفعي. ويعتبر المبرّر المعنوي وجود الملكية الفكرية نتيجة طبيعية </w:t>
      </w:r>
      <w:proofErr w:type="gramStart"/>
      <w:r w:rsidR="00A176F8">
        <w:rPr>
          <w:rFonts w:hint="cs"/>
          <w:rtl/>
        </w:rPr>
        <w:t>لحق</w:t>
      </w:r>
      <w:proofErr w:type="gramEnd"/>
      <w:r w:rsidR="00A176F8">
        <w:rPr>
          <w:rFonts w:hint="cs"/>
          <w:rtl/>
        </w:rPr>
        <w:t xml:space="preserve"> المبدع في أي شيء ينتجه. </w:t>
      </w:r>
      <w:proofErr w:type="gramStart"/>
      <w:r w:rsidR="00A176F8">
        <w:rPr>
          <w:rFonts w:hint="cs"/>
          <w:rtl/>
        </w:rPr>
        <w:t>وقد</w:t>
      </w:r>
      <w:proofErr w:type="gramEnd"/>
      <w:r w:rsidR="00A176F8">
        <w:rPr>
          <w:rFonts w:hint="cs"/>
          <w:rtl/>
        </w:rPr>
        <w:t xml:space="preserve"> </w:t>
      </w:r>
      <w:r w:rsidR="00487EFC">
        <w:rPr>
          <w:rFonts w:hint="cs"/>
          <w:rtl/>
        </w:rPr>
        <w:t>فسح</w:t>
      </w:r>
      <w:r w:rsidR="00A176F8">
        <w:rPr>
          <w:rFonts w:hint="cs"/>
          <w:rtl/>
        </w:rPr>
        <w:t xml:space="preserve"> العنصر المعنوي من حق المؤلف </w:t>
      </w:r>
      <w:r w:rsidR="009A4F46">
        <w:rPr>
          <w:rFonts w:hint="cs"/>
          <w:rtl/>
        </w:rPr>
        <w:t>الطريق أمام ال</w:t>
      </w:r>
      <w:r w:rsidR="00A176F8">
        <w:rPr>
          <w:rFonts w:hint="cs"/>
          <w:rtl/>
        </w:rPr>
        <w:t xml:space="preserve">عنصر الاقتصادي، ولكنّ وجود الحقوق المعنوية، التي تكتسي أهمية خاصة في الولايات القضائية </w:t>
      </w:r>
      <w:r w:rsidR="00487EFC">
        <w:rPr>
          <w:rFonts w:hint="cs"/>
          <w:rtl/>
        </w:rPr>
        <w:t xml:space="preserve">المعتمدة على القانون المدني، لا يزال يمثّل بقوة عناصر حق المؤلف باعتباره حقا من حقوق </w:t>
      </w:r>
      <w:r w:rsidR="00D118F6">
        <w:rPr>
          <w:rFonts w:hint="cs"/>
          <w:rtl/>
        </w:rPr>
        <w:t>الشخصية</w:t>
      </w:r>
      <w:r w:rsidR="00487EFC">
        <w:rPr>
          <w:rFonts w:hint="cs"/>
          <w:rtl/>
        </w:rPr>
        <w:t>.</w:t>
      </w:r>
    </w:p>
    <w:p w:rsidR="00D118F6" w:rsidRDefault="00D118F6" w:rsidP="009A4F46">
      <w:pPr>
        <w:pStyle w:val="NormalParaAR"/>
        <w:rPr>
          <w:rtl/>
        </w:rPr>
      </w:pPr>
      <w:r>
        <w:rPr>
          <w:rFonts w:hint="cs"/>
          <w:rtl/>
        </w:rPr>
        <w:t>أماّ المبرّر المنفعي لحق المؤلف فيمكن تعريف</w:t>
      </w:r>
      <w:r w:rsidR="009A4F46">
        <w:rPr>
          <w:rFonts w:hint="cs"/>
          <w:rtl/>
        </w:rPr>
        <w:t>ه</w:t>
      </w:r>
      <w:r>
        <w:rPr>
          <w:rFonts w:hint="cs"/>
          <w:rtl/>
        </w:rPr>
        <w:t xml:space="preserve">، في غالب الأحيان، بأنه مبرّر يقضي بوجود حماية لغرض منفعي وهو تشجيع الإبداع  بمكافأة المؤلفين والمخترعين من خلال استرداد استثماراتهم. وعلى الرغم من انتشار هذه الفلسفة على نطاق واسع </w:t>
      </w:r>
      <w:r w:rsidR="009A4F46">
        <w:rPr>
          <w:rFonts w:hint="cs"/>
          <w:rtl/>
        </w:rPr>
        <w:t>فإن</w:t>
      </w:r>
      <w:r>
        <w:rPr>
          <w:rFonts w:hint="cs"/>
          <w:rtl/>
        </w:rPr>
        <w:t xml:space="preserve"> </w:t>
      </w:r>
      <w:r w:rsidR="009A4F46">
        <w:rPr>
          <w:rFonts w:hint="cs"/>
          <w:rtl/>
        </w:rPr>
        <w:t>الحقوق الاقتصادية تكتسي عادة</w:t>
      </w:r>
      <w:r>
        <w:rPr>
          <w:rFonts w:hint="cs"/>
          <w:rtl/>
        </w:rPr>
        <w:t xml:space="preserve"> أهمية أكبر.</w:t>
      </w:r>
    </w:p>
    <w:p w:rsidR="009A4F46" w:rsidRDefault="009A4F46" w:rsidP="0059464D">
      <w:pPr>
        <w:pStyle w:val="NormalParaAR"/>
        <w:rPr>
          <w:rtl/>
        </w:rPr>
      </w:pPr>
      <w:r>
        <w:rPr>
          <w:rFonts w:hint="cs"/>
          <w:rtl/>
        </w:rPr>
        <w:t xml:space="preserve">ويستكشف التقرير بعد ذلك قضية الملك العام من المنظورين السلبي والإيجابي على حد سواء، أي ما إذا يمكن اعتبار الملك العام انتفاءً لحق المؤلف، أو ما إذا يمكن اعتباره أمرا لا ينبغي السعي إلى ضمانه وحمايته فحسب، بل اعتباره مجالا يمكن لمالكي حق المؤلف </w:t>
      </w:r>
      <w:r w:rsidR="0059464D">
        <w:rPr>
          <w:rFonts w:hint="cs"/>
          <w:rtl/>
        </w:rPr>
        <w:t>إدراج</w:t>
      </w:r>
      <w:r w:rsidR="00E208F9">
        <w:rPr>
          <w:rFonts w:hint="cs"/>
          <w:rtl/>
        </w:rPr>
        <w:t xml:space="preserve"> مصنفاتهم فيه </w:t>
      </w:r>
      <w:r w:rsidR="0059464D">
        <w:rPr>
          <w:rFonts w:hint="cs"/>
          <w:rtl/>
        </w:rPr>
        <w:t>طوعا</w:t>
      </w:r>
      <w:r w:rsidR="00E208F9">
        <w:rPr>
          <w:rFonts w:hint="cs"/>
          <w:rtl/>
        </w:rPr>
        <w:t>، إذا ما رغبوا في ذلك.</w:t>
      </w:r>
    </w:p>
    <w:p w:rsidR="00E208F9" w:rsidRDefault="00E208F9" w:rsidP="002A421A">
      <w:pPr>
        <w:pStyle w:val="NormalParaAR"/>
        <w:rPr>
          <w:rtl/>
        </w:rPr>
      </w:pPr>
      <w:r>
        <w:rPr>
          <w:rFonts w:hint="cs"/>
          <w:rtl/>
        </w:rPr>
        <w:t>وهذ</w:t>
      </w:r>
      <w:r w:rsidR="0059464D">
        <w:rPr>
          <w:rFonts w:hint="cs"/>
          <w:rtl/>
        </w:rPr>
        <w:t>ا</w:t>
      </w:r>
      <w:r>
        <w:rPr>
          <w:rFonts w:hint="cs"/>
          <w:rtl/>
        </w:rPr>
        <w:t xml:space="preserve"> </w:t>
      </w:r>
      <w:r w:rsidR="00A32070">
        <w:rPr>
          <w:rFonts w:hint="cs"/>
          <w:rtl/>
        </w:rPr>
        <w:t>الانقسام</w:t>
      </w:r>
      <w:r>
        <w:rPr>
          <w:rFonts w:hint="cs"/>
          <w:rtl/>
        </w:rPr>
        <w:t xml:space="preserve"> هو في صميم القضية المتعلقة بالتخلي </w:t>
      </w:r>
      <w:proofErr w:type="gramStart"/>
      <w:r>
        <w:rPr>
          <w:rFonts w:hint="cs"/>
          <w:rtl/>
        </w:rPr>
        <w:t>عن</w:t>
      </w:r>
      <w:proofErr w:type="gramEnd"/>
      <w:r>
        <w:rPr>
          <w:rFonts w:hint="cs"/>
          <w:rtl/>
        </w:rPr>
        <w:t xml:space="preserve"> حق المؤلف.</w:t>
      </w:r>
      <w:r>
        <w:rPr>
          <w:rStyle w:val="FootnoteReference"/>
          <w:rtl/>
        </w:rPr>
        <w:footnoteReference w:id="2"/>
      </w:r>
      <w:r w:rsidR="00A32070">
        <w:rPr>
          <w:rFonts w:hint="cs"/>
          <w:rtl/>
        </w:rPr>
        <w:t xml:space="preserve"> وإذا ما اعتبرنا حق المؤلف مجرّد حق يتصرف فيه المؤلف أو الم</w:t>
      </w:r>
      <w:r w:rsidR="007E7EEB">
        <w:rPr>
          <w:rFonts w:hint="cs"/>
          <w:rtl/>
        </w:rPr>
        <w:t>ا</w:t>
      </w:r>
      <w:r w:rsidR="00A32070">
        <w:rPr>
          <w:rFonts w:hint="cs"/>
          <w:rtl/>
        </w:rPr>
        <w:t xml:space="preserve">لك حسبما يلائمه، فإن من المنطقي توقّع إمكانية أن يتصرّف أصحاب الحقوق في ملكيتهم الخاصة بالطريقة التي تناسبهم، بما في ذلك احتمال نزوعهم طوعا إلى التنازل عن تلك الملكية. </w:t>
      </w:r>
      <w:proofErr w:type="gramStart"/>
      <w:r w:rsidR="00A32070">
        <w:rPr>
          <w:rFonts w:hint="cs"/>
          <w:rtl/>
        </w:rPr>
        <w:t>والمشكلة</w:t>
      </w:r>
      <w:proofErr w:type="gramEnd"/>
      <w:r w:rsidR="00A32070">
        <w:rPr>
          <w:rFonts w:hint="cs"/>
          <w:rtl/>
        </w:rPr>
        <w:t xml:space="preserve"> المطروحة هي عدم اتساق القانون في هذا الصدد. </w:t>
      </w:r>
      <w:proofErr w:type="gramStart"/>
      <w:r w:rsidR="00A32070">
        <w:rPr>
          <w:rFonts w:hint="cs"/>
          <w:rtl/>
        </w:rPr>
        <w:t>ففي</w:t>
      </w:r>
      <w:proofErr w:type="gramEnd"/>
      <w:r w:rsidR="00A32070">
        <w:rPr>
          <w:rFonts w:hint="cs"/>
          <w:rtl/>
        </w:rPr>
        <w:t xml:space="preserve"> كثير من الولايات القضائية لا يُسمح بتلك الممارسة، في حين تشتمل ولايات قضائية أخرى على تشريعات تتضمن أحكاما </w:t>
      </w:r>
      <w:r w:rsidR="00E33123">
        <w:rPr>
          <w:rFonts w:hint="cs"/>
          <w:rtl/>
        </w:rPr>
        <w:t xml:space="preserve">تسمح بها، كما يتناوله بالتفصيل الجزء الثاني من التقرير. </w:t>
      </w:r>
      <w:proofErr w:type="gramStart"/>
      <w:r w:rsidR="00E33123">
        <w:rPr>
          <w:rFonts w:hint="cs"/>
          <w:rtl/>
        </w:rPr>
        <w:t>وسبب</w:t>
      </w:r>
      <w:proofErr w:type="gramEnd"/>
      <w:r w:rsidR="00E33123">
        <w:rPr>
          <w:rFonts w:hint="cs"/>
          <w:rtl/>
        </w:rPr>
        <w:t xml:space="preserve"> هذا الغموض يكمن بالدرجة الأولى في الطبيعة الحقيقية لحق المؤلف والملك العام التي نوقشت في الفقرات السابقة. </w:t>
      </w:r>
      <w:proofErr w:type="gramStart"/>
      <w:r w:rsidR="00E33123">
        <w:rPr>
          <w:rFonts w:hint="cs"/>
          <w:rtl/>
        </w:rPr>
        <w:t>فإذا</w:t>
      </w:r>
      <w:proofErr w:type="gramEnd"/>
      <w:r w:rsidR="00E33123">
        <w:rPr>
          <w:rFonts w:hint="cs"/>
          <w:rtl/>
        </w:rPr>
        <w:t xml:space="preserve"> كان حق المؤلف حق</w:t>
      </w:r>
      <w:r w:rsidR="00B71591">
        <w:rPr>
          <w:rFonts w:hint="cs"/>
          <w:rtl/>
        </w:rPr>
        <w:t>ا</w:t>
      </w:r>
      <w:r w:rsidR="00E33123">
        <w:rPr>
          <w:rFonts w:hint="cs"/>
          <w:rtl/>
        </w:rPr>
        <w:t xml:space="preserve"> اقتصاديا أقرب إلى الملكية بمعناها التقليدي، فسيكون ممكنا لمالكيه ت</w:t>
      </w:r>
      <w:r w:rsidR="002A421A">
        <w:rPr>
          <w:rFonts w:hint="cs"/>
          <w:rtl/>
        </w:rPr>
        <w:t>أجيره أو بيعه أو حتى إسقاطه</w:t>
      </w:r>
      <w:r w:rsidR="00E33123">
        <w:rPr>
          <w:rFonts w:hint="cs"/>
          <w:rtl/>
        </w:rPr>
        <w:t xml:space="preserve">. </w:t>
      </w:r>
      <w:proofErr w:type="gramStart"/>
      <w:r w:rsidR="00E33123">
        <w:rPr>
          <w:rFonts w:hint="cs"/>
          <w:rtl/>
        </w:rPr>
        <w:t>أمّا</w:t>
      </w:r>
      <w:proofErr w:type="gramEnd"/>
      <w:r w:rsidR="00E33123">
        <w:rPr>
          <w:rFonts w:hint="cs"/>
          <w:rtl/>
        </w:rPr>
        <w:t xml:space="preserve"> إذا كان حق المؤلف أقرب إلى حق الشخصية </w:t>
      </w:r>
      <w:r w:rsidR="002A421A">
        <w:rPr>
          <w:rFonts w:hint="cs"/>
          <w:rtl/>
        </w:rPr>
        <w:t>الثابت، فإنه سيتعذّر إسقاطه، على غرار حقوق الإنسان.</w:t>
      </w:r>
    </w:p>
    <w:p w:rsidR="00EA4CCA" w:rsidRDefault="00091991" w:rsidP="00B71591">
      <w:pPr>
        <w:pStyle w:val="NormalParaAR"/>
        <w:rPr>
          <w:rtl/>
        </w:rPr>
      </w:pPr>
      <w:proofErr w:type="gramStart"/>
      <w:r>
        <w:rPr>
          <w:rFonts w:hint="cs"/>
          <w:rtl/>
        </w:rPr>
        <w:t>وتُعتبر</w:t>
      </w:r>
      <w:proofErr w:type="gramEnd"/>
      <w:r>
        <w:rPr>
          <w:rFonts w:hint="cs"/>
          <w:rtl/>
        </w:rPr>
        <w:t xml:space="preserve"> الحقوق المعنوية أكبر العقبات التي تحول دون الإعلان عن دخول المصنفات في نطاق </w:t>
      </w:r>
      <w:r w:rsidR="00B71591">
        <w:rPr>
          <w:rFonts w:hint="cs"/>
          <w:rtl/>
        </w:rPr>
        <w:t xml:space="preserve">الملك العام. </w:t>
      </w:r>
      <w:proofErr w:type="gramStart"/>
      <w:r w:rsidR="00B71591">
        <w:rPr>
          <w:rFonts w:hint="cs"/>
          <w:rtl/>
        </w:rPr>
        <w:t>وفي</w:t>
      </w:r>
      <w:proofErr w:type="gramEnd"/>
      <w:r w:rsidR="00B71591">
        <w:rPr>
          <w:rFonts w:hint="cs"/>
          <w:rtl/>
        </w:rPr>
        <w:t xml:space="preserve"> حين ت</w:t>
      </w:r>
      <w:r>
        <w:rPr>
          <w:rFonts w:hint="cs"/>
          <w:rtl/>
        </w:rPr>
        <w:t xml:space="preserve">وجد بضع ولايات قضائية يمكن </w:t>
      </w:r>
      <w:r w:rsidR="00EA4CCA">
        <w:rPr>
          <w:rFonts w:hint="cs"/>
          <w:rtl/>
        </w:rPr>
        <w:t>التنازل</w:t>
      </w:r>
      <w:r>
        <w:rPr>
          <w:rFonts w:hint="cs"/>
          <w:rtl/>
        </w:rPr>
        <w:t xml:space="preserve"> فيها عن الحقوق المعنوية، فإن تلك الحقوق تُعد حقوقا ثابتة في معظم البلدان.</w:t>
      </w:r>
      <w:r w:rsidR="00EA4CCA">
        <w:rPr>
          <w:rFonts w:hint="cs"/>
          <w:rtl/>
        </w:rPr>
        <w:t xml:space="preserve"> وهنا يكمن تأثير طبيعة </w:t>
      </w:r>
      <w:proofErr w:type="gramStart"/>
      <w:r w:rsidR="00EA4CCA">
        <w:rPr>
          <w:rFonts w:hint="cs"/>
          <w:rtl/>
        </w:rPr>
        <w:t>حق</w:t>
      </w:r>
      <w:proofErr w:type="gramEnd"/>
      <w:r w:rsidR="00EA4CCA">
        <w:rPr>
          <w:rFonts w:hint="cs"/>
          <w:rtl/>
        </w:rPr>
        <w:t xml:space="preserve"> المؤلف. ففي بعض الولايات القضائية يكتسي حق المؤلف طبيعة أحادية، أي أن الحقوق الاقتصادية والمعنوية على السواء تُعتبر جزءاً لا يتجزّأ من حق المؤلف. بينما تعتبر ولايات قضائية أخرى </w:t>
      </w:r>
      <w:r w:rsidR="00216F16">
        <w:rPr>
          <w:rFonts w:hint="cs"/>
          <w:rtl/>
        </w:rPr>
        <w:t xml:space="preserve">حق المؤلف </w:t>
      </w:r>
      <w:proofErr w:type="gramStart"/>
      <w:r w:rsidR="00216F16">
        <w:rPr>
          <w:rFonts w:hint="cs"/>
          <w:rtl/>
        </w:rPr>
        <w:t>حقا</w:t>
      </w:r>
      <w:proofErr w:type="gramEnd"/>
      <w:r w:rsidR="00216F16">
        <w:rPr>
          <w:rFonts w:hint="cs"/>
          <w:rtl/>
        </w:rPr>
        <w:t xml:space="preserve"> ثنائيا وتتعامل</w:t>
      </w:r>
      <w:r w:rsidR="00EA4CCA">
        <w:rPr>
          <w:rFonts w:hint="cs"/>
          <w:rtl/>
        </w:rPr>
        <w:t xml:space="preserve"> </w:t>
      </w:r>
      <w:r w:rsidR="00216F16">
        <w:rPr>
          <w:rFonts w:hint="cs"/>
          <w:rtl/>
        </w:rPr>
        <w:t xml:space="preserve">مع </w:t>
      </w:r>
      <w:r w:rsidR="00EA4CCA">
        <w:rPr>
          <w:rFonts w:hint="cs"/>
          <w:rtl/>
        </w:rPr>
        <w:t xml:space="preserve">الحقوق المعنوية والاقتصادية بشكل منفصل. </w:t>
      </w:r>
      <w:proofErr w:type="gramStart"/>
      <w:r w:rsidR="00EA4CCA">
        <w:rPr>
          <w:rFonts w:hint="cs"/>
          <w:rtl/>
        </w:rPr>
        <w:t>وبالتالي</w:t>
      </w:r>
      <w:proofErr w:type="gramEnd"/>
      <w:r w:rsidR="00EA4CCA">
        <w:rPr>
          <w:rFonts w:hint="cs"/>
          <w:rtl/>
        </w:rPr>
        <w:t xml:space="preserve"> لا يمكن، في الولايات القضائية التي تتّبع النهج الأحادي، سوى ترخيص حق </w:t>
      </w:r>
      <w:r w:rsidR="00EA4CCA">
        <w:rPr>
          <w:rFonts w:hint="cs"/>
          <w:rtl/>
        </w:rPr>
        <w:lastRenderedPageBreak/>
        <w:t>المؤلف ولا يمكن التنازل</w:t>
      </w:r>
      <w:r w:rsidR="00F963B4">
        <w:rPr>
          <w:rFonts w:hint="cs"/>
          <w:rtl/>
        </w:rPr>
        <w:t xml:space="preserve"> عنه بأي شكل من الأشكال. غير أن</w:t>
      </w:r>
      <w:r w:rsidR="00EA4CCA">
        <w:rPr>
          <w:rFonts w:hint="cs"/>
          <w:rtl/>
        </w:rPr>
        <w:t xml:space="preserve"> معظم الولايات القضائية تميل إلى اتّباع النهج الثنائي</w:t>
      </w:r>
      <w:r w:rsidR="00216F16">
        <w:rPr>
          <w:rFonts w:hint="cs"/>
          <w:rtl/>
        </w:rPr>
        <w:t xml:space="preserve">، فتصرّح بالتعامل مع الحقوق المعنوية </w:t>
      </w:r>
      <w:r w:rsidR="00B71591">
        <w:rPr>
          <w:rFonts w:hint="cs"/>
          <w:rtl/>
        </w:rPr>
        <w:t xml:space="preserve">بمعزل عن عنصر الأصول </w:t>
      </w:r>
      <w:r w:rsidR="00216F16">
        <w:rPr>
          <w:rFonts w:hint="cs"/>
          <w:rtl/>
        </w:rPr>
        <w:t xml:space="preserve">وتسمح، بناء على ذلك، بكل أشكال التصرّف الجزئي أو التام في الحقوق، بما في ذلك نقلها بشكل كامل. </w:t>
      </w:r>
      <w:proofErr w:type="gramStart"/>
      <w:r w:rsidR="00216F16">
        <w:rPr>
          <w:rFonts w:hint="cs"/>
          <w:rtl/>
        </w:rPr>
        <w:t>وفي</w:t>
      </w:r>
      <w:proofErr w:type="gramEnd"/>
      <w:r w:rsidR="00216F16">
        <w:rPr>
          <w:rFonts w:hint="cs"/>
          <w:rtl/>
        </w:rPr>
        <w:t xml:space="preserve"> إطار النُظم التي تتّبع النهج الثنائي يمكن التخلّي طوعا عن الحقوق إذا ما كان القانون يسمح بذلك.</w:t>
      </w:r>
    </w:p>
    <w:p w:rsidR="00216F16" w:rsidRDefault="00815113" w:rsidP="00B71591">
      <w:pPr>
        <w:pStyle w:val="NormalParaAR"/>
        <w:rPr>
          <w:rtl/>
        </w:rPr>
      </w:pPr>
      <w:r>
        <w:rPr>
          <w:rFonts w:hint="cs"/>
          <w:rtl/>
        </w:rPr>
        <w:t xml:space="preserve">ويتناول التقرير بعد ذلك مسألة </w:t>
      </w:r>
      <w:proofErr w:type="gramStart"/>
      <w:r w:rsidR="00D4435A">
        <w:rPr>
          <w:rFonts w:hint="cs"/>
          <w:rtl/>
        </w:rPr>
        <w:t>عدم</w:t>
      </w:r>
      <w:proofErr w:type="gramEnd"/>
      <w:r w:rsidR="00D4435A">
        <w:rPr>
          <w:rFonts w:hint="cs"/>
          <w:rtl/>
        </w:rPr>
        <w:t xml:space="preserve"> القابلية للإلغاء</w:t>
      </w:r>
      <w:r w:rsidR="00635F0C">
        <w:rPr>
          <w:rFonts w:hint="cs"/>
          <w:rtl/>
        </w:rPr>
        <w:t xml:space="preserve">. </w:t>
      </w:r>
      <w:proofErr w:type="gramStart"/>
      <w:r w:rsidR="00B71591">
        <w:rPr>
          <w:rFonts w:hint="cs"/>
          <w:rtl/>
        </w:rPr>
        <w:t>ف</w:t>
      </w:r>
      <w:r w:rsidR="00635F0C">
        <w:rPr>
          <w:rFonts w:hint="cs"/>
          <w:rtl/>
        </w:rPr>
        <w:t>من</w:t>
      </w:r>
      <w:proofErr w:type="gramEnd"/>
      <w:r w:rsidR="00635F0C">
        <w:rPr>
          <w:rFonts w:hint="cs"/>
          <w:rtl/>
        </w:rPr>
        <w:t xml:space="preserve"> </w:t>
      </w:r>
      <w:r w:rsidR="00B71591">
        <w:rPr>
          <w:rFonts w:hint="cs"/>
          <w:rtl/>
        </w:rPr>
        <w:t>دواعي قلق البعض كون</w:t>
      </w:r>
      <w:r w:rsidR="00635F0C">
        <w:rPr>
          <w:rFonts w:hint="cs"/>
          <w:rtl/>
        </w:rPr>
        <w:t xml:space="preserve"> عمليات تسخير المصنفات للملك العام عمليات نهائية غير قابلة للإلغاء و</w:t>
      </w:r>
      <w:r w:rsidR="00B71591">
        <w:rPr>
          <w:rFonts w:hint="cs"/>
          <w:rtl/>
        </w:rPr>
        <w:t>لزوم</w:t>
      </w:r>
      <w:r w:rsidR="00635F0C">
        <w:rPr>
          <w:rFonts w:hint="cs"/>
          <w:rtl/>
        </w:rPr>
        <w:t xml:space="preserve"> اعتبارها، إلى حد ما، عقبة تحول دون </w:t>
      </w:r>
      <w:r w:rsidR="00B71591">
        <w:rPr>
          <w:rFonts w:hint="cs"/>
          <w:rtl/>
        </w:rPr>
        <w:t xml:space="preserve">إمكانية </w:t>
      </w:r>
      <w:r w:rsidR="00635F0C">
        <w:rPr>
          <w:rFonts w:hint="cs"/>
          <w:rtl/>
        </w:rPr>
        <w:t xml:space="preserve">التخلي عن حق المؤلف. وينتهي التقرير إلى </w:t>
      </w:r>
      <w:r w:rsidR="00F963B4">
        <w:rPr>
          <w:rFonts w:hint="cs"/>
          <w:rtl/>
        </w:rPr>
        <w:t>أن</w:t>
      </w:r>
      <w:r w:rsidR="00B71591">
        <w:rPr>
          <w:rFonts w:hint="cs"/>
          <w:rtl/>
        </w:rPr>
        <w:t xml:space="preserve"> ذلك لا يطرح مشكلة في الأ</w:t>
      </w:r>
      <w:r w:rsidR="00635F0C">
        <w:rPr>
          <w:rFonts w:hint="cs"/>
          <w:rtl/>
        </w:rPr>
        <w:t>س</w:t>
      </w:r>
      <w:r w:rsidR="00F963B4">
        <w:rPr>
          <w:rFonts w:hint="cs"/>
          <w:rtl/>
        </w:rPr>
        <w:t>اس، لأن</w:t>
      </w:r>
      <w:r w:rsidR="00635F0C">
        <w:rPr>
          <w:rFonts w:hint="cs"/>
          <w:rtl/>
        </w:rPr>
        <w:t xml:space="preserve"> معظم البيّنات </w:t>
      </w:r>
      <w:proofErr w:type="spellStart"/>
      <w:r w:rsidR="00635F0C">
        <w:rPr>
          <w:rFonts w:hint="cs"/>
          <w:rtl/>
        </w:rPr>
        <w:t>المستقاة</w:t>
      </w:r>
      <w:proofErr w:type="spellEnd"/>
      <w:r w:rsidR="00635F0C">
        <w:rPr>
          <w:rFonts w:hint="cs"/>
          <w:rtl/>
        </w:rPr>
        <w:t xml:space="preserve"> </w:t>
      </w:r>
      <w:r w:rsidR="00F963B4">
        <w:rPr>
          <w:rFonts w:hint="cs"/>
          <w:rtl/>
        </w:rPr>
        <w:t>من الممارسة تشير إلى أن</w:t>
      </w:r>
      <w:r w:rsidR="00635F0C">
        <w:rPr>
          <w:rFonts w:hint="cs"/>
          <w:rtl/>
        </w:rPr>
        <w:t xml:space="preserve"> المؤلفين يتخذون قرارات مستنيرة للغاية؛ وعليه فإ</w:t>
      </w:r>
      <w:r w:rsidR="00F963B4">
        <w:rPr>
          <w:rFonts w:hint="cs"/>
          <w:rtl/>
        </w:rPr>
        <w:t>ن</w:t>
      </w:r>
      <w:r w:rsidR="00635F0C">
        <w:rPr>
          <w:rFonts w:hint="cs"/>
          <w:rtl/>
        </w:rPr>
        <w:t xml:space="preserve"> مشكلة تغيير القرار لاحقا لا تظهر إلا في حالات نادرة.</w:t>
      </w:r>
    </w:p>
    <w:p w:rsidR="00635F0C" w:rsidRDefault="00B71591" w:rsidP="00B71591">
      <w:pPr>
        <w:pStyle w:val="NormalParaAR"/>
        <w:rPr>
          <w:rtl/>
        </w:rPr>
      </w:pPr>
      <w:proofErr w:type="gramStart"/>
      <w:r>
        <w:rPr>
          <w:rFonts w:hint="cs"/>
          <w:rtl/>
        </w:rPr>
        <w:t>وينظر</w:t>
      </w:r>
      <w:proofErr w:type="gramEnd"/>
      <w:r w:rsidR="00635F0C">
        <w:rPr>
          <w:rFonts w:hint="cs"/>
          <w:rtl/>
        </w:rPr>
        <w:t xml:space="preserve"> الجزء التالي من التقرير في تسع ولايات قضائية للتثبّت مم</w:t>
      </w:r>
      <w:r>
        <w:rPr>
          <w:rFonts w:hint="cs"/>
          <w:rtl/>
        </w:rPr>
        <w:t>ّ</w:t>
      </w:r>
      <w:r w:rsidR="00635F0C">
        <w:rPr>
          <w:rFonts w:hint="cs"/>
          <w:rtl/>
        </w:rPr>
        <w:t>ا إذا كان قانونها الخاص بحق المؤلف يسمح بعم</w:t>
      </w:r>
      <w:r>
        <w:rPr>
          <w:rFonts w:hint="cs"/>
          <w:rtl/>
        </w:rPr>
        <w:t>ليات التسخير</w:t>
      </w:r>
      <w:r w:rsidR="00635F0C">
        <w:rPr>
          <w:rFonts w:hint="cs"/>
          <w:rtl/>
        </w:rPr>
        <w:t xml:space="preserve"> للملك العام. </w:t>
      </w:r>
      <w:proofErr w:type="gramStart"/>
      <w:r w:rsidR="00635F0C">
        <w:rPr>
          <w:rFonts w:hint="cs"/>
          <w:rtl/>
        </w:rPr>
        <w:t>ومن</w:t>
      </w:r>
      <w:proofErr w:type="gramEnd"/>
      <w:r w:rsidR="00635F0C">
        <w:rPr>
          <w:rFonts w:hint="cs"/>
          <w:rtl/>
        </w:rPr>
        <w:t xml:space="preserve"> أصل البلدان التسعة المشمولة بالدراسة، تسمح أربعة بلدان بالتخلي عن حق المؤلف </w:t>
      </w:r>
      <w:r w:rsidR="00840C02">
        <w:rPr>
          <w:rFonts w:hint="cs"/>
          <w:rtl/>
        </w:rPr>
        <w:t xml:space="preserve">على نحو لا لبس فيه، بينما تظلّ المسألة </w:t>
      </w:r>
      <w:r>
        <w:rPr>
          <w:rFonts w:hint="cs"/>
          <w:rtl/>
        </w:rPr>
        <w:t>غامضة</w:t>
      </w:r>
      <w:r w:rsidR="00840C02">
        <w:rPr>
          <w:rFonts w:hint="cs"/>
          <w:rtl/>
        </w:rPr>
        <w:t xml:space="preserve"> في البلدان الخمسة المتبقية وتفتح المجال بالتالي أمام التفسير. </w:t>
      </w:r>
      <w:proofErr w:type="gramStart"/>
      <w:r>
        <w:rPr>
          <w:rFonts w:hint="cs"/>
          <w:rtl/>
        </w:rPr>
        <w:t>ولا</w:t>
      </w:r>
      <w:proofErr w:type="gramEnd"/>
      <w:r>
        <w:rPr>
          <w:rFonts w:hint="cs"/>
          <w:rtl/>
        </w:rPr>
        <w:t xml:space="preserve"> يمكن، من جهة أخرى، </w:t>
      </w:r>
      <w:r w:rsidR="00840C02">
        <w:rPr>
          <w:rFonts w:hint="cs"/>
          <w:rtl/>
        </w:rPr>
        <w:t xml:space="preserve">التنازل عن الحقوق المعنوية في معظم البلدان، ممّا </w:t>
      </w:r>
      <w:r w:rsidR="008A2348">
        <w:rPr>
          <w:rFonts w:hint="cs"/>
          <w:rtl/>
        </w:rPr>
        <w:t xml:space="preserve">يرجّح </w:t>
      </w:r>
      <w:r w:rsidR="009B0106">
        <w:rPr>
          <w:rFonts w:hint="cs"/>
          <w:rtl/>
        </w:rPr>
        <w:t>ال</w:t>
      </w:r>
      <w:r w:rsidR="008A2348">
        <w:rPr>
          <w:rFonts w:hint="cs"/>
          <w:rtl/>
        </w:rPr>
        <w:t xml:space="preserve">كفة </w:t>
      </w:r>
      <w:r w:rsidR="009B0106">
        <w:rPr>
          <w:rFonts w:hint="cs"/>
          <w:rtl/>
        </w:rPr>
        <w:t xml:space="preserve">لصالح </w:t>
      </w:r>
      <w:r w:rsidR="00840C02">
        <w:rPr>
          <w:rFonts w:hint="cs"/>
          <w:rtl/>
        </w:rPr>
        <w:t>النظرية الثنائية الخاصة بحق المؤلف.</w:t>
      </w:r>
    </w:p>
    <w:p w:rsidR="008A2348" w:rsidRDefault="008A2348" w:rsidP="008A2348">
      <w:pPr>
        <w:pStyle w:val="NormalParaAR"/>
        <w:rPr>
          <w:rtl/>
        </w:rPr>
      </w:pPr>
      <w:r>
        <w:rPr>
          <w:rFonts w:hint="cs"/>
          <w:rtl/>
        </w:rPr>
        <w:t>الجدول</w:t>
      </w:r>
    </w:p>
    <w:tbl>
      <w:tblPr>
        <w:tblStyle w:val="TableGrid"/>
        <w:bidiVisual/>
        <w:tblW w:w="0" w:type="auto"/>
        <w:tblLook w:val="04A0" w:firstRow="1" w:lastRow="0" w:firstColumn="1" w:lastColumn="0" w:noHBand="0" w:noVBand="1"/>
      </w:tblPr>
      <w:tblGrid>
        <w:gridCol w:w="3190"/>
        <w:gridCol w:w="3190"/>
        <w:gridCol w:w="3191"/>
      </w:tblGrid>
      <w:tr w:rsidR="008A2348" w:rsidTr="008A2348">
        <w:tc>
          <w:tcPr>
            <w:tcW w:w="3190" w:type="dxa"/>
          </w:tcPr>
          <w:p w:rsidR="008A2348" w:rsidRPr="008A2348" w:rsidRDefault="008A2348" w:rsidP="008A2348">
            <w:pPr>
              <w:pStyle w:val="NormalParaAR"/>
              <w:spacing w:after="120"/>
              <w:rPr>
                <w:b/>
                <w:bCs/>
                <w:rtl/>
              </w:rPr>
            </w:pPr>
            <w:r w:rsidRPr="008A2348">
              <w:rPr>
                <w:rFonts w:hint="cs"/>
                <w:b/>
                <w:bCs/>
                <w:rtl/>
              </w:rPr>
              <w:t>البلد</w:t>
            </w:r>
          </w:p>
        </w:tc>
        <w:tc>
          <w:tcPr>
            <w:tcW w:w="3190" w:type="dxa"/>
          </w:tcPr>
          <w:p w:rsidR="008A2348" w:rsidRPr="008A2348" w:rsidRDefault="008A2348" w:rsidP="008A2348">
            <w:pPr>
              <w:pStyle w:val="NormalParaAR"/>
              <w:spacing w:after="120"/>
              <w:rPr>
                <w:b/>
                <w:bCs/>
                <w:rtl/>
              </w:rPr>
            </w:pPr>
            <w:r w:rsidRPr="008A2348">
              <w:rPr>
                <w:rFonts w:hint="cs"/>
                <w:b/>
                <w:bCs/>
                <w:rtl/>
              </w:rPr>
              <w:t xml:space="preserve">هل يُسمج بالتخلي طوعا </w:t>
            </w:r>
            <w:proofErr w:type="gramStart"/>
            <w:r w:rsidRPr="008A2348">
              <w:rPr>
                <w:rFonts w:hint="cs"/>
                <w:b/>
                <w:bCs/>
                <w:rtl/>
              </w:rPr>
              <w:t>عن</w:t>
            </w:r>
            <w:proofErr w:type="gramEnd"/>
            <w:r w:rsidRPr="008A2348">
              <w:rPr>
                <w:rFonts w:hint="cs"/>
                <w:b/>
                <w:bCs/>
                <w:rtl/>
              </w:rPr>
              <w:t xml:space="preserve"> حق المؤلف؟</w:t>
            </w:r>
          </w:p>
        </w:tc>
        <w:tc>
          <w:tcPr>
            <w:tcW w:w="3191" w:type="dxa"/>
          </w:tcPr>
          <w:p w:rsidR="008A2348" w:rsidRPr="008A2348" w:rsidRDefault="008A2348" w:rsidP="008A2348">
            <w:pPr>
              <w:pStyle w:val="NormalParaAR"/>
              <w:spacing w:after="120"/>
              <w:rPr>
                <w:b/>
                <w:bCs/>
                <w:rtl/>
              </w:rPr>
            </w:pPr>
            <w:r w:rsidRPr="008A2348">
              <w:rPr>
                <w:rFonts w:hint="cs"/>
                <w:b/>
                <w:bCs/>
                <w:rtl/>
              </w:rPr>
              <w:t>هل يمكن التنازل عن الحقوق المعنوية؟</w:t>
            </w:r>
          </w:p>
        </w:tc>
      </w:tr>
      <w:tr w:rsidR="008A2348" w:rsidTr="008A2348">
        <w:tc>
          <w:tcPr>
            <w:tcW w:w="3190" w:type="dxa"/>
          </w:tcPr>
          <w:p w:rsidR="008A2348" w:rsidRDefault="008A2348" w:rsidP="008A2348">
            <w:pPr>
              <w:pStyle w:val="NormalParaAR"/>
              <w:spacing w:after="120"/>
              <w:rPr>
                <w:rtl/>
              </w:rPr>
            </w:pPr>
            <w:r>
              <w:rPr>
                <w:rFonts w:hint="cs"/>
                <w:rtl/>
              </w:rPr>
              <w:t>البرازيل</w:t>
            </w:r>
          </w:p>
        </w:tc>
        <w:tc>
          <w:tcPr>
            <w:tcW w:w="3190" w:type="dxa"/>
          </w:tcPr>
          <w:p w:rsidR="008A2348" w:rsidRDefault="008A2348" w:rsidP="008A2348">
            <w:pPr>
              <w:pStyle w:val="NormalParaAR"/>
              <w:spacing w:after="120"/>
              <w:rPr>
                <w:rtl/>
              </w:rPr>
            </w:pPr>
            <w:r>
              <w:rPr>
                <w:rFonts w:hint="cs"/>
                <w:rtl/>
              </w:rPr>
              <w:t>غير واضح</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شيلي</w:t>
            </w:r>
          </w:p>
        </w:tc>
        <w:tc>
          <w:tcPr>
            <w:tcW w:w="3190" w:type="dxa"/>
          </w:tcPr>
          <w:p w:rsidR="008A2348" w:rsidRDefault="008A2348" w:rsidP="008A2348">
            <w:pPr>
              <w:pStyle w:val="NormalParaAR"/>
              <w:spacing w:after="120"/>
              <w:rPr>
                <w:rtl/>
              </w:rPr>
            </w:pPr>
            <w:r>
              <w:rPr>
                <w:rFonts w:hint="cs"/>
                <w:rtl/>
              </w:rPr>
              <w:t>نعم</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الصين</w:t>
            </w:r>
          </w:p>
        </w:tc>
        <w:tc>
          <w:tcPr>
            <w:tcW w:w="3190" w:type="dxa"/>
          </w:tcPr>
          <w:p w:rsidR="008A2348" w:rsidRDefault="008A2348" w:rsidP="008A2348">
            <w:pPr>
              <w:pStyle w:val="NormalParaAR"/>
              <w:spacing w:after="120"/>
              <w:rPr>
                <w:rtl/>
              </w:rPr>
            </w:pPr>
            <w:r>
              <w:rPr>
                <w:rFonts w:hint="cs"/>
                <w:rtl/>
              </w:rPr>
              <w:t>غير واضح</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كولومبيا</w:t>
            </w:r>
          </w:p>
        </w:tc>
        <w:tc>
          <w:tcPr>
            <w:tcW w:w="3190" w:type="dxa"/>
          </w:tcPr>
          <w:p w:rsidR="008A2348" w:rsidRDefault="008A2348" w:rsidP="008A2348">
            <w:pPr>
              <w:pStyle w:val="NormalParaAR"/>
              <w:spacing w:after="120"/>
              <w:rPr>
                <w:rtl/>
              </w:rPr>
            </w:pPr>
            <w:r>
              <w:rPr>
                <w:rFonts w:hint="cs"/>
                <w:rtl/>
              </w:rPr>
              <w:t>نعم</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مصر</w:t>
            </w:r>
          </w:p>
        </w:tc>
        <w:tc>
          <w:tcPr>
            <w:tcW w:w="3190" w:type="dxa"/>
          </w:tcPr>
          <w:p w:rsidR="008A2348" w:rsidRDefault="008A2348" w:rsidP="008A2348">
            <w:pPr>
              <w:pStyle w:val="NormalParaAR"/>
              <w:spacing w:after="120"/>
              <w:rPr>
                <w:rtl/>
              </w:rPr>
            </w:pPr>
            <w:r>
              <w:rPr>
                <w:rFonts w:hint="cs"/>
                <w:rtl/>
              </w:rPr>
              <w:t>غير واضح</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فرنسا</w:t>
            </w:r>
          </w:p>
        </w:tc>
        <w:tc>
          <w:tcPr>
            <w:tcW w:w="3190" w:type="dxa"/>
          </w:tcPr>
          <w:p w:rsidR="008A2348" w:rsidRDefault="008A2348" w:rsidP="008A2348">
            <w:pPr>
              <w:pStyle w:val="NormalParaAR"/>
              <w:spacing w:after="120"/>
              <w:rPr>
                <w:rtl/>
              </w:rPr>
            </w:pPr>
            <w:r>
              <w:rPr>
                <w:rFonts w:hint="cs"/>
                <w:rtl/>
              </w:rPr>
              <w:t>غير واضح</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الهند</w:t>
            </w:r>
          </w:p>
        </w:tc>
        <w:tc>
          <w:tcPr>
            <w:tcW w:w="3190" w:type="dxa"/>
          </w:tcPr>
          <w:p w:rsidR="008A2348" w:rsidRDefault="008A2348" w:rsidP="008A2348">
            <w:pPr>
              <w:pStyle w:val="NormalParaAR"/>
              <w:spacing w:after="120"/>
              <w:rPr>
                <w:rtl/>
              </w:rPr>
            </w:pPr>
            <w:r>
              <w:rPr>
                <w:rFonts w:hint="cs"/>
                <w:rtl/>
              </w:rPr>
              <w:t>نعم</w:t>
            </w:r>
          </w:p>
        </w:tc>
        <w:tc>
          <w:tcPr>
            <w:tcW w:w="3191" w:type="dxa"/>
          </w:tcPr>
          <w:p w:rsidR="008A2348" w:rsidRDefault="008A2348" w:rsidP="008A2348">
            <w:pPr>
              <w:pStyle w:val="NormalParaAR"/>
              <w:spacing w:after="120"/>
              <w:rPr>
                <w:rtl/>
              </w:rPr>
            </w:pPr>
            <w:r>
              <w:rPr>
                <w:rFonts w:hint="cs"/>
                <w:rtl/>
              </w:rPr>
              <w:t>غير واضح</w:t>
            </w:r>
          </w:p>
        </w:tc>
      </w:tr>
      <w:tr w:rsidR="008A2348" w:rsidTr="008A2348">
        <w:tc>
          <w:tcPr>
            <w:tcW w:w="3190" w:type="dxa"/>
          </w:tcPr>
          <w:p w:rsidR="008A2348" w:rsidRDefault="008A2348" w:rsidP="008A2348">
            <w:pPr>
              <w:pStyle w:val="NormalParaAR"/>
              <w:spacing w:after="120"/>
              <w:rPr>
                <w:rtl/>
              </w:rPr>
            </w:pPr>
            <w:r>
              <w:rPr>
                <w:rFonts w:hint="cs"/>
                <w:rtl/>
              </w:rPr>
              <w:t>كينيا</w:t>
            </w:r>
          </w:p>
        </w:tc>
        <w:tc>
          <w:tcPr>
            <w:tcW w:w="3190" w:type="dxa"/>
          </w:tcPr>
          <w:p w:rsidR="008A2348" w:rsidRDefault="008A2348" w:rsidP="008A2348">
            <w:pPr>
              <w:pStyle w:val="NormalParaAR"/>
              <w:spacing w:after="120"/>
              <w:rPr>
                <w:rtl/>
              </w:rPr>
            </w:pPr>
            <w:r>
              <w:rPr>
                <w:rFonts w:hint="cs"/>
                <w:rtl/>
              </w:rPr>
              <w:t>نعم</w:t>
            </w:r>
          </w:p>
        </w:tc>
        <w:tc>
          <w:tcPr>
            <w:tcW w:w="3191" w:type="dxa"/>
          </w:tcPr>
          <w:p w:rsidR="008A2348" w:rsidRDefault="008A2348" w:rsidP="008A2348">
            <w:pPr>
              <w:pStyle w:val="NormalParaAR"/>
              <w:spacing w:after="120"/>
              <w:rPr>
                <w:rtl/>
              </w:rPr>
            </w:pPr>
            <w:r>
              <w:rPr>
                <w:rFonts w:hint="cs"/>
                <w:rtl/>
              </w:rPr>
              <w:t>لا</w:t>
            </w:r>
          </w:p>
        </w:tc>
      </w:tr>
      <w:tr w:rsidR="008A2348" w:rsidTr="008A2348">
        <w:tc>
          <w:tcPr>
            <w:tcW w:w="3190" w:type="dxa"/>
          </w:tcPr>
          <w:p w:rsidR="008A2348" w:rsidRDefault="008A2348" w:rsidP="008A2348">
            <w:pPr>
              <w:pStyle w:val="NormalParaAR"/>
              <w:spacing w:after="120"/>
              <w:rPr>
                <w:rtl/>
              </w:rPr>
            </w:pPr>
            <w:r>
              <w:rPr>
                <w:rFonts w:hint="cs"/>
                <w:rtl/>
              </w:rPr>
              <w:t>جمهورية كوريا</w:t>
            </w:r>
          </w:p>
        </w:tc>
        <w:tc>
          <w:tcPr>
            <w:tcW w:w="3190" w:type="dxa"/>
          </w:tcPr>
          <w:p w:rsidR="008A2348" w:rsidRDefault="008A2348" w:rsidP="008A2348">
            <w:pPr>
              <w:pStyle w:val="NormalParaAR"/>
              <w:spacing w:after="120"/>
              <w:rPr>
                <w:rtl/>
              </w:rPr>
            </w:pPr>
            <w:r>
              <w:rPr>
                <w:rFonts w:hint="cs"/>
                <w:rtl/>
              </w:rPr>
              <w:t>غير واضح</w:t>
            </w:r>
          </w:p>
        </w:tc>
        <w:tc>
          <w:tcPr>
            <w:tcW w:w="3191" w:type="dxa"/>
          </w:tcPr>
          <w:p w:rsidR="008A2348" w:rsidRDefault="008A2348" w:rsidP="008A2348">
            <w:pPr>
              <w:pStyle w:val="NormalParaAR"/>
              <w:spacing w:after="120"/>
              <w:rPr>
                <w:rtl/>
              </w:rPr>
            </w:pPr>
            <w:r>
              <w:rPr>
                <w:rFonts w:hint="cs"/>
                <w:rtl/>
              </w:rPr>
              <w:t>لا</w:t>
            </w:r>
          </w:p>
        </w:tc>
      </w:tr>
    </w:tbl>
    <w:p w:rsidR="008A2348" w:rsidRDefault="009C5835" w:rsidP="004D4C31">
      <w:pPr>
        <w:pStyle w:val="NormalParaAR"/>
        <w:spacing w:before="240"/>
        <w:rPr>
          <w:rtl/>
        </w:rPr>
      </w:pPr>
      <w:r>
        <w:rPr>
          <w:rFonts w:hint="cs"/>
          <w:rtl/>
        </w:rPr>
        <w:t xml:space="preserve">ويتناول الجزء الأخير من التقرير القضايا العملية المتصلة بالتخلي </w:t>
      </w:r>
      <w:proofErr w:type="gramStart"/>
      <w:r>
        <w:rPr>
          <w:rFonts w:hint="cs"/>
          <w:rtl/>
        </w:rPr>
        <w:t>عن</w:t>
      </w:r>
      <w:proofErr w:type="gramEnd"/>
      <w:r>
        <w:rPr>
          <w:rFonts w:hint="cs"/>
          <w:rtl/>
        </w:rPr>
        <w:t xml:space="preserve"> حق المؤلف. وبالنظر إلى الغموض الذي يحيط بالوضع القانوني لعملية التنازل عن ذلك الحق، قد يفضّل المؤلفون المهتمون بتسخير مصنفاتهم، بأي شكل من الأشكال، للملك العام تجاوز ذلك الغموض وانتهاج خيار الترخيص الذي تنجم عنه آثار مماثلة للآثار التي قد تنشأ مع انقضاء مدة الحماية بموجب حق المؤلف. ويمكن تحقيق ذلك باستخدام </w:t>
      </w:r>
      <w:proofErr w:type="gramStart"/>
      <w:r>
        <w:rPr>
          <w:rFonts w:hint="cs"/>
          <w:rtl/>
        </w:rPr>
        <w:t>مخططات</w:t>
      </w:r>
      <w:proofErr w:type="gramEnd"/>
      <w:r>
        <w:rPr>
          <w:rFonts w:hint="cs"/>
          <w:rtl/>
        </w:rPr>
        <w:t xml:space="preserve"> الترخيص المفتوح. </w:t>
      </w:r>
      <w:proofErr w:type="gramStart"/>
      <w:r>
        <w:rPr>
          <w:rFonts w:hint="cs"/>
          <w:rtl/>
        </w:rPr>
        <w:t>ويستكشف</w:t>
      </w:r>
      <w:proofErr w:type="gramEnd"/>
      <w:r>
        <w:rPr>
          <w:rFonts w:hint="cs"/>
          <w:rtl/>
        </w:rPr>
        <w:t xml:space="preserve"> التقرير بالتفصيل </w:t>
      </w:r>
      <w:r w:rsidR="004D4C31">
        <w:rPr>
          <w:rFonts w:hint="cs"/>
          <w:rtl/>
        </w:rPr>
        <w:t>شكلين</w:t>
      </w:r>
      <w:r>
        <w:rPr>
          <w:rFonts w:hint="cs"/>
          <w:rtl/>
        </w:rPr>
        <w:t xml:space="preserve"> من الترخيص، وهما </w:t>
      </w:r>
      <w:r w:rsidR="009B4B53">
        <w:rPr>
          <w:rFonts w:hint="cs"/>
          <w:rtl/>
        </w:rPr>
        <w:t>المشاع الإبداعي صفر،</w:t>
      </w:r>
      <w:r>
        <w:rPr>
          <w:rFonts w:hint="cs"/>
          <w:rtl/>
        </w:rPr>
        <w:t xml:space="preserve"> </w:t>
      </w:r>
      <w:r w:rsidR="009B4B53">
        <w:rPr>
          <w:rFonts w:hint="cs"/>
          <w:rtl/>
        </w:rPr>
        <w:t xml:space="preserve">والتسخير والترخيص لأغراض الملك العام في مشاع البيانات المفتوحة. وكل من الترخيصين </w:t>
      </w:r>
      <w:proofErr w:type="gramStart"/>
      <w:r w:rsidR="009B4B53">
        <w:rPr>
          <w:rFonts w:hint="cs"/>
          <w:rtl/>
        </w:rPr>
        <w:t>المذكورين</w:t>
      </w:r>
      <w:proofErr w:type="gramEnd"/>
      <w:r w:rsidR="009B4B53">
        <w:rPr>
          <w:rFonts w:hint="cs"/>
          <w:rtl/>
        </w:rPr>
        <w:t xml:space="preserve"> يستوفي وظيفة ثنائية. </w:t>
      </w:r>
      <w:r w:rsidR="00946830">
        <w:rPr>
          <w:rFonts w:hint="cs"/>
          <w:rtl/>
        </w:rPr>
        <w:t xml:space="preserve">أوّلا، </w:t>
      </w:r>
      <w:r w:rsidR="009B4B53">
        <w:rPr>
          <w:rFonts w:hint="cs"/>
          <w:rtl/>
        </w:rPr>
        <w:t xml:space="preserve">كلاهما </w:t>
      </w:r>
      <w:r w:rsidR="00946830">
        <w:rPr>
          <w:rFonts w:hint="cs"/>
          <w:rtl/>
        </w:rPr>
        <w:t xml:space="preserve">يسخّر المصنف بشكل صريح للملك العام. </w:t>
      </w:r>
      <w:proofErr w:type="gramStart"/>
      <w:r w:rsidR="00946830">
        <w:rPr>
          <w:rFonts w:hint="cs"/>
          <w:rtl/>
        </w:rPr>
        <w:t>وثانيا</w:t>
      </w:r>
      <w:proofErr w:type="gramEnd"/>
      <w:r w:rsidR="00946830">
        <w:rPr>
          <w:rFonts w:hint="cs"/>
          <w:rtl/>
        </w:rPr>
        <w:t xml:space="preserve">، كلاهما يحتوي على شروط للتراجع في حال تعذّر التخلي عن حق المؤلف. </w:t>
      </w:r>
      <w:proofErr w:type="gramStart"/>
      <w:r w:rsidR="00946830">
        <w:rPr>
          <w:rFonts w:hint="cs"/>
          <w:rtl/>
        </w:rPr>
        <w:t>وتمنح</w:t>
      </w:r>
      <w:proofErr w:type="gramEnd"/>
      <w:r w:rsidR="00946830">
        <w:rPr>
          <w:rFonts w:hint="cs"/>
          <w:rtl/>
        </w:rPr>
        <w:t xml:space="preserve"> تلك الشروط ترخيصا بشأن المصنف له أثر يعادل الأثر الناجم عن </w:t>
      </w:r>
      <w:r w:rsidR="00FA7DF2">
        <w:rPr>
          <w:rFonts w:hint="cs"/>
          <w:rtl/>
        </w:rPr>
        <w:t>إدراج</w:t>
      </w:r>
      <w:r w:rsidR="00946830">
        <w:rPr>
          <w:rFonts w:hint="cs"/>
          <w:rtl/>
        </w:rPr>
        <w:t xml:space="preserve"> المصنف في الملك العام.</w:t>
      </w:r>
    </w:p>
    <w:p w:rsidR="00946830" w:rsidRDefault="00946830" w:rsidP="00FA7DF2">
      <w:pPr>
        <w:pStyle w:val="NormalParaAR"/>
        <w:spacing w:before="240"/>
        <w:rPr>
          <w:rtl/>
        </w:rPr>
      </w:pPr>
      <w:proofErr w:type="gramStart"/>
      <w:r>
        <w:rPr>
          <w:rFonts w:hint="cs"/>
          <w:rtl/>
        </w:rPr>
        <w:lastRenderedPageBreak/>
        <w:t>وينتهي</w:t>
      </w:r>
      <w:proofErr w:type="gramEnd"/>
      <w:r>
        <w:rPr>
          <w:rFonts w:hint="cs"/>
          <w:rtl/>
        </w:rPr>
        <w:t xml:space="preserve"> التقرير بسرد عدة أمثل</w:t>
      </w:r>
      <w:r w:rsidR="00FA7DF2">
        <w:rPr>
          <w:rFonts w:hint="cs"/>
          <w:rtl/>
        </w:rPr>
        <w:t xml:space="preserve">ة على التخلي عن حق المؤلف يتجلى معظمها </w:t>
      </w:r>
      <w:r>
        <w:rPr>
          <w:rFonts w:hint="cs"/>
          <w:rtl/>
        </w:rPr>
        <w:t xml:space="preserve">في </w:t>
      </w:r>
      <w:r w:rsidR="00FA7DF2">
        <w:rPr>
          <w:rFonts w:hint="cs"/>
          <w:rtl/>
        </w:rPr>
        <w:t>إدراج</w:t>
      </w:r>
      <w:r>
        <w:rPr>
          <w:rFonts w:hint="cs"/>
          <w:rtl/>
        </w:rPr>
        <w:t xml:space="preserve"> </w:t>
      </w:r>
      <w:r w:rsidR="00FA7DF2">
        <w:rPr>
          <w:rFonts w:hint="cs"/>
          <w:rtl/>
        </w:rPr>
        <w:t>مؤسسات عامة ل</w:t>
      </w:r>
      <w:r>
        <w:rPr>
          <w:rFonts w:hint="cs"/>
          <w:rtl/>
        </w:rPr>
        <w:t xml:space="preserve">بيانات وبعض المصنفات في الملك العام، وذلك </w:t>
      </w:r>
      <w:r w:rsidR="00FA7DF2">
        <w:rPr>
          <w:rFonts w:hint="cs"/>
          <w:rtl/>
        </w:rPr>
        <w:t xml:space="preserve">باللجوء أساسا إلى </w:t>
      </w:r>
      <w:r>
        <w:rPr>
          <w:rFonts w:hint="cs"/>
          <w:rtl/>
        </w:rPr>
        <w:t xml:space="preserve">عملية التسخير للملك العام الواردة في </w:t>
      </w:r>
      <w:r w:rsidR="00FA7DF2">
        <w:rPr>
          <w:rFonts w:hint="cs"/>
          <w:rtl/>
        </w:rPr>
        <w:t>المشاع الإبداعي صفر.</w:t>
      </w:r>
    </w:p>
    <w:p w:rsidR="00FA7DF2" w:rsidRDefault="00FA7DF2" w:rsidP="00643EC5">
      <w:pPr>
        <w:pStyle w:val="NormalParaAR"/>
        <w:spacing w:before="240"/>
        <w:rPr>
          <w:rtl/>
        </w:rPr>
      </w:pPr>
      <w:r>
        <w:rPr>
          <w:rFonts w:hint="cs"/>
          <w:rtl/>
        </w:rPr>
        <w:t xml:space="preserve">ويخلص التقرير إلى أنه في حين يظلّ الغموض يكتنف القضايا القانونية المحيطة بعمليات التسخير للملك العام، فإن الحلول التي يتيحها الترخيص، من قبيل المشاع الإبداعي، تنشئ وضعا تفقد فيه تلك القضايا من أهميتها. </w:t>
      </w:r>
      <w:proofErr w:type="gramStart"/>
      <w:r>
        <w:rPr>
          <w:rFonts w:hint="cs"/>
          <w:rtl/>
        </w:rPr>
        <w:t>والنتيجة</w:t>
      </w:r>
      <w:proofErr w:type="gramEnd"/>
      <w:r>
        <w:rPr>
          <w:rFonts w:hint="cs"/>
          <w:rtl/>
        </w:rPr>
        <w:t xml:space="preserve"> هي إمكانية تقاسم المصنفات بحرية مع الغير</w:t>
      </w:r>
      <w:r w:rsidR="00643EC5">
        <w:rPr>
          <w:rFonts w:hint="cs"/>
          <w:rtl/>
        </w:rPr>
        <w:t xml:space="preserve"> ممّا يُعد،</w:t>
      </w:r>
      <w:r w:rsidR="004D4C31">
        <w:rPr>
          <w:rFonts w:hint="cs"/>
          <w:rtl/>
        </w:rPr>
        <w:t xml:space="preserve"> بالنسبة لجميع</w:t>
      </w:r>
      <w:r w:rsidR="00643EC5">
        <w:rPr>
          <w:rFonts w:hint="cs"/>
          <w:rtl/>
        </w:rPr>
        <w:t xml:space="preserve"> الأغراض العملية، مماثلا لما كان قد يحدث في حال تمكّن المؤلف من تسخير المصنف للملك العام.</w:t>
      </w:r>
    </w:p>
    <w:p w:rsidR="00643EC5" w:rsidRPr="00782FBC" w:rsidRDefault="00643EC5" w:rsidP="00643EC5">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643EC5" w:rsidRPr="00782FBC" w:rsidSect="00643EC5">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D8" w:rsidRDefault="00F714D8">
      <w:r>
        <w:separator/>
      </w:r>
    </w:p>
  </w:endnote>
  <w:endnote w:type="continuationSeparator" w:id="0">
    <w:p w:rsidR="00F714D8" w:rsidRDefault="00F7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D8" w:rsidRDefault="00F714D8" w:rsidP="009622BF">
      <w:pPr>
        <w:bidi/>
      </w:pPr>
      <w:bookmarkStart w:id="0" w:name="OLE_LINK1"/>
      <w:bookmarkStart w:id="1" w:name="OLE_LINK2"/>
      <w:r>
        <w:separator/>
      </w:r>
      <w:bookmarkEnd w:id="0"/>
      <w:bookmarkEnd w:id="1"/>
    </w:p>
  </w:footnote>
  <w:footnote w:type="continuationSeparator" w:id="0">
    <w:p w:rsidR="00F714D8" w:rsidRDefault="00F714D8" w:rsidP="009622BF">
      <w:pPr>
        <w:bidi/>
      </w:pPr>
      <w:r>
        <w:separator/>
      </w:r>
    </w:p>
  </w:footnote>
  <w:footnote w:id="1">
    <w:p w:rsidR="00FA71A3" w:rsidRDefault="00FA71A3">
      <w:pPr>
        <w:pStyle w:val="FootnoteText"/>
      </w:pPr>
      <w:r>
        <w:rPr>
          <w:rStyle w:val="FootnoteReference"/>
        </w:rPr>
        <w:footnoteRef/>
      </w:r>
      <w:r>
        <w:rPr>
          <w:rtl/>
        </w:rPr>
        <w:t xml:space="preserve"> </w:t>
      </w:r>
      <w:r>
        <w:rPr>
          <w:rFonts w:hint="cs"/>
          <w:rtl/>
        </w:rPr>
        <w:t xml:space="preserve">إن الآراء </w:t>
      </w:r>
      <w:r w:rsidR="002E43EB">
        <w:rPr>
          <w:rFonts w:hint="cs"/>
          <w:rtl/>
        </w:rPr>
        <w:t>المعبّر عنها في هذه الدراسة هي آ</w:t>
      </w:r>
      <w:r>
        <w:rPr>
          <w:rFonts w:hint="cs"/>
          <w:rtl/>
        </w:rPr>
        <w:t>راء المؤلف وحده ولا تعكس بالضرورة آراء أمانة الويبو</w:t>
      </w:r>
      <w:r w:rsidR="002E43EB">
        <w:rPr>
          <w:rFonts w:hint="cs"/>
          <w:rtl/>
        </w:rPr>
        <w:t xml:space="preserve"> أو أية دولة من الدول الأعضاء في المنظمة.</w:t>
      </w:r>
    </w:p>
  </w:footnote>
  <w:footnote w:id="2">
    <w:p w:rsidR="00E208F9" w:rsidRDefault="00E208F9" w:rsidP="00C31499">
      <w:pPr>
        <w:pStyle w:val="FootnoteText"/>
      </w:pPr>
      <w:r>
        <w:rPr>
          <w:rStyle w:val="FootnoteReference"/>
        </w:rPr>
        <w:footnoteRef/>
      </w:r>
      <w:r>
        <w:rPr>
          <w:rtl/>
        </w:rPr>
        <w:t xml:space="preserve"> </w:t>
      </w:r>
      <w:r>
        <w:rPr>
          <w:rFonts w:hint="cs"/>
          <w:rtl/>
        </w:rPr>
        <w:t xml:space="preserve">من الأهمية بمكان وضع ملاحظة جانبية صغيرة بخصوص المصطلحات </w:t>
      </w:r>
      <w:proofErr w:type="gramStart"/>
      <w:r>
        <w:rPr>
          <w:rFonts w:hint="cs"/>
          <w:rtl/>
        </w:rPr>
        <w:t>المستخدمة</w:t>
      </w:r>
      <w:proofErr w:type="gramEnd"/>
      <w:r>
        <w:rPr>
          <w:rFonts w:hint="cs"/>
          <w:rtl/>
        </w:rPr>
        <w:t xml:space="preserve"> في هذا التقرير. فقد ينطوي مصطلحا "التنازل" و"التخلي" عن </w:t>
      </w:r>
      <w:r w:rsidR="002C420B">
        <w:rPr>
          <w:rFonts w:hint="cs"/>
          <w:rtl/>
        </w:rPr>
        <w:t>دلالات</w:t>
      </w:r>
      <w:r>
        <w:rPr>
          <w:rFonts w:hint="cs"/>
          <w:rtl/>
        </w:rPr>
        <w:t xml:space="preserve"> سلبية، لا سيما بالنسبة لمن يهتمون بتوسيع نطاق الملك العام. </w:t>
      </w:r>
      <w:proofErr w:type="gramStart"/>
      <w:r>
        <w:rPr>
          <w:rFonts w:hint="cs"/>
          <w:rtl/>
        </w:rPr>
        <w:t>وعليه</w:t>
      </w:r>
      <w:proofErr w:type="gramEnd"/>
      <w:r>
        <w:rPr>
          <w:rFonts w:hint="cs"/>
          <w:rtl/>
        </w:rPr>
        <w:t xml:space="preserve"> يُفضّل، في بعض الدوائر، استخدام مصطلح "</w:t>
      </w:r>
      <w:r w:rsidR="00C31499">
        <w:rPr>
          <w:rFonts w:hint="cs"/>
          <w:rtl/>
        </w:rPr>
        <w:t>تسخير</w:t>
      </w:r>
      <w:r>
        <w:rPr>
          <w:rFonts w:hint="cs"/>
          <w:rtl/>
        </w:rPr>
        <w:t>"</w:t>
      </w:r>
      <w:r w:rsidR="00654425">
        <w:rPr>
          <w:rFonts w:hint="cs"/>
          <w:rtl/>
        </w:rPr>
        <w:t>، مثل "</w:t>
      </w:r>
      <w:r w:rsidR="00C31499">
        <w:rPr>
          <w:rFonts w:hint="cs"/>
          <w:rtl/>
        </w:rPr>
        <w:t>تسخير</w:t>
      </w:r>
      <w:r w:rsidR="00654425">
        <w:rPr>
          <w:rFonts w:hint="cs"/>
          <w:rtl/>
        </w:rPr>
        <w:t xml:space="preserve"> مصنف </w:t>
      </w:r>
      <w:r w:rsidR="00C31499">
        <w:rPr>
          <w:rFonts w:hint="cs"/>
          <w:rtl/>
        </w:rPr>
        <w:t>للمل</w:t>
      </w:r>
      <w:r w:rsidR="00654425">
        <w:rPr>
          <w:rFonts w:hint="cs"/>
          <w:rtl/>
        </w:rPr>
        <w:t xml:space="preserve">ك العام". ويسعى التقرير </w:t>
      </w:r>
      <w:proofErr w:type="gramStart"/>
      <w:r w:rsidR="00654425">
        <w:rPr>
          <w:rFonts w:hint="cs"/>
          <w:rtl/>
        </w:rPr>
        <w:t>إلى</w:t>
      </w:r>
      <w:proofErr w:type="gramEnd"/>
      <w:r w:rsidR="00654425">
        <w:rPr>
          <w:rFonts w:hint="cs"/>
          <w:rtl/>
        </w:rPr>
        <w:t xml:space="preserve"> تجاوز هذه الإشكالية باستخدام كل من المصطلحات الثلاثة دون التفريق </w:t>
      </w:r>
      <w:r w:rsidR="0059464D">
        <w:rPr>
          <w:rFonts w:hint="cs"/>
          <w:rtl/>
        </w:rPr>
        <w:t>بينها</w:t>
      </w:r>
      <w:r w:rsidR="00654425">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1C130D" w:rsidP="005804FC">
    <w:r>
      <w:rPr>
        <w:lang w:val="fr-CH"/>
      </w:rPr>
      <w:t>CDIP</w:t>
    </w:r>
    <w:r>
      <w:t>/1</w:t>
    </w:r>
    <w:r w:rsidR="005804FC">
      <w:t>3</w:t>
    </w:r>
    <w:r>
      <w:t>/--</w:t>
    </w:r>
  </w:p>
  <w:p w:rsidR="001C130D" w:rsidRDefault="001C130D" w:rsidP="00D61541">
    <w:r>
      <w:fldChar w:fldCharType="begin"/>
    </w:r>
    <w:r>
      <w:instrText xml:space="preserve"> PAGE  \* MERGEFORMAT </w:instrText>
    </w:r>
    <w:r>
      <w:fldChar w:fldCharType="separate"/>
    </w:r>
    <w:r w:rsidR="007C5E7E">
      <w:rPr>
        <w:noProof/>
      </w:rPr>
      <w:t>1</w:t>
    </w:r>
    <w:r>
      <w:fldChar w:fldCharType="end"/>
    </w:r>
  </w:p>
  <w:p w:rsidR="001C130D" w:rsidRDefault="001C130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C5" w:rsidRDefault="00643EC5" w:rsidP="00EC76BC">
    <w:r>
      <w:t>CDIP/13/INF/</w:t>
    </w:r>
    <w:r w:rsidR="00EC76BC">
      <w:t>6</w:t>
    </w:r>
  </w:p>
  <w:p w:rsidR="00643EC5" w:rsidRDefault="00643EC5" w:rsidP="00D61541">
    <w:r>
      <w:t>Annex</w:t>
    </w:r>
  </w:p>
  <w:p w:rsidR="00643EC5" w:rsidRDefault="00643EC5" w:rsidP="00D61541">
    <w:r>
      <w:fldChar w:fldCharType="begin"/>
    </w:r>
    <w:r>
      <w:instrText xml:space="preserve"> PAGE   \* MERGEFORMAT </w:instrText>
    </w:r>
    <w:r>
      <w:fldChar w:fldCharType="separate"/>
    </w:r>
    <w:r w:rsidR="007C5E7E">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C5" w:rsidRDefault="00643EC5" w:rsidP="00EC76BC">
    <w:pPr>
      <w:pStyle w:val="Header"/>
    </w:pPr>
    <w:bookmarkStart w:id="3" w:name="Code2"/>
    <w:bookmarkEnd w:id="3"/>
    <w:r>
      <w:t>CDIP/13/INF/</w:t>
    </w:r>
    <w:r w:rsidR="00EC76BC">
      <w:t>6</w:t>
    </w:r>
  </w:p>
  <w:p w:rsidR="0059464D" w:rsidRDefault="0059464D" w:rsidP="00643EC5">
    <w:pPr>
      <w:pStyle w:val="Header"/>
    </w:pPr>
    <w:r>
      <w:t>ANNEX</w:t>
    </w:r>
  </w:p>
  <w:p w:rsidR="00643EC5" w:rsidRPr="00643EC5" w:rsidRDefault="00643EC5" w:rsidP="00643EC5">
    <w:pPr>
      <w:pStyle w:val="Header"/>
      <w:bidi/>
      <w:jc w:val="right"/>
      <w:rPr>
        <w:rFonts w:ascii="Arabic Typesetting" w:hAnsi="Arabic Typesetting" w:cs="Arabic Typesetting"/>
        <w:sz w:val="36"/>
        <w:szCs w:val="36"/>
      </w:rPr>
    </w:pPr>
    <w:r w:rsidRPr="00643EC5">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D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5D43"/>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2891"/>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991"/>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A2C"/>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715"/>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6F16"/>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421A"/>
    <w:rsid w:val="002A5403"/>
    <w:rsid w:val="002A6C9F"/>
    <w:rsid w:val="002A77F3"/>
    <w:rsid w:val="002B14F0"/>
    <w:rsid w:val="002B1F0F"/>
    <w:rsid w:val="002B53D3"/>
    <w:rsid w:val="002B6202"/>
    <w:rsid w:val="002C014C"/>
    <w:rsid w:val="002C060C"/>
    <w:rsid w:val="002C0BA6"/>
    <w:rsid w:val="002C12A7"/>
    <w:rsid w:val="002C2B6F"/>
    <w:rsid w:val="002C314F"/>
    <w:rsid w:val="002C420B"/>
    <w:rsid w:val="002C4AD1"/>
    <w:rsid w:val="002C5977"/>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3EB"/>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B99"/>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E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C31"/>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64D"/>
    <w:rsid w:val="005955C0"/>
    <w:rsid w:val="00595B68"/>
    <w:rsid w:val="00595EAA"/>
    <w:rsid w:val="0059672B"/>
    <w:rsid w:val="005A0C60"/>
    <w:rsid w:val="005A255F"/>
    <w:rsid w:val="005A330E"/>
    <w:rsid w:val="005A5554"/>
    <w:rsid w:val="005A5651"/>
    <w:rsid w:val="005A6AFE"/>
    <w:rsid w:val="005A7BF3"/>
    <w:rsid w:val="005A7DE0"/>
    <w:rsid w:val="005B0AEF"/>
    <w:rsid w:val="005B1E55"/>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5F0C"/>
    <w:rsid w:val="00636A63"/>
    <w:rsid w:val="00636C79"/>
    <w:rsid w:val="00636DCB"/>
    <w:rsid w:val="00636DE3"/>
    <w:rsid w:val="00636F89"/>
    <w:rsid w:val="0063700D"/>
    <w:rsid w:val="00637470"/>
    <w:rsid w:val="00637E13"/>
    <w:rsid w:val="00640D89"/>
    <w:rsid w:val="00640F58"/>
    <w:rsid w:val="00641203"/>
    <w:rsid w:val="00641776"/>
    <w:rsid w:val="00643EC5"/>
    <w:rsid w:val="0064656E"/>
    <w:rsid w:val="00646DF5"/>
    <w:rsid w:val="00650397"/>
    <w:rsid w:val="006507E8"/>
    <w:rsid w:val="00650C73"/>
    <w:rsid w:val="00651143"/>
    <w:rsid w:val="00651959"/>
    <w:rsid w:val="00653149"/>
    <w:rsid w:val="006531E4"/>
    <w:rsid w:val="00654425"/>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97CE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FBC"/>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5E7E"/>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E7EEB"/>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113"/>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C02"/>
    <w:rsid w:val="00840F1B"/>
    <w:rsid w:val="0084117A"/>
    <w:rsid w:val="0084257E"/>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2348"/>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830"/>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46"/>
    <w:rsid w:val="009A4F5A"/>
    <w:rsid w:val="009A5C82"/>
    <w:rsid w:val="009B0106"/>
    <w:rsid w:val="009B010D"/>
    <w:rsid w:val="009B0AAB"/>
    <w:rsid w:val="009B0D3E"/>
    <w:rsid w:val="009B2AD1"/>
    <w:rsid w:val="009B3224"/>
    <w:rsid w:val="009B3A61"/>
    <w:rsid w:val="009B4B53"/>
    <w:rsid w:val="009B528E"/>
    <w:rsid w:val="009B54FE"/>
    <w:rsid w:val="009B77DD"/>
    <w:rsid w:val="009C13BF"/>
    <w:rsid w:val="009C2943"/>
    <w:rsid w:val="009C4B2C"/>
    <w:rsid w:val="009C4CB3"/>
    <w:rsid w:val="009C4F15"/>
    <w:rsid w:val="009C511C"/>
    <w:rsid w:val="009C5416"/>
    <w:rsid w:val="009C5835"/>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6F8"/>
    <w:rsid w:val="00A20562"/>
    <w:rsid w:val="00A20F75"/>
    <w:rsid w:val="00A212B1"/>
    <w:rsid w:val="00A26FFF"/>
    <w:rsid w:val="00A316EC"/>
    <w:rsid w:val="00A31804"/>
    <w:rsid w:val="00A318AE"/>
    <w:rsid w:val="00A318C5"/>
    <w:rsid w:val="00A32070"/>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591"/>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499"/>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8F6"/>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35A"/>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8F9"/>
    <w:rsid w:val="00E20FBC"/>
    <w:rsid w:val="00E244CA"/>
    <w:rsid w:val="00E2512D"/>
    <w:rsid w:val="00E2548C"/>
    <w:rsid w:val="00E2662B"/>
    <w:rsid w:val="00E26736"/>
    <w:rsid w:val="00E268AC"/>
    <w:rsid w:val="00E27986"/>
    <w:rsid w:val="00E27D23"/>
    <w:rsid w:val="00E30A8A"/>
    <w:rsid w:val="00E31BC7"/>
    <w:rsid w:val="00E31E7F"/>
    <w:rsid w:val="00E33123"/>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461"/>
    <w:rsid w:val="00EA311B"/>
    <w:rsid w:val="00EA36CA"/>
    <w:rsid w:val="00EA3D9C"/>
    <w:rsid w:val="00EA43C0"/>
    <w:rsid w:val="00EA4CB0"/>
    <w:rsid w:val="00EA4CCA"/>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C76BC"/>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871"/>
    <w:rsid w:val="00F65DE3"/>
    <w:rsid w:val="00F67E6A"/>
    <w:rsid w:val="00F70472"/>
    <w:rsid w:val="00F71430"/>
    <w:rsid w:val="00F714D8"/>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3B4"/>
    <w:rsid w:val="00F96483"/>
    <w:rsid w:val="00F9648C"/>
    <w:rsid w:val="00F96671"/>
    <w:rsid w:val="00F9680E"/>
    <w:rsid w:val="00F96E21"/>
    <w:rsid w:val="00FA00AF"/>
    <w:rsid w:val="00FA0893"/>
    <w:rsid w:val="00FA0A0A"/>
    <w:rsid w:val="00FA0C9D"/>
    <w:rsid w:val="00FA169B"/>
    <w:rsid w:val="00FA2C4B"/>
    <w:rsid w:val="00FA5CC6"/>
    <w:rsid w:val="00FA64D5"/>
    <w:rsid w:val="00FA6760"/>
    <w:rsid w:val="00FA70F6"/>
    <w:rsid w:val="00FA71A3"/>
    <w:rsid w:val="00FA7420"/>
    <w:rsid w:val="00FA756C"/>
    <w:rsid w:val="00FA75E4"/>
    <w:rsid w:val="00FA776B"/>
    <w:rsid w:val="00FA7DF2"/>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162"/>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643EC5"/>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643EC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2E761-2505-481D-86ED-FABADC9F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444</TotalTime>
  <Pages>4</Pages>
  <Words>1182</Words>
  <Characters>5953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CDIP/13/INF/10 (Arabic)</vt:lpstr>
    </vt:vector>
  </TitlesOfParts>
  <Company>World Intellectual Property Organization</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CDIP/13/INF/10 (Arabic)</dc:title>
  <dc:creator>من إعداد الدكتور أندريس غواداموس</dc:creator>
  <cp:lastModifiedBy>YOUSSEF Randa</cp:lastModifiedBy>
  <cp:revision>29</cp:revision>
  <cp:lastPrinted>2014-05-08T07:19:00Z</cp:lastPrinted>
  <dcterms:created xsi:type="dcterms:W3CDTF">2014-04-23T07:30:00Z</dcterms:created>
  <dcterms:modified xsi:type="dcterms:W3CDTF">2014-05-08T07:19:00Z</dcterms:modified>
</cp:coreProperties>
</file>