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7BC85" w14:textId="77777777" w:rsidR="001F3523" w:rsidRPr="00190907" w:rsidRDefault="00930218" w:rsidP="00190907">
      <w:pPr>
        <w:bidi/>
        <w:jc w:val="center"/>
        <w:rPr>
          <w:rFonts w:asciiTheme="minorHAnsi" w:hAnsiTheme="minorHAnsi" w:cstheme="minorHAnsi"/>
          <w:b/>
          <w:bCs/>
        </w:rPr>
      </w:pPr>
      <w:bookmarkStart w:id="0" w:name="_GoBack"/>
      <w:bookmarkEnd w:id="0"/>
      <w:r w:rsidRPr="00190907">
        <w:rPr>
          <w:rFonts w:asciiTheme="minorHAnsi" w:hAnsiTheme="minorHAnsi" w:cstheme="minorHAnsi"/>
          <w:noProof/>
          <w:sz w:val="20"/>
          <w:szCs w:val="20"/>
          <w:lang w:val="fr-CH" w:eastAsia="fr-CH"/>
        </w:rPr>
        <w:drawing>
          <wp:anchor distT="0" distB="0" distL="114300" distR="114300" simplePos="0" relativeHeight="251659264" behindDoc="1" locked="0" layoutInCell="1" allowOverlap="1" wp14:anchorId="63D3513E" wp14:editId="680E8E5D">
            <wp:simplePos x="0" y="0"/>
            <wp:positionH relativeFrom="page">
              <wp:posOffset>-2241550</wp:posOffset>
            </wp:positionH>
            <wp:positionV relativeFrom="topMargin">
              <wp:align>bottom</wp:align>
            </wp:positionV>
            <wp:extent cx="7560000" cy="36000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margin">
              <wp14:pctWidth>0</wp14:pctWidth>
            </wp14:sizeRelH>
            <wp14:sizeRelV relativeFrom="margin">
              <wp14:pctHeight>0</wp14:pctHeight>
            </wp14:sizeRelV>
          </wp:anchor>
        </w:drawing>
      </w:r>
    </w:p>
    <w:p w14:paraId="5A6A74F1" w14:textId="352629E0" w:rsidR="001F3523" w:rsidRPr="00190907" w:rsidRDefault="001F3523" w:rsidP="00190907">
      <w:pPr>
        <w:bidi/>
        <w:jc w:val="center"/>
        <w:rPr>
          <w:rFonts w:asciiTheme="minorHAnsi" w:hAnsiTheme="minorHAnsi" w:cstheme="minorHAnsi"/>
          <w:b/>
          <w:bCs/>
        </w:rPr>
      </w:pPr>
      <w:r w:rsidRPr="00190907">
        <w:rPr>
          <w:rFonts w:asciiTheme="minorHAnsi" w:hAnsiTheme="minorHAnsi" w:cstheme="minorHAnsi"/>
          <w:bCs/>
          <w:rtl/>
        </w:rPr>
        <w:t>الدورة السابعة والعشرون للجنة المعنية بالتنمية</w:t>
      </w:r>
    </w:p>
    <w:p w14:paraId="638908D3" w14:textId="2FE58718" w:rsidR="001F3523" w:rsidRPr="00190907" w:rsidRDefault="001F3523" w:rsidP="00190907">
      <w:pPr>
        <w:bidi/>
        <w:jc w:val="center"/>
        <w:rPr>
          <w:rFonts w:asciiTheme="minorHAnsi" w:hAnsiTheme="minorHAnsi" w:cstheme="minorHAnsi"/>
          <w:b/>
          <w:bCs/>
        </w:rPr>
      </w:pPr>
      <w:r w:rsidRPr="00190907">
        <w:rPr>
          <w:rFonts w:asciiTheme="minorHAnsi" w:hAnsiTheme="minorHAnsi" w:cstheme="minorHAnsi"/>
          <w:b/>
          <w:bCs/>
          <w:rtl/>
        </w:rPr>
        <w:t>والملكية الفكرية</w:t>
      </w:r>
    </w:p>
    <w:p w14:paraId="1B246956" w14:textId="77777777" w:rsidR="001F3523" w:rsidRPr="00190907" w:rsidRDefault="001F3523" w:rsidP="00190907">
      <w:pPr>
        <w:bidi/>
        <w:jc w:val="both"/>
        <w:rPr>
          <w:rFonts w:asciiTheme="minorHAnsi" w:hAnsiTheme="minorHAnsi" w:cstheme="minorHAnsi"/>
          <w:b/>
          <w:bCs/>
        </w:rPr>
      </w:pPr>
    </w:p>
    <w:p w14:paraId="491824E7" w14:textId="00F70C2C" w:rsidR="001F3523" w:rsidRPr="00190907" w:rsidRDefault="001F3523" w:rsidP="00190907">
      <w:pPr>
        <w:bidi/>
        <w:jc w:val="both"/>
        <w:rPr>
          <w:rFonts w:asciiTheme="minorHAnsi" w:hAnsiTheme="minorHAnsi" w:cstheme="minorHAnsi"/>
          <w:b/>
          <w:bCs/>
          <w:lang w:eastAsia="ko-KR"/>
        </w:rPr>
      </w:pPr>
      <w:r w:rsidRPr="00190907">
        <w:rPr>
          <w:rFonts w:asciiTheme="minorHAnsi" w:hAnsiTheme="minorHAnsi" w:cstheme="minorHAnsi"/>
          <w:b/>
          <w:bCs/>
          <w:rtl/>
          <w:lang w:eastAsia="ko-KR"/>
        </w:rPr>
        <w:t>البند 8 من جدول الأعمال: الملكية الفكرية والتنمية</w:t>
      </w:r>
    </w:p>
    <w:p w14:paraId="3E4C85FD" w14:textId="77777777" w:rsidR="001F3523" w:rsidRPr="00190907" w:rsidRDefault="001F3523" w:rsidP="00190907">
      <w:pPr>
        <w:bidi/>
        <w:jc w:val="both"/>
        <w:rPr>
          <w:rFonts w:asciiTheme="minorHAnsi" w:eastAsia="Times New Roman" w:hAnsiTheme="minorHAnsi" w:cstheme="minorHAnsi"/>
        </w:rPr>
      </w:pPr>
    </w:p>
    <w:p w14:paraId="27ACA89D" w14:textId="51D4DCB2" w:rsidR="001F3523" w:rsidRPr="00190907" w:rsidRDefault="001F3523" w:rsidP="00190907">
      <w:pPr>
        <w:bidi/>
        <w:spacing w:after="0"/>
        <w:jc w:val="both"/>
        <w:rPr>
          <w:rFonts w:asciiTheme="minorHAnsi" w:eastAsia="Times New Roman" w:hAnsiTheme="minorHAnsi" w:cstheme="minorHAnsi"/>
        </w:rPr>
      </w:pPr>
      <w:r w:rsidRPr="00190907">
        <w:rPr>
          <w:rFonts w:asciiTheme="minorHAnsi" w:eastAsia="Times New Roman" w:hAnsiTheme="minorHAnsi" w:cstheme="minorHAnsi"/>
          <w:rtl/>
        </w:rPr>
        <w:t>شكر</w:t>
      </w:r>
      <w:r w:rsidR="00190907">
        <w:rPr>
          <w:rFonts w:asciiTheme="minorHAnsi" w:eastAsia="Times New Roman" w:hAnsiTheme="minorHAnsi" w:cstheme="minorHAnsi" w:hint="cs"/>
          <w:rtl/>
        </w:rPr>
        <w:t>اً</w:t>
      </w:r>
      <w:r w:rsidRPr="00190907">
        <w:rPr>
          <w:rFonts w:asciiTheme="minorHAnsi" w:eastAsia="Times New Roman" w:hAnsiTheme="minorHAnsi" w:cstheme="minorHAnsi"/>
          <w:rtl/>
        </w:rPr>
        <w:t xml:space="preserve"> </w:t>
      </w:r>
      <w:r w:rsidR="00190907">
        <w:rPr>
          <w:rFonts w:asciiTheme="minorHAnsi" w:eastAsia="Times New Roman" w:hAnsiTheme="minorHAnsi" w:cstheme="minorHAnsi" w:hint="cs"/>
          <w:rtl/>
        </w:rPr>
        <w:t>ل</w:t>
      </w:r>
      <w:r w:rsidRPr="00190907">
        <w:rPr>
          <w:rFonts w:asciiTheme="minorHAnsi" w:eastAsia="Times New Roman" w:hAnsiTheme="minorHAnsi" w:cstheme="minorHAnsi"/>
          <w:rtl/>
        </w:rPr>
        <w:t>لسيدة الرئيسة</w:t>
      </w:r>
    </w:p>
    <w:p w14:paraId="25CD66C7" w14:textId="77777777" w:rsidR="001F3523" w:rsidRPr="00190907" w:rsidRDefault="001F3523" w:rsidP="00190907">
      <w:pPr>
        <w:bidi/>
        <w:spacing w:after="0"/>
        <w:jc w:val="both"/>
        <w:rPr>
          <w:rFonts w:asciiTheme="minorHAnsi" w:eastAsia="Times New Roman" w:hAnsiTheme="minorHAnsi" w:cstheme="minorHAnsi"/>
        </w:rPr>
      </w:pPr>
    </w:p>
    <w:p w14:paraId="39F5AFD0" w14:textId="48E03DF4" w:rsidR="001F3523" w:rsidRPr="007B32C3" w:rsidRDefault="001F3523" w:rsidP="00190907">
      <w:pPr>
        <w:bidi/>
        <w:spacing w:after="0"/>
        <w:jc w:val="both"/>
        <w:rPr>
          <w:rFonts w:asciiTheme="minorHAnsi" w:hAnsiTheme="minorHAnsi" w:cstheme="minorHAnsi"/>
        </w:rPr>
      </w:pPr>
      <w:r w:rsidRPr="007B32C3">
        <w:rPr>
          <w:rFonts w:asciiTheme="minorHAnsi" w:hAnsiTheme="minorHAnsi" w:cstheme="minorHAnsi"/>
          <w:rtl/>
        </w:rPr>
        <w:t xml:space="preserve">تتشرف أستراليا بتقديم هذا البيان باسم مجموعة بلدان </w:t>
      </w:r>
      <w:proofErr w:type="spellStart"/>
      <w:r w:rsidRPr="007B32C3">
        <w:rPr>
          <w:rFonts w:asciiTheme="minorHAnsi" w:hAnsiTheme="minorHAnsi" w:cstheme="minorHAnsi"/>
          <w:rtl/>
        </w:rPr>
        <w:t>ميكتا</w:t>
      </w:r>
      <w:proofErr w:type="spellEnd"/>
      <w:r w:rsidRPr="007B32C3">
        <w:rPr>
          <w:rFonts w:asciiTheme="minorHAnsi" w:hAnsiTheme="minorHAnsi" w:cstheme="minorHAnsi"/>
          <w:rtl/>
        </w:rPr>
        <w:t>، وهي شراكة ابتكار تجمع المكسيك وإندونيسيا وجمهورية كوريا وتركيا وأستراليا.</w:t>
      </w:r>
    </w:p>
    <w:p w14:paraId="2166824D" w14:textId="77777777" w:rsidR="001F3523" w:rsidRPr="00190907" w:rsidRDefault="001F3523" w:rsidP="00190907">
      <w:pPr>
        <w:bidi/>
        <w:spacing w:after="0" w:line="240" w:lineRule="auto"/>
        <w:rPr>
          <w:rFonts w:asciiTheme="minorHAnsi" w:eastAsia="Times New Roman" w:hAnsiTheme="minorHAnsi" w:cstheme="minorHAnsi"/>
        </w:rPr>
      </w:pPr>
    </w:p>
    <w:p w14:paraId="729B3AFF" w14:textId="55AF492B" w:rsidR="001F3523" w:rsidRPr="00190907" w:rsidRDefault="001F3523" w:rsidP="00190907">
      <w:pPr>
        <w:bidi/>
        <w:spacing w:after="0" w:line="240" w:lineRule="auto"/>
        <w:jc w:val="both"/>
        <w:rPr>
          <w:rFonts w:asciiTheme="minorHAnsi" w:eastAsia="Times New Roman" w:hAnsiTheme="minorHAnsi" w:cstheme="minorHAnsi"/>
        </w:rPr>
      </w:pPr>
      <w:r w:rsidRPr="00190907">
        <w:rPr>
          <w:rFonts w:asciiTheme="minorHAnsi" w:eastAsia="Times New Roman" w:hAnsiTheme="minorHAnsi" w:cstheme="minorHAnsi"/>
          <w:rtl/>
        </w:rPr>
        <w:t xml:space="preserve">كما يعلم الزملاء، فإن الممارسة السنوية لمجموعة </w:t>
      </w:r>
      <w:proofErr w:type="spellStart"/>
      <w:r w:rsidRPr="00190907">
        <w:rPr>
          <w:rFonts w:asciiTheme="minorHAnsi" w:eastAsia="Times New Roman" w:hAnsiTheme="minorHAnsi" w:cstheme="minorHAnsi"/>
          <w:rtl/>
        </w:rPr>
        <w:t>ميكتا</w:t>
      </w:r>
      <w:proofErr w:type="spellEnd"/>
      <w:r w:rsidRPr="00190907">
        <w:rPr>
          <w:rFonts w:asciiTheme="minorHAnsi" w:eastAsia="Times New Roman" w:hAnsiTheme="minorHAnsi" w:cstheme="minorHAnsi"/>
          <w:rtl/>
        </w:rPr>
        <w:t xml:space="preserve"> تتمثل في عقد ندوة على هامش دورة لجنة التنمية في نوفمبر. وقد مكننا ذلك من الاستفادة من وجهات نظر المجموعة المتنوعة والاهتمام المشترك بنظام عالمي فعال قائم على القواعد لاستكشاف القضايا الكامنة في العلاقة</w:t>
      </w:r>
      <w:r w:rsidRPr="00190907">
        <w:rPr>
          <w:rFonts w:asciiTheme="minorHAnsi" w:eastAsia="Times New Roman" w:hAnsiTheme="minorHAnsi" w:cstheme="minorHAnsi"/>
        </w:rPr>
        <w:t xml:space="preserve"> </w:t>
      </w:r>
      <w:r w:rsidRPr="00190907">
        <w:rPr>
          <w:rFonts w:asciiTheme="minorHAnsi" w:eastAsia="Times New Roman" w:hAnsiTheme="minorHAnsi" w:cstheme="minorHAnsi"/>
          <w:rtl/>
        </w:rPr>
        <w:t>بين الملكية الفكرية والتنمية</w:t>
      </w:r>
      <w:r w:rsidR="00190907">
        <w:rPr>
          <w:rFonts w:asciiTheme="minorHAnsi" w:eastAsia="Times New Roman" w:hAnsiTheme="minorHAnsi" w:cstheme="minorHAnsi" w:hint="cs"/>
          <w:rtl/>
        </w:rPr>
        <w:t>.</w:t>
      </w:r>
    </w:p>
    <w:p w14:paraId="483341F2" w14:textId="77777777" w:rsidR="001F3523" w:rsidRPr="00190907" w:rsidRDefault="001F3523" w:rsidP="00190907">
      <w:pPr>
        <w:bidi/>
        <w:spacing w:after="0" w:line="240" w:lineRule="auto"/>
        <w:jc w:val="both"/>
        <w:rPr>
          <w:rFonts w:asciiTheme="minorHAnsi" w:eastAsia="Times New Roman" w:hAnsiTheme="minorHAnsi" w:cstheme="minorHAnsi"/>
        </w:rPr>
      </w:pPr>
    </w:p>
    <w:p w14:paraId="4CFD4A9D" w14:textId="4F4B66B4" w:rsidR="001F3523" w:rsidRPr="00190907" w:rsidRDefault="001F3523" w:rsidP="00190907">
      <w:pPr>
        <w:bidi/>
        <w:spacing w:after="0" w:line="240" w:lineRule="auto"/>
        <w:jc w:val="both"/>
        <w:rPr>
          <w:rFonts w:asciiTheme="minorHAnsi" w:eastAsia="Times New Roman" w:hAnsiTheme="minorHAnsi" w:cstheme="minorHAnsi"/>
        </w:rPr>
      </w:pPr>
      <w:r w:rsidRPr="00190907">
        <w:rPr>
          <w:rFonts w:asciiTheme="minorHAnsi" w:eastAsia="Times New Roman" w:hAnsiTheme="minorHAnsi" w:cstheme="minorHAnsi"/>
          <w:rtl/>
        </w:rPr>
        <w:t xml:space="preserve">وبالأمس، استضافت مجموعة </w:t>
      </w:r>
      <w:proofErr w:type="spellStart"/>
      <w:r w:rsidRPr="00190907">
        <w:rPr>
          <w:rFonts w:asciiTheme="minorHAnsi" w:eastAsia="Times New Roman" w:hAnsiTheme="minorHAnsi" w:cstheme="minorHAnsi"/>
          <w:rtl/>
        </w:rPr>
        <w:t>ميكتا</w:t>
      </w:r>
      <w:proofErr w:type="spellEnd"/>
      <w:r w:rsidRPr="00190907">
        <w:rPr>
          <w:rFonts w:asciiTheme="minorHAnsi" w:eastAsia="Times New Roman" w:hAnsiTheme="minorHAnsi" w:cstheme="minorHAnsi"/>
          <w:rtl/>
        </w:rPr>
        <w:t xml:space="preserve"> ندوة عن موضوع "</w:t>
      </w:r>
      <w:r w:rsidRPr="007B32C3">
        <w:rPr>
          <w:rFonts w:asciiTheme="minorHAnsi" w:eastAsia="Times New Roman" w:hAnsiTheme="minorHAnsi" w:cstheme="minorHAnsi"/>
          <w:b/>
          <w:bCs/>
          <w:rtl/>
        </w:rPr>
        <w:t>دور الحكومة في حفز نقل التكنولوجيا: الفرص والتحديات</w:t>
      </w:r>
      <w:r w:rsidR="00190907">
        <w:rPr>
          <w:rFonts w:asciiTheme="minorHAnsi" w:eastAsia="Times New Roman" w:hAnsiTheme="minorHAnsi" w:cstheme="minorHAnsi" w:hint="cs"/>
          <w:rtl/>
        </w:rPr>
        <w:t xml:space="preserve">". </w:t>
      </w:r>
      <w:r w:rsidR="006E5CBF" w:rsidRPr="00190907">
        <w:rPr>
          <w:rFonts w:asciiTheme="minorHAnsi" w:eastAsia="Times New Roman" w:hAnsiTheme="minorHAnsi" w:cstheme="minorHAnsi"/>
          <w:rtl/>
        </w:rPr>
        <w:t xml:space="preserve">ونشكر وفود لجنة التنمية التي حضرت، ونأمل أنها استفادت من الاستماع إلى وجهات نظر أعضاء مجموعة </w:t>
      </w:r>
      <w:proofErr w:type="spellStart"/>
      <w:r w:rsidR="006E5CBF" w:rsidRPr="00190907">
        <w:rPr>
          <w:rFonts w:asciiTheme="minorHAnsi" w:eastAsia="Times New Roman" w:hAnsiTheme="minorHAnsi" w:cstheme="minorHAnsi"/>
          <w:rtl/>
        </w:rPr>
        <w:t>ميكتا</w:t>
      </w:r>
      <w:proofErr w:type="spellEnd"/>
      <w:r w:rsidR="006E5CBF" w:rsidRPr="00190907">
        <w:rPr>
          <w:rFonts w:asciiTheme="minorHAnsi" w:eastAsia="Times New Roman" w:hAnsiTheme="minorHAnsi" w:cstheme="minorHAnsi"/>
          <w:rtl/>
        </w:rPr>
        <w:t xml:space="preserve"> بشأن هذا الموضوع، فضلا عن النظرة العامة على عمل </w:t>
      </w:r>
      <w:proofErr w:type="spellStart"/>
      <w:r w:rsidR="006E5CBF" w:rsidRPr="00190907">
        <w:rPr>
          <w:rFonts w:asciiTheme="minorHAnsi" w:eastAsia="Times New Roman" w:hAnsiTheme="minorHAnsi" w:cstheme="minorHAnsi"/>
          <w:rtl/>
        </w:rPr>
        <w:t>الويبو</w:t>
      </w:r>
      <w:proofErr w:type="spellEnd"/>
      <w:r w:rsidR="006E5CBF" w:rsidRPr="00190907">
        <w:rPr>
          <w:rFonts w:asciiTheme="minorHAnsi" w:eastAsia="Times New Roman" w:hAnsiTheme="minorHAnsi" w:cstheme="minorHAnsi"/>
          <w:rtl/>
        </w:rPr>
        <w:t xml:space="preserve"> في هذا المجال</w:t>
      </w:r>
      <w:r w:rsidR="00190907">
        <w:rPr>
          <w:rFonts w:asciiTheme="minorHAnsi" w:eastAsia="Times New Roman" w:hAnsiTheme="minorHAnsi" w:cstheme="minorHAnsi" w:hint="cs"/>
          <w:rtl/>
        </w:rPr>
        <w:t xml:space="preserve">. </w:t>
      </w:r>
      <w:r w:rsidR="006E5CBF" w:rsidRPr="00190907">
        <w:rPr>
          <w:rFonts w:asciiTheme="minorHAnsi" w:eastAsia="Times New Roman" w:hAnsiTheme="minorHAnsi" w:cstheme="minorHAnsi"/>
          <w:rtl/>
        </w:rPr>
        <w:t>ونود أن نشكر الأمانة على مساعدتها السخية لتسهيل هذا الحدث</w:t>
      </w:r>
      <w:r w:rsidR="00190907">
        <w:rPr>
          <w:rFonts w:asciiTheme="minorHAnsi" w:eastAsia="Times New Roman" w:hAnsiTheme="minorHAnsi" w:cstheme="minorHAnsi" w:hint="cs"/>
          <w:rtl/>
        </w:rPr>
        <w:t>.</w:t>
      </w:r>
    </w:p>
    <w:p w14:paraId="2C243730" w14:textId="77777777" w:rsidR="001F3523" w:rsidRPr="00190907" w:rsidRDefault="001F3523" w:rsidP="00190907">
      <w:pPr>
        <w:bidi/>
        <w:spacing w:after="0" w:line="240" w:lineRule="auto"/>
        <w:jc w:val="both"/>
        <w:rPr>
          <w:rFonts w:asciiTheme="minorHAnsi" w:eastAsia="Times New Roman" w:hAnsiTheme="minorHAnsi" w:cstheme="minorHAnsi"/>
        </w:rPr>
      </w:pPr>
    </w:p>
    <w:p w14:paraId="55E3E7CE" w14:textId="4FC355E9" w:rsidR="001F3523" w:rsidRPr="00190907" w:rsidRDefault="006E5CBF" w:rsidP="00190907">
      <w:pPr>
        <w:bidi/>
        <w:spacing w:after="0" w:line="240" w:lineRule="auto"/>
        <w:jc w:val="both"/>
        <w:rPr>
          <w:rFonts w:asciiTheme="minorHAnsi" w:eastAsia="Times New Roman" w:hAnsiTheme="minorHAnsi" w:cstheme="minorHAnsi"/>
        </w:rPr>
      </w:pPr>
      <w:r w:rsidRPr="00190907">
        <w:rPr>
          <w:rFonts w:asciiTheme="minorHAnsi" w:eastAsia="Times New Roman" w:hAnsiTheme="minorHAnsi" w:cstheme="minorHAnsi"/>
          <w:rtl/>
        </w:rPr>
        <w:t xml:space="preserve">وقد قدم السيد أليخاندرو روكا </w:t>
      </w:r>
      <w:proofErr w:type="spellStart"/>
      <w:r w:rsidRPr="00190907">
        <w:rPr>
          <w:rFonts w:asciiTheme="minorHAnsi" w:eastAsia="Times New Roman" w:hAnsiTheme="minorHAnsi" w:cstheme="minorHAnsi"/>
          <w:rtl/>
        </w:rPr>
        <w:t>كامبانيا</w:t>
      </w:r>
      <w:proofErr w:type="spellEnd"/>
      <w:r w:rsidRPr="00190907">
        <w:rPr>
          <w:rFonts w:asciiTheme="minorHAnsi" w:eastAsia="Times New Roman" w:hAnsiTheme="minorHAnsi" w:cstheme="minorHAnsi"/>
          <w:rtl/>
        </w:rPr>
        <w:t xml:space="preserve">، المدير الأول لإدارة الملكية الفكرية للمبتكرين في </w:t>
      </w:r>
      <w:proofErr w:type="spellStart"/>
      <w:r w:rsidRPr="00190907">
        <w:rPr>
          <w:rFonts w:asciiTheme="minorHAnsi" w:eastAsia="Times New Roman" w:hAnsiTheme="minorHAnsi" w:cstheme="minorHAnsi"/>
          <w:rtl/>
        </w:rPr>
        <w:t>الويبو</w:t>
      </w:r>
      <w:proofErr w:type="spellEnd"/>
      <w:r w:rsidRPr="00190907">
        <w:rPr>
          <w:rFonts w:asciiTheme="minorHAnsi" w:eastAsia="Times New Roman" w:hAnsiTheme="minorHAnsi" w:cstheme="minorHAnsi"/>
          <w:rtl/>
        </w:rPr>
        <w:t xml:space="preserve">، لمحة عامة عن أنشطة </w:t>
      </w:r>
      <w:proofErr w:type="spellStart"/>
      <w:r w:rsidRPr="00190907">
        <w:rPr>
          <w:rFonts w:asciiTheme="minorHAnsi" w:eastAsia="Times New Roman" w:hAnsiTheme="minorHAnsi" w:cstheme="minorHAnsi"/>
          <w:rtl/>
        </w:rPr>
        <w:t>الويبو</w:t>
      </w:r>
      <w:proofErr w:type="spellEnd"/>
      <w:r w:rsidRPr="00190907">
        <w:rPr>
          <w:rFonts w:asciiTheme="minorHAnsi" w:eastAsia="Times New Roman" w:hAnsiTheme="minorHAnsi" w:cstheme="minorHAnsi"/>
          <w:rtl/>
        </w:rPr>
        <w:t xml:space="preserve"> في مجال نقل التكنولوجي</w:t>
      </w:r>
      <w:r w:rsidR="00190907">
        <w:rPr>
          <w:rFonts w:asciiTheme="minorHAnsi" w:eastAsia="Times New Roman" w:hAnsiTheme="minorHAnsi" w:cstheme="minorHAnsi" w:hint="cs"/>
          <w:rtl/>
        </w:rPr>
        <w:t xml:space="preserve">ا. </w:t>
      </w:r>
      <w:r w:rsidR="00733AA6" w:rsidRPr="00190907">
        <w:rPr>
          <w:rFonts w:asciiTheme="minorHAnsi" w:eastAsia="Times New Roman" w:hAnsiTheme="minorHAnsi" w:cstheme="minorHAnsi"/>
          <w:rtl/>
        </w:rPr>
        <w:t>وشملت تلك الأنشطة ثلاثة جوانب لنظام الابتكار الدولي، وهي الإطار القانوني والبنية التحتية لإدارة الملكية الفكرية ورأس المال البشري</w:t>
      </w:r>
      <w:r w:rsidR="00190907">
        <w:rPr>
          <w:rFonts w:asciiTheme="minorHAnsi" w:eastAsia="Times New Roman" w:hAnsiTheme="minorHAnsi" w:cstheme="minorHAnsi" w:hint="cs"/>
          <w:rtl/>
        </w:rPr>
        <w:t>.</w:t>
      </w:r>
    </w:p>
    <w:p w14:paraId="2340AA58" w14:textId="77777777" w:rsidR="001F3523" w:rsidRPr="00190907" w:rsidRDefault="001F3523" w:rsidP="00190907">
      <w:pPr>
        <w:bidi/>
        <w:spacing w:after="0" w:line="240" w:lineRule="auto"/>
        <w:jc w:val="both"/>
        <w:rPr>
          <w:rFonts w:asciiTheme="minorHAnsi" w:eastAsia="Times New Roman" w:hAnsiTheme="minorHAnsi" w:cstheme="minorHAnsi"/>
        </w:rPr>
      </w:pPr>
    </w:p>
    <w:p w14:paraId="11F998FA" w14:textId="19E2D65A" w:rsidR="001F3523" w:rsidRPr="00190907" w:rsidRDefault="00733AA6" w:rsidP="00190907">
      <w:pPr>
        <w:bidi/>
        <w:spacing w:after="0" w:line="240" w:lineRule="auto"/>
        <w:jc w:val="both"/>
        <w:rPr>
          <w:rFonts w:asciiTheme="minorHAnsi" w:hAnsiTheme="minorHAnsi" w:cstheme="minorHAnsi"/>
          <w:lang w:eastAsia="ko-KR"/>
        </w:rPr>
      </w:pPr>
      <w:r w:rsidRPr="00190907">
        <w:rPr>
          <w:rFonts w:asciiTheme="minorHAnsi" w:eastAsia="Times New Roman" w:hAnsiTheme="minorHAnsi" w:cstheme="minorHAnsi"/>
          <w:rtl/>
        </w:rPr>
        <w:t xml:space="preserve">وقدم السيد بيتر </w:t>
      </w:r>
      <w:proofErr w:type="spellStart"/>
      <w:r w:rsidRPr="00190907">
        <w:rPr>
          <w:rFonts w:asciiTheme="minorHAnsi" w:eastAsia="Times New Roman" w:hAnsiTheme="minorHAnsi" w:cstheme="minorHAnsi"/>
          <w:rtl/>
        </w:rPr>
        <w:t>أوكسين</w:t>
      </w:r>
      <w:proofErr w:type="spellEnd"/>
      <w:r w:rsidRPr="00190907">
        <w:rPr>
          <w:rFonts w:asciiTheme="minorHAnsi" w:eastAsia="Times New Roman" w:hAnsiTheme="minorHAnsi" w:cstheme="minorHAnsi"/>
          <w:rtl/>
        </w:rPr>
        <w:t xml:space="preserve">، كبير مسؤولي البرامج في شعبة التحديات العالمية في </w:t>
      </w:r>
      <w:proofErr w:type="spellStart"/>
      <w:r w:rsidRPr="00190907">
        <w:rPr>
          <w:rFonts w:asciiTheme="minorHAnsi" w:eastAsia="Times New Roman" w:hAnsiTheme="minorHAnsi" w:cstheme="minorHAnsi"/>
          <w:rtl/>
        </w:rPr>
        <w:t>الويبو</w:t>
      </w:r>
      <w:proofErr w:type="spellEnd"/>
      <w:r w:rsidRPr="00190907">
        <w:rPr>
          <w:rFonts w:asciiTheme="minorHAnsi" w:eastAsia="Times New Roman" w:hAnsiTheme="minorHAnsi" w:cstheme="minorHAnsi"/>
          <w:rtl/>
        </w:rPr>
        <w:t xml:space="preserve">، عرضا عن رحلة ونتائج مشروع تسريع منصة </w:t>
      </w:r>
      <w:proofErr w:type="spellStart"/>
      <w:r w:rsidRPr="00190907">
        <w:rPr>
          <w:rFonts w:asciiTheme="minorHAnsi" w:eastAsia="Times New Roman" w:hAnsiTheme="minorHAnsi" w:cstheme="minorHAnsi"/>
          <w:rtl/>
        </w:rPr>
        <w:t>ويبو</w:t>
      </w:r>
      <w:proofErr w:type="spellEnd"/>
      <w:r w:rsidRPr="00190907">
        <w:rPr>
          <w:rFonts w:asciiTheme="minorHAnsi" w:eastAsia="Times New Roman" w:hAnsiTheme="minorHAnsi" w:cstheme="minorHAnsi"/>
          <w:rtl/>
        </w:rPr>
        <w:t xml:space="preserve"> غرين بشأن معالجة زيت النخيل وتقدير قيمته في إندونيسيا</w:t>
      </w:r>
      <w:r w:rsidR="00190907">
        <w:rPr>
          <w:rFonts w:asciiTheme="minorHAnsi" w:eastAsia="Times New Roman" w:hAnsiTheme="minorHAnsi" w:cstheme="minorHAnsi" w:hint="cs"/>
          <w:rtl/>
        </w:rPr>
        <w:t xml:space="preserve">. </w:t>
      </w:r>
      <w:r w:rsidRPr="00190907">
        <w:rPr>
          <w:rFonts w:asciiTheme="minorHAnsi" w:eastAsia="Times New Roman" w:hAnsiTheme="minorHAnsi" w:cstheme="minorHAnsi"/>
          <w:rtl/>
        </w:rPr>
        <w:t>ومن خلال تحديد احتياجات التكنولوجيات الخضراء ومواءمتها مع حلول قابلة للاستمرار، يمثل هذا المشروع دليلا على المساهمة الهامة التي يمكن أن تقدمها برامج نقل التكنولوجيا في تحقيق الاستدامة</w:t>
      </w:r>
      <w:r w:rsidR="00190907">
        <w:rPr>
          <w:rFonts w:asciiTheme="minorHAnsi" w:eastAsia="Times New Roman" w:hAnsiTheme="minorHAnsi" w:cstheme="minorHAnsi" w:hint="cs"/>
          <w:rtl/>
        </w:rPr>
        <w:t>.</w:t>
      </w:r>
    </w:p>
    <w:p w14:paraId="2F6E7807" w14:textId="77777777" w:rsidR="001F3523" w:rsidRPr="00190907" w:rsidRDefault="001F3523" w:rsidP="00190907">
      <w:pPr>
        <w:bidi/>
        <w:spacing w:after="0" w:line="240" w:lineRule="auto"/>
        <w:rPr>
          <w:rFonts w:asciiTheme="minorHAnsi" w:eastAsia="Times New Roman" w:hAnsiTheme="minorHAnsi" w:cstheme="minorHAnsi"/>
        </w:rPr>
      </w:pPr>
    </w:p>
    <w:p w14:paraId="53FC4322" w14:textId="5C9FC3D3" w:rsidR="001F3523" w:rsidRPr="00190907" w:rsidRDefault="00733AA6" w:rsidP="00190907">
      <w:pPr>
        <w:bidi/>
        <w:spacing w:after="0" w:line="240" w:lineRule="auto"/>
        <w:jc w:val="both"/>
        <w:rPr>
          <w:rFonts w:asciiTheme="minorHAnsi" w:hAnsiTheme="minorHAnsi" w:cstheme="minorHAnsi"/>
        </w:rPr>
      </w:pPr>
      <w:r w:rsidRPr="00190907">
        <w:rPr>
          <w:rFonts w:asciiTheme="minorHAnsi" w:hAnsiTheme="minorHAnsi" w:cstheme="minorHAnsi"/>
          <w:rtl/>
        </w:rPr>
        <w:t xml:space="preserve">وقد تحدث ممثلو مجموعة </w:t>
      </w:r>
      <w:proofErr w:type="spellStart"/>
      <w:r w:rsidRPr="00190907">
        <w:rPr>
          <w:rFonts w:asciiTheme="minorHAnsi" w:hAnsiTheme="minorHAnsi" w:cstheme="minorHAnsi"/>
          <w:rtl/>
        </w:rPr>
        <w:t>ميكتا</w:t>
      </w:r>
      <w:proofErr w:type="spellEnd"/>
      <w:r w:rsidRPr="00190907">
        <w:rPr>
          <w:rFonts w:asciiTheme="minorHAnsi" w:hAnsiTheme="minorHAnsi" w:cstheme="minorHAnsi"/>
          <w:rtl/>
        </w:rPr>
        <w:t xml:space="preserve"> عن تجاربهم الوطنية بشأن دور الحكومة كمحفز لنقل التكنولوجيا.</w:t>
      </w:r>
    </w:p>
    <w:p w14:paraId="0FA85E53" w14:textId="77777777" w:rsidR="001F3523" w:rsidRPr="00190907" w:rsidRDefault="001F3523" w:rsidP="00190907">
      <w:pPr>
        <w:bidi/>
        <w:spacing w:after="0"/>
        <w:jc w:val="both"/>
        <w:rPr>
          <w:rFonts w:asciiTheme="minorHAnsi" w:hAnsiTheme="minorHAnsi" w:cstheme="minorHAnsi"/>
          <w:lang w:eastAsia="ko-KR"/>
        </w:rPr>
      </w:pPr>
    </w:p>
    <w:p w14:paraId="691ED683" w14:textId="5EEBD5C4" w:rsidR="001F3523" w:rsidRPr="00190907" w:rsidRDefault="00733AA6" w:rsidP="00190907">
      <w:pPr>
        <w:bidi/>
        <w:spacing w:after="0"/>
        <w:jc w:val="both"/>
        <w:rPr>
          <w:rFonts w:asciiTheme="minorHAnsi" w:hAnsiTheme="minorHAnsi" w:cstheme="minorHAnsi"/>
          <w:lang w:val="en-US" w:eastAsia="ko-KR"/>
        </w:rPr>
      </w:pPr>
      <w:r w:rsidRPr="00190907">
        <w:rPr>
          <w:rFonts w:asciiTheme="minorHAnsi" w:hAnsiTheme="minorHAnsi" w:cstheme="minorHAnsi"/>
          <w:rtl/>
          <w:lang w:val="en-US" w:eastAsia="ko-KR"/>
        </w:rPr>
        <w:t xml:space="preserve">وشاطرت المكسيك تجربة ولاية </w:t>
      </w:r>
      <w:proofErr w:type="spellStart"/>
      <w:r w:rsidRPr="00190907">
        <w:rPr>
          <w:rFonts w:asciiTheme="minorHAnsi" w:hAnsiTheme="minorHAnsi" w:cstheme="minorHAnsi"/>
          <w:rtl/>
          <w:lang w:val="en-US" w:eastAsia="ko-KR"/>
        </w:rPr>
        <w:t>خاليسكو</w:t>
      </w:r>
      <w:proofErr w:type="spellEnd"/>
      <w:r w:rsidRPr="00190907">
        <w:rPr>
          <w:rFonts w:asciiTheme="minorHAnsi" w:hAnsiTheme="minorHAnsi" w:cstheme="minorHAnsi"/>
          <w:rtl/>
          <w:lang w:val="en-US" w:eastAsia="ko-KR"/>
        </w:rPr>
        <w:t xml:space="preserve"> في صياغة وتنفيذ سياسات عامة وسلسلة من الإجراءات المحلية الرامية إلى إحراز تقدم إيجابي في مجال الابتكار ونقل التكنولوجيا المدفوعة بالملكية الفكرية</w:t>
      </w:r>
      <w:r w:rsidR="00190907">
        <w:rPr>
          <w:rFonts w:asciiTheme="minorHAnsi" w:hAnsiTheme="minorHAnsi" w:cstheme="minorHAnsi" w:hint="cs"/>
          <w:rtl/>
          <w:lang w:val="en-US" w:eastAsia="ko-KR"/>
        </w:rPr>
        <w:t xml:space="preserve">. </w:t>
      </w:r>
      <w:r w:rsidRPr="00190907">
        <w:rPr>
          <w:rFonts w:asciiTheme="minorHAnsi" w:hAnsiTheme="minorHAnsi" w:cstheme="minorHAnsi"/>
          <w:rtl/>
          <w:lang w:val="en-US" w:eastAsia="ko-KR"/>
        </w:rPr>
        <w:t xml:space="preserve">وقد عملت ولاية </w:t>
      </w:r>
      <w:proofErr w:type="spellStart"/>
      <w:r w:rsidRPr="00190907">
        <w:rPr>
          <w:rFonts w:asciiTheme="minorHAnsi" w:hAnsiTheme="minorHAnsi" w:cstheme="minorHAnsi"/>
          <w:rtl/>
          <w:lang w:val="en-US" w:eastAsia="ko-KR"/>
        </w:rPr>
        <w:t>خاليسكو</w:t>
      </w:r>
      <w:proofErr w:type="spellEnd"/>
      <w:r w:rsidRPr="00190907">
        <w:rPr>
          <w:rFonts w:asciiTheme="minorHAnsi" w:hAnsiTheme="minorHAnsi" w:cstheme="minorHAnsi"/>
          <w:rtl/>
          <w:lang w:val="en-US" w:eastAsia="ko-KR"/>
        </w:rPr>
        <w:t xml:space="preserve"> على اجتذاب شركات التكنولوجيا العالية من الخارج، وتمكنت عبر السنين من الانتقال من التصنيع البسيط إلى التصنيع المتقدم وتوليد شركات عالية الابتكار، ومنها شركات ناشئة، على المستوى المحلي في مجالات تكنولوجيا المعلومات والاتصالات والصحة </w:t>
      </w:r>
      <w:proofErr w:type="spellStart"/>
      <w:r w:rsidRPr="00190907">
        <w:rPr>
          <w:rFonts w:asciiTheme="minorHAnsi" w:hAnsiTheme="minorHAnsi" w:cstheme="minorHAnsi"/>
          <w:rtl/>
          <w:lang w:val="en-US" w:eastAsia="ko-KR"/>
        </w:rPr>
        <w:t>والبيوتكنولوجيا</w:t>
      </w:r>
      <w:proofErr w:type="spellEnd"/>
      <w:r w:rsidRPr="00190907">
        <w:rPr>
          <w:rFonts w:asciiTheme="minorHAnsi" w:hAnsiTheme="minorHAnsi" w:cstheme="minorHAnsi"/>
          <w:rtl/>
          <w:lang w:val="en-US" w:eastAsia="ko-KR"/>
        </w:rPr>
        <w:t xml:space="preserve"> والتكنولوجيا الزراعية </w:t>
      </w:r>
      <w:proofErr w:type="spellStart"/>
      <w:r w:rsidRPr="00190907">
        <w:rPr>
          <w:rFonts w:asciiTheme="minorHAnsi" w:hAnsiTheme="minorHAnsi" w:cstheme="minorHAnsi"/>
          <w:rtl/>
          <w:lang w:val="en-US" w:eastAsia="ko-KR"/>
        </w:rPr>
        <w:t>والنانوتكنولوجيا</w:t>
      </w:r>
      <w:proofErr w:type="spellEnd"/>
      <w:r w:rsidR="00190907">
        <w:rPr>
          <w:rFonts w:asciiTheme="minorHAnsi" w:hAnsiTheme="minorHAnsi" w:cstheme="minorHAnsi" w:hint="cs"/>
          <w:rtl/>
          <w:lang w:val="en-US" w:eastAsia="ko-KR"/>
        </w:rPr>
        <w:t xml:space="preserve">. </w:t>
      </w:r>
      <w:r w:rsidR="009738F2" w:rsidRPr="00190907">
        <w:rPr>
          <w:rFonts w:asciiTheme="minorHAnsi" w:hAnsiTheme="minorHAnsi" w:cstheme="minorHAnsi"/>
          <w:rtl/>
          <w:lang w:val="en-US" w:eastAsia="ko-KR"/>
        </w:rPr>
        <w:t xml:space="preserve">وسلطت المكسيك الضوء على دور وزارة الابتكار والعلوم والتكنولوجيا في </w:t>
      </w:r>
      <w:proofErr w:type="spellStart"/>
      <w:r w:rsidR="009738F2" w:rsidRPr="00190907">
        <w:rPr>
          <w:rFonts w:asciiTheme="minorHAnsi" w:hAnsiTheme="minorHAnsi" w:cstheme="minorHAnsi"/>
          <w:rtl/>
          <w:lang w:val="en-US" w:eastAsia="ko-KR"/>
        </w:rPr>
        <w:t>خاليسكو</w:t>
      </w:r>
      <w:proofErr w:type="spellEnd"/>
      <w:r w:rsidR="009738F2" w:rsidRPr="00190907">
        <w:rPr>
          <w:rFonts w:asciiTheme="minorHAnsi" w:hAnsiTheme="minorHAnsi" w:cstheme="minorHAnsi"/>
          <w:rtl/>
          <w:lang w:val="en-US" w:eastAsia="ko-KR"/>
        </w:rPr>
        <w:t xml:space="preserve"> ومديرية الملكية الفكرية في </w:t>
      </w:r>
      <w:proofErr w:type="spellStart"/>
      <w:r w:rsidR="009738F2" w:rsidRPr="00190907">
        <w:rPr>
          <w:rFonts w:asciiTheme="minorHAnsi" w:hAnsiTheme="minorHAnsi" w:cstheme="minorHAnsi"/>
          <w:rtl/>
          <w:lang w:val="en-US" w:eastAsia="ko-KR"/>
        </w:rPr>
        <w:t>خاليسكو</w:t>
      </w:r>
      <w:proofErr w:type="spellEnd"/>
      <w:r w:rsidR="009738F2" w:rsidRPr="00190907">
        <w:rPr>
          <w:rFonts w:asciiTheme="minorHAnsi" w:hAnsiTheme="minorHAnsi" w:cstheme="minorHAnsi"/>
          <w:rtl/>
          <w:lang w:val="en-US" w:eastAsia="ko-KR"/>
        </w:rPr>
        <w:t xml:space="preserve"> في النهوض بالملكية الفكرية المرتبطة بالتنمية التكنولوجية والمجالات الاستراتيجية في </w:t>
      </w:r>
      <w:proofErr w:type="spellStart"/>
      <w:r w:rsidR="009738F2" w:rsidRPr="00190907">
        <w:rPr>
          <w:rFonts w:asciiTheme="minorHAnsi" w:hAnsiTheme="minorHAnsi" w:cstheme="minorHAnsi"/>
          <w:rtl/>
          <w:lang w:val="en-US" w:eastAsia="ko-KR"/>
        </w:rPr>
        <w:t>خاليسكو</w:t>
      </w:r>
      <w:proofErr w:type="spellEnd"/>
      <w:r w:rsidR="009738F2" w:rsidRPr="00190907">
        <w:rPr>
          <w:rFonts w:asciiTheme="minorHAnsi" w:hAnsiTheme="minorHAnsi" w:cstheme="minorHAnsi"/>
          <w:rtl/>
          <w:lang w:val="en-US" w:eastAsia="ko-KR"/>
        </w:rPr>
        <w:t>، وكيفية تقديم عدة برامج لدعم الجامعات المشاركة في نقل</w:t>
      </w:r>
      <w:r w:rsidR="009738F2" w:rsidRPr="00190907">
        <w:rPr>
          <w:rFonts w:asciiTheme="minorHAnsi" w:hAnsiTheme="minorHAnsi" w:cstheme="minorHAnsi"/>
          <w:lang w:val="en-US" w:eastAsia="ko-KR"/>
        </w:rPr>
        <w:t xml:space="preserve"> </w:t>
      </w:r>
      <w:r w:rsidR="009738F2" w:rsidRPr="00190907">
        <w:rPr>
          <w:rFonts w:asciiTheme="minorHAnsi" w:hAnsiTheme="minorHAnsi" w:cstheme="minorHAnsi"/>
          <w:rtl/>
          <w:lang w:val="en-US" w:eastAsia="ko-KR"/>
        </w:rPr>
        <w:t xml:space="preserve">التكنولوجيا، ودعوة الشركات إلى توليد ابتكار موجه نحو السوق، مما سمح </w:t>
      </w:r>
      <w:proofErr w:type="spellStart"/>
      <w:r w:rsidR="009738F2" w:rsidRPr="00190907">
        <w:rPr>
          <w:rFonts w:asciiTheme="minorHAnsi" w:hAnsiTheme="minorHAnsi" w:cstheme="minorHAnsi"/>
          <w:rtl/>
          <w:lang w:val="en-US" w:eastAsia="ko-KR"/>
        </w:rPr>
        <w:t>لخاليسكو</w:t>
      </w:r>
      <w:proofErr w:type="spellEnd"/>
      <w:r w:rsidR="009738F2" w:rsidRPr="00190907">
        <w:rPr>
          <w:rFonts w:asciiTheme="minorHAnsi" w:hAnsiTheme="minorHAnsi" w:cstheme="minorHAnsi"/>
          <w:rtl/>
          <w:lang w:val="en-US" w:eastAsia="ko-KR"/>
        </w:rPr>
        <w:t xml:space="preserve"> بأن تصل إلى المركز الوطني الثاني كأكبر مساهم في طلبات البراءات والاختراعات</w:t>
      </w:r>
      <w:r w:rsidR="00190907">
        <w:rPr>
          <w:rFonts w:asciiTheme="minorHAnsi" w:hAnsiTheme="minorHAnsi" w:cstheme="minorHAnsi" w:hint="cs"/>
          <w:rtl/>
          <w:lang w:val="en-US" w:eastAsia="ko-KR"/>
        </w:rPr>
        <w:t xml:space="preserve"> </w:t>
      </w:r>
      <w:r w:rsidR="009738F2" w:rsidRPr="00190907">
        <w:rPr>
          <w:rFonts w:asciiTheme="minorHAnsi" w:hAnsiTheme="minorHAnsi" w:cstheme="minorHAnsi"/>
          <w:lang w:val="en-US" w:eastAsia="ko-KR"/>
        </w:rPr>
        <w:t>(19%)</w:t>
      </w:r>
      <w:r w:rsidR="00190907">
        <w:rPr>
          <w:rFonts w:asciiTheme="minorHAnsi" w:hAnsiTheme="minorHAnsi" w:cstheme="minorHAnsi" w:hint="cs"/>
          <w:rtl/>
          <w:lang w:val="en-US" w:eastAsia="ko-KR"/>
        </w:rPr>
        <w:t>.</w:t>
      </w:r>
    </w:p>
    <w:p w14:paraId="5F184ABC" w14:textId="77777777" w:rsidR="001F3523" w:rsidRPr="00190907" w:rsidRDefault="001F3523" w:rsidP="00190907">
      <w:pPr>
        <w:bidi/>
        <w:spacing w:after="0"/>
        <w:jc w:val="both"/>
        <w:rPr>
          <w:rFonts w:asciiTheme="minorHAnsi" w:hAnsiTheme="minorHAnsi" w:cstheme="minorHAnsi"/>
          <w:lang w:val="en-US" w:eastAsia="ko-KR"/>
        </w:rPr>
      </w:pPr>
    </w:p>
    <w:p w14:paraId="62DB66FB" w14:textId="5FE350B9" w:rsidR="001F3523" w:rsidRPr="00190907" w:rsidRDefault="009738F2" w:rsidP="00190907">
      <w:pPr>
        <w:bidi/>
        <w:spacing w:after="0"/>
        <w:jc w:val="both"/>
        <w:rPr>
          <w:rFonts w:asciiTheme="minorHAnsi" w:hAnsiTheme="minorHAnsi" w:cstheme="minorHAnsi"/>
          <w:lang w:eastAsia="ko-KR"/>
        </w:rPr>
      </w:pPr>
      <w:r w:rsidRPr="00190907">
        <w:rPr>
          <w:rFonts w:asciiTheme="minorHAnsi" w:hAnsiTheme="minorHAnsi" w:cstheme="minorHAnsi"/>
          <w:rtl/>
          <w:lang w:eastAsia="ko-KR"/>
        </w:rPr>
        <w:t>وقدمت إندونيسيا عرضا عن الدور الرئيسي للحكومة كمحفز في تخطيط وتعزيز التنمية الاقتصادية القائمة على الابتكار والتكنولوجيا الخضراء</w:t>
      </w:r>
      <w:r w:rsidR="00190907">
        <w:rPr>
          <w:rFonts w:asciiTheme="minorHAnsi" w:hAnsiTheme="minorHAnsi" w:cstheme="minorHAnsi" w:hint="cs"/>
          <w:rtl/>
          <w:lang w:eastAsia="ko-KR"/>
        </w:rPr>
        <w:t xml:space="preserve">. </w:t>
      </w:r>
      <w:r w:rsidRPr="00190907">
        <w:rPr>
          <w:rFonts w:asciiTheme="minorHAnsi" w:hAnsiTheme="minorHAnsi" w:cstheme="minorHAnsi"/>
          <w:rtl/>
          <w:lang w:eastAsia="ko-KR"/>
        </w:rPr>
        <w:t xml:space="preserve">فمن خلال وضع سياسات هامة في القطاعات الاستراتيجية، حصلت حكومة إندونيسيا على التكنولوجيات المطلوبة للمضي قدما في بناء اقتصاد أخضر ومنخفض الكربون، بما في ذلك </w:t>
      </w:r>
      <w:r w:rsidR="00190907">
        <w:rPr>
          <w:rFonts w:asciiTheme="minorHAnsi" w:hAnsiTheme="minorHAnsi" w:cstheme="minorHAnsi" w:hint="cs"/>
          <w:rtl/>
          <w:lang w:eastAsia="ko-KR"/>
        </w:rPr>
        <w:t xml:space="preserve">أهمية تقديم </w:t>
      </w:r>
      <w:r w:rsidRPr="00190907">
        <w:rPr>
          <w:rFonts w:asciiTheme="minorHAnsi" w:hAnsiTheme="minorHAnsi" w:cstheme="minorHAnsi"/>
          <w:rtl/>
          <w:lang w:eastAsia="ko-KR"/>
        </w:rPr>
        <w:t>الدعم الكافي للبحث والتطوير، فضلا عن توفير خطط التمويل التعاونية</w:t>
      </w:r>
      <w:r w:rsidR="00190907">
        <w:rPr>
          <w:rFonts w:asciiTheme="minorHAnsi" w:hAnsiTheme="minorHAnsi" w:cstheme="minorHAnsi" w:hint="cs"/>
          <w:rtl/>
          <w:lang w:eastAsia="ko-KR"/>
        </w:rPr>
        <w:t>.</w:t>
      </w:r>
    </w:p>
    <w:p w14:paraId="160AA997" w14:textId="77777777" w:rsidR="001F3523" w:rsidRPr="00190907" w:rsidRDefault="001F3523" w:rsidP="00190907">
      <w:pPr>
        <w:bidi/>
        <w:spacing w:after="0"/>
        <w:jc w:val="both"/>
        <w:rPr>
          <w:rFonts w:asciiTheme="minorHAnsi" w:hAnsiTheme="minorHAnsi" w:cstheme="minorHAnsi"/>
          <w:bCs/>
          <w:lang w:eastAsia="ko-KR"/>
        </w:rPr>
      </w:pPr>
    </w:p>
    <w:p w14:paraId="40973FB0" w14:textId="449DB2DD" w:rsidR="00190907" w:rsidRDefault="009738F2" w:rsidP="00190907">
      <w:pPr>
        <w:bidi/>
        <w:jc w:val="both"/>
        <w:rPr>
          <w:rFonts w:asciiTheme="minorHAnsi" w:hAnsiTheme="minorHAnsi" w:cstheme="minorHAnsi"/>
          <w:b/>
          <w:rtl/>
        </w:rPr>
      </w:pPr>
      <w:r w:rsidRPr="00190907">
        <w:rPr>
          <w:rFonts w:asciiTheme="minorHAnsi" w:hAnsiTheme="minorHAnsi" w:cstheme="minorHAnsi"/>
          <w:b/>
          <w:rtl/>
        </w:rPr>
        <w:t>وركزت جمهورية كوريا عرضها على موضوع "سياسة تشجيع الاستثمار المالي في مجال الملكية الفكرية</w:t>
      </w:r>
      <w:r w:rsidR="00190907">
        <w:rPr>
          <w:rFonts w:asciiTheme="minorHAnsi" w:hAnsiTheme="minorHAnsi" w:cstheme="minorHAnsi" w:hint="cs"/>
          <w:b/>
          <w:rtl/>
        </w:rPr>
        <w:t xml:space="preserve">". </w:t>
      </w:r>
      <w:r w:rsidRPr="00190907">
        <w:rPr>
          <w:rFonts w:asciiTheme="minorHAnsi" w:hAnsiTheme="minorHAnsi" w:cstheme="minorHAnsi"/>
          <w:b/>
          <w:rtl/>
        </w:rPr>
        <w:t xml:space="preserve">وأوضح العرض أهمية إنشاء سوق استثمار جديدة تستند إلى الملكية الفكرية لمعالجة الحالات التي تمتلك فيها الشركات الصغيرة والمتوسطة تكنولوجيات واعدة </w:t>
      </w:r>
      <w:r w:rsidRPr="00190907">
        <w:rPr>
          <w:rFonts w:asciiTheme="minorHAnsi" w:hAnsiTheme="minorHAnsi" w:cstheme="minorHAnsi"/>
          <w:b/>
          <w:rtl/>
        </w:rPr>
        <w:lastRenderedPageBreak/>
        <w:t>لكنها تواجه صعوبات في التسويق بسبب عدم كفاية قدراتها المالية</w:t>
      </w:r>
      <w:r w:rsidR="00190907">
        <w:rPr>
          <w:rFonts w:asciiTheme="minorHAnsi" w:hAnsiTheme="minorHAnsi" w:cstheme="minorHAnsi" w:hint="cs"/>
          <w:b/>
          <w:rtl/>
        </w:rPr>
        <w:t xml:space="preserve">. </w:t>
      </w:r>
      <w:r w:rsidRPr="00190907">
        <w:rPr>
          <w:rFonts w:asciiTheme="minorHAnsi" w:hAnsiTheme="minorHAnsi" w:cstheme="minorHAnsi"/>
          <w:b/>
          <w:rtl/>
        </w:rPr>
        <w:t>واستحدثت كوريا أربع استراتيجيات رئيسية لتهيئة بيئة تدعم الاستثمار المالي في مجال الملكية الفكرية، وهي: اكتشاف وإيجاد أصول ملكية فكرية تستحق الاستثمارات؛ ومساعدة المؤسسات المالية الخاصة على تنويع منتجات الاستثمار في مجال الملكية الفكرية؛ وتسهيل تدفق رؤوس الأموال إلى السوق المالية للملكية الفكرية؛ وإنشاء بنى تحتية للملكية الفكرية ملائمة للسوق</w:t>
      </w:r>
      <w:r w:rsidR="00190907">
        <w:rPr>
          <w:rFonts w:asciiTheme="minorHAnsi" w:hAnsiTheme="minorHAnsi" w:cstheme="minorHAnsi" w:hint="cs"/>
          <w:b/>
          <w:rtl/>
        </w:rPr>
        <w:t>.</w:t>
      </w:r>
    </w:p>
    <w:p w14:paraId="30CADEAB" w14:textId="7F5FB07D" w:rsidR="001F3523" w:rsidRPr="00190907" w:rsidRDefault="00761EE2" w:rsidP="00190907">
      <w:pPr>
        <w:bidi/>
        <w:jc w:val="both"/>
        <w:rPr>
          <w:rFonts w:asciiTheme="minorHAnsi" w:hAnsiTheme="minorHAnsi" w:cstheme="minorHAnsi"/>
          <w:lang w:eastAsia="ko-KR"/>
        </w:rPr>
      </w:pPr>
      <w:r w:rsidRPr="00190907">
        <w:rPr>
          <w:rFonts w:asciiTheme="minorHAnsi" w:hAnsiTheme="minorHAnsi" w:cstheme="minorHAnsi"/>
          <w:rtl/>
          <w:lang w:eastAsia="ko-KR"/>
        </w:rPr>
        <w:t>وتقاسمت تركيا تجربتها الوطنية في تيسير نقل التكنولوجيا والخطوات المتخذة المتعلقة بالجامعات</w:t>
      </w:r>
      <w:r w:rsidR="00190907">
        <w:rPr>
          <w:rFonts w:asciiTheme="minorHAnsi" w:hAnsiTheme="minorHAnsi" w:cstheme="minorHAnsi" w:hint="cs"/>
          <w:rtl/>
          <w:lang w:eastAsia="ko-KR"/>
        </w:rPr>
        <w:t xml:space="preserve">. </w:t>
      </w:r>
      <w:r w:rsidRPr="00190907">
        <w:rPr>
          <w:rFonts w:asciiTheme="minorHAnsi" w:hAnsiTheme="minorHAnsi" w:cstheme="minorHAnsi"/>
          <w:rtl/>
          <w:lang w:eastAsia="ko-KR"/>
        </w:rPr>
        <w:t>وتطرقت تركيا إلى بعض المبادرات التشريعية والإدارية التي نفذتها الحكومة التركية للمساهمة في تحسين نقل التكنولوجيا بفعالية وكفاءة</w:t>
      </w:r>
      <w:r w:rsidR="00190907">
        <w:rPr>
          <w:rFonts w:asciiTheme="minorHAnsi" w:hAnsiTheme="minorHAnsi" w:cstheme="minorHAnsi" w:hint="cs"/>
          <w:rtl/>
          <w:lang w:eastAsia="ko-KR"/>
        </w:rPr>
        <w:t xml:space="preserve">. </w:t>
      </w:r>
      <w:r w:rsidRPr="00190907">
        <w:rPr>
          <w:rFonts w:asciiTheme="minorHAnsi" w:hAnsiTheme="minorHAnsi" w:cstheme="minorHAnsi"/>
          <w:rtl/>
          <w:lang w:eastAsia="ko-KR"/>
        </w:rPr>
        <w:t>وفسّرت بعض التغييرات التشريعية في قانون الملكية الصناعية، ولا سيما تغيير ملكية براءات الجامعات ضمن أمور أخرى، والحوافز التي قدمها مجلس البحوث العلمي والتكنولوجي في تركيا للجامعات</w:t>
      </w:r>
      <w:r w:rsidR="00190907">
        <w:rPr>
          <w:rFonts w:asciiTheme="minorHAnsi" w:hAnsiTheme="minorHAnsi" w:cstheme="minorHAnsi" w:hint="cs"/>
          <w:rtl/>
          <w:lang w:eastAsia="ko-KR"/>
        </w:rPr>
        <w:t xml:space="preserve">. </w:t>
      </w:r>
      <w:r w:rsidRPr="00190907">
        <w:rPr>
          <w:rFonts w:asciiTheme="minorHAnsi" w:hAnsiTheme="minorHAnsi" w:cstheme="minorHAnsi"/>
          <w:rtl/>
          <w:lang w:eastAsia="ko-KR"/>
        </w:rPr>
        <w:t>ووضع أيضا مؤشر جامعي لحفز المنافسة بين الجامعات، وتنظيم فعاليات تنافسية لطلاب الجامعات في مجال تسجيل البراءات، فضلا عن إنشاء وكالة التقييم مؤخرا، وهي تابعة المكتب البراءات التركي</w:t>
      </w:r>
      <w:r w:rsidR="00190907">
        <w:rPr>
          <w:rFonts w:asciiTheme="minorHAnsi" w:hAnsiTheme="minorHAnsi" w:cstheme="minorHAnsi" w:hint="cs"/>
          <w:rtl/>
          <w:lang w:eastAsia="ko-KR"/>
        </w:rPr>
        <w:t xml:space="preserve">. </w:t>
      </w:r>
      <w:r w:rsidRPr="00190907">
        <w:rPr>
          <w:rFonts w:asciiTheme="minorHAnsi" w:hAnsiTheme="minorHAnsi" w:cstheme="minorHAnsi"/>
          <w:rtl/>
          <w:lang w:eastAsia="ko-KR"/>
        </w:rPr>
        <w:t>وذكر أن من المتوقع أن تساهم هذه الخطوات والمبادرات في نقل التكنولوجيا على نحو سلس، وأنه ينبغي للحكومات أن تيسر تدفق المعارف وتدعم الابتكار كي يزدهر</w:t>
      </w:r>
      <w:r w:rsidR="00190907">
        <w:rPr>
          <w:rFonts w:asciiTheme="minorHAnsi" w:hAnsiTheme="minorHAnsi" w:cstheme="minorHAnsi" w:hint="cs"/>
          <w:rtl/>
          <w:lang w:eastAsia="ko-KR"/>
        </w:rPr>
        <w:t>.</w:t>
      </w:r>
    </w:p>
    <w:p w14:paraId="76BB9372" w14:textId="277FCACA" w:rsidR="001F3523" w:rsidRPr="00190907" w:rsidRDefault="00190907" w:rsidP="00190907">
      <w:pPr>
        <w:bidi/>
        <w:jc w:val="both"/>
        <w:rPr>
          <w:rFonts w:asciiTheme="minorHAnsi" w:hAnsiTheme="minorHAnsi" w:cstheme="minorHAnsi"/>
          <w:lang w:eastAsia="ko-KR"/>
        </w:rPr>
      </w:pPr>
      <w:r w:rsidRPr="00190907">
        <w:rPr>
          <w:rFonts w:asciiTheme="minorHAnsi" w:hAnsiTheme="minorHAnsi" w:cstheme="minorHAnsi"/>
          <w:rtl/>
          <w:lang w:eastAsia="ko-KR"/>
        </w:rPr>
        <w:t>وقدمت أستراليا عرضاً عن مشاركتها في مشروع شبكة آسيان الإقليمية للتشخيص، وهو مشروع لتعزيز قدرات بلدان رابطة آسيان في مجال المعايير الصحية ومعايير الصحة النباتية</w:t>
      </w:r>
      <w:r>
        <w:rPr>
          <w:rFonts w:asciiTheme="minorHAnsi" w:hAnsiTheme="minorHAnsi" w:cstheme="minorHAnsi" w:hint="cs"/>
          <w:rtl/>
          <w:lang w:eastAsia="ko-KR"/>
        </w:rPr>
        <w:t xml:space="preserve">. </w:t>
      </w:r>
      <w:r w:rsidRPr="00190907">
        <w:rPr>
          <w:rFonts w:asciiTheme="minorHAnsi" w:hAnsiTheme="minorHAnsi" w:cstheme="minorHAnsi"/>
          <w:rtl/>
          <w:lang w:eastAsia="ko-KR"/>
        </w:rPr>
        <w:t>ويبين هذا المشروع كيف يمكن لبرامج نقل التكنولوجيا أن تكمّل جهود التكامل الاقتصادي الإقليمية، بما في ذلك من خلال السماح للمصدرين بالاستفادة من فرص النفاذ إلى الأسواق</w:t>
      </w:r>
      <w:r>
        <w:rPr>
          <w:rFonts w:asciiTheme="minorHAnsi" w:hAnsiTheme="minorHAnsi" w:cstheme="minorHAnsi" w:hint="cs"/>
          <w:rtl/>
          <w:lang w:eastAsia="ko-KR"/>
        </w:rPr>
        <w:t>.</w:t>
      </w:r>
    </w:p>
    <w:p w14:paraId="65F6877F" w14:textId="34DF5641" w:rsidR="001F3523" w:rsidRPr="00190907" w:rsidRDefault="00190907" w:rsidP="00190907">
      <w:pPr>
        <w:bidi/>
        <w:spacing w:after="0" w:line="240" w:lineRule="auto"/>
        <w:jc w:val="both"/>
        <w:rPr>
          <w:rFonts w:asciiTheme="minorHAnsi" w:eastAsia="Times New Roman" w:hAnsiTheme="minorHAnsi" w:cstheme="minorHAnsi"/>
        </w:rPr>
      </w:pPr>
      <w:r w:rsidRPr="00190907">
        <w:rPr>
          <w:rFonts w:asciiTheme="minorHAnsi" w:hAnsiTheme="minorHAnsi" w:cstheme="minorHAnsi"/>
          <w:rtl/>
        </w:rPr>
        <w:t xml:space="preserve">وسيستمر أعضاء مجموعة </w:t>
      </w:r>
      <w:proofErr w:type="spellStart"/>
      <w:r w:rsidRPr="00190907">
        <w:rPr>
          <w:rFonts w:asciiTheme="minorHAnsi" w:hAnsiTheme="minorHAnsi" w:cstheme="minorHAnsi"/>
          <w:rtl/>
        </w:rPr>
        <w:t>ميكتا</w:t>
      </w:r>
      <w:proofErr w:type="spellEnd"/>
      <w:r w:rsidRPr="00190907">
        <w:rPr>
          <w:rFonts w:asciiTheme="minorHAnsi" w:hAnsiTheme="minorHAnsi" w:cstheme="minorHAnsi"/>
          <w:rtl/>
        </w:rPr>
        <w:t xml:space="preserve"> في العمل معا بشأن القضايا المتعلقة بالملكية الفكرية</w:t>
      </w:r>
      <w:r>
        <w:rPr>
          <w:rFonts w:asciiTheme="minorHAnsi" w:hAnsiTheme="minorHAnsi" w:cstheme="minorHAnsi" w:hint="cs"/>
          <w:rtl/>
        </w:rPr>
        <w:t xml:space="preserve">. </w:t>
      </w:r>
      <w:r w:rsidRPr="00190907">
        <w:rPr>
          <w:rFonts w:asciiTheme="minorHAnsi" w:hAnsiTheme="minorHAnsi" w:cstheme="minorHAnsi"/>
          <w:rtl/>
        </w:rPr>
        <w:t>وسيتيح ذلك فرصة قيمة للتفاعل بين المجموعات الإقليمية وتعزيز الفهم المشترك لقضايا الملكية الفكرية المهمة</w:t>
      </w:r>
      <w:r w:rsidRPr="00190907">
        <w:rPr>
          <w:rFonts w:asciiTheme="minorHAnsi" w:hAnsiTheme="minorHAnsi" w:cstheme="minorHAnsi"/>
        </w:rPr>
        <w:t>.</w:t>
      </w:r>
    </w:p>
    <w:p w14:paraId="3DB8F96A" w14:textId="77777777" w:rsidR="001F3523" w:rsidRPr="00190907" w:rsidRDefault="001F3523" w:rsidP="00190907">
      <w:pPr>
        <w:bidi/>
        <w:spacing w:after="0"/>
        <w:jc w:val="both"/>
        <w:rPr>
          <w:rFonts w:asciiTheme="minorHAnsi" w:hAnsiTheme="minorHAnsi" w:cstheme="minorHAnsi"/>
        </w:rPr>
      </w:pPr>
    </w:p>
    <w:p w14:paraId="7C452F05" w14:textId="31EA5A07" w:rsidR="001F3523" w:rsidRPr="00190907" w:rsidRDefault="00190907" w:rsidP="00190907">
      <w:pPr>
        <w:bidi/>
        <w:spacing w:after="0"/>
        <w:jc w:val="both"/>
        <w:rPr>
          <w:rFonts w:asciiTheme="minorHAnsi" w:hAnsiTheme="minorHAnsi" w:cstheme="minorHAnsi"/>
          <w:lang w:eastAsia="ko-KR"/>
        </w:rPr>
      </w:pPr>
      <w:r w:rsidRPr="00190907">
        <w:rPr>
          <w:rFonts w:asciiTheme="minorHAnsi" w:hAnsiTheme="minorHAnsi" w:cstheme="minorHAnsi"/>
          <w:rtl/>
          <w:lang w:eastAsia="ko-KR"/>
        </w:rPr>
        <w:t>وشكراً!</w:t>
      </w:r>
    </w:p>
    <w:p w14:paraId="5C7F377C" w14:textId="77777777" w:rsidR="00FE104E" w:rsidRPr="00DE6147" w:rsidRDefault="00FE104E" w:rsidP="00190907">
      <w:pPr>
        <w:bidi/>
        <w:spacing w:after="0"/>
        <w:jc w:val="both"/>
        <w:rPr>
          <w:rFonts w:asciiTheme="minorHAnsi" w:hAnsiTheme="minorHAnsi" w:cstheme="minorHAnsi"/>
          <w:lang w:val="en-US" w:eastAsia="ko-KR"/>
        </w:rPr>
      </w:pPr>
    </w:p>
    <w:sectPr w:rsidR="00FE104E" w:rsidRPr="00DE6147" w:rsidSect="003B59D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527E" w14:textId="77777777" w:rsidR="00A80E41" w:rsidRDefault="00A80E41" w:rsidP="00532671">
      <w:pPr>
        <w:spacing w:after="0" w:line="240" w:lineRule="auto"/>
      </w:pPr>
      <w:r>
        <w:separator/>
      </w:r>
    </w:p>
  </w:endnote>
  <w:endnote w:type="continuationSeparator" w:id="0">
    <w:p w14:paraId="3C6B3AC7" w14:textId="77777777" w:rsidR="00A80E41" w:rsidRDefault="00A80E41" w:rsidP="00532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354885"/>
      <w:docPartObj>
        <w:docPartGallery w:val="Page Numbers (Bottom of Page)"/>
        <w:docPartUnique/>
      </w:docPartObj>
    </w:sdtPr>
    <w:sdtEndPr/>
    <w:sdtContent>
      <w:p w14:paraId="291756E0" w14:textId="4A21EDE8" w:rsidR="003B59D8" w:rsidRDefault="003B59D8" w:rsidP="003B59D8">
        <w:pPr>
          <w:pStyle w:val="Footer"/>
          <w:jc w:val="right"/>
        </w:pPr>
        <w:r>
          <w:rPr>
            <w:noProof/>
            <w:lang w:val="fr-CH" w:eastAsia="fr-CH"/>
          </w:rPr>
          <mc:AlternateContent>
            <mc:Choice Requires="wps">
              <w:drawing>
                <wp:anchor distT="558800" distB="0" distL="114300" distR="114300" simplePos="0" relativeHeight="251661312" behindDoc="0" locked="0" layoutInCell="0" allowOverlap="1" wp14:anchorId="798EDFF2" wp14:editId="6A7D9390">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D9D4E" w14:textId="2987F55E" w:rsidR="003B59D8" w:rsidRDefault="003B59D8" w:rsidP="003B59D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8EDFF2"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H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2lRLEaJVrfrB9WX5I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DCggHqgIAAGQFAAAOAAAAAAAAAAAAAAAA&#10;AC4CAABkcnMvZTJvRG9jLnhtbFBLAQItABQABgAIAAAAIQDN8vMo2gAAAAgBAAAPAAAAAAAAAAAA&#10;AAAAAAQFAABkcnMvZG93bnJldi54bWxQSwUGAAAAAAQABADzAAAACwYAAAAA&#10;" o:allowincell="f" filled="f" stroked="f" strokeweight=".5pt">
                  <v:path arrowok="t"/>
                  <v:textbox>
                    <w:txbxContent>
                      <w:p w14:paraId="1CED9D4E" w14:textId="2987F55E" w:rsidR="003B59D8" w:rsidRDefault="003B59D8" w:rsidP="003B59D8">
                        <w:pPr>
                          <w:spacing w:after="0" w:line="240" w:lineRule="auto"/>
                          <w:jc w:val="center"/>
                        </w:pPr>
                      </w:p>
                    </w:txbxContent>
                  </v:textbox>
                  <w10:wrap anchorx="margin" anchory="margin"/>
                </v:shape>
              </w:pict>
            </mc:Fallback>
          </mc:AlternateContent>
        </w:r>
        <w:r>
          <w:fldChar w:fldCharType="begin"/>
        </w:r>
        <w:r>
          <w:instrText>PAGE   \* MERGEFORMAT</w:instrText>
        </w:r>
        <w:r>
          <w:fldChar w:fldCharType="separate"/>
        </w:r>
        <w:r w:rsidR="002A0C47" w:rsidRPr="002A0C47">
          <w:rPr>
            <w:noProof/>
            <w:lang w:val="ko-KR" w:eastAsia="ko-KR"/>
          </w:rPr>
          <w:t>2</w:t>
        </w:r>
        <w:r>
          <w:fldChar w:fldCharType="end"/>
        </w:r>
      </w:p>
    </w:sdtContent>
  </w:sdt>
  <w:p w14:paraId="7F6CA8E9" w14:textId="77777777" w:rsidR="003B59D8" w:rsidRDefault="003B59D8" w:rsidP="003B5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838097"/>
      <w:docPartObj>
        <w:docPartGallery w:val="Page Numbers (Bottom of Page)"/>
        <w:docPartUnique/>
      </w:docPartObj>
    </w:sdtPr>
    <w:sdtEndPr/>
    <w:sdtContent>
      <w:p w14:paraId="5AA90183" w14:textId="4CE2372D" w:rsidR="00B33FF5" w:rsidRDefault="00B33FF5">
        <w:pPr>
          <w:pStyle w:val="Footer"/>
          <w:jc w:val="right"/>
        </w:pPr>
        <w:r>
          <w:fldChar w:fldCharType="begin"/>
        </w:r>
        <w:r>
          <w:instrText>PAGE   \* MERGEFORMAT</w:instrText>
        </w:r>
        <w:r>
          <w:fldChar w:fldCharType="separate"/>
        </w:r>
        <w:r w:rsidR="001F3523" w:rsidRPr="001F3523">
          <w:rPr>
            <w:noProof/>
            <w:lang w:val="ko-KR" w:eastAsia="ko-KR"/>
          </w:rPr>
          <w:t>3</w:t>
        </w:r>
        <w:r>
          <w:fldChar w:fldCharType="end"/>
        </w:r>
      </w:p>
    </w:sdtContent>
  </w:sdt>
  <w:p w14:paraId="20ABD895" w14:textId="77777777" w:rsidR="00B33FF5" w:rsidRDefault="00B33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26516"/>
      <w:docPartObj>
        <w:docPartGallery w:val="Page Numbers (Bottom of Page)"/>
        <w:docPartUnique/>
      </w:docPartObj>
    </w:sdtPr>
    <w:sdtEndPr/>
    <w:sdtContent>
      <w:p w14:paraId="425241EE" w14:textId="18C1907F" w:rsidR="003B59D8" w:rsidRDefault="003B59D8" w:rsidP="003B59D8">
        <w:pPr>
          <w:pStyle w:val="Footer"/>
          <w:jc w:val="right"/>
        </w:pPr>
        <w:r>
          <w:fldChar w:fldCharType="begin"/>
        </w:r>
        <w:r>
          <w:instrText>PAGE   \* MERGEFORMAT</w:instrText>
        </w:r>
        <w:r>
          <w:fldChar w:fldCharType="separate"/>
        </w:r>
        <w:r w:rsidR="002A0C47" w:rsidRPr="002A0C47">
          <w:rPr>
            <w:noProof/>
            <w:lang w:val="ko-KR" w:eastAsia="ko-KR"/>
          </w:rPr>
          <w:t>1</w:t>
        </w:r>
        <w:r>
          <w:fldChar w:fldCharType="end"/>
        </w:r>
      </w:p>
    </w:sdtContent>
  </w:sdt>
  <w:p w14:paraId="68B82771" w14:textId="77777777" w:rsidR="003B59D8" w:rsidRDefault="003B59D8" w:rsidP="003B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2CCC3" w14:textId="77777777" w:rsidR="00A80E41" w:rsidRDefault="00A80E41" w:rsidP="00532671">
      <w:pPr>
        <w:spacing w:after="0" w:line="240" w:lineRule="auto"/>
      </w:pPr>
      <w:r>
        <w:separator/>
      </w:r>
    </w:p>
  </w:footnote>
  <w:footnote w:type="continuationSeparator" w:id="0">
    <w:p w14:paraId="555AC54D" w14:textId="77777777" w:rsidR="00A80E41" w:rsidRDefault="00A80E41" w:rsidP="00532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3D44" w14:textId="77777777" w:rsidR="00190907" w:rsidRDefault="0019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78E4" w14:textId="1F525C89" w:rsidR="003B59D8" w:rsidRDefault="003B59D8">
    <w:pPr>
      <w:pStyle w:val="Header"/>
    </w:pPr>
    <w:r>
      <w:rPr>
        <w:noProof/>
        <w:lang w:val="fr-CH" w:eastAsia="fr-CH"/>
      </w:rPr>
      <mc:AlternateContent>
        <mc:Choice Requires="wps">
          <w:drawing>
            <wp:anchor distT="558800" distB="0" distL="114300" distR="114300" simplePos="0" relativeHeight="251660288" behindDoc="0" locked="0" layoutInCell="0" allowOverlap="1" wp14:anchorId="35B4BF26" wp14:editId="2F0893CC">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D49ED" w14:textId="3DC29CF7" w:rsidR="003B59D8" w:rsidRDefault="003B59D8" w:rsidP="003B59D8">
                          <w:pPr>
                            <w:spacing w:after="0" w:line="240" w:lineRule="auto"/>
                            <w:jc w:val="center"/>
                          </w:pPr>
                          <w:r w:rsidRPr="003B59D8">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B4BF26" id="_x0000_t202" coordsize="21600,21600" o:spt="202" path="m,l,21600r21600,l21600,xe">
              <v:stroke joinstyle="miter"/>
              <v:path gradientshapeok="t" o:connecttype="rect"/>
            </v:shapetype>
            <v:shape id="TITUSO1footer" o:spid="_x0000_s1026"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284D49ED" w14:textId="3DC29CF7" w:rsidR="003B59D8" w:rsidRDefault="003B59D8" w:rsidP="003B59D8">
                    <w:pPr>
                      <w:spacing w:after="0" w:line="240" w:lineRule="auto"/>
                      <w:jc w:val="center"/>
                    </w:pPr>
                    <w:r w:rsidRPr="003B59D8">
                      <w:rPr>
                        <w:color w:val="000000"/>
                        <w:sz w:val="17"/>
                      </w:rPr>
                      <w:t>WIPO FOR OFFICIAL USE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9398" w14:textId="091CD813" w:rsidR="003B59D8" w:rsidRDefault="003B59D8" w:rsidP="003B59D8">
    <w:pPr>
      <w:pStyle w:val="Header"/>
    </w:pPr>
    <w:r>
      <w:rPr>
        <w:noProof/>
        <w:lang w:val="fr-CH" w:eastAsia="fr-CH"/>
      </w:rPr>
      <mc:AlternateContent>
        <mc:Choice Requires="wps">
          <w:drawing>
            <wp:anchor distT="558800" distB="0" distL="114300" distR="114300" simplePos="0" relativeHeight="251659264" behindDoc="0" locked="0" layoutInCell="0" allowOverlap="1" wp14:anchorId="3299FA1D" wp14:editId="358D2E4E">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F6869" w14:textId="446B9993" w:rsidR="003B59D8" w:rsidRDefault="003B59D8" w:rsidP="003B59D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99FA1D"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525F6869" w14:textId="446B9993" w:rsidR="003B59D8" w:rsidRDefault="003B59D8" w:rsidP="003B59D8">
                    <w:pPr>
                      <w:spacing w:after="0" w:line="240" w:lineRule="auto"/>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75B2F"/>
    <w:multiLevelType w:val="hybridMultilevel"/>
    <w:tmpl w:val="8F7AE6BE"/>
    <w:lvl w:ilvl="0" w:tplc="A2EE2D3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TextBase TMs\WorkspaceATS\Communication|TextBase TMs\WorkspaceATS\Brands &amp; Designs|TextBase TMs\WorkspaceATS\Communication|TextBase TMs\WorkspaceATS\Global Infrastructure|TextBase TMs\WorkspaceATS\Global Issues|TextBase TMs\WorkspaceATS\Governance|TextBase TMs\WorkspaceATS\Patents &amp; Arbitration|TextBase TMs\WorkspaceATS\UPOV"/>
    <w:docVar w:name="TextBaseURL" w:val="empty"/>
    <w:docVar w:name="UILng" w:val="en"/>
  </w:docVars>
  <w:rsids>
    <w:rsidRoot w:val="00B1450E"/>
    <w:rsid w:val="00030C83"/>
    <w:rsid w:val="00053EC7"/>
    <w:rsid w:val="000637E1"/>
    <w:rsid w:val="00084BA0"/>
    <w:rsid w:val="000901BB"/>
    <w:rsid w:val="000B2C2F"/>
    <w:rsid w:val="000D3AE7"/>
    <w:rsid w:val="001148DF"/>
    <w:rsid w:val="001157D5"/>
    <w:rsid w:val="00135603"/>
    <w:rsid w:val="001636DB"/>
    <w:rsid w:val="00190907"/>
    <w:rsid w:val="001B223D"/>
    <w:rsid w:val="001B2BFE"/>
    <w:rsid w:val="001C30DA"/>
    <w:rsid w:val="001C72B1"/>
    <w:rsid w:val="001D52EA"/>
    <w:rsid w:val="001F3523"/>
    <w:rsid w:val="00203C32"/>
    <w:rsid w:val="0020496F"/>
    <w:rsid w:val="00267B3F"/>
    <w:rsid w:val="0029040F"/>
    <w:rsid w:val="002A0C47"/>
    <w:rsid w:val="002C0403"/>
    <w:rsid w:val="002F3FFD"/>
    <w:rsid w:val="00300595"/>
    <w:rsid w:val="00316964"/>
    <w:rsid w:val="003276F9"/>
    <w:rsid w:val="003339F9"/>
    <w:rsid w:val="00334FAB"/>
    <w:rsid w:val="00340EB3"/>
    <w:rsid w:val="003564E9"/>
    <w:rsid w:val="0036473C"/>
    <w:rsid w:val="00376E4B"/>
    <w:rsid w:val="003A4136"/>
    <w:rsid w:val="003B59D8"/>
    <w:rsid w:val="003C2316"/>
    <w:rsid w:val="003D585D"/>
    <w:rsid w:val="003E671B"/>
    <w:rsid w:val="003E7335"/>
    <w:rsid w:val="003E76A3"/>
    <w:rsid w:val="00417427"/>
    <w:rsid w:val="004503F2"/>
    <w:rsid w:val="004631AD"/>
    <w:rsid w:val="0047256B"/>
    <w:rsid w:val="0048460D"/>
    <w:rsid w:val="004B1831"/>
    <w:rsid w:val="004C5EC5"/>
    <w:rsid w:val="004D2F3B"/>
    <w:rsid w:val="004E0201"/>
    <w:rsid w:val="004F3F64"/>
    <w:rsid w:val="00532671"/>
    <w:rsid w:val="0054429E"/>
    <w:rsid w:val="0054443A"/>
    <w:rsid w:val="00547987"/>
    <w:rsid w:val="00552954"/>
    <w:rsid w:val="00581297"/>
    <w:rsid w:val="00581341"/>
    <w:rsid w:val="00586E6B"/>
    <w:rsid w:val="00590367"/>
    <w:rsid w:val="005A14C5"/>
    <w:rsid w:val="005F21F4"/>
    <w:rsid w:val="00617C68"/>
    <w:rsid w:val="00627C43"/>
    <w:rsid w:val="006329BB"/>
    <w:rsid w:val="0067336B"/>
    <w:rsid w:val="0068238B"/>
    <w:rsid w:val="006A36C7"/>
    <w:rsid w:val="006C24BC"/>
    <w:rsid w:val="006E5CBF"/>
    <w:rsid w:val="00702918"/>
    <w:rsid w:val="00725C17"/>
    <w:rsid w:val="00733AA6"/>
    <w:rsid w:val="00761EE2"/>
    <w:rsid w:val="007859C8"/>
    <w:rsid w:val="007A1035"/>
    <w:rsid w:val="007B32C3"/>
    <w:rsid w:val="007D587E"/>
    <w:rsid w:val="007E3B00"/>
    <w:rsid w:val="00815A52"/>
    <w:rsid w:val="00817938"/>
    <w:rsid w:val="0084145B"/>
    <w:rsid w:val="00854773"/>
    <w:rsid w:val="00860979"/>
    <w:rsid w:val="0086312C"/>
    <w:rsid w:val="008671C2"/>
    <w:rsid w:val="00874AE9"/>
    <w:rsid w:val="008C29B1"/>
    <w:rsid w:val="008C2FB6"/>
    <w:rsid w:val="008C57F8"/>
    <w:rsid w:val="008D29CD"/>
    <w:rsid w:val="00911CDC"/>
    <w:rsid w:val="00927227"/>
    <w:rsid w:val="00930218"/>
    <w:rsid w:val="00940367"/>
    <w:rsid w:val="00952387"/>
    <w:rsid w:val="00960DBE"/>
    <w:rsid w:val="00962C8E"/>
    <w:rsid w:val="00965232"/>
    <w:rsid w:val="009738F2"/>
    <w:rsid w:val="009E6CF6"/>
    <w:rsid w:val="00A0468F"/>
    <w:rsid w:val="00A13CA2"/>
    <w:rsid w:val="00A151C4"/>
    <w:rsid w:val="00A211C2"/>
    <w:rsid w:val="00A22551"/>
    <w:rsid w:val="00A5003D"/>
    <w:rsid w:val="00A8002E"/>
    <w:rsid w:val="00A80D34"/>
    <w:rsid w:val="00A80E41"/>
    <w:rsid w:val="00A84BF6"/>
    <w:rsid w:val="00A87BD3"/>
    <w:rsid w:val="00AA5DF4"/>
    <w:rsid w:val="00AB682D"/>
    <w:rsid w:val="00AD72CA"/>
    <w:rsid w:val="00AE6027"/>
    <w:rsid w:val="00AF4B09"/>
    <w:rsid w:val="00B01A8F"/>
    <w:rsid w:val="00B1450E"/>
    <w:rsid w:val="00B31C2B"/>
    <w:rsid w:val="00B33FF5"/>
    <w:rsid w:val="00B3751A"/>
    <w:rsid w:val="00B95C6B"/>
    <w:rsid w:val="00B95FD2"/>
    <w:rsid w:val="00BD0116"/>
    <w:rsid w:val="00BD44F1"/>
    <w:rsid w:val="00BE5ED5"/>
    <w:rsid w:val="00BF3FB4"/>
    <w:rsid w:val="00C12DE6"/>
    <w:rsid w:val="00C219C9"/>
    <w:rsid w:val="00C45AA6"/>
    <w:rsid w:val="00C956BA"/>
    <w:rsid w:val="00CA7829"/>
    <w:rsid w:val="00CB4911"/>
    <w:rsid w:val="00CC30F5"/>
    <w:rsid w:val="00CC6315"/>
    <w:rsid w:val="00CD1C99"/>
    <w:rsid w:val="00CD27E5"/>
    <w:rsid w:val="00CE79B1"/>
    <w:rsid w:val="00D32E75"/>
    <w:rsid w:val="00D44FB1"/>
    <w:rsid w:val="00D519DB"/>
    <w:rsid w:val="00D61D24"/>
    <w:rsid w:val="00DB0D3D"/>
    <w:rsid w:val="00DC7F14"/>
    <w:rsid w:val="00DE6147"/>
    <w:rsid w:val="00E06F27"/>
    <w:rsid w:val="00E32DB3"/>
    <w:rsid w:val="00E33897"/>
    <w:rsid w:val="00E7372A"/>
    <w:rsid w:val="00EB6E8B"/>
    <w:rsid w:val="00EE5FB0"/>
    <w:rsid w:val="00F06602"/>
    <w:rsid w:val="00F30B01"/>
    <w:rsid w:val="00F42180"/>
    <w:rsid w:val="00F61C0C"/>
    <w:rsid w:val="00F80590"/>
    <w:rsid w:val="00F90F11"/>
    <w:rsid w:val="00F97D47"/>
    <w:rsid w:val="00FA0BA3"/>
    <w:rsid w:val="00FA7569"/>
    <w:rsid w:val="00FB0874"/>
    <w:rsid w:val="00FE104E"/>
    <w:rsid w:val="00FE3DD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B8D11D"/>
  <w15:docId w15:val="{9F0CECCA-C9F3-4F90-8382-1CEDDEB1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CDC"/>
    <w:pPr>
      <w:spacing w:line="252"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50E"/>
    <w:pPr>
      <w:spacing w:before="100" w:beforeAutospacing="1" w:after="100" w:afterAutospacing="1" w:line="240" w:lineRule="auto"/>
    </w:pPr>
    <w:rPr>
      <w:rFonts w:ascii="Times New Roman" w:hAnsi="Times New Roman" w:cs="Times New Roman"/>
      <w:sz w:val="24"/>
      <w:szCs w:val="24"/>
    </w:rPr>
  </w:style>
  <w:style w:type="character" w:customStyle="1" w:styleId="spelle">
    <w:name w:val="spelle"/>
    <w:basedOn w:val="DefaultParagraphFont"/>
    <w:rsid w:val="00B1450E"/>
  </w:style>
  <w:style w:type="paragraph" w:styleId="Header">
    <w:name w:val="header"/>
    <w:basedOn w:val="Normal"/>
    <w:link w:val="HeaderChar"/>
    <w:uiPriority w:val="99"/>
    <w:unhideWhenUsed/>
    <w:rsid w:val="00532671"/>
    <w:pPr>
      <w:tabs>
        <w:tab w:val="center" w:pos="4513"/>
        <w:tab w:val="right" w:pos="9026"/>
      </w:tabs>
      <w:snapToGrid w:val="0"/>
    </w:pPr>
  </w:style>
  <w:style w:type="character" w:customStyle="1" w:styleId="HeaderChar">
    <w:name w:val="Header Char"/>
    <w:basedOn w:val="DefaultParagraphFont"/>
    <w:link w:val="Header"/>
    <w:uiPriority w:val="99"/>
    <w:rsid w:val="00532671"/>
    <w:rPr>
      <w:rFonts w:ascii="Calibri" w:hAnsi="Calibri" w:cs="Calibri"/>
    </w:rPr>
  </w:style>
  <w:style w:type="paragraph" w:styleId="Footer">
    <w:name w:val="footer"/>
    <w:basedOn w:val="Normal"/>
    <w:link w:val="FooterChar"/>
    <w:uiPriority w:val="99"/>
    <w:unhideWhenUsed/>
    <w:rsid w:val="00532671"/>
    <w:pPr>
      <w:tabs>
        <w:tab w:val="center" w:pos="4513"/>
        <w:tab w:val="right" w:pos="9026"/>
      </w:tabs>
      <w:snapToGrid w:val="0"/>
    </w:pPr>
  </w:style>
  <w:style w:type="character" w:customStyle="1" w:styleId="FooterChar">
    <w:name w:val="Footer Char"/>
    <w:basedOn w:val="DefaultParagraphFont"/>
    <w:link w:val="Footer"/>
    <w:uiPriority w:val="99"/>
    <w:rsid w:val="00532671"/>
    <w:rPr>
      <w:rFonts w:ascii="Calibri" w:hAnsi="Calibri" w:cs="Calibri"/>
    </w:rPr>
  </w:style>
  <w:style w:type="paragraph" w:styleId="BalloonText">
    <w:name w:val="Balloon Text"/>
    <w:basedOn w:val="Normal"/>
    <w:link w:val="BalloonTextChar"/>
    <w:uiPriority w:val="99"/>
    <w:semiHidden/>
    <w:unhideWhenUsed/>
    <w:rsid w:val="00702918"/>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029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70675">
      <w:bodyDiv w:val="1"/>
      <w:marLeft w:val="0"/>
      <w:marRight w:val="0"/>
      <w:marTop w:val="0"/>
      <w:marBottom w:val="0"/>
      <w:divBdr>
        <w:top w:val="none" w:sz="0" w:space="0" w:color="auto"/>
        <w:left w:val="none" w:sz="0" w:space="0" w:color="auto"/>
        <w:bottom w:val="none" w:sz="0" w:space="0" w:color="auto"/>
        <w:right w:val="none" w:sz="0" w:space="0" w:color="auto"/>
      </w:divBdr>
    </w:div>
    <w:div w:id="17146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D4DC6-D6D3-47DA-AD39-760BC8CF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4045</Characters>
  <Application>Microsoft Office Word</Application>
  <DocSecurity>0</DocSecurity>
  <Lines>64</Lines>
  <Paragraphs>17</Paragraphs>
  <ScaleCrop>false</ScaleCrop>
  <HeadingPairs>
    <vt:vector size="6" baseType="variant">
      <vt:variant>
        <vt:lpstr>Title</vt:lpstr>
      </vt:variant>
      <vt:variant>
        <vt:i4>1</vt:i4>
      </vt:variant>
      <vt:variant>
        <vt:lpstr>Konu Başlığı</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Escobar</dc:creator>
  <cp:keywords>FOR OFFICIAL USE ONLY</cp:keywords>
  <dc:description/>
  <cp:lastModifiedBy>ESTEVES DOS SANTOS Anabela</cp:lastModifiedBy>
  <cp:revision>2</cp:revision>
  <cp:lastPrinted>2020-11-11T07:55:00Z</cp:lastPrinted>
  <dcterms:created xsi:type="dcterms:W3CDTF">2021-12-06T09:43:00Z</dcterms:created>
  <dcterms:modified xsi:type="dcterms:W3CDTF">2021-12-06T09:43:00Z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09C750EF2529474E9CEBEBE9BBE56BE6</vt:lpwstr>
  </property>
  <property fmtid="{D5CDD505-2E9C-101B-9397-08002B2CF9AE}" pid="9" name="PM_ProtectiveMarkingValue_Footer">
    <vt:lpwstr>OFFICIAL</vt:lpwstr>
  </property>
  <property fmtid="{D5CDD505-2E9C-101B-9397-08002B2CF9AE}" pid="10" name="PM_Originator_Hash_SHA1">
    <vt:lpwstr>953D6372AB22C0794783B33D9D3F05489D147B2B</vt:lpwstr>
  </property>
  <property fmtid="{D5CDD505-2E9C-101B-9397-08002B2CF9AE}" pid="11" name="PM_OriginationTimeStamp">
    <vt:lpwstr>2021-11-25T19:10:29Z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46FE4FD6FA861A6A23468F825BE2A4FA</vt:lpwstr>
  </property>
  <property fmtid="{D5CDD505-2E9C-101B-9397-08002B2CF9AE}" pid="20" name="PM_Hash_Salt">
    <vt:lpwstr>FA8FA2FFD1AEC73ABCFDE2C55250B7ED</vt:lpwstr>
  </property>
  <property fmtid="{D5CDD505-2E9C-101B-9397-08002B2CF9AE}" pid="21" name="PM_Hash_SHA1">
    <vt:lpwstr>330A080BA8B475AFCF4EDD1F597B6CDB547CDC18</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TitusGUID">
    <vt:lpwstr>72bc9e09-eca3-44f4-b018-14dbd11e2518</vt:lpwstr>
  </property>
  <property fmtid="{D5CDD505-2E9C-101B-9397-08002B2CF9AE}" pid="25" name="Classification">
    <vt:lpwstr>For Official Use Only</vt:lpwstr>
  </property>
  <property fmtid="{D5CDD505-2E9C-101B-9397-08002B2CF9AE}" pid="26" name="VisualMarkings">
    <vt:lpwstr>Footer</vt:lpwstr>
  </property>
  <property fmtid="{D5CDD505-2E9C-101B-9397-08002B2CF9AE}" pid="27" name="Alignment">
    <vt:lpwstr>Centre</vt:lpwstr>
  </property>
  <property fmtid="{D5CDD505-2E9C-101B-9397-08002B2CF9AE}" pid="28" name="Language">
    <vt:lpwstr>English</vt:lpwstr>
  </property>
</Properties>
</file>