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3630FA" w:rsidP="002916B1">
            <w:pPr>
              <w:pStyle w:val="DocumentCodeAR"/>
              <w:bidi/>
              <w:rPr>
                <w:rtl/>
              </w:rPr>
            </w:pPr>
            <w:r>
              <w:t>WIPO/ACE/9</w:t>
            </w:r>
            <w:r w:rsidR="00B6101C" w:rsidRPr="00B6101C">
              <w:t>/</w:t>
            </w:r>
            <w:r w:rsidR="002916B1">
              <w:t>26</w:t>
            </w:r>
          </w:p>
        </w:tc>
      </w:tr>
      <w:tr w:rsidR="001667B6" w:rsidRPr="00582A90" w:rsidTr="00582A90">
        <w:tc>
          <w:tcPr>
            <w:tcW w:w="9571" w:type="dxa"/>
            <w:gridSpan w:val="3"/>
            <w:shd w:val="clear" w:color="auto" w:fill="auto"/>
          </w:tcPr>
          <w:p w:rsidR="001667B6" w:rsidRPr="00B6101C" w:rsidRDefault="00B6101C" w:rsidP="002916B1">
            <w:pPr>
              <w:pStyle w:val="DocumentLanguageAR"/>
              <w:bidi/>
              <w:rPr>
                <w:rtl/>
              </w:rPr>
            </w:pPr>
            <w:r w:rsidRPr="00B6101C">
              <w:rPr>
                <w:rFonts w:hint="cs"/>
                <w:rtl/>
              </w:rPr>
              <w:t xml:space="preserve">الأصل: </w:t>
            </w:r>
            <w:r w:rsidR="002916B1">
              <w:rPr>
                <w:rFonts w:hint="cs"/>
                <w:rtl/>
              </w:rPr>
              <w:t>بالإنكليزية</w:t>
            </w:r>
          </w:p>
        </w:tc>
      </w:tr>
      <w:tr w:rsidR="001667B6" w:rsidRPr="00582A90" w:rsidTr="00582A90">
        <w:tc>
          <w:tcPr>
            <w:tcW w:w="9571" w:type="dxa"/>
            <w:gridSpan w:val="3"/>
            <w:shd w:val="clear" w:color="auto" w:fill="auto"/>
          </w:tcPr>
          <w:p w:rsidR="001667B6" w:rsidRPr="00B6101C" w:rsidRDefault="00B6101C" w:rsidP="002916B1">
            <w:pPr>
              <w:pStyle w:val="DocumentDateAR"/>
              <w:bidi/>
              <w:rPr>
                <w:rtl/>
              </w:rPr>
            </w:pPr>
            <w:r w:rsidRPr="00B6101C">
              <w:rPr>
                <w:rFonts w:hint="cs"/>
                <w:rtl/>
              </w:rPr>
              <w:t xml:space="preserve">التاريخ: </w:t>
            </w:r>
            <w:r w:rsidR="002916B1">
              <w:rPr>
                <w:rFonts w:hint="cs"/>
                <w:rtl/>
              </w:rPr>
              <w:t>17</w:t>
            </w:r>
            <w:r w:rsidRPr="00B6101C">
              <w:rPr>
                <w:rFonts w:hint="cs"/>
                <w:rtl/>
              </w:rPr>
              <w:t xml:space="preserve"> </w:t>
            </w:r>
            <w:r w:rsidR="002916B1">
              <w:rPr>
                <w:rFonts w:hint="cs"/>
                <w:rtl/>
              </w:rPr>
              <w:t>فبراير</w:t>
            </w:r>
            <w:r w:rsidRPr="00B6101C">
              <w:rPr>
                <w:rFonts w:hint="cs"/>
                <w:rtl/>
              </w:rPr>
              <w:t xml:space="preserve"> </w:t>
            </w:r>
            <w:r w:rsidR="00190B6D">
              <w:rPr>
                <w:rFonts w:hint="cs"/>
                <w:rtl/>
              </w:rPr>
              <w:t>201</w:t>
            </w:r>
            <w:r w:rsidR="00822B72">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822B72" w:rsidP="00470628">
      <w:pPr>
        <w:pStyle w:val="MeetingTitleAR"/>
        <w:bidi/>
        <w:ind w:right="550"/>
        <w:rPr>
          <w:rtl/>
        </w:rPr>
      </w:pPr>
      <w:r>
        <w:rPr>
          <w:rFonts w:hint="cs"/>
          <w:rtl/>
        </w:rPr>
        <w:t>اللجنة الاستشارية المعنية بالإنفاذ</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22B72">
      <w:pPr>
        <w:pStyle w:val="MeetingSessionAR"/>
        <w:bidi/>
        <w:rPr>
          <w:rFonts w:ascii="Cambria Math" w:hAnsi="Cambria Math"/>
          <w:rtl/>
        </w:rPr>
      </w:pPr>
      <w:r w:rsidRPr="00783D11">
        <w:rPr>
          <w:rFonts w:ascii="Cambria Math" w:hAnsi="Cambria Math"/>
          <w:rtl/>
        </w:rPr>
        <w:t xml:space="preserve">الدورة </w:t>
      </w:r>
      <w:r w:rsidR="00822B72">
        <w:rPr>
          <w:rFonts w:ascii="Cambria Math" w:hAnsi="Cambria Math" w:hint="cs"/>
          <w:rtl/>
        </w:rPr>
        <w:t>التاسعة</w:t>
      </w:r>
    </w:p>
    <w:p w:rsidR="00D61541" w:rsidRPr="00D61541" w:rsidRDefault="00D61541" w:rsidP="00822B72">
      <w:pPr>
        <w:pStyle w:val="MeetingDatesAR"/>
        <w:bidi/>
        <w:rPr>
          <w:rtl/>
        </w:rPr>
      </w:pPr>
      <w:r w:rsidRPr="00D61541">
        <w:rPr>
          <w:rFonts w:hint="cs"/>
          <w:rtl/>
        </w:rPr>
        <w:t xml:space="preserve">جنيف، من </w:t>
      </w:r>
      <w:r w:rsidR="00822B72">
        <w:rPr>
          <w:rFonts w:hint="cs"/>
          <w:rtl/>
        </w:rPr>
        <w:t>3</w:t>
      </w:r>
      <w:r w:rsidR="00100F97">
        <w:rPr>
          <w:rFonts w:hint="cs"/>
          <w:rtl/>
        </w:rPr>
        <w:t xml:space="preserve"> إلى </w:t>
      </w:r>
      <w:r w:rsidR="00822B72">
        <w:rPr>
          <w:rFonts w:hint="cs"/>
          <w:rtl/>
        </w:rPr>
        <w:t>5</w:t>
      </w:r>
      <w:r w:rsidR="00783D11">
        <w:rPr>
          <w:rFonts w:hint="cs"/>
          <w:rtl/>
        </w:rPr>
        <w:t xml:space="preserve"> </w:t>
      </w:r>
      <w:r w:rsidR="00822B72">
        <w:rPr>
          <w:rFonts w:hint="cs"/>
          <w:rtl/>
        </w:rPr>
        <w:t xml:space="preserve">مارس </w:t>
      </w:r>
      <w:r w:rsidR="00100F97">
        <w:rPr>
          <w:rFonts w:hint="cs"/>
          <w:rtl/>
        </w:rPr>
        <w:t>201</w:t>
      </w:r>
      <w:r w:rsidR="00822B72">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4688F" w:rsidP="00A222E0">
      <w:pPr>
        <w:pStyle w:val="DocumentTitleAR"/>
        <w:bidi/>
        <w:rPr>
          <w:rtl/>
          <w:lang w:bidi="ar-EG"/>
        </w:rPr>
      </w:pPr>
      <w:r>
        <w:rPr>
          <w:rFonts w:hint="cs"/>
          <w:rtl/>
        </w:rPr>
        <w:t>اعتبارات</w:t>
      </w:r>
      <w:r w:rsidR="00A222E0">
        <w:rPr>
          <w:rFonts w:hint="cs"/>
          <w:rtl/>
        </w:rPr>
        <w:t xml:space="preserve"> البحث التكنولوجي واتفاقات التسويق وتسوية المنازعات النموذجية</w:t>
      </w:r>
    </w:p>
    <w:p w:rsidR="00D61541" w:rsidRDefault="00D61541" w:rsidP="0084688F">
      <w:pPr>
        <w:pStyle w:val="PreparedbyAR"/>
        <w:bidi/>
        <w:rPr>
          <w:rtl/>
          <w:lang w:bidi="ar-EG"/>
        </w:rPr>
      </w:pPr>
      <w:r w:rsidRPr="00D61541">
        <w:rPr>
          <w:rFonts w:hint="cs"/>
          <w:rtl/>
        </w:rPr>
        <w:t xml:space="preserve">من </w:t>
      </w:r>
      <w:r w:rsidRPr="00931859">
        <w:rPr>
          <w:rFonts w:hint="cs"/>
          <w:rtl/>
        </w:rPr>
        <w:t>إعداد</w:t>
      </w:r>
      <w:r w:rsidR="0084688F">
        <w:rPr>
          <w:rFonts w:hint="cs"/>
          <w:rtl/>
        </w:rPr>
        <w:t xml:space="preserve"> </w:t>
      </w:r>
      <w:r w:rsidR="0084688F" w:rsidRPr="001A537E">
        <w:rPr>
          <w:color w:val="000000"/>
          <w:rtl/>
        </w:rPr>
        <w:t>سابين فيهرينغير، محام، ووكيل قضايا معتمد، فيينا، النمسا</w:t>
      </w:r>
      <w:r w:rsidR="00C51664">
        <w:rPr>
          <w:rStyle w:val="FootnoteReference"/>
          <w:color w:val="000000"/>
          <w:rtl/>
        </w:rPr>
        <w:footnoteReference w:id="1"/>
      </w:r>
    </w:p>
    <w:p w:rsidR="00822B72" w:rsidRPr="0084688F" w:rsidRDefault="0084688F" w:rsidP="00C51664">
      <w:pPr>
        <w:pStyle w:val="NumberedParaAR"/>
      </w:pPr>
      <w:r>
        <w:rPr>
          <w:rFonts w:hint="cs"/>
          <w:rtl/>
        </w:rPr>
        <w:t xml:space="preserve">يعتبر </w:t>
      </w:r>
      <w:r w:rsidRPr="001A537E">
        <w:rPr>
          <w:color w:val="000000"/>
          <w:rtl/>
        </w:rPr>
        <w:t>دليل اتفاقات الملكية الفكرية (</w:t>
      </w:r>
      <w:r w:rsidRPr="001A537E">
        <w:rPr>
          <w:color w:val="000000"/>
        </w:rPr>
        <w:t>IP</w:t>
      </w:r>
      <w:r w:rsidR="00916B14">
        <w:rPr>
          <w:color w:val="000000"/>
        </w:rPr>
        <w:t>A</w:t>
      </w:r>
      <w:r w:rsidRPr="001A537E">
        <w:rPr>
          <w:color w:val="000000"/>
        </w:rPr>
        <w:t>G</w:t>
      </w:r>
      <w:bookmarkStart w:id="2" w:name="_GoBack"/>
      <w:bookmarkEnd w:id="2"/>
      <w:r w:rsidRPr="001A537E">
        <w:rPr>
          <w:color w:val="000000"/>
          <w:rtl/>
        </w:rPr>
        <w:t>) مشروعاً نمساوياً صادراً عن رابطة الجامعات النمساوية (</w:t>
      </w:r>
      <w:proofErr w:type="spellStart"/>
      <w:r w:rsidRPr="001A537E">
        <w:rPr>
          <w:color w:val="000000"/>
        </w:rPr>
        <w:t>Universitätenkonferenz</w:t>
      </w:r>
      <w:proofErr w:type="spellEnd"/>
      <w:r w:rsidRPr="001A537E">
        <w:rPr>
          <w:color w:val="000000"/>
          <w:rtl/>
        </w:rPr>
        <w:t xml:space="preserve">) ومدعوماً من قبل </w:t>
      </w:r>
      <w:r w:rsidR="00A222E0">
        <w:rPr>
          <w:rFonts w:hint="cs"/>
          <w:color w:val="000000"/>
          <w:rtl/>
        </w:rPr>
        <w:t>المنسق الوطني</w:t>
      </w:r>
      <w:r w:rsidRPr="001A537E">
        <w:rPr>
          <w:color w:val="000000"/>
          <w:rtl/>
        </w:rPr>
        <w:t xml:space="preserve"> للملكية الفكرية (</w:t>
      </w:r>
      <w:proofErr w:type="spellStart"/>
      <w:r w:rsidRPr="001A537E">
        <w:rPr>
          <w:color w:val="000000"/>
        </w:rPr>
        <w:t>ncp.ip</w:t>
      </w:r>
      <w:proofErr w:type="spellEnd"/>
      <w:r w:rsidRPr="001A537E">
        <w:rPr>
          <w:color w:val="000000"/>
          <w:rtl/>
        </w:rPr>
        <w:t>) في الوزارة الاتحادية للعلوم والبحوث (</w:t>
      </w:r>
      <w:proofErr w:type="spellStart"/>
      <w:r w:rsidRPr="001A537E">
        <w:rPr>
          <w:i/>
        </w:rPr>
        <w:t>Bundesministerium</w:t>
      </w:r>
      <w:proofErr w:type="spellEnd"/>
      <w:r w:rsidRPr="001A537E">
        <w:rPr>
          <w:i/>
        </w:rPr>
        <w:t xml:space="preserve"> </w:t>
      </w:r>
      <w:proofErr w:type="spellStart"/>
      <w:r w:rsidRPr="001A537E">
        <w:rPr>
          <w:i/>
        </w:rPr>
        <w:t>für</w:t>
      </w:r>
      <w:proofErr w:type="spellEnd"/>
      <w:r w:rsidRPr="001A537E">
        <w:rPr>
          <w:i/>
        </w:rPr>
        <w:t xml:space="preserve"> </w:t>
      </w:r>
      <w:proofErr w:type="spellStart"/>
      <w:r w:rsidRPr="001A537E">
        <w:rPr>
          <w:i/>
        </w:rPr>
        <w:t>Wissenschaft</w:t>
      </w:r>
      <w:proofErr w:type="spellEnd"/>
      <w:r w:rsidRPr="001A537E">
        <w:rPr>
          <w:i/>
        </w:rPr>
        <w:t xml:space="preserve"> und </w:t>
      </w:r>
      <w:proofErr w:type="spellStart"/>
      <w:r w:rsidRPr="001A537E">
        <w:rPr>
          <w:i/>
        </w:rPr>
        <w:t>Forschung</w:t>
      </w:r>
      <w:proofErr w:type="spellEnd"/>
      <w:r w:rsidRPr="001A537E">
        <w:rPr>
          <w:color w:val="000000"/>
          <w:rtl/>
        </w:rPr>
        <w:t>)، وبمشاركة الوزارة الاتحادية للاقتصاد والأسرة والشباب (</w:t>
      </w:r>
      <w:proofErr w:type="spellStart"/>
      <w:r w:rsidRPr="001A537E">
        <w:rPr>
          <w:i/>
        </w:rPr>
        <w:t>Bundesministerium</w:t>
      </w:r>
      <w:proofErr w:type="spellEnd"/>
      <w:r w:rsidRPr="001A537E">
        <w:rPr>
          <w:i/>
        </w:rPr>
        <w:t xml:space="preserve"> </w:t>
      </w:r>
      <w:proofErr w:type="spellStart"/>
      <w:r w:rsidRPr="001A537E">
        <w:rPr>
          <w:i/>
        </w:rPr>
        <w:t>für</w:t>
      </w:r>
      <w:proofErr w:type="spellEnd"/>
      <w:r w:rsidRPr="001A537E">
        <w:rPr>
          <w:i/>
        </w:rPr>
        <w:t xml:space="preserve"> </w:t>
      </w:r>
      <w:proofErr w:type="spellStart"/>
      <w:r w:rsidRPr="001A537E">
        <w:rPr>
          <w:i/>
        </w:rPr>
        <w:t>Wirtschaft</w:t>
      </w:r>
      <w:proofErr w:type="spellEnd"/>
      <w:r w:rsidRPr="001A537E">
        <w:rPr>
          <w:i/>
        </w:rPr>
        <w:t xml:space="preserve">, </w:t>
      </w:r>
      <w:proofErr w:type="spellStart"/>
      <w:r w:rsidRPr="001A537E">
        <w:rPr>
          <w:i/>
        </w:rPr>
        <w:t>Familie</w:t>
      </w:r>
      <w:proofErr w:type="spellEnd"/>
      <w:r w:rsidRPr="001A537E">
        <w:rPr>
          <w:i/>
        </w:rPr>
        <w:t xml:space="preserve"> und </w:t>
      </w:r>
      <w:proofErr w:type="spellStart"/>
      <w:r w:rsidRPr="001A537E">
        <w:rPr>
          <w:i/>
        </w:rPr>
        <w:t>Jugend</w:t>
      </w:r>
      <w:proofErr w:type="spellEnd"/>
      <w:r w:rsidRPr="001A537E">
        <w:rPr>
          <w:color w:val="000000"/>
          <w:rtl/>
        </w:rPr>
        <w:t>)، والوزارة الاتحادية للنقل والابتكار والتكنولوجيا (</w:t>
      </w:r>
      <w:proofErr w:type="spellStart"/>
      <w:r w:rsidRPr="001A537E">
        <w:rPr>
          <w:i/>
        </w:rPr>
        <w:t>Bundesministerium</w:t>
      </w:r>
      <w:proofErr w:type="spellEnd"/>
      <w:r w:rsidRPr="001A537E">
        <w:rPr>
          <w:i/>
        </w:rPr>
        <w:t xml:space="preserve"> </w:t>
      </w:r>
      <w:proofErr w:type="spellStart"/>
      <w:r w:rsidRPr="001A537E">
        <w:rPr>
          <w:i/>
        </w:rPr>
        <w:t>für</w:t>
      </w:r>
      <w:proofErr w:type="spellEnd"/>
      <w:r w:rsidRPr="001A537E">
        <w:rPr>
          <w:i/>
        </w:rPr>
        <w:t xml:space="preserve"> </w:t>
      </w:r>
      <w:proofErr w:type="spellStart"/>
      <w:r w:rsidRPr="001A537E">
        <w:rPr>
          <w:i/>
        </w:rPr>
        <w:t>Verkehr</w:t>
      </w:r>
      <w:proofErr w:type="spellEnd"/>
      <w:r w:rsidRPr="001A537E">
        <w:rPr>
          <w:i/>
        </w:rPr>
        <w:t xml:space="preserve">, Innovation und </w:t>
      </w:r>
      <w:proofErr w:type="spellStart"/>
      <w:r w:rsidRPr="001A537E">
        <w:rPr>
          <w:i/>
        </w:rPr>
        <w:t>Technologie</w:t>
      </w:r>
      <w:proofErr w:type="spellEnd"/>
      <w:r w:rsidRPr="001A537E">
        <w:rPr>
          <w:color w:val="000000"/>
          <w:rtl/>
        </w:rPr>
        <w:t>)، وأيضا بالمشاركة مع بنك الخدمات الاقتصادية النمساوية (</w:t>
      </w:r>
      <w:r w:rsidRPr="001A537E">
        <w:t xml:space="preserve">Austria </w:t>
      </w:r>
      <w:proofErr w:type="spellStart"/>
      <w:r w:rsidRPr="001A537E">
        <w:t>Wirtschaftsservice</w:t>
      </w:r>
      <w:proofErr w:type="spellEnd"/>
      <w:r w:rsidRPr="001A537E">
        <w:rPr>
          <w:color w:val="000000"/>
          <w:rtl/>
        </w:rPr>
        <w:t xml:space="preserve">)، وهو بنك اتحادي يعمل على تعزيز وتمويل الشركات بغرض التنمية. </w:t>
      </w:r>
      <w:r w:rsidR="00C51664">
        <w:rPr>
          <w:rFonts w:hint="cs"/>
          <w:color w:val="000000"/>
          <w:rtl/>
        </w:rPr>
        <w:t>و</w:t>
      </w:r>
      <w:r w:rsidRPr="001A537E">
        <w:rPr>
          <w:color w:val="000000"/>
          <w:rtl/>
        </w:rPr>
        <w:t>يهدف المشروع إلى رفع مستوى التعاون وتعزيز وتشجيع نقل المعارف بين الجهات العلمية وقطاع</w:t>
      </w:r>
      <w:r>
        <w:rPr>
          <w:rFonts w:hint="cs"/>
          <w:color w:val="000000"/>
          <w:rtl/>
        </w:rPr>
        <w:t xml:space="preserve"> الصناعة.</w:t>
      </w:r>
    </w:p>
    <w:p w:rsidR="0084688F" w:rsidRDefault="00C51664" w:rsidP="00A222E0">
      <w:pPr>
        <w:pStyle w:val="NumberedParaAR"/>
      </w:pPr>
      <w:r>
        <w:rPr>
          <w:rFonts w:hint="cs"/>
          <w:rtl/>
        </w:rPr>
        <w:t>و</w:t>
      </w:r>
      <w:r w:rsidR="0084688F">
        <w:rPr>
          <w:rFonts w:hint="cs"/>
          <w:rtl/>
        </w:rPr>
        <w:t xml:space="preserve">يتطلب </w:t>
      </w:r>
      <w:r w:rsidR="0084688F" w:rsidRPr="001A537E">
        <w:rPr>
          <w:color w:val="000000"/>
          <w:rtl/>
        </w:rPr>
        <w:t xml:space="preserve">تبادل </w:t>
      </w:r>
      <w:r w:rsidR="00A222E0">
        <w:rPr>
          <w:rFonts w:hint="cs"/>
          <w:color w:val="000000"/>
          <w:rtl/>
        </w:rPr>
        <w:t>المعارف</w:t>
      </w:r>
      <w:r w:rsidR="0084688F" w:rsidRPr="001A537E">
        <w:rPr>
          <w:color w:val="000000"/>
          <w:rtl/>
        </w:rPr>
        <w:t xml:space="preserve"> والتكنولوجيا بين الجامعات </w:t>
      </w:r>
      <w:r w:rsidR="00A222E0">
        <w:rPr>
          <w:rFonts w:hint="cs"/>
          <w:color w:val="000000"/>
          <w:rtl/>
        </w:rPr>
        <w:t>والقطاع الصناعي</w:t>
      </w:r>
      <w:r w:rsidR="0084688F" w:rsidRPr="001A537E">
        <w:rPr>
          <w:color w:val="000000"/>
          <w:rtl/>
        </w:rPr>
        <w:t xml:space="preserve">، </w:t>
      </w:r>
      <w:r w:rsidR="0084688F" w:rsidRPr="001A537E">
        <w:rPr>
          <w:color w:val="000000"/>
          <w:rtl/>
          <w:lang w:bidi="ar-EG"/>
        </w:rPr>
        <w:t xml:space="preserve">في الغالب، علاقات تعاقدية معقدة. </w:t>
      </w:r>
      <w:r w:rsidR="0084688F" w:rsidRPr="001A537E">
        <w:rPr>
          <w:color w:val="000000"/>
          <w:rtl/>
        </w:rPr>
        <w:t xml:space="preserve">وبالتالي، ومن أجل إيجاد أساس لعملية فعَّالة لنقل التكنولوجيا مع التركيز أيضا على الشروط التعاقدية المعتمدة قانونا، أعدَّ ممثلون عن الجامعات النمساوية، جنبا إلى جنب مع خبراء من القطاع الصناعي ومؤسسات البحث العامة والوزارات النمساوية "دليل اتفاقات الملكية الفكرية". </w:t>
      </w:r>
      <w:r>
        <w:rPr>
          <w:rFonts w:hint="cs"/>
          <w:color w:val="000000"/>
          <w:rtl/>
        </w:rPr>
        <w:t>و</w:t>
      </w:r>
      <w:r w:rsidR="0084688F" w:rsidRPr="001A537E">
        <w:rPr>
          <w:color w:val="000000"/>
          <w:rtl/>
        </w:rPr>
        <w:t xml:space="preserve">يعتبر هذا الدليل </w:t>
      </w:r>
      <w:r>
        <w:rPr>
          <w:color w:val="000000"/>
          <w:rtl/>
          <w:lang w:bidi="ar-EG"/>
        </w:rPr>
        <w:t xml:space="preserve">كتيب </w:t>
      </w:r>
      <w:r>
        <w:rPr>
          <w:rFonts w:hint="cs"/>
          <w:color w:val="000000"/>
          <w:rtl/>
          <w:lang w:bidi="ar-EG"/>
        </w:rPr>
        <w:t>إ</w:t>
      </w:r>
      <w:r w:rsidR="0084688F" w:rsidRPr="001A537E">
        <w:rPr>
          <w:color w:val="000000"/>
          <w:rtl/>
          <w:lang w:bidi="ar-EG"/>
        </w:rPr>
        <w:t xml:space="preserve">لكتروني متوفر على شبكة الإنترنت، يتضمن </w:t>
      </w:r>
      <w:r w:rsidR="0084688F" w:rsidRPr="001A537E">
        <w:rPr>
          <w:color w:val="000000"/>
          <w:rtl/>
        </w:rPr>
        <w:t>الاتفاقات النموذجية ذات الصلة ومختلف الشروط التعاقدية النموذجية مع طرح خيارات أو بدائل، فضلا عن ا</w:t>
      </w:r>
      <w:r>
        <w:rPr>
          <w:color w:val="000000"/>
          <w:rtl/>
        </w:rPr>
        <w:t>حتوا</w:t>
      </w:r>
      <w:r>
        <w:rPr>
          <w:rFonts w:hint="cs"/>
          <w:color w:val="000000"/>
          <w:rtl/>
        </w:rPr>
        <w:t>ئ</w:t>
      </w:r>
      <w:r w:rsidR="0084688F" w:rsidRPr="001A537E">
        <w:rPr>
          <w:color w:val="000000"/>
          <w:rtl/>
        </w:rPr>
        <w:t xml:space="preserve">ه على العديد من التعليقات المفيدة المتاحة للجمهور العام مجاناً. </w:t>
      </w:r>
      <w:r>
        <w:rPr>
          <w:rFonts w:hint="cs"/>
          <w:color w:val="000000"/>
          <w:rtl/>
        </w:rPr>
        <w:t>و</w:t>
      </w:r>
      <w:r w:rsidR="0084688F" w:rsidRPr="001A537E">
        <w:rPr>
          <w:color w:val="000000"/>
          <w:rtl/>
        </w:rPr>
        <w:t xml:space="preserve">تعتبر الاتفاقات النموذجية الواردة في هذا الدليل أمثلة عن كيفية صياغة اتفاقيات نقل التكنولوجيا </w:t>
      </w:r>
      <w:r w:rsidR="0084688F" w:rsidRPr="001A537E">
        <w:rPr>
          <w:color w:val="000000"/>
          <w:rtl/>
        </w:rPr>
        <w:lastRenderedPageBreak/>
        <w:t xml:space="preserve">بما يعكس أيضا الاحتياجات الخاصة للعلاقات التعاقدية بين مؤسسات البحث الممولة من القطاع العام والشركاء من القطاع الصناعي. </w:t>
      </w:r>
      <w:r>
        <w:rPr>
          <w:rFonts w:hint="cs"/>
          <w:color w:val="000000"/>
          <w:rtl/>
        </w:rPr>
        <w:t>و</w:t>
      </w:r>
      <w:r>
        <w:rPr>
          <w:color w:val="000000"/>
          <w:rtl/>
        </w:rPr>
        <w:t>يمكن ال</w:t>
      </w:r>
      <w:r>
        <w:rPr>
          <w:rFonts w:hint="cs"/>
          <w:color w:val="000000"/>
          <w:rtl/>
        </w:rPr>
        <w:t>ا</w:t>
      </w:r>
      <w:r w:rsidR="0084688F" w:rsidRPr="001A537E">
        <w:rPr>
          <w:color w:val="000000"/>
          <w:rtl/>
        </w:rPr>
        <w:t xml:space="preserve">طلاع على هذه الاتفاقات النموذجية على الرابط: </w:t>
      </w:r>
      <w:hyperlink r:id="rId10" w:history="1">
        <w:r w:rsidR="0084688F" w:rsidRPr="001A537E">
          <w:rPr>
            <w:rStyle w:val="Hyperlink"/>
          </w:rPr>
          <w:t>www.ipag.at</w:t>
        </w:r>
      </w:hyperlink>
      <w:r w:rsidR="0084688F">
        <w:rPr>
          <w:rFonts w:hint="cs"/>
          <w:rtl/>
        </w:rPr>
        <w:t>.</w:t>
      </w:r>
    </w:p>
    <w:p w:rsidR="0084688F" w:rsidRPr="0084688F" w:rsidRDefault="00945A84" w:rsidP="00A222E0">
      <w:pPr>
        <w:pStyle w:val="NumberedParaAR"/>
      </w:pPr>
      <w:r>
        <w:rPr>
          <w:rFonts w:hint="cs"/>
          <w:rtl/>
        </w:rPr>
        <w:t>و</w:t>
      </w:r>
      <w:r w:rsidR="0084688F">
        <w:rPr>
          <w:rFonts w:hint="cs"/>
          <w:rtl/>
        </w:rPr>
        <w:t xml:space="preserve">صيغت </w:t>
      </w:r>
      <w:r w:rsidR="0084688F" w:rsidRPr="001A537E">
        <w:rPr>
          <w:color w:val="000000"/>
          <w:rtl/>
        </w:rPr>
        <w:t>الاتفاقات والشروط الن</w:t>
      </w:r>
      <w:r>
        <w:rPr>
          <w:color w:val="000000"/>
          <w:rtl/>
        </w:rPr>
        <w:t>موذجية باللغتين الألمانية والإن</w:t>
      </w:r>
      <w:r>
        <w:rPr>
          <w:rFonts w:hint="cs"/>
          <w:color w:val="000000"/>
          <w:rtl/>
        </w:rPr>
        <w:t>ك</w:t>
      </w:r>
      <w:r w:rsidR="0084688F" w:rsidRPr="001A537E">
        <w:rPr>
          <w:color w:val="000000"/>
          <w:rtl/>
        </w:rPr>
        <w:t>ليزية، مع صياغة التعليقات باللغة الألمانية فقط. ومن أجل تلبية الاحتياجات المخ</w:t>
      </w:r>
      <w:r>
        <w:rPr>
          <w:color w:val="000000"/>
          <w:rtl/>
        </w:rPr>
        <w:t>تلفة في قطاعات العلوم و/</w:t>
      </w:r>
      <w:r w:rsidR="0084688F" w:rsidRPr="001A537E">
        <w:rPr>
          <w:color w:val="000000"/>
          <w:rtl/>
        </w:rPr>
        <w:t xml:space="preserve">أو الصناعة، أُتيحت الاتفاقات النموذجية في ثلاث بدائل مختلفة، بمعنى، استعراض اتفاقية نموذجية مختصرة إلى حد ما، واتفاقيتين نموذجيتين قياسيتين على نحو مُطَّول: تعكس أحداهما تعليقات ممثلي الجامعات، وتعكس الأخرى تعليقات الشركاء من القطاع الصناعي. وبطبيعة الحال، يُترك لأصحاب المصلحة المعنيين حرية اختيار استخدام جزء من تلك الاتفاقيات النموذجية أو </w:t>
      </w:r>
      <w:r w:rsidR="00A222E0">
        <w:rPr>
          <w:rFonts w:hint="cs"/>
          <w:color w:val="000000"/>
          <w:rtl/>
        </w:rPr>
        <w:t>استخدامها كاملةً</w:t>
      </w:r>
      <w:r w:rsidR="0084688F" w:rsidRPr="001A537E">
        <w:rPr>
          <w:color w:val="000000"/>
          <w:rtl/>
        </w:rPr>
        <w:t>، كما يجوز تطويع تلك الاتفاقات لتتوافق مع الاحتياجات الخاصة</w:t>
      </w:r>
      <w:r w:rsidR="0084688F">
        <w:rPr>
          <w:rFonts w:hint="cs"/>
          <w:color w:val="000000"/>
          <w:rtl/>
        </w:rPr>
        <w:t>.</w:t>
      </w:r>
    </w:p>
    <w:p w:rsidR="0084688F" w:rsidRDefault="00945A84" w:rsidP="00233E5F">
      <w:pPr>
        <w:pStyle w:val="NumberedParaAR"/>
        <w:keepNext/>
        <w:numPr>
          <w:ilvl w:val="0"/>
          <w:numId w:val="0"/>
        </w:numPr>
        <w:rPr>
          <w:rtl/>
        </w:rPr>
      </w:pPr>
      <w:r>
        <w:rPr>
          <w:rFonts w:hint="cs"/>
          <w:rtl/>
        </w:rPr>
        <w:t>و</w:t>
      </w:r>
      <w:r w:rsidR="0084688F">
        <w:rPr>
          <w:rFonts w:hint="cs"/>
          <w:rtl/>
        </w:rPr>
        <w:t xml:space="preserve">يمكن </w:t>
      </w:r>
      <w:r w:rsidR="0084688F" w:rsidRPr="001A537E">
        <w:rPr>
          <w:color w:val="000000"/>
          <w:rtl/>
        </w:rPr>
        <w:t>الإطلاع على الاتفاقات النموذجية التالية في مشروع "دليل اتفاقات الملكية الفكرية</w:t>
      </w:r>
      <w:r w:rsidR="00A222E0">
        <w:rPr>
          <w:rFonts w:hint="cs"/>
          <w:rtl/>
        </w:rPr>
        <w:t>":</w:t>
      </w:r>
    </w:p>
    <w:p w:rsidR="0084688F" w:rsidRDefault="0084688F" w:rsidP="00A222E0">
      <w:pPr>
        <w:pStyle w:val="NumberedParaAR"/>
        <w:numPr>
          <w:ilvl w:val="0"/>
          <w:numId w:val="21"/>
        </w:numPr>
        <w:ind w:left="1133" w:hanging="567"/>
      </w:pPr>
      <w:r>
        <w:rPr>
          <w:rFonts w:hint="cs"/>
          <w:rtl/>
        </w:rPr>
        <w:t xml:space="preserve">اتفاقية </w:t>
      </w:r>
      <w:r w:rsidR="00A222E0">
        <w:rPr>
          <w:rFonts w:hint="cs"/>
          <w:color w:val="000000"/>
          <w:rtl/>
        </w:rPr>
        <w:t>ل</w:t>
      </w:r>
      <w:r w:rsidRPr="001A537E">
        <w:rPr>
          <w:color w:val="000000"/>
          <w:rtl/>
        </w:rPr>
        <w:t>لبحث والتطوير مقابل أتعاب</w:t>
      </w:r>
      <w:r>
        <w:rPr>
          <w:rFonts w:hint="cs"/>
          <w:rtl/>
        </w:rPr>
        <w:t>؛</w:t>
      </w:r>
    </w:p>
    <w:p w:rsidR="0084688F" w:rsidRDefault="00945A84" w:rsidP="00A222E0">
      <w:pPr>
        <w:pStyle w:val="NumberedParaAR"/>
        <w:numPr>
          <w:ilvl w:val="0"/>
          <w:numId w:val="21"/>
        </w:numPr>
        <w:ind w:left="1133" w:hanging="567"/>
      </w:pPr>
      <w:r>
        <w:rPr>
          <w:rFonts w:hint="cs"/>
          <w:rtl/>
        </w:rPr>
        <w:t>و</w:t>
      </w:r>
      <w:r w:rsidR="0084688F">
        <w:rPr>
          <w:rFonts w:hint="cs"/>
          <w:rtl/>
        </w:rPr>
        <w:t xml:space="preserve">اتفاقية </w:t>
      </w:r>
      <w:r w:rsidR="00A222E0">
        <w:rPr>
          <w:rFonts w:hint="cs"/>
          <w:color w:val="000000"/>
          <w:rtl/>
        </w:rPr>
        <w:t>ل</w:t>
      </w:r>
      <w:r w:rsidR="0084688F" w:rsidRPr="001A537E">
        <w:rPr>
          <w:color w:val="000000"/>
          <w:rtl/>
        </w:rPr>
        <w:t xml:space="preserve">لتعاون </w:t>
      </w:r>
      <w:r w:rsidR="0084688F">
        <w:rPr>
          <w:rFonts w:hint="cs"/>
          <w:color w:val="000000"/>
          <w:rtl/>
        </w:rPr>
        <w:t>في مجال الأبحاث</w:t>
      </w:r>
      <w:r w:rsidR="0084688F">
        <w:rPr>
          <w:rFonts w:hint="cs"/>
          <w:rtl/>
        </w:rPr>
        <w:t>؛</w:t>
      </w:r>
    </w:p>
    <w:p w:rsidR="0084688F" w:rsidRDefault="00945A84" w:rsidP="00A222E0">
      <w:pPr>
        <w:pStyle w:val="NumberedParaAR"/>
        <w:numPr>
          <w:ilvl w:val="0"/>
          <w:numId w:val="21"/>
        </w:numPr>
        <w:ind w:left="1133" w:hanging="567"/>
      </w:pPr>
      <w:r>
        <w:rPr>
          <w:rFonts w:hint="cs"/>
          <w:rtl/>
        </w:rPr>
        <w:t>و</w:t>
      </w:r>
      <w:r w:rsidR="0084688F">
        <w:rPr>
          <w:rFonts w:hint="cs"/>
          <w:rtl/>
        </w:rPr>
        <w:t>اتفاقية سرية المعلومات؛</w:t>
      </w:r>
    </w:p>
    <w:p w:rsidR="0084688F" w:rsidRDefault="00945A84" w:rsidP="00A222E0">
      <w:pPr>
        <w:pStyle w:val="NumberedParaAR"/>
        <w:numPr>
          <w:ilvl w:val="0"/>
          <w:numId w:val="21"/>
        </w:numPr>
        <w:ind w:left="1133" w:hanging="567"/>
      </w:pPr>
      <w:r>
        <w:rPr>
          <w:rFonts w:hint="cs"/>
          <w:rtl/>
        </w:rPr>
        <w:t>و</w:t>
      </w:r>
      <w:r w:rsidR="0084688F">
        <w:rPr>
          <w:rFonts w:hint="cs"/>
          <w:rtl/>
        </w:rPr>
        <w:t>اتفاقية نقل المواد؛</w:t>
      </w:r>
    </w:p>
    <w:p w:rsidR="0084688F" w:rsidRDefault="00945A84" w:rsidP="00A222E0">
      <w:pPr>
        <w:pStyle w:val="NumberedParaAR"/>
        <w:numPr>
          <w:ilvl w:val="0"/>
          <w:numId w:val="21"/>
        </w:numPr>
        <w:ind w:left="1133" w:hanging="567"/>
      </w:pPr>
      <w:r>
        <w:rPr>
          <w:rFonts w:hint="cs"/>
          <w:rtl/>
        </w:rPr>
        <w:t>و</w:t>
      </w:r>
      <w:r w:rsidR="0084688F">
        <w:rPr>
          <w:rFonts w:hint="cs"/>
          <w:rtl/>
        </w:rPr>
        <w:t>اتفاقية</w:t>
      </w:r>
      <w:r>
        <w:rPr>
          <w:rFonts w:hint="cs"/>
          <w:rtl/>
        </w:rPr>
        <w:t xml:space="preserve"> الترخيص باستخدام ملكية فكرية؛</w:t>
      </w:r>
    </w:p>
    <w:p w:rsidR="0084688F" w:rsidRDefault="00945A84" w:rsidP="00A222E0">
      <w:pPr>
        <w:pStyle w:val="NumberedParaAR"/>
        <w:numPr>
          <w:ilvl w:val="0"/>
          <w:numId w:val="21"/>
        </w:numPr>
        <w:ind w:left="1133" w:hanging="567"/>
      </w:pPr>
      <w:r>
        <w:rPr>
          <w:rFonts w:hint="cs"/>
          <w:rtl/>
        </w:rPr>
        <w:t>و</w:t>
      </w:r>
      <w:r w:rsidR="0084688F">
        <w:rPr>
          <w:rFonts w:hint="cs"/>
          <w:rtl/>
        </w:rPr>
        <w:t>اتفاقية شراء ملكية فكرية.</w:t>
      </w:r>
    </w:p>
    <w:p w:rsidR="0084688F" w:rsidRPr="0084688F" w:rsidRDefault="00945A84" w:rsidP="0084688F">
      <w:pPr>
        <w:pStyle w:val="NumberedParaAR"/>
      </w:pPr>
      <w:r>
        <w:rPr>
          <w:rFonts w:hint="cs"/>
          <w:rtl/>
        </w:rPr>
        <w:t>و</w:t>
      </w:r>
      <w:r w:rsidR="0084688F">
        <w:rPr>
          <w:rFonts w:hint="cs"/>
          <w:rtl/>
        </w:rPr>
        <w:t xml:space="preserve">تم إيلاء </w:t>
      </w:r>
      <w:r w:rsidR="0084688F" w:rsidRPr="001A537E">
        <w:rPr>
          <w:color w:val="000000"/>
          <w:rtl/>
        </w:rPr>
        <w:t>اهتمام كبير بتسوية المنازعات. وأُدمجت نفس بدائل تسوية المنازعات في كل اتفاقية نموذجية. والتالي بعد بيان البدائل التي أُدمجت</w:t>
      </w:r>
      <w:r w:rsidR="0084688F">
        <w:rPr>
          <w:rFonts w:hint="cs"/>
          <w:color w:val="000000"/>
          <w:rtl/>
        </w:rPr>
        <w:t>:</w:t>
      </w:r>
    </w:p>
    <w:p w:rsidR="0084688F" w:rsidRPr="0084688F" w:rsidRDefault="0084688F" w:rsidP="00D6057E">
      <w:pPr>
        <w:pStyle w:val="NumberedParaAR"/>
        <w:numPr>
          <w:ilvl w:val="0"/>
          <w:numId w:val="21"/>
        </w:numPr>
        <w:ind w:left="1133" w:hanging="567"/>
      </w:pPr>
      <w:r>
        <w:rPr>
          <w:rFonts w:hint="cs"/>
          <w:rtl/>
        </w:rPr>
        <w:t xml:space="preserve">الاختصاص </w:t>
      </w:r>
      <w:r w:rsidRPr="001A537E">
        <w:rPr>
          <w:color w:val="000000"/>
          <w:rtl/>
        </w:rPr>
        <w:t xml:space="preserve">الحصري </w:t>
      </w:r>
      <w:r w:rsidRPr="001A537E">
        <w:rPr>
          <w:color w:val="000000"/>
          <w:rtl/>
          <w:lang w:bidi="ar-EG"/>
        </w:rPr>
        <w:t>لمحكمة البلد واختيار الاحتكام إلى نص قانوني</w:t>
      </w:r>
      <w:r>
        <w:rPr>
          <w:rFonts w:hint="cs"/>
          <w:color w:val="000000"/>
          <w:rtl/>
          <w:lang w:bidi="ar-EG"/>
        </w:rPr>
        <w:t>؛</w:t>
      </w:r>
    </w:p>
    <w:p w:rsidR="0084688F" w:rsidRPr="0084688F" w:rsidRDefault="00945A84" w:rsidP="00D6057E">
      <w:pPr>
        <w:pStyle w:val="NumberedParaAR"/>
        <w:numPr>
          <w:ilvl w:val="0"/>
          <w:numId w:val="21"/>
        </w:numPr>
        <w:ind w:left="1133" w:hanging="567"/>
      </w:pPr>
      <w:r>
        <w:rPr>
          <w:rFonts w:hint="cs"/>
          <w:rtl/>
        </w:rPr>
        <w:t>و</w:t>
      </w:r>
      <w:r w:rsidR="0084688F">
        <w:rPr>
          <w:rFonts w:hint="cs"/>
          <w:rtl/>
        </w:rPr>
        <w:t xml:space="preserve">مركز </w:t>
      </w:r>
      <w:r w:rsidR="0084688F" w:rsidRPr="001A537E">
        <w:rPr>
          <w:color w:val="000000"/>
          <w:rtl/>
        </w:rPr>
        <w:t>الويبو للتحكيم (نظام الويبو بشأن التحكيم المعجَّل)؛</w:t>
      </w:r>
    </w:p>
    <w:p w:rsidR="0084688F" w:rsidRPr="0084688F" w:rsidRDefault="00945A84" w:rsidP="00D6057E">
      <w:pPr>
        <w:pStyle w:val="NumberedParaAR"/>
        <w:numPr>
          <w:ilvl w:val="0"/>
          <w:numId w:val="21"/>
        </w:numPr>
        <w:ind w:left="1133" w:hanging="567"/>
      </w:pPr>
      <w:r>
        <w:rPr>
          <w:rFonts w:hint="cs"/>
          <w:color w:val="000000"/>
          <w:rtl/>
        </w:rPr>
        <w:t>و</w:t>
      </w:r>
      <w:r w:rsidR="0084688F">
        <w:rPr>
          <w:rFonts w:hint="cs"/>
          <w:color w:val="000000"/>
          <w:rtl/>
        </w:rPr>
        <w:t xml:space="preserve">التحكيم </w:t>
      </w:r>
      <w:r w:rsidR="0084688F" w:rsidRPr="001A537E">
        <w:rPr>
          <w:color w:val="000000"/>
          <w:rtl/>
        </w:rPr>
        <w:t>والوساطة في الويبو (نظام الويبو بشأن التحكيم المعجَّل</w:t>
      </w:r>
      <w:r w:rsidR="0084688F">
        <w:rPr>
          <w:rFonts w:hint="cs"/>
          <w:color w:val="000000"/>
          <w:rtl/>
        </w:rPr>
        <w:t>).</w:t>
      </w:r>
    </w:p>
    <w:p w:rsidR="0084688F" w:rsidRPr="0084688F" w:rsidRDefault="00945A84" w:rsidP="00945A84">
      <w:pPr>
        <w:pStyle w:val="NumberedParaAR"/>
      </w:pPr>
      <w:r>
        <w:rPr>
          <w:rFonts w:hint="cs"/>
          <w:rtl/>
        </w:rPr>
        <w:t>و</w:t>
      </w:r>
      <w:r w:rsidR="0084688F">
        <w:rPr>
          <w:rFonts w:hint="cs"/>
          <w:rtl/>
        </w:rPr>
        <w:t xml:space="preserve">لاحظ </w:t>
      </w:r>
      <w:r w:rsidR="0084688F" w:rsidRPr="001A537E">
        <w:rPr>
          <w:color w:val="000000"/>
          <w:rtl/>
        </w:rPr>
        <w:t>جميع أصحاب المصلحة أثناء إعداد الاتفاقيات النموذجية عدم كفاية البديل الخاص بالولاية الحصرية لمحكمة من</w:t>
      </w:r>
      <w:r>
        <w:rPr>
          <w:rFonts w:hint="cs"/>
          <w:rtl/>
        </w:rPr>
        <w:t> </w:t>
      </w:r>
      <w:r w:rsidR="0084688F" w:rsidRPr="001A537E">
        <w:rPr>
          <w:color w:val="000000"/>
          <w:rtl/>
        </w:rPr>
        <w:t>محاكم الدولة</w:t>
      </w:r>
      <w:r w:rsidR="0084688F" w:rsidRPr="001A537E">
        <w:rPr>
          <w:color w:val="000000"/>
          <w:rtl/>
          <w:lang w:bidi="ar-EG"/>
        </w:rPr>
        <w:t xml:space="preserve">، وقصوره عن </w:t>
      </w:r>
      <w:r w:rsidR="0084688F" w:rsidRPr="001A537E">
        <w:rPr>
          <w:color w:val="000000"/>
          <w:rtl/>
        </w:rPr>
        <w:t xml:space="preserve">تلبية احتياجاتهم بشكل قاطع. </w:t>
      </w:r>
      <w:r>
        <w:rPr>
          <w:rFonts w:hint="cs"/>
          <w:color w:val="000000"/>
          <w:rtl/>
        </w:rPr>
        <w:t>و</w:t>
      </w:r>
      <w:r w:rsidR="0084688F" w:rsidRPr="001A537E">
        <w:rPr>
          <w:color w:val="000000"/>
          <w:rtl/>
        </w:rPr>
        <w:t>تعلقت أسباب هذا الرفض على وجه التحديد بالتعاملات عبر</w:t>
      </w:r>
      <w:r>
        <w:rPr>
          <w:rFonts w:hint="cs"/>
          <w:color w:val="000000"/>
          <w:rtl/>
        </w:rPr>
        <w:t> </w:t>
      </w:r>
      <w:r w:rsidR="0084688F" w:rsidRPr="001A537E">
        <w:rPr>
          <w:color w:val="000000"/>
          <w:rtl/>
        </w:rPr>
        <w:t>الحدود، وكانت الخيارات المطروح</w:t>
      </w:r>
      <w:r>
        <w:rPr>
          <w:color w:val="000000"/>
          <w:rtl/>
        </w:rPr>
        <w:t>ة هي الاتفاق على بند التحكيم و/أو قبول وساطة مشتركة - وا</w:t>
      </w:r>
      <w:r w:rsidR="0084688F" w:rsidRPr="001A537E">
        <w:rPr>
          <w:color w:val="000000"/>
          <w:rtl/>
        </w:rPr>
        <w:t>ت</w:t>
      </w:r>
      <w:r>
        <w:rPr>
          <w:rFonts w:hint="cs"/>
          <w:color w:val="000000"/>
          <w:rtl/>
        </w:rPr>
        <w:t>ُّ</w:t>
      </w:r>
      <w:r w:rsidR="0084688F" w:rsidRPr="001A537E">
        <w:rPr>
          <w:color w:val="000000"/>
          <w:rtl/>
        </w:rPr>
        <w:t>فق على تفضيل بند</w:t>
      </w:r>
      <w:r>
        <w:rPr>
          <w:rFonts w:hint="cs"/>
          <w:color w:val="000000"/>
          <w:rtl/>
        </w:rPr>
        <w:t> </w:t>
      </w:r>
      <w:r w:rsidR="0084688F" w:rsidRPr="001A537E">
        <w:rPr>
          <w:color w:val="000000"/>
          <w:rtl/>
        </w:rPr>
        <w:t xml:space="preserve">التحكيم علي حساب المحاكم الوطنية. </w:t>
      </w:r>
      <w:r>
        <w:rPr>
          <w:rFonts w:hint="cs"/>
          <w:color w:val="000000"/>
          <w:rtl/>
        </w:rPr>
        <w:t>و</w:t>
      </w:r>
      <w:r w:rsidR="0084688F" w:rsidRPr="001A537E">
        <w:rPr>
          <w:color w:val="000000"/>
          <w:rtl/>
        </w:rPr>
        <w:t>فضَّل أصحاب المصلحة الاتفاق على محكمة وطنية فقط في حالات النزاعات الوطنية</w:t>
      </w:r>
      <w:r>
        <w:rPr>
          <w:rFonts w:hint="cs"/>
          <w:color w:val="000000"/>
          <w:rtl/>
        </w:rPr>
        <w:t> </w:t>
      </w:r>
      <w:r w:rsidR="0084688F" w:rsidRPr="001A537E">
        <w:rPr>
          <w:color w:val="000000"/>
          <w:rtl/>
        </w:rPr>
        <w:t>الخالصة</w:t>
      </w:r>
      <w:r w:rsidR="0084688F">
        <w:rPr>
          <w:rFonts w:hint="cs"/>
          <w:color w:val="000000"/>
          <w:rtl/>
        </w:rPr>
        <w:t>.</w:t>
      </w:r>
    </w:p>
    <w:p w:rsidR="0084688F" w:rsidRPr="0084688F" w:rsidRDefault="00945A84" w:rsidP="00233E5F">
      <w:pPr>
        <w:pStyle w:val="NumberedParaAR"/>
        <w:keepNext/>
      </w:pPr>
      <w:r>
        <w:rPr>
          <w:rFonts w:hint="cs"/>
          <w:rtl/>
        </w:rPr>
        <w:t>و</w:t>
      </w:r>
      <w:r w:rsidR="0084688F">
        <w:rPr>
          <w:rFonts w:hint="cs"/>
          <w:rtl/>
        </w:rPr>
        <w:t xml:space="preserve">يتأسس </w:t>
      </w:r>
      <w:r w:rsidR="0084688F" w:rsidRPr="001A537E">
        <w:rPr>
          <w:color w:val="000000"/>
          <w:rtl/>
        </w:rPr>
        <w:t>قرار اختيار البدائل لتسوية المنازعات على الاعتبارات التالية</w:t>
      </w:r>
      <w:r w:rsidR="0084688F">
        <w:rPr>
          <w:rFonts w:hint="cs"/>
          <w:color w:val="000000"/>
          <w:rtl/>
        </w:rPr>
        <w:t>:</w:t>
      </w:r>
    </w:p>
    <w:p w:rsidR="0084688F" w:rsidRDefault="0084688F" w:rsidP="00233E5F">
      <w:pPr>
        <w:pStyle w:val="NumberedParaAR"/>
        <w:numPr>
          <w:ilvl w:val="0"/>
          <w:numId w:val="21"/>
        </w:numPr>
        <w:ind w:left="566" w:firstLine="0"/>
      </w:pPr>
      <w:r w:rsidRPr="00233E5F">
        <w:rPr>
          <w:rFonts w:hint="cs"/>
          <w:u w:val="single"/>
          <w:rtl/>
        </w:rPr>
        <w:t>السرعة</w:t>
      </w:r>
      <w:r>
        <w:rPr>
          <w:rFonts w:hint="cs"/>
          <w:rtl/>
        </w:rPr>
        <w:t xml:space="preserve">: </w:t>
      </w:r>
      <w:r w:rsidRPr="001A537E">
        <w:rPr>
          <w:color w:val="000000"/>
          <w:rtl/>
        </w:rPr>
        <w:t>في مرحلة البحث والتطوير، لا يتيسر الوقت الكافي أمام الأطراف لحل المنازعات، والذي قد يصل إلى سنوات. وبالتالي، يكون الخيار الذي يوفر تسوية سريعة على جانب كبير جداً من الأهمية والحسم</w:t>
      </w:r>
      <w:r>
        <w:rPr>
          <w:rFonts w:hint="cs"/>
          <w:color w:val="000000"/>
          <w:rtl/>
        </w:rPr>
        <w:t>.</w:t>
      </w:r>
    </w:p>
    <w:p w:rsidR="0084688F" w:rsidRDefault="0084688F" w:rsidP="00233E5F">
      <w:pPr>
        <w:pStyle w:val="NumberedParaAR"/>
        <w:numPr>
          <w:ilvl w:val="0"/>
          <w:numId w:val="21"/>
        </w:numPr>
        <w:ind w:left="566" w:firstLine="0"/>
      </w:pPr>
      <w:r w:rsidRPr="00233E5F">
        <w:rPr>
          <w:rFonts w:hint="cs"/>
          <w:u w:val="single"/>
          <w:rtl/>
        </w:rPr>
        <w:lastRenderedPageBreak/>
        <w:t>السرية</w:t>
      </w:r>
      <w:r>
        <w:rPr>
          <w:rFonts w:hint="cs"/>
          <w:rtl/>
        </w:rPr>
        <w:t xml:space="preserve">: </w:t>
      </w:r>
      <w:r w:rsidRPr="001A537E">
        <w:rPr>
          <w:color w:val="000000"/>
          <w:rtl/>
        </w:rPr>
        <w:t>في معظم الحالات، تشتمل مشاريع البحوث والتطوير على العديد من الإجراءات السرية التي لا ينبغي تقاسمها مع الجمهور - كما تظهر أهمية سرية المعلومات أيضا بالنظر إلى شرط الجِدّة الذي يتعين الوفاء به في إيداع طلبات تسجيل البراءات المتعلقة بالاختراعات التي تُقدَّم خلال المشروع المعني</w:t>
      </w:r>
      <w:r>
        <w:rPr>
          <w:rFonts w:hint="cs"/>
          <w:color w:val="000000"/>
          <w:rtl/>
        </w:rPr>
        <w:t>.</w:t>
      </w:r>
    </w:p>
    <w:p w:rsidR="0084688F" w:rsidRPr="0084688F" w:rsidRDefault="0084688F" w:rsidP="00233E5F">
      <w:pPr>
        <w:pStyle w:val="NumberedParaAR"/>
        <w:numPr>
          <w:ilvl w:val="0"/>
          <w:numId w:val="21"/>
        </w:numPr>
        <w:ind w:left="566" w:firstLine="0"/>
      </w:pPr>
      <w:r w:rsidRPr="00233E5F">
        <w:rPr>
          <w:rFonts w:hint="cs"/>
          <w:u w:val="single"/>
          <w:rtl/>
        </w:rPr>
        <w:t>الحيادية</w:t>
      </w:r>
      <w:r>
        <w:rPr>
          <w:rFonts w:hint="cs"/>
          <w:rtl/>
        </w:rPr>
        <w:t xml:space="preserve">: </w:t>
      </w:r>
      <w:r w:rsidRPr="001A537E">
        <w:rPr>
          <w:color w:val="000000"/>
          <w:rtl/>
        </w:rPr>
        <w:t>ينبغي تحلِّى الوسيط أو المُحَكِّم بوجهة نظر محايدة تماماً بشأن أي جانب من جوانب المنازعات في سياق المشروع</w:t>
      </w:r>
      <w:r>
        <w:rPr>
          <w:rFonts w:hint="cs"/>
          <w:color w:val="000000"/>
          <w:rtl/>
        </w:rPr>
        <w:t>.</w:t>
      </w:r>
    </w:p>
    <w:p w:rsidR="0084688F" w:rsidRPr="0084688F" w:rsidRDefault="0084688F" w:rsidP="00233E5F">
      <w:pPr>
        <w:pStyle w:val="NumberedParaAR"/>
        <w:numPr>
          <w:ilvl w:val="0"/>
          <w:numId w:val="21"/>
        </w:numPr>
        <w:ind w:left="566" w:firstLine="0"/>
      </w:pPr>
      <w:r w:rsidRPr="00233E5F">
        <w:rPr>
          <w:rFonts w:hint="cs"/>
          <w:u w:val="single"/>
          <w:rtl/>
        </w:rPr>
        <w:t>حنكة الخبراء</w:t>
      </w:r>
      <w:r>
        <w:rPr>
          <w:rFonts w:hint="cs"/>
          <w:rtl/>
        </w:rPr>
        <w:t xml:space="preserve">: </w:t>
      </w:r>
      <w:r w:rsidRPr="001A537E">
        <w:rPr>
          <w:color w:val="000000"/>
          <w:rtl/>
        </w:rPr>
        <w:t>تُمنح الأطراف فرصة لتعيين وسيط أو مُحَكِّم لديه معارف محددة بشأن مشاريع البحوث، وأيضا فيما يتعلق بموضوع البحث ذاته. ولا يستدعي الأمر أن يكون الوسيط أو المُحَكِّم محامياً أو قاضياً</w:t>
      </w:r>
      <w:r>
        <w:rPr>
          <w:rFonts w:hint="cs"/>
          <w:color w:val="000000"/>
          <w:rtl/>
        </w:rPr>
        <w:t>.</w:t>
      </w:r>
    </w:p>
    <w:p w:rsidR="0084688F" w:rsidRDefault="0084688F" w:rsidP="0051077D">
      <w:pPr>
        <w:pStyle w:val="NumberedParaAR"/>
        <w:spacing w:after="360"/>
      </w:pPr>
      <w:r>
        <w:rPr>
          <w:rFonts w:hint="cs"/>
          <w:rtl/>
        </w:rPr>
        <w:t>وعلى وجه</w:t>
      </w:r>
      <w:r w:rsidR="00855AC1">
        <w:rPr>
          <w:rFonts w:hint="cs"/>
          <w:rtl/>
        </w:rPr>
        <w:t xml:space="preserve"> </w:t>
      </w:r>
      <w:r w:rsidRPr="001A537E">
        <w:rPr>
          <w:color w:val="000000"/>
          <w:rtl/>
        </w:rPr>
        <w:t>التحديد، نال بن</w:t>
      </w:r>
      <w:r w:rsidR="00945A84">
        <w:rPr>
          <w:color w:val="000000"/>
          <w:rtl/>
        </w:rPr>
        <w:t xml:space="preserve">د الوساطة استحساناً كبيراً حيث </w:t>
      </w:r>
      <w:r w:rsidR="00945A84">
        <w:rPr>
          <w:rFonts w:hint="cs"/>
          <w:color w:val="000000"/>
          <w:rtl/>
        </w:rPr>
        <w:t>إ</w:t>
      </w:r>
      <w:r w:rsidRPr="001A537E">
        <w:rPr>
          <w:color w:val="000000"/>
          <w:rtl/>
        </w:rPr>
        <w:t xml:space="preserve">نه يوفر للأطراف الفرصة لإشراك وسيط ذو حنكة ودراية يتفهم أبعاد العلاقات والمسائل التي تتصف في غالب الأمر بالتعقيد الشديد، ويساعد الأطراف على حل نزاعاتهم بسرعة كبيرة وبتكاليف معقولة. </w:t>
      </w:r>
      <w:r w:rsidRPr="001A537E">
        <w:rPr>
          <w:color w:val="000000"/>
          <w:rtl/>
          <w:lang w:bidi="ar-EG"/>
        </w:rPr>
        <w:t>وتحديداً</w:t>
      </w:r>
      <w:r w:rsidRPr="001A537E">
        <w:rPr>
          <w:color w:val="000000"/>
          <w:rtl/>
        </w:rPr>
        <w:t>، كان خيار إجراءات التحكيم المعج</w:t>
      </w:r>
      <w:r w:rsidR="00233E5F">
        <w:rPr>
          <w:rFonts w:hint="cs"/>
          <w:color w:val="000000"/>
          <w:rtl/>
        </w:rPr>
        <w:t>َّ</w:t>
      </w:r>
      <w:r w:rsidRPr="001A537E">
        <w:rPr>
          <w:color w:val="000000"/>
          <w:rtl/>
        </w:rPr>
        <w:t xml:space="preserve">ل واضحا أيضاً فيما يتعلق بالفعَّالية والتكلفة والسرية. كما يوفر هذا الخيار أيضا ميزة كبيرة من ناحية التركيز على المنازعات المتعلقة بمختلف الولايات القضائية في إجراءات تحكيم واحدة، وهو ما يعد فرصة لتجنب تباين القرارات في مختلف البلدان. </w:t>
      </w:r>
      <w:r w:rsidR="00233E5F">
        <w:rPr>
          <w:rFonts w:hint="cs"/>
          <w:color w:val="000000"/>
          <w:rtl/>
        </w:rPr>
        <w:t>وعلى هذا النحو، تتحقق ميزة كبيرة بفضل</w:t>
      </w:r>
      <w:r w:rsidRPr="001A537E">
        <w:rPr>
          <w:color w:val="000000"/>
          <w:rtl/>
        </w:rPr>
        <w:t xml:space="preserve"> حقيقة </w:t>
      </w:r>
      <w:r w:rsidR="00233E5F">
        <w:rPr>
          <w:rFonts w:hint="cs"/>
          <w:color w:val="000000"/>
          <w:rtl/>
        </w:rPr>
        <w:t>قدرة</w:t>
      </w:r>
      <w:r w:rsidRPr="001A537E">
        <w:rPr>
          <w:color w:val="000000"/>
          <w:rtl/>
        </w:rPr>
        <w:t xml:space="preserve"> الأطراف</w:t>
      </w:r>
      <w:r w:rsidR="00233E5F">
        <w:rPr>
          <w:rFonts w:hint="cs"/>
          <w:color w:val="000000"/>
          <w:rtl/>
        </w:rPr>
        <w:t xml:space="preserve"> على التأثير في إجراءات اختيار وسيط أو </w:t>
      </w:r>
      <w:r w:rsidR="00233E5F" w:rsidRPr="001A537E">
        <w:rPr>
          <w:color w:val="000000"/>
          <w:rtl/>
        </w:rPr>
        <w:t>مُحَكِّم</w:t>
      </w:r>
      <w:r w:rsidR="00233E5F">
        <w:rPr>
          <w:rFonts w:hint="cs"/>
          <w:color w:val="000000"/>
          <w:rtl/>
        </w:rPr>
        <w:t xml:space="preserve">، وأيضا لقدرتها على التأثير في الإجراءات جميعها. </w:t>
      </w:r>
    </w:p>
    <w:p w:rsidR="002916B1" w:rsidRDefault="0084688F" w:rsidP="00945A84">
      <w:pPr>
        <w:pStyle w:val="EndofDocumentAR"/>
        <w:rPr>
          <w:rtl/>
        </w:rPr>
      </w:pPr>
      <w:r>
        <w:rPr>
          <w:rFonts w:hint="cs"/>
          <w:rtl/>
        </w:rPr>
        <w:t>[نهاية الوثيقة]</w:t>
      </w:r>
    </w:p>
    <w:p w:rsidR="00A61E61" w:rsidRPr="00822B72" w:rsidRDefault="00A61E61" w:rsidP="00822B72">
      <w:pPr>
        <w:pStyle w:val="NormalParaAR"/>
        <w:rPr>
          <w:rtl/>
        </w:rPr>
      </w:pPr>
    </w:p>
    <w:sectPr w:rsidR="00A61E61" w:rsidRPr="00822B72" w:rsidSect="00EB7752">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575" w:rsidRDefault="00942575">
      <w:r>
        <w:separator/>
      </w:r>
    </w:p>
  </w:endnote>
  <w:endnote w:type="continuationSeparator" w:id="0">
    <w:p w:rsidR="00942575" w:rsidRDefault="0094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B1" w:rsidRDefault="00291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B1" w:rsidRDefault="002916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B1" w:rsidRDefault="00291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575" w:rsidRDefault="00942575" w:rsidP="009622BF">
      <w:pPr>
        <w:bidi/>
      </w:pPr>
      <w:bookmarkStart w:id="0" w:name="OLE_LINK1"/>
      <w:bookmarkStart w:id="1" w:name="OLE_LINK2"/>
      <w:r>
        <w:separator/>
      </w:r>
      <w:bookmarkEnd w:id="0"/>
      <w:bookmarkEnd w:id="1"/>
    </w:p>
  </w:footnote>
  <w:footnote w:type="continuationSeparator" w:id="0">
    <w:p w:rsidR="00942575" w:rsidRDefault="00942575" w:rsidP="009622BF">
      <w:pPr>
        <w:bidi/>
      </w:pPr>
      <w:r>
        <w:separator/>
      </w:r>
    </w:p>
  </w:footnote>
  <w:footnote w:id="1">
    <w:p w:rsidR="00C51664" w:rsidRPr="00C51664" w:rsidRDefault="00C51664" w:rsidP="001A43D4">
      <w:pPr>
        <w:pStyle w:val="FootnoteText"/>
        <w:rPr>
          <w:rtl/>
          <w:lang w:val="es-ES_tradnl"/>
        </w:rPr>
      </w:pPr>
      <w:r w:rsidRPr="001A43D4">
        <w:rPr>
          <w:rStyle w:val="FootnoteReference"/>
          <w:sz w:val="36"/>
          <w:szCs w:val="36"/>
          <w:vertAlign w:val="baseline"/>
        </w:rPr>
        <w:footnoteRef/>
      </w:r>
      <w:r>
        <w:rPr>
          <w:rtl/>
        </w:rPr>
        <w:t xml:space="preserve"> </w:t>
      </w:r>
      <w:r w:rsidR="001A43D4">
        <w:rPr>
          <w:rFonts w:hint="cs"/>
          <w:rtl/>
          <w:lang w:bidi="ar-EG"/>
        </w:rPr>
        <w:t>لا تُعَبِّر الآراء الواردة في هذه الوثيقة</w:t>
      </w:r>
      <w:r w:rsidR="001A43D4">
        <w:rPr>
          <w:rFonts w:cs="Arial" w:hint="cs"/>
          <w:rtl/>
          <w:lang w:bidi="ar-EG"/>
        </w:rPr>
        <w:t xml:space="preserve"> </w:t>
      </w:r>
      <w:r w:rsidR="001A43D4">
        <w:rPr>
          <w:rFonts w:hint="cs"/>
          <w:rtl/>
          <w:lang w:bidi="ar-EG"/>
        </w:rPr>
        <w:t>إلا عن رأي كاتبها فقط ولا تُعَبِّر بالضرورة</w:t>
      </w:r>
      <w:r w:rsidR="001A43D4">
        <w:rPr>
          <w:rFonts w:cs="Arial" w:hint="cs"/>
          <w:rtl/>
          <w:lang w:bidi="ar-EG"/>
        </w:rPr>
        <w:t xml:space="preserve"> </w:t>
      </w:r>
      <w:r w:rsidR="001A43D4">
        <w:rPr>
          <w:rFonts w:hint="cs"/>
          <w:rtl/>
          <w:lang w:bidi="ar-EG"/>
        </w:rPr>
        <w:t>عن آراء الأمانة أو الدول الأعضاء في الويبو.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B1" w:rsidRDefault="00291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Pr="002916B1" w:rsidRDefault="00A61E61" w:rsidP="002916B1">
    <w:pPr>
      <w:rPr>
        <w:szCs w:val="22"/>
      </w:rPr>
    </w:pPr>
    <w:r w:rsidRPr="002916B1">
      <w:rPr>
        <w:szCs w:val="22"/>
      </w:rPr>
      <w:t>WIPO/</w:t>
    </w:r>
    <w:r w:rsidR="00822B72" w:rsidRPr="002916B1">
      <w:rPr>
        <w:szCs w:val="22"/>
        <w:lang w:val="fr-CH"/>
      </w:rPr>
      <w:t>ACE</w:t>
    </w:r>
    <w:r w:rsidR="001C130D" w:rsidRPr="002916B1">
      <w:rPr>
        <w:szCs w:val="22"/>
      </w:rPr>
      <w:t>/</w:t>
    </w:r>
    <w:r w:rsidR="00822B72" w:rsidRPr="002916B1">
      <w:rPr>
        <w:szCs w:val="22"/>
      </w:rPr>
      <w:t>9</w:t>
    </w:r>
    <w:r w:rsidR="002916B1" w:rsidRPr="002916B1">
      <w:rPr>
        <w:szCs w:val="22"/>
      </w:rPr>
      <w:t>/</w:t>
    </w:r>
    <w:r w:rsidR="002916B1" w:rsidRPr="002916B1">
      <w:rPr>
        <w:rFonts w:hint="cs"/>
        <w:szCs w:val="22"/>
        <w:rtl/>
      </w:rPr>
      <w:t>26</w:t>
    </w:r>
  </w:p>
  <w:p w:rsidR="001C130D" w:rsidRDefault="003340F0" w:rsidP="00D61541">
    <w:r>
      <w:fldChar w:fldCharType="begin"/>
    </w:r>
    <w:r w:rsidR="001C130D">
      <w:instrText xml:space="preserve"> PAGE  \* MERGEFORMAT </w:instrText>
    </w:r>
    <w:r>
      <w:fldChar w:fldCharType="separate"/>
    </w:r>
    <w:r w:rsidR="00F47A5A">
      <w:rPr>
        <w:noProof/>
      </w:rPr>
      <w:t>3</w:t>
    </w:r>
    <w:r>
      <w:fldChar w:fldCharType="end"/>
    </w:r>
  </w:p>
  <w:p w:rsidR="001C130D" w:rsidRDefault="001C130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B1" w:rsidRDefault="00291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E4F94"/>
    <w:multiLevelType w:val="hybridMultilevel"/>
    <w:tmpl w:val="D2382A30"/>
    <w:lvl w:ilvl="0" w:tplc="19145874">
      <w:start w:val="16"/>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3A197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3D4"/>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3E5F"/>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6B1"/>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FE3"/>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0F0"/>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0FA"/>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1976"/>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7D"/>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AC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B72"/>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88F"/>
    <w:rsid w:val="00846956"/>
    <w:rsid w:val="00846CF1"/>
    <w:rsid w:val="00847622"/>
    <w:rsid w:val="008505B8"/>
    <w:rsid w:val="00851005"/>
    <w:rsid w:val="00851ADD"/>
    <w:rsid w:val="00855AC1"/>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14"/>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575"/>
    <w:rsid w:val="009443ED"/>
    <w:rsid w:val="00945A84"/>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3D9C"/>
    <w:rsid w:val="0099428D"/>
    <w:rsid w:val="009949A7"/>
    <w:rsid w:val="00995CDC"/>
    <w:rsid w:val="009964C3"/>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22E0"/>
    <w:rsid w:val="00A26FFF"/>
    <w:rsid w:val="00A316EC"/>
    <w:rsid w:val="00A31804"/>
    <w:rsid w:val="00A318AE"/>
    <w:rsid w:val="00A318C5"/>
    <w:rsid w:val="00A320BA"/>
    <w:rsid w:val="00A32283"/>
    <w:rsid w:val="00A32342"/>
    <w:rsid w:val="00A325EC"/>
    <w:rsid w:val="00A32B81"/>
    <w:rsid w:val="00A337E5"/>
    <w:rsid w:val="00A3658D"/>
    <w:rsid w:val="00A36E51"/>
    <w:rsid w:val="00A375D2"/>
    <w:rsid w:val="00A377C5"/>
    <w:rsid w:val="00A37B2E"/>
    <w:rsid w:val="00A37D45"/>
    <w:rsid w:val="00A401FD"/>
    <w:rsid w:val="00A40558"/>
    <w:rsid w:val="00A40AF2"/>
    <w:rsid w:val="00A411DC"/>
    <w:rsid w:val="00A4296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1E61"/>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664"/>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57E"/>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A5A"/>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ACB"/>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40ACB"/>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84688F"/>
    <w:rPr>
      <w:rFonts w:ascii="Tahoma" w:hAnsi="Tahoma" w:cs="Tahoma"/>
      <w:sz w:val="16"/>
      <w:szCs w:val="16"/>
    </w:rPr>
  </w:style>
  <w:style w:type="character" w:customStyle="1" w:styleId="BalloonTextChar">
    <w:name w:val="Balloon Text Char"/>
    <w:basedOn w:val="DefaultParagraphFont"/>
    <w:link w:val="BalloonText"/>
    <w:rsid w:val="0084688F"/>
    <w:rPr>
      <w:rFonts w:ascii="Tahoma" w:hAnsi="Tahoma" w:cs="Tahoma"/>
      <w:sz w:val="16"/>
      <w:szCs w:val="16"/>
    </w:rPr>
  </w:style>
  <w:style w:type="character" w:styleId="Hyperlink">
    <w:name w:val="Hyperlink"/>
    <w:basedOn w:val="DefaultParagraphFont"/>
    <w:rsid w:val="008468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www.ipag.a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4C1E-BA5C-41E7-8F48-CA475544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757</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ACE/9/-- (Arabic)</vt:lpstr>
    </vt:vector>
  </TitlesOfParts>
  <Company>World Intellectual Property Organization</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ACE/9/-- (Arabic)</dc:title>
  <dc:creator>YOUSSEF Randa</dc:creator>
  <cp:lastModifiedBy>COLIN Isabelle</cp:lastModifiedBy>
  <cp:revision>12</cp:revision>
  <cp:lastPrinted>2014-02-25T08:56:00Z</cp:lastPrinted>
  <dcterms:created xsi:type="dcterms:W3CDTF">2014-02-20T15:40:00Z</dcterms:created>
  <dcterms:modified xsi:type="dcterms:W3CDTF">2014-02-25T08:56:00Z</dcterms:modified>
</cp:coreProperties>
</file>